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68D8" w14:textId="77777777" w:rsidR="00CD7B89" w:rsidRPr="008C1137" w:rsidRDefault="00CD7B89" w:rsidP="006A0A62">
      <w:pPr>
        <w:pStyle w:val="Title"/>
      </w:pPr>
      <w:r w:rsidRPr="008C1137">
        <w:t>Victoria’s Prison Population 2004 to 2024</w:t>
      </w:r>
    </w:p>
    <w:p w14:paraId="60394C35" w14:textId="1A74A6B0" w:rsidR="00D43BDC" w:rsidRPr="008C1137" w:rsidRDefault="00D43BDC" w:rsidP="006A0A62">
      <w:pPr>
        <w:rPr>
          <w:lang w:val="en-US"/>
        </w:rPr>
      </w:pPr>
      <w:r w:rsidRPr="008C1137">
        <w:t>Sentencing</w:t>
      </w:r>
      <w:r w:rsidRPr="008C1137">
        <w:rPr>
          <w:lang w:val="en-US"/>
        </w:rPr>
        <w:t xml:space="preserve"> Advisory Council</w:t>
      </w:r>
      <w:r w:rsidR="00BC3DC9" w:rsidRPr="008C1137">
        <w:rPr>
          <w:lang w:val="en-US"/>
        </w:rPr>
        <w:t xml:space="preserve">, </w:t>
      </w:r>
      <w:r w:rsidRPr="008C1137">
        <w:rPr>
          <w:lang w:val="en-US"/>
        </w:rPr>
        <w:t>October 2025</w:t>
      </w:r>
    </w:p>
    <w:p w14:paraId="4193D01E" w14:textId="061AC509" w:rsidR="003F3FCB" w:rsidRDefault="003F3FCB" w:rsidP="007F77EC">
      <w:pPr>
        <w:pStyle w:val="Heading1"/>
        <w:rPr>
          <w:lang w:val="en-US"/>
        </w:rPr>
      </w:pPr>
      <w:bookmarkStart w:id="0" w:name="_Toc210672544"/>
      <w:r w:rsidRPr="008C1137">
        <w:rPr>
          <w:lang w:val="en-US"/>
        </w:rPr>
        <w:t>Contents</w:t>
      </w:r>
      <w:bookmarkEnd w:id="0"/>
    </w:p>
    <w:p w14:paraId="6E5D7F90" w14:textId="221D5806" w:rsidR="00546F00" w:rsidRDefault="00546F00">
      <w:pPr>
        <w:pStyle w:val="TOC1"/>
        <w:tabs>
          <w:tab w:val="right" w:leader="dot" w:pos="9016"/>
        </w:tabs>
        <w:rPr>
          <w:rFonts w:asciiTheme="minorHAnsi" w:eastAsiaTheme="minorEastAsia" w:hAnsiTheme="minorHAnsi" w:cstheme="minorBidi"/>
          <w:noProof/>
          <w:kern w:val="2"/>
          <w14:ligatures w14:val="standardContextual"/>
        </w:rPr>
      </w:pPr>
      <w:r>
        <w:rPr>
          <w:lang w:val="en-US"/>
        </w:rPr>
        <w:fldChar w:fldCharType="begin"/>
      </w:r>
      <w:r>
        <w:rPr>
          <w:lang w:val="en-US"/>
        </w:rPr>
        <w:instrText xml:space="preserve"> TOC \p " " \h \z \t "Heading 1,1,Heading 1 Numbered,1" </w:instrText>
      </w:r>
      <w:r>
        <w:rPr>
          <w:lang w:val="en-US"/>
        </w:rPr>
        <w:fldChar w:fldCharType="separate"/>
      </w:r>
      <w:hyperlink w:anchor="_Toc210672545" w:history="1">
        <w:r w:rsidRPr="00AF6BF6">
          <w:rPr>
            <w:rStyle w:val="Hyperlink"/>
            <w:noProof/>
          </w:rPr>
          <w:t>Acknowledgement of Country</w:t>
        </w:r>
        <w:r>
          <w:rPr>
            <w:noProof/>
            <w:webHidden/>
          </w:rPr>
          <w:t xml:space="preserve"> </w:t>
        </w:r>
        <w:r>
          <w:rPr>
            <w:noProof/>
            <w:webHidden/>
          </w:rPr>
          <w:fldChar w:fldCharType="begin"/>
        </w:r>
        <w:r>
          <w:rPr>
            <w:noProof/>
            <w:webHidden/>
          </w:rPr>
          <w:instrText xml:space="preserve"> PAGEREF _Toc210672545 \h </w:instrText>
        </w:r>
        <w:r>
          <w:rPr>
            <w:noProof/>
            <w:webHidden/>
          </w:rPr>
        </w:r>
        <w:r>
          <w:rPr>
            <w:noProof/>
            <w:webHidden/>
          </w:rPr>
          <w:fldChar w:fldCharType="separate"/>
        </w:r>
        <w:r>
          <w:rPr>
            <w:noProof/>
            <w:webHidden/>
          </w:rPr>
          <w:t>2</w:t>
        </w:r>
        <w:r>
          <w:rPr>
            <w:noProof/>
            <w:webHidden/>
          </w:rPr>
          <w:fldChar w:fldCharType="end"/>
        </w:r>
      </w:hyperlink>
    </w:p>
    <w:p w14:paraId="13F3A9CE" w14:textId="757654D6" w:rsidR="00546F00" w:rsidRDefault="00546F00">
      <w:pPr>
        <w:pStyle w:val="TOC1"/>
        <w:tabs>
          <w:tab w:val="right" w:leader="dot" w:pos="9016"/>
        </w:tabs>
        <w:rPr>
          <w:rFonts w:asciiTheme="minorHAnsi" w:eastAsiaTheme="minorEastAsia" w:hAnsiTheme="minorHAnsi" w:cstheme="minorBidi"/>
          <w:noProof/>
          <w:kern w:val="2"/>
          <w14:ligatures w14:val="standardContextual"/>
        </w:rPr>
      </w:pPr>
      <w:hyperlink w:anchor="_Toc210672546" w:history="1">
        <w:r w:rsidRPr="00AF6BF6">
          <w:rPr>
            <w:rStyle w:val="Hyperlink"/>
            <w:noProof/>
          </w:rPr>
          <w:t>Contributors</w:t>
        </w:r>
        <w:r>
          <w:rPr>
            <w:noProof/>
            <w:webHidden/>
          </w:rPr>
          <w:t xml:space="preserve"> </w:t>
        </w:r>
        <w:r>
          <w:rPr>
            <w:noProof/>
            <w:webHidden/>
          </w:rPr>
          <w:fldChar w:fldCharType="begin"/>
        </w:r>
        <w:r>
          <w:rPr>
            <w:noProof/>
            <w:webHidden/>
          </w:rPr>
          <w:instrText xml:space="preserve"> PAGEREF _Toc210672546 \h </w:instrText>
        </w:r>
        <w:r>
          <w:rPr>
            <w:noProof/>
            <w:webHidden/>
          </w:rPr>
        </w:r>
        <w:r>
          <w:rPr>
            <w:noProof/>
            <w:webHidden/>
          </w:rPr>
          <w:fldChar w:fldCharType="separate"/>
        </w:r>
        <w:r>
          <w:rPr>
            <w:noProof/>
            <w:webHidden/>
          </w:rPr>
          <w:t>2</w:t>
        </w:r>
        <w:r>
          <w:rPr>
            <w:noProof/>
            <w:webHidden/>
          </w:rPr>
          <w:fldChar w:fldCharType="end"/>
        </w:r>
      </w:hyperlink>
    </w:p>
    <w:p w14:paraId="05C60C4C" w14:textId="6C4FFEAD" w:rsidR="00546F00" w:rsidRDefault="00546F00">
      <w:pPr>
        <w:pStyle w:val="TOC1"/>
        <w:tabs>
          <w:tab w:val="right" w:leader="dot" w:pos="9016"/>
        </w:tabs>
        <w:rPr>
          <w:rFonts w:asciiTheme="minorHAnsi" w:eastAsiaTheme="minorEastAsia" w:hAnsiTheme="minorHAnsi" w:cstheme="minorBidi"/>
          <w:noProof/>
          <w:kern w:val="2"/>
          <w14:ligatures w14:val="standardContextual"/>
        </w:rPr>
      </w:pPr>
      <w:hyperlink w:anchor="_Toc210672547" w:history="1">
        <w:r w:rsidRPr="00AF6BF6">
          <w:rPr>
            <w:rStyle w:val="Hyperlink"/>
            <w:noProof/>
          </w:rPr>
          <w:t>Executive summary</w:t>
        </w:r>
        <w:r>
          <w:rPr>
            <w:noProof/>
            <w:webHidden/>
          </w:rPr>
          <w:t xml:space="preserve"> </w:t>
        </w:r>
        <w:r>
          <w:rPr>
            <w:noProof/>
            <w:webHidden/>
          </w:rPr>
          <w:fldChar w:fldCharType="begin"/>
        </w:r>
        <w:r>
          <w:rPr>
            <w:noProof/>
            <w:webHidden/>
          </w:rPr>
          <w:instrText xml:space="preserve"> PAGEREF _Toc210672547 \h </w:instrText>
        </w:r>
        <w:r>
          <w:rPr>
            <w:noProof/>
            <w:webHidden/>
          </w:rPr>
        </w:r>
        <w:r>
          <w:rPr>
            <w:noProof/>
            <w:webHidden/>
          </w:rPr>
          <w:fldChar w:fldCharType="separate"/>
        </w:r>
        <w:r>
          <w:rPr>
            <w:noProof/>
            <w:webHidden/>
          </w:rPr>
          <w:t>3</w:t>
        </w:r>
        <w:r>
          <w:rPr>
            <w:noProof/>
            <w:webHidden/>
          </w:rPr>
          <w:fldChar w:fldCharType="end"/>
        </w:r>
      </w:hyperlink>
    </w:p>
    <w:p w14:paraId="19D26587" w14:textId="59BB36A5" w:rsidR="00546F00" w:rsidRDefault="00546F00">
      <w:pPr>
        <w:pStyle w:val="TOC1"/>
        <w:tabs>
          <w:tab w:val="left" w:pos="440"/>
          <w:tab w:val="right" w:leader="dot" w:pos="9016"/>
        </w:tabs>
        <w:rPr>
          <w:rFonts w:asciiTheme="minorHAnsi" w:eastAsiaTheme="minorEastAsia" w:hAnsiTheme="minorHAnsi" w:cstheme="minorBidi"/>
          <w:noProof/>
          <w:kern w:val="2"/>
          <w14:ligatures w14:val="standardContextual"/>
        </w:rPr>
      </w:pPr>
      <w:hyperlink w:anchor="_Toc210672548" w:history="1">
        <w:r w:rsidRPr="00AF6BF6">
          <w:rPr>
            <w:rStyle w:val="Hyperlink"/>
            <w:noProof/>
          </w:rPr>
          <w:t>1</w:t>
        </w:r>
        <w:r>
          <w:rPr>
            <w:rFonts w:asciiTheme="minorHAnsi" w:eastAsiaTheme="minorEastAsia" w:hAnsiTheme="minorHAnsi" w:cstheme="minorBidi"/>
            <w:noProof/>
            <w:kern w:val="2"/>
            <w14:ligatures w14:val="standardContextual"/>
          </w:rPr>
          <w:tab/>
        </w:r>
        <w:r w:rsidRPr="00AF6BF6">
          <w:rPr>
            <w:rStyle w:val="Hyperlink"/>
            <w:noProof/>
          </w:rPr>
          <w:t>Introduction</w:t>
        </w:r>
        <w:r>
          <w:rPr>
            <w:noProof/>
            <w:webHidden/>
          </w:rPr>
          <w:t xml:space="preserve"> </w:t>
        </w:r>
        <w:r>
          <w:rPr>
            <w:noProof/>
            <w:webHidden/>
          </w:rPr>
          <w:fldChar w:fldCharType="begin"/>
        </w:r>
        <w:r>
          <w:rPr>
            <w:noProof/>
            <w:webHidden/>
          </w:rPr>
          <w:instrText xml:space="preserve"> PAGEREF _Toc210672548 \h </w:instrText>
        </w:r>
        <w:r>
          <w:rPr>
            <w:noProof/>
            <w:webHidden/>
          </w:rPr>
        </w:r>
        <w:r>
          <w:rPr>
            <w:noProof/>
            <w:webHidden/>
          </w:rPr>
          <w:fldChar w:fldCharType="separate"/>
        </w:r>
        <w:r>
          <w:rPr>
            <w:noProof/>
            <w:webHidden/>
          </w:rPr>
          <w:t>8</w:t>
        </w:r>
        <w:r>
          <w:rPr>
            <w:noProof/>
            <w:webHidden/>
          </w:rPr>
          <w:fldChar w:fldCharType="end"/>
        </w:r>
      </w:hyperlink>
    </w:p>
    <w:p w14:paraId="378D9C13" w14:textId="026A2138" w:rsidR="00546F00" w:rsidRDefault="00546F00">
      <w:pPr>
        <w:pStyle w:val="TOC1"/>
        <w:tabs>
          <w:tab w:val="left" w:pos="440"/>
          <w:tab w:val="right" w:leader="dot" w:pos="9016"/>
        </w:tabs>
        <w:rPr>
          <w:rFonts w:asciiTheme="minorHAnsi" w:eastAsiaTheme="minorEastAsia" w:hAnsiTheme="minorHAnsi" w:cstheme="minorBidi"/>
          <w:noProof/>
          <w:kern w:val="2"/>
          <w14:ligatures w14:val="standardContextual"/>
        </w:rPr>
      </w:pPr>
      <w:hyperlink w:anchor="_Toc210672549" w:history="1">
        <w:r w:rsidRPr="00AF6BF6">
          <w:rPr>
            <w:rStyle w:val="Hyperlink"/>
            <w:noProof/>
          </w:rPr>
          <w:t>2</w:t>
        </w:r>
        <w:r>
          <w:rPr>
            <w:rFonts w:asciiTheme="minorHAnsi" w:eastAsiaTheme="minorEastAsia" w:hAnsiTheme="minorHAnsi" w:cstheme="minorBidi"/>
            <w:noProof/>
            <w:kern w:val="2"/>
            <w14:ligatures w14:val="standardContextual"/>
          </w:rPr>
          <w:tab/>
        </w:r>
        <w:r w:rsidRPr="00AF6BF6">
          <w:rPr>
            <w:rStyle w:val="Hyperlink"/>
            <w:noProof/>
          </w:rPr>
          <w:t>Recorded offences in Victoria</w:t>
        </w:r>
        <w:r>
          <w:rPr>
            <w:noProof/>
            <w:webHidden/>
          </w:rPr>
          <w:t xml:space="preserve"> </w:t>
        </w:r>
        <w:r>
          <w:rPr>
            <w:noProof/>
            <w:webHidden/>
          </w:rPr>
          <w:fldChar w:fldCharType="begin"/>
        </w:r>
        <w:r>
          <w:rPr>
            <w:noProof/>
            <w:webHidden/>
          </w:rPr>
          <w:instrText xml:space="preserve"> PAGEREF _Toc210672549 \h </w:instrText>
        </w:r>
        <w:r>
          <w:rPr>
            <w:noProof/>
            <w:webHidden/>
          </w:rPr>
        </w:r>
        <w:r>
          <w:rPr>
            <w:noProof/>
            <w:webHidden/>
          </w:rPr>
          <w:fldChar w:fldCharType="separate"/>
        </w:r>
        <w:r>
          <w:rPr>
            <w:noProof/>
            <w:webHidden/>
          </w:rPr>
          <w:t>23</w:t>
        </w:r>
        <w:r>
          <w:rPr>
            <w:noProof/>
            <w:webHidden/>
          </w:rPr>
          <w:fldChar w:fldCharType="end"/>
        </w:r>
      </w:hyperlink>
    </w:p>
    <w:p w14:paraId="4EA948F0" w14:textId="6FC2E70D" w:rsidR="00546F00" w:rsidRDefault="00546F00">
      <w:pPr>
        <w:pStyle w:val="TOC1"/>
        <w:tabs>
          <w:tab w:val="left" w:pos="440"/>
          <w:tab w:val="right" w:leader="dot" w:pos="9016"/>
        </w:tabs>
        <w:rPr>
          <w:rFonts w:asciiTheme="minorHAnsi" w:eastAsiaTheme="minorEastAsia" w:hAnsiTheme="minorHAnsi" w:cstheme="minorBidi"/>
          <w:noProof/>
          <w:kern w:val="2"/>
          <w14:ligatures w14:val="standardContextual"/>
        </w:rPr>
      </w:pPr>
      <w:hyperlink w:anchor="_Toc210672550" w:history="1">
        <w:r w:rsidRPr="00AF6BF6">
          <w:rPr>
            <w:rStyle w:val="Hyperlink"/>
            <w:noProof/>
          </w:rPr>
          <w:t>3</w:t>
        </w:r>
        <w:r>
          <w:rPr>
            <w:rFonts w:asciiTheme="minorHAnsi" w:eastAsiaTheme="minorEastAsia" w:hAnsiTheme="minorHAnsi" w:cstheme="minorBidi"/>
            <w:noProof/>
            <w:kern w:val="2"/>
            <w14:ligatures w14:val="standardContextual"/>
          </w:rPr>
          <w:tab/>
        </w:r>
        <w:r w:rsidRPr="00AF6BF6">
          <w:rPr>
            <w:rStyle w:val="Hyperlink"/>
            <w:noProof/>
          </w:rPr>
          <w:t>Sentences of imprisonment in Victoria</w:t>
        </w:r>
        <w:r>
          <w:rPr>
            <w:noProof/>
            <w:webHidden/>
          </w:rPr>
          <w:t xml:space="preserve"> </w:t>
        </w:r>
        <w:r>
          <w:rPr>
            <w:noProof/>
            <w:webHidden/>
          </w:rPr>
          <w:fldChar w:fldCharType="begin"/>
        </w:r>
        <w:r>
          <w:rPr>
            <w:noProof/>
            <w:webHidden/>
          </w:rPr>
          <w:instrText xml:space="preserve"> PAGEREF _Toc210672550 \h </w:instrText>
        </w:r>
        <w:r>
          <w:rPr>
            <w:noProof/>
            <w:webHidden/>
          </w:rPr>
        </w:r>
        <w:r>
          <w:rPr>
            <w:noProof/>
            <w:webHidden/>
          </w:rPr>
          <w:fldChar w:fldCharType="separate"/>
        </w:r>
        <w:r>
          <w:rPr>
            <w:noProof/>
            <w:webHidden/>
          </w:rPr>
          <w:t>41</w:t>
        </w:r>
        <w:r>
          <w:rPr>
            <w:noProof/>
            <w:webHidden/>
          </w:rPr>
          <w:fldChar w:fldCharType="end"/>
        </w:r>
      </w:hyperlink>
    </w:p>
    <w:p w14:paraId="4F5FF654" w14:textId="21D264D0" w:rsidR="00546F00" w:rsidRDefault="00546F00">
      <w:pPr>
        <w:pStyle w:val="TOC1"/>
        <w:tabs>
          <w:tab w:val="left" w:pos="440"/>
          <w:tab w:val="right" w:leader="dot" w:pos="9016"/>
        </w:tabs>
        <w:rPr>
          <w:rFonts w:asciiTheme="minorHAnsi" w:eastAsiaTheme="minorEastAsia" w:hAnsiTheme="minorHAnsi" w:cstheme="minorBidi"/>
          <w:noProof/>
          <w:kern w:val="2"/>
          <w14:ligatures w14:val="standardContextual"/>
        </w:rPr>
      </w:pPr>
      <w:hyperlink w:anchor="_Toc210672551" w:history="1">
        <w:r w:rsidRPr="00AF6BF6">
          <w:rPr>
            <w:rStyle w:val="Hyperlink"/>
            <w:noProof/>
          </w:rPr>
          <w:t>4</w:t>
        </w:r>
        <w:r>
          <w:rPr>
            <w:rFonts w:asciiTheme="minorHAnsi" w:eastAsiaTheme="minorEastAsia" w:hAnsiTheme="minorHAnsi" w:cstheme="minorBidi"/>
            <w:noProof/>
            <w:kern w:val="2"/>
            <w14:ligatures w14:val="standardContextual"/>
          </w:rPr>
          <w:tab/>
        </w:r>
        <w:r w:rsidRPr="00AF6BF6">
          <w:rPr>
            <w:rStyle w:val="Hyperlink"/>
            <w:noProof/>
          </w:rPr>
          <w:t>Number and demographics of Victorian prisoners</w:t>
        </w:r>
        <w:r>
          <w:rPr>
            <w:noProof/>
            <w:webHidden/>
          </w:rPr>
          <w:t xml:space="preserve"> </w:t>
        </w:r>
        <w:r>
          <w:rPr>
            <w:noProof/>
            <w:webHidden/>
          </w:rPr>
          <w:fldChar w:fldCharType="begin"/>
        </w:r>
        <w:r>
          <w:rPr>
            <w:noProof/>
            <w:webHidden/>
          </w:rPr>
          <w:instrText xml:space="preserve"> PAGEREF _Toc210672551 \h </w:instrText>
        </w:r>
        <w:r>
          <w:rPr>
            <w:noProof/>
            <w:webHidden/>
          </w:rPr>
        </w:r>
        <w:r>
          <w:rPr>
            <w:noProof/>
            <w:webHidden/>
          </w:rPr>
          <w:fldChar w:fldCharType="separate"/>
        </w:r>
        <w:r>
          <w:rPr>
            <w:noProof/>
            <w:webHidden/>
          </w:rPr>
          <w:t>84</w:t>
        </w:r>
        <w:r>
          <w:rPr>
            <w:noProof/>
            <w:webHidden/>
          </w:rPr>
          <w:fldChar w:fldCharType="end"/>
        </w:r>
      </w:hyperlink>
    </w:p>
    <w:p w14:paraId="2F79D7DF" w14:textId="7FDCC199" w:rsidR="00546F00" w:rsidRDefault="00546F00">
      <w:pPr>
        <w:pStyle w:val="TOC1"/>
        <w:tabs>
          <w:tab w:val="left" w:pos="440"/>
          <w:tab w:val="right" w:leader="dot" w:pos="9016"/>
        </w:tabs>
        <w:rPr>
          <w:rFonts w:asciiTheme="minorHAnsi" w:eastAsiaTheme="minorEastAsia" w:hAnsiTheme="minorHAnsi" w:cstheme="minorBidi"/>
          <w:noProof/>
          <w:kern w:val="2"/>
          <w14:ligatures w14:val="standardContextual"/>
        </w:rPr>
      </w:pPr>
      <w:hyperlink w:anchor="_Toc210672552" w:history="1">
        <w:r w:rsidRPr="00AF6BF6">
          <w:rPr>
            <w:rStyle w:val="Hyperlink"/>
            <w:noProof/>
          </w:rPr>
          <w:t>5</w:t>
        </w:r>
        <w:r>
          <w:rPr>
            <w:rFonts w:asciiTheme="minorHAnsi" w:eastAsiaTheme="minorEastAsia" w:hAnsiTheme="minorHAnsi" w:cstheme="minorBidi"/>
            <w:noProof/>
            <w:kern w:val="2"/>
            <w14:ligatures w14:val="standardContextual"/>
          </w:rPr>
          <w:tab/>
        </w:r>
        <w:r w:rsidRPr="00AF6BF6">
          <w:rPr>
            <w:rStyle w:val="Hyperlink"/>
            <w:noProof/>
          </w:rPr>
          <w:t>Sentenced and unsentenced prisoners in Victoria</w:t>
        </w:r>
        <w:r>
          <w:rPr>
            <w:noProof/>
            <w:webHidden/>
          </w:rPr>
          <w:t xml:space="preserve"> </w:t>
        </w:r>
        <w:r>
          <w:rPr>
            <w:noProof/>
            <w:webHidden/>
          </w:rPr>
          <w:fldChar w:fldCharType="begin"/>
        </w:r>
        <w:r>
          <w:rPr>
            <w:noProof/>
            <w:webHidden/>
          </w:rPr>
          <w:instrText xml:space="preserve"> PAGEREF _Toc210672552 \h </w:instrText>
        </w:r>
        <w:r>
          <w:rPr>
            <w:noProof/>
            <w:webHidden/>
          </w:rPr>
        </w:r>
        <w:r>
          <w:rPr>
            <w:noProof/>
            <w:webHidden/>
          </w:rPr>
          <w:fldChar w:fldCharType="separate"/>
        </w:r>
        <w:r>
          <w:rPr>
            <w:noProof/>
            <w:webHidden/>
          </w:rPr>
          <w:t>102</w:t>
        </w:r>
        <w:r>
          <w:rPr>
            <w:noProof/>
            <w:webHidden/>
          </w:rPr>
          <w:fldChar w:fldCharType="end"/>
        </w:r>
      </w:hyperlink>
    </w:p>
    <w:p w14:paraId="705B5A4E" w14:textId="279E9091" w:rsidR="00546F00" w:rsidRDefault="00546F00">
      <w:pPr>
        <w:pStyle w:val="TOC1"/>
        <w:tabs>
          <w:tab w:val="left" w:pos="440"/>
          <w:tab w:val="right" w:leader="dot" w:pos="9016"/>
        </w:tabs>
        <w:rPr>
          <w:rFonts w:asciiTheme="minorHAnsi" w:eastAsiaTheme="minorEastAsia" w:hAnsiTheme="minorHAnsi" w:cstheme="minorBidi"/>
          <w:noProof/>
          <w:kern w:val="2"/>
          <w14:ligatures w14:val="standardContextual"/>
        </w:rPr>
      </w:pPr>
      <w:hyperlink w:anchor="_Toc210672553" w:history="1">
        <w:r w:rsidRPr="00AF6BF6">
          <w:rPr>
            <w:rStyle w:val="Hyperlink"/>
            <w:noProof/>
          </w:rPr>
          <w:t>6</w:t>
        </w:r>
        <w:r>
          <w:rPr>
            <w:rFonts w:asciiTheme="minorHAnsi" w:eastAsiaTheme="minorEastAsia" w:hAnsiTheme="minorHAnsi" w:cstheme="minorBidi"/>
            <w:noProof/>
            <w:kern w:val="2"/>
            <w14:ligatures w14:val="standardContextual"/>
          </w:rPr>
          <w:tab/>
        </w:r>
        <w:r w:rsidRPr="00AF6BF6">
          <w:rPr>
            <w:rStyle w:val="Hyperlink"/>
            <w:noProof/>
          </w:rPr>
          <w:t>Prisoners through the system</w:t>
        </w:r>
        <w:r>
          <w:rPr>
            <w:noProof/>
            <w:webHidden/>
          </w:rPr>
          <w:t xml:space="preserve"> </w:t>
        </w:r>
        <w:r>
          <w:rPr>
            <w:noProof/>
            <w:webHidden/>
          </w:rPr>
          <w:fldChar w:fldCharType="begin"/>
        </w:r>
        <w:r>
          <w:rPr>
            <w:noProof/>
            <w:webHidden/>
          </w:rPr>
          <w:instrText xml:space="preserve"> PAGEREF _Toc210672553 \h </w:instrText>
        </w:r>
        <w:r>
          <w:rPr>
            <w:noProof/>
            <w:webHidden/>
          </w:rPr>
        </w:r>
        <w:r>
          <w:rPr>
            <w:noProof/>
            <w:webHidden/>
          </w:rPr>
          <w:fldChar w:fldCharType="separate"/>
        </w:r>
        <w:r>
          <w:rPr>
            <w:noProof/>
            <w:webHidden/>
          </w:rPr>
          <w:t>120</w:t>
        </w:r>
        <w:r>
          <w:rPr>
            <w:noProof/>
            <w:webHidden/>
          </w:rPr>
          <w:fldChar w:fldCharType="end"/>
        </w:r>
      </w:hyperlink>
    </w:p>
    <w:p w14:paraId="7BA4496F" w14:textId="33551AB0" w:rsidR="00546F00" w:rsidRDefault="00546F00">
      <w:pPr>
        <w:pStyle w:val="TOC1"/>
        <w:tabs>
          <w:tab w:val="left" w:pos="440"/>
          <w:tab w:val="right" w:leader="dot" w:pos="9016"/>
        </w:tabs>
        <w:rPr>
          <w:rFonts w:asciiTheme="minorHAnsi" w:eastAsiaTheme="minorEastAsia" w:hAnsiTheme="minorHAnsi" w:cstheme="minorBidi"/>
          <w:noProof/>
          <w:kern w:val="2"/>
          <w14:ligatures w14:val="standardContextual"/>
        </w:rPr>
      </w:pPr>
      <w:hyperlink w:anchor="_Toc210672554" w:history="1">
        <w:r w:rsidRPr="00AF6BF6">
          <w:rPr>
            <w:rStyle w:val="Hyperlink"/>
            <w:noProof/>
          </w:rPr>
          <w:t>7</w:t>
        </w:r>
        <w:r>
          <w:rPr>
            <w:rFonts w:asciiTheme="minorHAnsi" w:eastAsiaTheme="minorEastAsia" w:hAnsiTheme="minorHAnsi" w:cstheme="minorBidi"/>
            <w:noProof/>
            <w:kern w:val="2"/>
            <w14:ligatures w14:val="standardContextual"/>
          </w:rPr>
          <w:tab/>
        </w:r>
        <w:r w:rsidRPr="00AF6BF6">
          <w:rPr>
            <w:rStyle w:val="Hyperlink"/>
            <w:noProof/>
          </w:rPr>
          <w:t>Concluding remarks</w:t>
        </w:r>
        <w:r>
          <w:rPr>
            <w:noProof/>
            <w:webHidden/>
          </w:rPr>
          <w:t xml:space="preserve"> </w:t>
        </w:r>
        <w:r>
          <w:rPr>
            <w:noProof/>
            <w:webHidden/>
          </w:rPr>
          <w:fldChar w:fldCharType="begin"/>
        </w:r>
        <w:r>
          <w:rPr>
            <w:noProof/>
            <w:webHidden/>
          </w:rPr>
          <w:instrText xml:space="preserve"> PAGEREF _Toc210672554 \h </w:instrText>
        </w:r>
        <w:r>
          <w:rPr>
            <w:noProof/>
            <w:webHidden/>
          </w:rPr>
        </w:r>
        <w:r>
          <w:rPr>
            <w:noProof/>
            <w:webHidden/>
          </w:rPr>
          <w:fldChar w:fldCharType="separate"/>
        </w:r>
        <w:r>
          <w:rPr>
            <w:noProof/>
            <w:webHidden/>
          </w:rPr>
          <w:t>140</w:t>
        </w:r>
        <w:r>
          <w:rPr>
            <w:noProof/>
            <w:webHidden/>
          </w:rPr>
          <w:fldChar w:fldCharType="end"/>
        </w:r>
      </w:hyperlink>
    </w:p>
    <w:p w14:paraId="68A22520" w14:textId="51F52DB3" w:rsidR="00546F00" w:rsidRDefault="00546F00">
      <w:pPr>
        <w:pStyle w:val="TOC1"/>
        <w:tabs>
          <w:tab w:val="right" w:leader="dot" w:pos="9016"/>
        </w:tabs>
        <w:rPr>
          <w:rFonts w:asciiTheme="minorHAnsi" w:eastAsiaTheme="minorEastAsia" w:hAnsiTheme="minorHAnsi" w:cstheme="minorBidi"/>
          <w:noProof/>
          <w:kern w:val="2"/>
          <w14:ligatures w14:val="standardContextual"/>
        </w:rPr>
      </w:pPr>
      <w:hyperlink w:anchor="_Toc210672555" w:history="1">
        <w:r w:rsidRPr="00AF6BF6">
          <w:rPr>
            <w:rStyle w:val="Hyperlink"/>
            <w:noProof/>
          </w:rPr>
          <w:t>Appendix A: Offence categories</w:t>
        </w:r>
        <w:r>
          <w:rPr>
            <w:noProof/>
            <w:webHidden/>
          </w:rPr>
          <w:t xml:space="preserve"> </w:t>
        </w:r>
        <w:r>
          <w:rPr>
            <w:noProof/>
            <w:webHidden/>
          </w:rPr>
          <w:fldChar w:fldCharType="begin"/>
        </w:r>
        <w:r>
          <w:rPr>
            <w:noProof/>
            <w:webHidden/>
          </w:rPr>
          <w:instrText xml:space="preserve"> PAGEREF _Toc210672555 \h </w:instrText>
        </w:r>
        <w:r>
          <w:rPr>
            <w:noProof/>
            <w:webHidden/>
          </w:rPr>
        </w:r>
        <w:r>
          <w:rPr>
            <w:noProof/>
            <w:webHidden/>
          </w:rPr>
          <w:fldChar w:fldCharType="separate"/>
        </w:r>
        <w:r>
          <w:rPr>
            <w:noProof/>
            <w:webHidden/>
          </w:rPr>
          <w:t>151</w:t>
        </w:r>
        <w:r>
          <w:rPr>
            <w:noProof/>
            <w:webHidden/>
          </w:rPr>
          <w:fldChar w:fldCharType="end"/>
        </w:r>
      </w:hyperlink>
    </w:p>
    <w:p w14:paraId="2F773BEE" w14:textId="4A4C0DA8" w:rsidR="00546F00" w:rsidRDefault="00546F00">
      <w:pPr>
        <w:pStyle w:val="TOC1"/>
        <w:tabs>
          <w:tab w:val="right" w:leader="dot" w:pos="9016"/>
        </w:tabs>
        <w:rPr>
          <w:rFonts w:asciiTheme="minorHAnsi" w:eastAsiaTheme="minorEastAsia" w:hAnsiTheme="minorHAnsi" w:cstheme="minorBidi"/>
          <w:noProof/>
          <w:kern w:val="2"/>
          <w14:ligatures w14:val="standardContextual"/>
        </w:rPr>
      </w:pPr>
      <w:hyperlink w:anchor="_Toc210672556" w:history="1">
        <w:r w:rsidRPr="00AF6BF6">
          <w:rPr>
            <w:rStyle w:val="Hyperlink"/>
            <w:noProof/>
          </w:rPr>
          <w:t>Appendix B: Custodial sentences in the higher courts by offence category</w:t>
        </w:r>
        <w:r>
          <w:rPr>
            <w:noProof/>
            <w:webHidden/>
          </w:rPr>
          <w:t xml:space="preserve"> </w:t>
        </w:r>
        <w:r>
          <w:rPr>
            <w:noProof/>
            <w:webHidden/>
          </w:rPr>
          <w:fldChar w:fldCharType="begin"/>
        </w:r>
        <w:r>
          <w:rPr>
            <w:noProof/>
            <w:webHidden/>
          </w:rPr>
          <w:instrText xml:space="preserve"> PAGEREF _Toc210672556 \h </w:instrText>
        </w:r>
        <w:r>
          <w:rPr>
            <w:noProof/>
            <w:webHidden/>
          </w:rPr>
        </w:r>
        <w:r>
          <w:rPr>
            <w:noProof/>
            <w:webHidden/>
          </w:rPr>
          <w:fldChar w:fldCharType="separate"/>
        </w:r>
        <w:r>
          <w:rPr>
            <w:noProof/>
            <w:webHidden/>
          </w:rPr>
          <w:t>153</w:t>
        </w:r>
        <w:r>
          <w:rPr>
            <w:noProof/>
            <w:webHidden/>
          </w:rPr>
          <w:fldChar w:fldCharType="end"/>
        </w:r>
      </w:hyperlink>
    </w:p>
    <w:p w14:paraId="0C42E43E" w14:textId="4CA46F00" w:rsidR="00546F00" w:rsidRDefault="00546F00">
      <w:pPr>
        <w:pStyle w:val="TOC1"/>
        <w:tabs>
          <w:tab w:val="right" w:leader="dot" w:pos="9016"/>
        </w:tabs>
        <w:rPr>
          <w:rFonts w:asciiTheme="minorHAnsi" w:eastAsiaTheme="minorEastAsia" w:hAnsiTheme="minorHAnsi" w:cstheme="minorBidi"/>
          <w:noProof/>
          <w:kern w:val="2"/>
          <w14:ligatures w14:val="standardContextual"/>
        </w:rPr>
      </w:pPr>
      <w:hyperlink w:anchor="_Toc210672557" w:history="1">
        <w:r w:rsidRPr="00AF6BF6">
          <w:rPr>
            <w:rStyle w:val="Hyperlink"/>
            <w:noProof/>
          </w:rPr>
          <w:t>Appendix C: Custodial sentences in the Magistrates’ Court by offence category</w:t>
        </w:r>
        <w:r>
          <w:rPr>
            <w:noProof/>
            <w:webHidden/>
          </w:rPr>
          <w:t xml:space="preserve"> </w:t>
        </w:r>
        <w:r>
          <w:rPr>
            <w:noProof/>
            <w:webHidden/>
          </w:rPr>
          <w:fldChar w:fldCharType="begin"/>
        </w:r>
        <w:r>
          <w:rPr>
            <w:noProof/>
            <w:webHidden/>
          </w:rPr>
          <w:instrText xml:space="preserve"> PAGEREF _Toc210672557 \h </w:instrText>
        </w:r>
        <w:r>
          <w:rPr>
            <w:noProof/>
            <w:webHidden/>
          </w:rPr>
        </w:r>
        <w:r>
          <w:rPr>
            <w:noProof/>
            <w:webHidden/>
          </w:rPr>
          <w:fldChar w:fldCharType="separate"/>
        </w:r>
        <w:r>
          <w:rPr>
            <w:noProof/>
            <w:webHidden/>
          </w:rPr>
          <w:t>155</w:t>
        </w:r>
        <w:r>
          <w:rPr>
            <w:noProof/>
            <w:webHidden/>
          </w:rPr>
          <w:fldChar w:fldCharType="end"/>
        </w:r>
      </w:hyperlink>
    </w:p>
    <w:p w14:paraId="7D3ADCA3" w14:textId="3BDC9D1D" w:rsidR="00546F00" w:rsidRDefault="00546F00">
      <w:pPr>
        <w:pStyle w:val="TOC1"/>
        <w:tabs>
          <w:tab w:val="right" w:leader="dot" w:pos="9016"/>
        </w:tabs>
        <w:rPr>
          <w:rFonts w:asciiTheme="minorHAnsi" w:eastAsiaTheme="minorEastAsia" w:hAnsiTheme="minorHAnsi" w:cstheme="minorBidi"/>
          <w:noProof/>
          <w:kern w:val="2"/>
          <w14:ligatures w14:val="standardContextual"/>
        </w:rPr>
      </w:pPr>
      <w:hyperlink w:anchor="_Toc210672558" w:history="1">
        <w:r w:rsidRPr="00AF6BF6">
          <w:rPr>
            <w:rStyle w:val="Hyperlink"/>
            <w:noProof/>
          </w:rPr>
          <w:t>References</w:t>
        </w:r>
        <w:r>
          <w:rPr>
            <w:noProof/>
            <w:webHidden/>
          </w:rPr>
          <w:t xml:space="preserve"> </w:t>
        </w:r>
        <w:r>
          <w:rPr>
            <w:noProof/>
            <w:webHidden/>
          </w:rPr>
          <w:fldChar w:fldCharType="begin"/>
        </w:r>
        <w:r>
          <w:rPr>
            <w:noProof/>
            <w:webHidden/>
          </w:rPr>
          <w:instrText xml:space="preserve"> PAGEREF _Toc210672558 \h </w:instrText>
        </w:r>
        <w:r>
          <w:rPr>
            <w:noProof/>
            <w:webHidden/>
          </w:rPr>
        </w:r>
        <w:r>
          <w:rPr>
            <w:noProof/>
            <w:webHidden/>
          </w:rPr>
          <w:fldChar w:fldCharType="separate"/>
        </w:r>
        <w:r>
          <w:rPr>
            <w:noProof/>
            <w:webHidden/>
          </w:rPr>
          <w:t>157</w:t>
        </w:r>
        <w:r>
          <w:rPr>
            <w:noProof/>
            <w:webHidden/>
          </w:rPr>
          <w:fldChar w:fldCharType="end"/>
        </w:r>
      </w:hyperlink>
    </w:p>
    <w:p w14:paraId="31E7CB6F" w14:textId="562F494E" w:rsidR="00724863" w:rsidRPr="00724863" w:rsidRDefault="00546F00" w:rsidP="00724863">
      <w:pPr>
        <w:rPr>
          <w:lang w:val="en-US"/>
        </w:rPr>
      </w:pPr>
      <w:r>
        <w:rPr>
          <w:lang w:val="en-US"/>
        </w:rPr>
        <w:fldChar w:fldCharType="end"/>
      </w:r>
    </w:p>
    <w:p w14:paraId="2174FE56" w14:textId="77777777" w:rsidR="0062235C" w:rsidRPr="008C1137" w:rsidRDefault="0062235C" w:rsidP="007F77EC">
      <w:pPr>
        <w:pStyle w:val="Heading1"/>
        <w:pageBreakBefore/>
      </w:pPr>
      <w:bookmarkStart w:id="1" w:name="_Toc210672545"/>
      <w:r w:rsidRPr="008C1137">
        <w:lastRenderedPageBreak/>
        <w:t>Acknowledgement of Country</w:t>
      </w:r>
      <w:bookmarkEnd w:id="1"/>
    </w:p>
    <w:p w14:paraId="204DF06D" w14:textId="77777777" w:rsidR="0062235C" w:rsidRPr="00157502" w:rsidRDefault="0062235C" w:rsidP="007F77EC">
      <w:r w:rsidRPr="008C1137">
        <w:t>The Sentencing Advisory Council acknowledges the Traditional Owners of the lands and waters on which we live and work, and we pay our respects to them, their culture and their Elders past and present.</w:t>
      </w:r>
    </w:p>
    <w:p w14:paraId="6CCF753D" w14:textId="77777777" w:rsidR="00A4454A" w:rsidRPr="008C1137" w:rsidRDefault="00A4454A" w:rsidP="007F77EC">
      <w:pPr>
        <w:pStyle w:val="Heading1"/>
      </w:pPr>
      <w:bookmarkStart w:id="2" w:name="_Toc210672546"/>
      <w:r w:rsidRPr="008C1137">
        <w:t>Contributors</w:t>
      </w:r>
      <w:bookmarkEnd w:id="2"/>
    </w:p>
    <w:p w14:paraId="6DD1995F" w14:textId="77777777" w:rsidR="00A4454A" w:rsidRPr="008C1137" w:rsidRDefault="00A4454A" w:rsidP="00123D79">
      <w:pPr>
        <w:pStyle w:val="Heading2"/>
      </w:pPr>
      <w:r w:rsidRPr="008C1137">
        <w:t>Authors</w:t>
      </w:r>
    </w:p>
    <w:p w14:paraId="1BE8BD56" w14:textId="1ACC2E72" w:rsidR="00A4454A" w:rsidRPr="008C1137" w:rsidRDefault="00A4454A" w:rsidP="00123D79">
      <w:r w:rsidRPr="008C1137">
        <w:t>Melanie Hull</w:t>
      </w:r>
      <w:r w:rsidR="00123D79" w:rsidRPr="008C1137">
        <w:t xml:space="preserve">, </w:t>
      </w:r>
      <w:r w:rsidRPr="008C1137">
        <w:t>Pallavi Waghmode</w:t>
      </w:r>
    </w:p>
    <w:p w14:paraId="4AB447BC" w14:textId="77777777" w:rsidR="00A4454A" w:rsidRPr="008C1137" w:rsidRDefault="00A4454A" w:rsidP="00123D79">
      <w:pPr>
        <w:pStyle w:val="Heading2"/>
      </w:pPr>
      <w:r w:rsidRPr="008C1137">
        <w:t>Sentencing Advisory Council</w:t>
      </w:r>
    </w:p>
    <w:p w14:paraId="0130D9AF" w14:textId="77777777" w:rsidR="00A4454A" w:rsidRPr="008C1137" w:rsidRDefault="00A4454A" w:rsidP="00123D79">
      <w:pPr>
        <w:pStyle w:val="Heading3"/>
      </w:pPr>
      <w:r w:rsidRPr="008C1137">
        <w:t>Council Directors</w:t>
      </w:r>
    </w:p>
    <w:p w14:paraId="39CC1FC0" w14:textId="6EC66E60" w:rsidR="00A4454A" w:rsidRPr="008C1137" w:rsidRDefault="00A4454A" w:rsidP="00123D79">
      <w:r w:rsidRPr="008C1137">
        <w:t>Kate Bundrock</w:t>
      </w:r>
      <w:r w:rsidR="00123D79" w:rsidRPr="008C1137">
        <w:t xml:space="preserve">, </w:t>
      </w:r>
      <w:r w:rsidRPr="008C1137">
        <w:t>Fiona Dowsley</w:t>
      </w:r>
      <w:r w:rsidR="00123D79" w:rsidRPr="008C1137">
        <w:t xml:space="preserve">, </w:t>
      </w:r>
      <w:r w:rsidRPr="008C1137">
        <w:t>David Glynn</w:t>
      </w:r>
      <w:r w:rsidR="00123D79" w:rsidRPr="008C1137">
        <w:t xml:space="preserve">, </w:t>
      </w:r>
      <w:r w:rsidRPr="008C1137">
        <w:t>Anoushka Jeronimus</w:t>
      </w:r>
      <w:r w:rsidR="00123D79" w:rsidRPr="008C1137">
        <w:t xml:space="preserve">, </w:t>
      </w:r>
      <w:r w:rsidRPr="008C1137">
        <w:t>Dr Jana Katerinskaja</w:t>
      </w:r>
      <w:r w:rsidR="00123D79" w:rsidRPr="008C1137">
        <w:t xml:space="preserve">, </w:t>
      </w:r>
      <w:r w:rsidRPr="008C1137">
        <w:t>Professor Marilyn McMahon</w:t>
      </w:r>
      <w:r w:rsidR="00123D79" w:rsidRPr="008C1137">
        <w:t xml:space="preserve">, </w:t>
      </w:r>
      <w:r w:rsidRPr="008C1137">
        <w:t>Anne O’Brien</w:t>
      </w:r>
      <w:r w:rsidR="00123D79" w:rsidRPr="008C1137">
        <w:t xml:space="preserve">, </w:t>
      </w:r>
      <w:r w:rsidRPr="008C1137">
        <w:t>Paul Smallwood</w:t>
      </w:r>
      <w:r w:rsidR="00123D79" w:rsidRPr="008C1137">
        <w:t xml:space="preserve">, </w:t>
      </w:r>
      <w:r w:rsidRPr="008C1137">
        <w:t>Wendy Steendam</w:t>
      </w:r>
      <w:r w:rsidR="00123D79" w:rsidRPr="008C1137">
        <w:t xml:space="preserve">, </w:t>
      </w:r>
      <w:r w:rsidRPr="008C1137">
        <w:t>Dr Danny Sullivan</w:t>
      </w:r>
      <w:r w:rsidR="00123D79" w:rsidRPr="008C1137">
        <w:t xml:space="preserve">, </w:t>
      </w:r>
      <w:r w:rsidRPr="008C1137">
        <w:t>Nathan Watt</w:t>
      </w:r>
      <w:r w:rsidR="00123D79" w:rsidRPr="008C1137">
        <w:t xml:space="preserve">, </w:t>
      </w:r>
      <w:r w:rsidRPr="008C1137">
        <w:t>Stan Winford</w:t>
      </w:r>
    </w:p>
    <w:p w14:paraId="66EAE429" w14:textId="77777777" w:rsidR="00A4454A" w:rsidRPr="008C1137" w:rsidRDefault="00A4454A" w:rsidP="00123D79">
      <w:pPr>
        <w:pStyle w:val="Heading2"/>
      </w:pPr>
      <w:r w:rsidRPr="008C1137">
        <w:t>Chief Executive Officer</w:t>
      </w:r>
    </w:p>
    <w:p w14:paraId="5C3FE9CF" w14:textId="77777777" w:rsidR="00A4454A" w:rsidRPr="008C1137" w:rsidRDefault="00A4454A" w:rsidP="00123D79">
      <w:r w:rsidRPr="008C1137">
        <w:t>Dr Paul McGorrery</w:t>
      </w:r>
    </w:p>
    <w:p w14:paraId="1AF9A024" w14:textId="77777777" w:rsidR="00A4454A" w:rsidRPr="008C1137" w:rsidRDefault="00A4454A" w:rsidP="00724863">
      <w:pPr>
        <w:pStyle w:val="Heading1"/>
        <w:pageBreakBefore/>
      </w:pPr>
      <w:bookmarkStart w:id="3" w:name="_Toc210672547"/>
      <w:r w:rsidRPr="008C1137">
        <w:lastRenderedPageBreak/>
        <w:t>Executive summary</w:t>
      </w:r>
      <w:bookmarkEnd w:id="3"/>
    </w:p>
    <w:p w14:paraId="758134CE" w14:textId="77777777" w:rsidR="00A4454A" w:rsidRPr="008C1137" w:rsidRDefault="00A4454A" w:rsidP="007F77EC">
      <w:r w:rsidRPr="008C1137">
        <w:t xml:space="preserve">Courts can impose a number of possible sanctions when sentencing criminal offending in Victoria. Imprisonment is the most severe sentence that courts can impose and is considered a ‘sanction of last resort’, meaning that it must only be imposed where the court is satisfied that no other penalty is appropriate in the circumstances. Imprisonment sentences are imposed when there is a need for such a severe sentence because of the facts and circumstances of the case. Imprisonment might be imposed because the seriousness of the offending requires it, it is necessary to deter the offender (or others) from similar offending, or it protects the community from the offender. Similarly, some people are held in prison facilities while awaiting trial or sentencing because: they are at risk of absconding if released, legislation requires that they be remanded, or there is an unacceptable risk that they will offend while on bail. But prisons also come at a significant economic cost, and concerns persist about the effectiveness of imprisonment in deterring criminal behaviour and reducing recidivism, as well as the often disproportionate effect of imprisonment on marginalised communities. </w:t>
      </w:r>
    </w:p>
    <w:p w14:paraId="78D3B7B9" w14:textId="77777777" w:rsidR="00A4454A" w:rsidRPr="008C1137" w:rsidRDefault="00A4454A" w:rsidP="00506179">
      <w:r w:rsidRPr="008C1137">
        <w:t>The aim of this report is to investigate changes in Victoria’s prison population in the 20 years from 1 July 2004 to 30 June 2024. This report is the Council’s fourth on Victoria’s prison population and is the first to examine long-term changes over such an extended period. A 20-year reference period has been selected because this report includes analyses of court data, and the Council has been regularly receiving court data since 2004.</w:t>
      </w:r>
    </w:p>
    <w:p w14:paraId="6D3C1BD5" w14:textId="77777777" w:rsidR="00A4454A" w:rsidRPr="008C1137" w:rsidRDefault="00A4454A" w:rsidP="0002476E">
      <w:pPr>
        <w:pStyle w:val="Heading2"/>
      </w:pPr>
      <w:r w:rsidRPr="008C1137">
        <w:t>Offences recorded by police and prison sentences imposed by courts</w:t>
      </w:r>
    </w:p>
    <w:p w14:paraId="36049C50" w14:textId="77777777" w:rsidR="00A4454A" w:rsidRPr="008C1137" w:rsidRDefault="00A4454A" w:rsidP="007F77EC">
      <w:r w:rsidRPr="008C1137">
        <w:t xml:space="preserve">In a jurisdiction, there should in theory be a correlation between the number and types of offences recorded, the types of sentences imposed, and the composition of a prison population. For instance, if there is an </w:t>
      </w:r>
      <w:r w:rsidRPr="008C1137">
        <w:lastRenderedPageBreak/>
        <w:t>increase in serious violence recorded, it would be reasonable to expect an increase in the number of prison sentences imposed and therefore an increase in the prison population. To provide context to changes in Victoria’s prison population over time, this report begins by analysing offences recorded by police, as well as prison sentences imposed by courts each year.</w:t>
      </w:r>
    </w:p>
    <w:p w14:paraId="69ED6C1F" w14:textId="77777777" w:rsidR="00A4454A" w:rsidRPr="008C1137" w:rsidRDefault="00A4454A" w:rsidP="007F77EC">
      <w:r w:rsidRPr="008C1137">
        <w:t xml:space="preserve">The number of offences recorded by police increased in the 20-year period, but the number of </w:t>
      </w:r>
      <w:r w:rsidRPr="003B3217">
        <w:rPr>
          <w:rStyle w:val="Italic"/>
        </w:rPr>
        <w:t>people</w:t>
      </w:r>
      <w:r w:rsidRPr="008C1137">
        <w:t xml:space="preserve"> committing those offences was relatively stable. Indeed, the per capita number of recorded offenders declined over time, reaching its lowest level in 20 years in 2023–24. This means that there are fewer people (as a proportion of the population) committing offences each year, but those people are committing </w:t>
      </w:r>
      <w:r w:rsidRPr="003B3217">
        <w:rPr>
          <w:rStyle w:val="Italic"/>
        </w:rPr>
        <w:t xml:space="preserve">more </w:t>
      </w:r>
      <w:r w:rsidRPr="008C1137">
        <w:t xml:space="preserve">offences. In turn, this seems to be primarily due to changes in which behaviours are criminalised, rather than a change in offending behaviour (for instance, if someone commits a theft offence while on bail, police often now record a separate offence of committing an indictable offence while on bail in addition to the theft offence). There was, though, also a change in the </w:t>
      </w:r>
      <w:r w:rsidRPr="003B3217">
        <w:rPr>
          <w:rStyle w:val="Italic"/>
        </w:rPr>
        <w:t>types</w:t>
      </w:r>
      <w:r w:rsidRPr="008C1137">
        <w:t xml:space="preserve"> of offences recorded during our reference period, with significant increases in family violence assault offences, family violence sexual assault offences, family violence stalking offences, bail offences and breach of family violence order offences.</w:t>
      </w:r>
    </w:p>
    <w:p w14:paraId="5459D0E7" w14:textId="77777777" w:rsidR="00A4454A" w:rsidRPr="008C1137" w:rsidRDefault="00A4454A" w:rsidP="007F77EC">
      <w:r w:rsidRPr="008C1137">
        <w:t xml:space="preserve">Despite relative stability in the number of people committing offences, there was marked growth in the number of prison sentences imposed, particularly between 2010–11 and 2018–19. While most prison sentences in the 20-year period were less than 6 months (61%), the prevalence of short prison sentences increased over time, accounting for most of the growth in the number of prison sentences. Likewise, the number of time served prison sentences (which are generally quite short) increased as the number of prison sentences imposed each year grew. Most prison sentences each year were imposed in cases where the principal offence was an offence against the person or a property offence. These are also </w:t>
      </w:r>
      <w:r w:rsidRPr="008C1137">
        <w:lastRenderedPageBreak/>
        <w:t xml:space="preserve">the two most common offence categories recorded by police. The most common </w:t>
      </w:r>
      <w:r w:rsidRPr="003B3217">
        <w:rPr>
          <w:rStyle w:val="Italic"/>
        </w:rPr>
        <w:t>specific</w:t>
      </w:r>
      <w:r w:rsidRPr="008C1137">
        <w:t xml:space="preserve"> principal offences to receive prison sentences were consistently burglary, unlawful assault and recklessly causing injury. These offences were, though, largely committed by male offenders, who account for the vast majority of sentenced prisoners. When female offenders were sentenced to imprisonment, it was more commonly for non-violent offending, such as theft from a shop.</w:t>
      </w:r>
    </w:p>
    <w:p w14:paraId="14B0207C" w14:textId="77777777" w:rsidR="00A4454A" w:rsidRPr="008C1137" w:rsidRDefault="00A4454A" w:rsidP="0002476E">
      <w:pPr>
        <w:pStyle w:val="Heading2"/>
      </w:pPr>
      <w:r w:rsidRPr="008C1137">
        <w:t xml:space="preserve">Changes in Victoria’s prison population </w:t>
      </w:r>
    </w:p>
    <w:p w14:paraId="43DB0479" w14:textId="77777777" w:rsidR="00A4454A" w:rsidRPr="008C1137" w:rsidRDefault="00A4454A" w:rsidP="00506179">
      <w:r w:rsidRPr="008C1137">
        <w:t xml:space="preserve">On 30 June 2024, there were 5,915 people in Victorian prisons: the majority (66%) were serving a prison sentence and the remaining 34% were on remand. Most people in prison were male (95%), the median age of prisoners was 37, and Aboriginal and Torres Strait Islander people comprised 12% of the prison population (compared to just 0.8% of the Victorian adult population). While both sentenced and unsentenced prisoners were commonly in custody for offences against the person, sentenced prisoners were usually in custody for </w:t>
      </w:r>
      <w:r w:rsidRPr="003B3217">
        <w:rPr>
          <w:rStyle w:val="Italic"/>
        </w:rPr>
        <w:t>sexual assault offences</w:t>
      </w:r>
      <w:r w:rsidRPr="008C1137">
        <w:t xml:space="preserve">, while unsentenced prisoners were most commonly in custody for alleged </w:t>
      </w:r>
      <w:r w:rsidRPr="003B3217">
        <w:rPr>
          <w:rStyle w:val="Italic"/>
        </w:rPr>
        <w:t>causing injury offences</w:t>
      </w:r>
      <w:r w:rsidRPr="008C1137">
        <w:t xml:space="preserve"> (such as minor and serious assaults). The profile of Victoria’s prison population in 2024 highlights that there were a number of changes over the preceding two decades.</w:t>
      </w:r>
    </w:p>
    <w:p w14:paraId="44475E1D" w14:textId="77777777" w:rsidR="00A4454A" w:rsidRPr="008C1137" w:rsidRDefault="00A4454A" w:rsidP="0002476E">
      <w:pPr>
        <w:pStyle w:val="Heading3"/>
      </w:pPr>
      <w:r w:rsidRPr="008C1137">
        <w:t>Growth in Victoria’s prison population</w:t>
      </w:r>
    </w:p>
    <w:p w14:paraId="00F2554E" w14:textId="77777777" w:rsidR="00A4454A" w:rsidRPr="008C1137" w:rsidRDefault="00A4454A" w:rsidP="00506179">
      <w:r w:rsidRPr="008C1137">
        <w:t xml:space="preserve">Victoria’s prison population increased by 62% between 31 July 2004 and 30 June 2024, well outpacing Victoria’s total population growth of 39%. Almost all of that increase occurred in the 7 years between 2011–12 and 2018–19 (after about 7 years of relative stability). Recently, from 2019–20 to 2023–24, there was a steady decline – seemingly propelled by the onset of COVID-19 – with the prison population reaching its lowest numbers in a decade. That four-year decline was unique to Victoria when compared to not just the rest of Australia but also similar international </w:t>
      </w:r>
      <w:r w:rsidRPr="008C1137">
        <w:lastRenderedPageBreak/>
        <w:t>jurisdictions. That trend has, however, changed significantly since 30 June 2024, with considerably more people now in custody in Victoria.</w:t>
      </w:r>
    </w:p>
    <w:p w14:paraId="6BBF51D9" w14:textId="77777777" w:rsidR="00A4454A" w:rsidRPr="008C1137" w:rsidRDefault="00A4454A" w:rsidP="0002476E">
      <w:pPr>
        <w:pStyle w:val="Heading3"/>
      </w:pPr>
      <w:r w:rsidRPr="008C1137">
        <w:t>Remand rates drive changes in Victoria’s prison population</w:t>
      </w:r>
    </w:p>
    <w:p w14:paraId="25B3DABC" w14:textId="77777777" w:rsidR="00A4454A" w:rsidRPr="008C1137" w:rsidRDefault="00A4454A" w:rsidP="007F77EC">
      <w:r w:rsidRPr="008C1137">
        <w:t xml:space="preserve">While the sentenced prisoner population increased by 29% between 30 June 2005 and 30 June 2024, the growth in the unsentenced prisoner (remand) population was much greater. On 30 June 2005, there were 649 people on remand in Victoria, and they represented 18% of the prison population. That number had increased fivefold to a peak of 3,185 people on remand on 30 June 2021, representing 44% of the prison population. That number then reduced to 1,994 people on remand by 30 June 2024 (still three times as many people on remand as in 2005). Notably, in 2023–24, 85% of people entering prison were received on remand, compared to 54% in 2004–05. </w:t>
      </w:r>
    </w:p>
    <w:p w14:paraId="7FDB28B2" w14:textId="77777777" w:rsidR="00A4454A" w:rsidRPr="008C1137" w:rsidRDefault="00A4454A" w:rsidP="0002476E">
      <w:pPr>
        <w:pStyle w:val="Heading3"/>
      </w:pPr>
      <w:r w:rsidRPr="008C1137">
        <w:t>Reduced female imprisonment rate</w:t>
      </w:r>
    </w:p>
    <w:p w14:paraId="15B54308" w14:textId="77777777" w:rsidR="00A4454A" w:rsidRPr="008C1137" w:rsidRDefault="00A4454A" w:rsidP="007F77EC">
      <w:r w:rsidRPr="008C1137">
        <w:t xml:space="preserve">The per capita imprisonment rate for men increased by 17% in the 20-year period, but for women it actually decreased by 23%, resulting in a rate lower than the rate on 30 June 2005. As at 30 June 2024, for the first time in 20 years, there was less than 1 in 10,000 women in prison in Victoria. </w:t>
      </w:r>
    </w:p>
    <w:p w14:paraId="65D941E0" w14:textId="77777777" w:rsidR="00A4454A" w:rsidRPr="008C1137" w:rsidRDefault="00A4454A" w:rsidP="0002476E">
      <w:pPr>
        <w:pStyle w:val="Heading3"/>
      </w:pPr>
      <w:r w:rsidRPr="008C1137">
        <w:t>Growing overrepresentation of Aboriginal and Torres Strait Islander people in prison</w:t>
      </w:r>
    </w:p>
    <w:p w14:paraId="5AC12283" w14:textId="77777777" w:rsidR="00A4454A" w:rsidRPr="008C1137" w:rsidRDefault="00A4454A" w:rsidP="007F77EC">
      <w:r w:rsidRPr="008C1137">
        <w:t>Contrary to all policy intentions, the imprisonment rate for Aboriginal people grew significantly between 30 June 2005 and 30 June 2024, with 1 in 60 Aboriginal Victorians in custody in 2024, compared to about 1 in 100 two decades ago. There have been some improvements in recent years (since the rate peaked in 2019), but the per capita imprisonment rate is still almost twice what it was in 2005.</w:t>
      </w:r>
    </w:p>
    <w:p w14:paraId="3E55EA42" w14:textId="77777777" w:rsidR="00A4454A" w:rsidRPr="008C1137" w:rsidRDefault="00A4454A" w:rsidP="0002476E">
      <w:pPr>
        <w:pStyle w:val="Heading3"/>
      </w:pPr>
      <w:r w:rsidRPr="008C1137">
        <w:lastRenderedPageBreak/>
        <w:t>Aging prison population</w:t>
      </w:r>
    </w:p>
    <w:p w14:paraId="0108CAAF" w14:textId="77777777" w:rsidR="00A4454A" w:rsidRPr="008C1137" w:rsidRDefault="00A4454A" w:rsidP="007F77EC">
      <w:r w:rsidRPr="008C1137">
        <w:t>Victoria’s prison population is also steadily aging, particularly in recent years, with the median age of Victorian prisoners on 30 June 2024 (37.1 years) almost identical to the median age of the general Victorian population (37.8 years). This breaks the trend of the preceding two decades, when the prison population was, on average, a few years younger than the general population. At the beginning of our reference period, for example, the median age of the general population was 36.6, almost 3 years older than the median age of the prison population (33.9).</w:t>
      </w:r>
    </w:p>
    <w:p w14:paraId="495453D8" w14:textId="6709BC86" w:rsidR="00A4454A" w:rsidRPr="008C1137" w:rsidRDefault="00A4454A" w:rsidP="00FF4E4D">
      <w:pPr>
        <w:pStyle w:val="Heading1Numbered"/>
      </w:pPr>
      <w:bookmarkStart w:id="4" w:name="_Toc210672548"/>
      <w:r w:rsidRPr="008C1137">
        <w:lastRenderedPageBreak/>
        <w:t>Introduction</w:t>
      </w:r>
      <w:bookmarkEnd w:id="4"/>
    </w:p>
    <w:p w14:paraId="43216F1E" w14:textId="77777777" w:rsidR="00A4454A" w:rsidRPr="008C1137" w:rsidRDefault="00A4454A" w:rsidP="00210207">
      <w:pPr>
        <w:pStyle w:val="Numbered"/>
      </w:pPr>
      <w:r w:rsidRPr="008C1137">
        <w:t>This report is the Council’s fourth publication on statistical trends in Victoria’s prison population. The Council’s previous reports consistently found that Victoria’s prison population had been growing at record rates since 2006.</w:t>
      </w:r>
      <w:r w:rsidRPr="008C1137">
        <w:rPr>
          <w:rStyle w:val="Superscript"/>
        </w:rPr>
        <w:footnoteReference w:id="1"/>
      </w:r>
      <w:r w:rsidRPr="008C1137">
        <w:t xml:space="preserve"> The most recent of those reports found that in the decade to 2016, the prison population had increased by 67% (significantly outpacing population growth in the same period).</w:t>
      </w:r>
      <w:r w:rsidRPr="008C1137">
        <w:rPr>
          <w:rStyle w:val="Superscript"/>
        </w:rPr>
        <w:footnoteReference w:id="2"/>
      </w:r>
      <w:r w:rsidRPr="008C1137">
        <w:t xml:space="preserve"> Most of that increase was driven by growth in the number of unsentenced prisoners held on remand, rather than growth in the number of people sentenced to imprisonment. After that 2016 report was released, Victoria’s prison population continued to increase significantly each year until 2020. But COVID-19, combined with Victoria’s response to it, especially the social isolation restrictions that were in force, seems to have then functioned as a circuit breaker, resulting in a significant drop in the number of people held in custody in Victoria. That trend, of fewer people in Victorian prisons, continued even two years after the pandemic had abated and social isolation restrictions had ended. </w:t>
      </w:r>
    </w:p>
    <w:p w14:paraId="74B0BB8B" w14:textId="77777777" w:rsidR="00A4454A" w:rsidRPr="008C1137" w:rsidRDefault="00A4454A" w:rsidP="00210207">
      <w:pPr>
        <w:pStyle w:val="Numbered"/>
      </w:pPr>
      <w:r w:rsidRPr="008C1137">
        <w:t xml:space="preserve">The aim of this report is to present long-term trends in Victoria’s prison population, in the context of the drastic changes in that population in recent decades, and understand what might be driving those trends. Notably, prison population growth over the last two decades is not unique to Victoria, or even Australia. Across the nation, states and territories have seen significant increases in prison populations, far outpacing general population growth. Even </w:t>
      </w:r>
      <w:r w:rsidRPr="008C1137">
        <w:lastRenderedPageBreak/>
        <w:t>internationally, comparable jurisdictions have seen similar trends in their prison populations.</w:t>
      </w:r>
      <w:r w:rsidRPr="008C1137">
        <w:rPr>
          <w:rStyle w:val="Superscript"/>
        </w:rPr>
        <w:footnoteReference w:id="3"/>
      </w:r>
      <w:r w:rsidRPr="008C1137">
        <w:t xml:space="preserve"> </w:t>
      </w:r>
    </w:p>
    <w:p w14:paraId="3B17C80B" w14:textId="77777777" w:rsidR="00A4454A" w:rsidRPr="008C1137" w:rsidRDefault="00A4454A" w:rsidP="00210207">
      <w:pPr>
        <w:pStyle w:val="Numbered"/>
      </w:pPr>
      <w:r w:rsidRPr="008C1137">
        <w:t>What will likely be of interest to other jurisdictions is the continued decline in Victoria’s prison population after the effects of the pandemic had abated. While most other Australian jurisdictions, and comparable international ones, observed a similar decline in the number of people in custody during the peak of COVID-19, the prison populations in those jurisdictions all quickly returned to the previous trend of continued growth. This report therefore tries to answer the question: Why, in the face of increasing prison populations across Australia and internationally, did Victoria’s prison population uniquely experience a continuing decline in the four years to 30 June 2024?</w:t>
      </w:r>
      <w:r w:rsidRPr="008C1137">
        <w:rPr>
          <w:rStyle w:val="Superscript"/>
        </w:rPr>
        <w:footnoteReference w:id="4"/>
      </w:r>
    </w:p>
    <w:p w14:paraId="1A623447" w14:textId="77777777" w:rsidR="00A4454A" w:rsidRPr="008C1137" w:rsidRDefault="00A4454A" w:rsidP="0002476E">
      <w:pPr>
        <w:pStyle w:val="Heading2"/>
      </w:pPr>
      <w:r w:rsidRPr="008C1137">
        <w:t>Recent research on imprisonment rates in Australia</w:t>
      </w:r>
    </w:p>
    <w:p w14:paraId="447C38F2" w14:textId="77777777" w:rsidR="00A4454A" w:rsidRPr="008C1137" w:rsidRDefault="00A4454A" w:rsidP="00210207">
      <w:pPr>
        <w:pStyle w:val="Numbered"/>
      </w:pPr>
      <w:r w:rsidRPr="008C1137">
        <w:t>There is a vast array of research that demonstrates the criminogenic effect of imprisonment (on both sentenced and unsentenced prisoners) and its long-term impact on the community.</w:t>
      </w:r>
      <w:r w:rsidRPr="008C1137">
        <w:rPr>
          <w:rStyle w:val="Superscript"/>
        </w:rPr>
        <w:footnoteReference w:id="5"/>
      </w:r>
      <w:r w:rsidRPr="008C1137">
        <w:t xml:space="preserve"> As the Productivity Commission highlighted in 2021: ‘increasing imprisonment rates … combined with … high rates of </w:t>
      </w:r>
      <w:r w:rsidRPr="008C1137">
        <w:lastRenderedPageBreak/>
        <w:t>churn and recidivism point to a cycle of incarceration that can be costly to address’.</w:t>
      </w:r>
      <w:r w:rsidRPr="008C1137">
        <w:rPr>
          <w:rStyle w:val="Superscript"/>
        </w:rPr>
        <w:footnoteReference w:id="6"/>
      </w:r>
      <w:r w:rsidRPr="008C1137">
        <w:t xml:space="preserve"> The growth in prison populations across Australian and international jurisdictions has been the subject of extensive research in recent decades. Most of this research has focused on examining changes in:</w:t>
      </w:r>
    </w:p>
    <w:p w14:paraId="6CA17BBF" w14:textId="77777777" w:rsidR="00A4454A" w:rsidRPr="008C1137" w:rsidRDefault="00A4454A" w:rsidP="008C1137">
      <w:pPr>
        <w:pStyle w:val="Bullets"/>
      </w:pPr>
      <w:r w:rsidRPr="008C1137">
        <w:t>offending patterns and crime rates</w:t>
      </w:r>
    </w:p>
    <w:p w14:paraId="0A153471" w14:textId="77777777" w:rsidR="00A4454A" w:rsidRPr="008C1137" w:rsidRDefault="00A4454A" w:rsidP="008C1137">
      <w:pPr>
        <w:pStyle w:val="Bullets"/>
      </w:pPr>
      <w:r w:rsidRPr="008C1137">
        <w:t>police responses to crime</w:t>
      </w:r>
    </w:p>
    <w:p w14:paraId="6A8995CF" w14:textId="77777777" w:rsidR="00A4454A" w:rsidRPr="008C1137" w:rsidRDefault="00A4454A" w:rsidP="008C1137">
      <w:pPr>
        <w:pStyle w:val="Bullets"/>
      </w:pPr>
      <w:r w:rsidRPr="008C1137">
        <w:t>the types of behaviour that constitute an offence</w:t>
      </w:r>
      <w:r w:rsidRPr="008C1137">
        <w:rPr>
          <w:rStyle w:val="Superscript"/>
        </w:rPr>
        <w:footnoteReference w:id="7"/>
      </w:r>
    </w:p>
    <w:p w14:paraId="3B452055" w14:textId="77777777" w:rsidR="00A4454A" w:rsidRPr="008C1137" w:rsidRDefault="00A4454A" w:rsidP="008C1137">
      <w:pPr>
        <w:pStyle w:val="Bullets"/>
      </w:pPr>
      <w:r w:rsidRPr="008C1137">
        <w:t>the use of bail and remand</w:t>
      </w:r>
    </w:p>
    <w:p w14:paraId="65F63990" w14:textId="77777777" w:rsidR="00A4454A" w:rsidRPr="008C1137" w:rsidRDefault="00A4454A" w:rsidP="008C1137">
      <w:pPr>
        <w:pStyle w:val="Bullets"/>
      </w:pPr>
      <w:r w:rsidRPr="008C1137">
        <w:t>sentencing policy</w:t>
      </w:r>
      <w:r w:rsidRPr="008C1137">
        <w:rPr>
          <w:rStyle w:val="Superscript"/>
        </w:rPr>
        <w:footnoteReference w:id="8"/>
      </w:r>
      <w:r w:rsidRPr="008C1137">
        <w:t xml:space="preserve"> </w:t>
      </w:r>
    </w:p>
    <w:p w14:paraId="320B3D9A" w14:textId="77777777" w:rsidR="00A4454A" w:rsidRPr="008C1137" w:rsidRDefault="00A4454A" w:rsidP="008C1137">
      <w:pPr>
        <w:pStyle w:val="Bullets"/>
      </w:pPr>
      <w:r w:rsidRPr="008C1137">
        <w:t>sentencing practices</w:t>
      </w:r>
      <w:r w:rsidRPr="008C1137">
        <w:rPr>
          <w:rStyle w:val="Superscript"/>
        </w:rPr>
        <w:footnoteReference w:id="9"/>
      </w:r>
    </w:p>
    <w:p w14:paraId="7447132F" w14:textId="77777777" w:rsidR="00A4454A" w:rsidRPr="008C1137" w:rsidRDefault="00A4454A" w:rsidP="008C1137">
      <w:pPr>
        <w:pStyle w:val="Bullets"/>
      </w:pPr>
      <w:r w:rsidRPr="008C1137">
        <w:t>the use of parole</w:t>
      </w:r>
      <w:r w:rsidRPr="008C1137">
        <w:rPr>
          <w:rStyle w:val="Superscript"/>
        </w:rPr>
        <w:footnoteReference w:id="10"/>
      </w:r>
      <w:r w:rsidRPr="008C1137">
        <w:t xml:space="preserve"> and</w:t>
      </w:r>
    </w:p>
    <w:p w14:paraId="65B7F4E6" w14:textId="77777777" w:rsidR="00A4454A" w:rsidRPr="008C1137" w:rsidRDefault="00A4454A" w:rsidP="008C1137">
      <w:pPr>
        <w:pStyle w:val="Bullets"/>
      </w:pPr>
      <w:r w:rsidRPr="008C1137">
        <w:t>prisoner receptions.</w:t>
      </w:r>
    </w:p>
    <w:p w14:paraId="5D3AFB16" w14:textId="77777777" w:rsidR="00A4454A" w:rsidRPr="008C1137" w:rsidRDefault="00A4454A" w:rsidP="00210207">
      <w:pPr>
        <w:pStyle w:val="Numbered"/>
      </w:pPr>
      <w:r w:rsidRPr="008C1137">
        <w:t>Research has explored these factors and their respective influences on the prison population, with varying findings. Some studies have suggested that changing offending patterns and police responses cause a natural increase in people in custody.</w:t>
      </w:r>
      <w:r w:rsidRPr="008C1137">
        <w:rPr>
          <w:rStyle w:val="Superscript"/>
        </w:rPr>
        <w:footnoteReference w:id="11"/>
      </w:r>
      <w:r w:rsidRPr="008C1137">
        <w:t xml:space="preserve"> Some have </w:t>
      </w:r>
      <w:r w:rsidRPr="008C1137">
        <w:lastRenderedPageBreak/>
        <w:t>associated increasing prison populations with changes to the flow of prisoners in and out of custody.</w:t>
      </w:r>
      <w:r w:rsidRPr="008C1137">
        <w:rPr>
          <w:rStyle w:val="Superscript"/>
        </w:rPr>
        <w:footnoteReference w:id="12"/>
      </w:r>
      <w:r w:rsidRPr="008C1137">
        <w:t xml:space="preserve"> Others have suggested that a changing penal climate and increasing restrictions on judicial discretion have caused the prison population to grow.</w:t>
      </w:r>
      <w:r w:rsidRPr="008C1137">
        <w:rPr>
          <w:rStyle w:val="Superscript"/>
        </w:rPr>
        <w:footnoteReference w:id="13"/>
      </w:r>
      <w:r w:rsidRPr="008C1137">
        <w:t xml:space="preserve"> </w:t>
      </w:r>
    </w:p>
    <w:p w14:paraId="3ABF6B89" w14:textId="1445D020" w:rsidR="00A4454A" w:rsidRPr="008C1137" w:rsidRDefault="00A4454A" w:rsidP="00210207">
      <w:pPr>
        <w:pStyle w:val="Numbered"/>
      </w:pPr>
      <w:r w:rsidRPr="008C1137">
        <w:t>There were significant legislative reforms to the criminal justice system in Victoria in the 20 years to 30 June 2024, including offence-specific reforms,</w:t>
      </w:r>
      <w:r w:rsidRPr="008C1137">
        <w:rPr>
          <w:rStyle w:val="Superscript"/>
        </w:rPr>
        <w:footnoteReference w:id="14"/>
      </w:r>
      <w:r w:rsidRPr="008C1137">
        <w:t xml:space="preserve"> bail reforms,</w:t>
      </w:r>
      <w:r w:rsidRPr="008C1137">
        <w:rPr>
          <w:rStyle w:val="Superscript"/>
        </w:rPr>
        <w:footnoteReference w:id="15"/>
      </w:r>
      <w:r w:rsidRPr="008C1137">
        <w:t xml:space="preserve"> sentencing reforms,</w:t>
      </w:r>
      <w:r w:rsidRPr="008C1137">
        <w:rPr>
          <w:rStyle w:val="Superscript"/>
        </w:rPr>
        <w:footnoteReference w:id="16"/>
      </w:r>
      <w:r w:rsidRPr="008C1137">
        <w:t xml:space="preserve"> </w:t>
      </w:r>
      <w:r w:rsidRPr="008C1137">
        <w:lastRenderedPageBreak/>
        <w:t>and parole and post-sentence reforms,</w:t>
      </w:r>
      <w:r w:rsidR="00281603" w:rsidRPr="00013C82">
        <w:rPr>
          <w:rStyle w:val="Superscript"/>
        </w:rPr>
        <w:footnoteReference w:id="17"/>
      </w:r>
      <w:r w:rsidRPr="008C1137">
        <w:t xml:space="preserve"> and these would have affected Victoria’s prison population.</w:t>
      </w:r>
    </w:p>
    <w:p w14:paraId="30F1BDFC" w14:textId="77777777" w:rsidR="00A4454A" w:rsidRPr="008C1137" w:rsidRDefault="00A4454A" w:rsidP="00210207">
      <w:pPr>
        <w:pStyle w:val="Numbered"/>
      </w:pPr>
      <w:r w:rsidRPr="008C1137">
        <w:t>The prison population can also be influenced by factors outside the criminal justice system, such as prevailing socioeconomic conditions</w:t>
      </w:r>
      <w:r w:rsidRPr="008C1137">
        <w:rPr>
          <w:rStyle w:val="Superscript"/>
        </w:rPr>
        <w:footnoteReference w:id="18"/>
      </w:r>
      <w:r w:rsidRPr="008C1137">
        <w:t xml:space="preserve"> (for example, increased cost-of-living pressures can drive acquisitive crime rates</w:t>
      </w:r>
      <w:r w:rsidRPr="008C1137">
        <w:rPr>
          <w:rStyle w:val="Superscript"/>
        </w:rPr>
        <w:footnoteReference w:id="19"/>
      </w:r>
      <w:r w:rsidRPr="008C1137">
        <w:t>) and other significant events (for example, COVID-19).</w:t>
      </w:r>
    </w:p>
    <w:p w14:paraId="45123933" w14:textId="77777777" w:rsidR="00A4454A" w:rsidRPr="008C1137" w:rsidRDefault="00A4454A" w:rsidP="00210207">
      <w:pPr>
        <w:pStyle w:val="Numbered"/>
      </w:pPr>
      <w:r w:rsidRPr="008C1137">
        <w:t xml:space="preserve">However, in recent years, one factor has been the subject of increasing focus: the growth in the number of unsentenced (remanded) prisoners and the causes of that growth. Several studies and enquiries have concentrated on the increasing number </w:t>
      </w:r>
      <w:r w:rsidRPr="008C1137">
        <w:lastRenderedPageBreak/>
        <w:t>of unsentenced prisoners in Victoria and the profound impact of that increase on the prison population.</w:t>
      </w:r>
      <w:r w:rsidRPr="008C1137">
        <w:rPr>
          <w:rStyle w:val="Superscript"/>
        </w:rPr>
        <w:footnoteReference w:id="20"/>
      </w:r>
      <w:r w:rsidRPr="008C1137">
        <w:t xml:space="preserve"> For example, the final report of the Inquiry into Victoria’s Criminal Justice System</w:t>
      </w:r>
      <w:r w:rsidRPr="003B3217">
        <w:rPr>
          <w:rStyle w:val="Italic"/>
        </w:rPr>
        <w:t xml:space="preserve"> </w:t>
      </w:r>
      <w:r w:rsidRPr="008C1137">
        <w:t>observed that a growing unsentenced prisoner population was a significant contributor to the 58% increase in Victoria’s prison population in the decade to 2020.</w:t>
      </w:r>
      <w:r w:rsidRPr="008C1137">
        <w:rPr>
          <w:rStyle w:val="Superscript"/>
        </w:rPr>
        <w:footnoteReference w:id="21"/>
      </w:r>
    </w:p>
    <w:p w14:paraId="67292C65" w14:textId="77777777" w:rsidR="00A4454A" w:rsidRPr="0053159E" w:rsidRDefault="00A4454A" w:rsidP="0002476E">
      <w:pPr>
        <w:pStyle w:val="Heading3"/>
        <w:rPr>
          <w:rStyle w:val="Italic"/>
        </w:rPr>
      </w:pPr>
      <w:r w:rsidRPr="0053159E">
        <w:rPr>
          <w:rStyle w:val="Italic"/>
        </w:rPr>
        <w:t xml:space="preserve">Australia’s Prison Dilemma </w:t>
      </w:r>
    </w:p>
    <w:p w14:paraId="31991AD9" w14:textId="77777777" w:rsidR="00A4454A" w:rsidRPr="008C1137" w:rsidRDefault="00A4454A" w:rsidP="00210207">
      <w:pPr>
        <w:pStyle w:val="Numbered"/>
      </w:pPr>
      <w:r w:rsidRPr="008C1137">
        <w:t xml:space="preserve">In 2021, the Productivity Commission published </w:t>
      </w:r>
      <w:r w:rsidRPr="003B3217">
        <w:rPr>
          <w:rStyle w:val="Italic"/>
        </w:rPr>
        <w:t>Australia’s Prison Dilemma</w:t>
      </w:r>
      <w:r w:rsidRPr="008C1137">
        <w:t>, a research paper examining the record growth in Australia’s prison population over the preceding decade, despite decreasing crime rates. The paper found that, as at 30 June 2020, more than 40,000 Australians were in prison, costing $5.2 billion in 2019–20 (more than $330 per prisoner per day on average).</w:t>
      </w:r>
      <w:r w:rsidRPr="008C1137">
        <w:rPr>
          <w:rStyle w:val="Superscript"/>
        </w:rPr>
        <w:footnoteReference w:id="22"/>
      </w:r>
      <w:r w:rsidRPr="008C1137">
        <w:t xml:space="preserve"> This was Australia’s highest imprisonment rate in over a century. In the period from 2008–09 to 2019–20, the ‘overall offender rate’ (total people proceeded against by police per 100,000 population) fell by 18%.</w:t>
      </w:r>
      <w:r w:rsidRPr="008C1137">
        <w:rPr>
          <w:rStyle w:val="Superscript"/>
        </w:rPr>
        <w:footnoteReference w:id="23"/>
      </w:r>
      <w:r w:rsidRPr="008C1137">
        <w:t xml:space="preserve"> The paper suggested that two primary changes underpinned the high imprisonment rate in Australia:</w:t>
      </w:r>
    </w:p>
    <w:p w14:paraId="59A7CFD8" w14:textId="77777777" w:rsidR="00A4454A" w:rsidRPr="008C1137" w:rsidRDefault="00A4454A" w:rsidP="008C1137">
      <w:pPr>
        <w:pStyle w:val="Bullets"/>
      </w:pPr>
      <w:r w:rsidRPr="008C1137">
        <w:t xml:space="preserve">changes in the nature and reporting of crime (noting a decrease in violent offences, such as robbery offences and homicide offences, and increases in sexual assault offences and drug trafficking offences) and </w:t>
      </w:r>
    </w:p>
    <w:p w14:paraId="15DD8995" w14:textId="77777777" w:rsidR="00A4454A" w:rsidRPr="008C1137" w:rsidRDefault="00A4454A" w:rsidP="008C1137">
      <w:pPr>
        <w:pStyle w:val="Bullets"/>
      </w:pPr>
      <w:r w:rsidRPr="008C1137">
        <w:lastRenderedPageBreak/>
        <w:t>changes in criminal justice policy (primarily changes to bail laws across Australia, making remand the default position for a number of offences, and mandatory or presumptive sentencing schemes requiring courts to imprison offenders for specified offences).</w:t>
      </w:r>
      <w:r w:rsidRPr="008C1137">
        <w:rPr>
          <w:rStyle w:val="Superscript"/>
        </w:rPr>
        <w:footnoteReference w:id="24"/>
      </w:r>
    </w:p>
    <w:p w14:paraId="6EF3D31F" w14:textId="77777777" w:rsidR="00A4454A" w:rsidRPr="008C1137" w:rsidRDefault="00A4454A" w:rsidP="0002476E">
      <w:pPr>
        <w:pStyle w:val="Heading2"/>
      </w:pPr>
      <w:r w:rsidRPr="008C1137">
        <w:t>Prison locations in Victoria</w:t>
      </w:r>
    </w:p>
    <w:p w14:paraId="1AF73CBB" w14:textId="33F0CA2D" w:rsidR="00A4454A" w:rsidRPr="008C1137" w:rsidRDefault="00A4454A" w:rsidP="00210207">
      <w:pPr>
        <w:pStyle w:val="Numbered"/>
      </w:pPr>
      <w:r w:rsidRPr="008C1137">
        <w:t>Adult offenders are incarcerated across numerous prisons in Victoria. As of 30 June 2024, there were 11 publicly operated prisons, three privately operated prisons and one transition centre.</w:t>
      </w:r>
      <w:r w:rsidRPr="008C1137">
        <w:rPr>
          <w:rStyle w:val="Superscript"/>
        </w:rPr>
        <w:footnoteReference w:id="25"/>
      </w:r>
      <w:r w:rsidRPr="008C1137">
        <w:t xml:space="preserve"> Each location varies in its level of security and its capacity (i.e. the number of prisoners it can house). Prison infrastructure changes regularly. Not all of these prisons have been in operation since 1 July 2004, and not all will be in operation after 30 June 2024 – Dhurringile Prison closed in August 2024 and Port Phillip Prison is set to close by the end of 2025. Figures 1 and 2 show the location, capacity and utilisation rate</w:t>
      </w:r>
      <w:r w:rsidRPr="008C1137">
        <w:rPr>
          <w:rStyle w:val="Superscript"/>
        </w:rPr>
        <w:footnoteReference w:id="26"/>
      </w:r>
      <w:r w:rsidRPr="008C1137">
        <w:t xml:space="preserve"> of each Victorian prison at the beginning of our reference period (30 June 2005) and at the end of our reference period (30 June 2024).</w:t>
      </w:r>
    </w:p>
    <w:p w14:paraId="114C6E92" w14:textId="77777777" w:rsidR="00A4454A" w:rsidRDefault="00A4454A" w:rsidP="006A45C4">
      <w:pPr>
        <w:pStyle w:val="Caption"/>
        <w:pageBreakBefore/>
      </w:pPr>
      <w:r w:rsidRPr="00157502">
        <w:lastRenderedPageBreak/>
        <w:t>Figure 1</w:t>
      </w:r>
      <w:r w:rsidRPr="008C1137">
        <w:t>: Location of adult prisons in Victoria, 30 June 2005</w:t>
      </w:r>
    </w:p>
    <w:tbl>
      <w:tblPr>
        <w:tblStyle w:val="Table"/>
        <w:tblW w:w="5000" w:type="pct"/>
        <w:tblLook w:val="04A0" w:firstRow="1" w:lastRow="0" w:firstColumn="1" w:lastColumn="0" w:noHBand="0" w:noVBand="1"/>
      </w:tblPr>
      <w:tblGrid>
        <w:gridCol w:w="2254"/>
        <w:gridCol w:w="2254"/>
        <w:gridCol w:w="2254"/>
        <w:gridCol w:w="2254"/>
      </w:tblGrid>
      <w:tr w:rsidR="00357081" w:rsidRPr="00547BB2" w14:paraId="26B1BEF6" w14:textId="77777777" w:rsidTr="00780D64">
        <w:tc>
          <w:tcPr>
            <w:tcW w:w="1250" w:type="pct"/>
          </w:tcPr>
          <w:p w14:paraId="533292D6" w14:textId="77777777" w:rsidR="00357081" w:rsidRPr="00547BB2" w:rsidRDefault="00357081" w:rsidP="00422C3D">
            <w:pPr>
              <w:pStyle w:val="TableHeading"/>
            </w:pPr>
            <w:r w:rsidRPr="00547BB2">
              <w:t>Prison</w:t>
            </w:r>
          </w:p>
        </w:tc>
        <w:tc>
          <w:tcPr>
            <w:tcW w:w="1250" w:type="pct"/>
          </w:tcPr>
          <w:p w14:paraId="5638071D" w14:textId="77777777" w:rsidR="00357081" w:rsidRPr="00547BB2" w:rsidRDefault="00357081" w:rsidP="00422C3D">
            <w:pPr>
              <w:pStyle w:val="TableHeading"/>
            </w:pPr>
            <w:r w:rsidRPr="00547BB2">
              <w:t>Security</w:t>
            </w:r>
          </w:p>
        </w:tc>
        <w:tc>
          <w:tcPr>
            <w:tcW w:w="1250" w:type="pct"/>
          </w:tcPr>
          <w:p w14:paraId="3E75C88A" w14:textId="77777777" w:rsidR="00357081" w:rsidRPr="00547BB2" w:rsidRDefault="00357081" w:rsidP="00422C3D">
            <w:pPr>
              <w:pStyle w:val="TableHeading"/>
            </w:pPr>
            <w:r w:rsidRPr="00547BB2">
              <w:t>Capacity</w:t>
            </w:r>
          </w:p>
        </w:tc>
        <w:tc>
          <w:tcPr>
            <w:tcW w:w="1250" w:type="pct"/>
          </w:tcPr>
          <w:p w14:paraId="479B2A47" w14:textId="77777777" w:rsidR="00357081" w:rsidRPr="00547BB2" w:rsidRDefault="00357081" w:rsidP="00422C3D">
            <w:pPr>
              <w:pStyle w:val="TableHeading"/>
            </w:pPr>
            <w:r w:rsidRPr="00547BB2">
              <w:t>Utilisation</w:t>
            </w:r>
          </w:p>
        </w:tc>
      </w:tr>
      <w:tr w:rsidR="00357081" w:rsidRPr="00547BB2" w14:paraId="0F28FBD4" w14:textId="77777777" w:rsidTr="00780D64">
        <w:tc>
          <w:tcPr>
            <w:tcW w:w="1250" w:type="pct"/>
          </w:tcPr>
          <w:p w14:paraId="0BF79CB1" w14:textId="77777777" w:rsidR="00357081" w:rsidRPr="00547BB2" w:rsidRDefault="00357081" w:rsidP="00422C3D">
            <w:pPr>
              <w:pStyle w:val="TableBody"/>
            </w:pPr>
            <w:r w:rsidRPr="00547BB2">
              <w:t>Barwon Prison</w:t>
            </w:r>
          </w:p>
        </w:tc>
        <w:tc>
          <w:tcPr>
            <w:tcW w:w="1250" w:type="pct"/>
          </w:tcPr>
          <w:p w14:paraId="3542E40E" w14:textId="77777777" w:rsidR="00357081" w:rsidRPr="00547BB2" w:rsidRDefault="00357081" w:rsidP="00422C3D">
            <w:pPr>
              <w:pStyle w:val="TableBody"/>
            </w:pPr>
            <w:r w:rsidRPr="00547BB2">
              <w:t>Maximum security</w:t>
            </w:r>
          </w:p>
        </w:tc>
        <w:tc>
          <w:tcPr>
            <w:tcW w:w="1250" w:type="pct"/>
          </w:tcPr>
          <w:p w14:paraId="6233B7F0" w14:textId="77777777" w:rsidR="00357081" w:rsidRPr="00547BB2" w:rsidRDefault="00357081" w:rsidP="00422C3D">
            <w:pPr>
              <w:pStyle w:val="TableBody"/>
            </w:pPr>
            <w:r w:rsidRPr="00547BB2">
              <w:t>462 prisoners</w:t>
            </w:r>
          </w:p>
        </w:tc>
        <w:tc>
          <w:tcPr>
            <w:tcW w:w="1250" w:type="pct"/>
          </w:tcPr>
          <w:p w14:paraId="75245DA2" w14:textId="77777777" w:rsidR="00357081" w:rsidRPr="00547BB2" w:rsidRDefault="00357081" w:rsidP="00422C3D">
            <w:pPr>
              <w:pStyle w:val="TableBody"/>
            </w:pPr>
            <w:r w:rsidRPr="00547BB2">
              <w:t>88.5%</w:t>
            </w:r>
          </w:p>
        </w:tc>
      </w:tr>
      <w:tr w:rsidR="00357081" w:rsidRPr="00547BB2" w14:paraId="30746EF7" w14:textId="77777777" w:rsidTr="00780D64">
        <w:tc>
          <w:tcPr>
            <w:tcW w:w="1250" w:type="pct"/>
          </w:tcPr>
          <w:p w14:paraId="32519DC0" w14:textId="77777777" w:rsidR="00357081" w:rsidRPr="00547BB2" w:rsidRDefault="00357081" w:rsidP="00422C3D">
            <w:pPr>
              <w:pStyle w:val="TableBody"/>
            </w:pPr>
            <w:r w:rsidRPr="00547BB2">
              <w:t>Beechworth Correctional Centre</w:t>
            </w:r>
          </w:p>
        </w:tc>
        <w:tc>
          <w:tcPr>
            <w:tcW w:w="1250" w:type="pct"/>
          </w:tcPr>
          <w:p w14:paraId="001DAF43" w14:textId="77777777" w:rsidR="00357081" w:rsidRPr="00547BB2" w:rsidRDefault="00357081" w:rsidP="00422C3D">
            <w:pPr>
              <w:pStyle w:val="TableBody"/>
            </w:pPr>
            <w:r w:rsidRPr="00547BB2">
              <w:t>Minimum security</w:t>
            </w:r>
          </w:p>
        </w:tc>
        <w:tc>
          <w:tcPr>
            <w:tcW w:w="1250" w:type="pct"/>
          </w:tcPr>
          <w:p w14:paraId="0DD94F05" w14:textId="77777777" w:rsidR="00357081" w:rsidRPr="00547BB2" w:rsidRDefault="00357081" w:rsidP="00422C3D">
            <w:pPr>
              <w:pStyle w:val="TableBody"/>
            </w:pPr>
            <w:r w:rsidRPr="00547BB2">
              <w:t>120 prisoners</w:t>
            </w:r>
          </w:p>
        </w:tc>
        <w:tc>
          <w:tcPr>
            <w:tcW w:w="1250" w:type="pct"/>
          </w:tcPr>
          <w:p w14:paraId="64B936B3" w14:textId="77777777" w:rsidR="00357081" w:rsidRPr="00547BB2" w:rsidRDefault="00357081" w:rsidP="00422C3D">
            <w:pPr>
              <w:pStyle w:val="TableBody"/>
            </w:pPr>
            <w:r w:rsidRPr="00547BB2">
              <w:t>95.0%</w:t>
            </w:r>
          </w:p>
        </w:tc>
      </w:tr>
      <w:tr w:rsidR="00357081" w:rsidRPr="00547BB2" w14:paraId="20FFCA7F" w14:textId="77777777" w:rsidTr="00780D64">
        <w:tc>
          <w:tcPr>
            <w:tcW w:w="1250" w:type="pct"/>
          </w:tcPr>
          <w:p w14:paraId="7DD1C208" w14:textId="77777777" w:rsidR="00357081" w:rsidRPr="00547BB2" w:rsidRDefault="00357081" w:rsidP="00422C3D">
            <w:pPr>
              <w:pStyle w:val="TableBody"/>
            </w:pPr>
            <w:r w:rsidRPr="00D355F2">
              <w:t>Bendigo Prison</w:t>
            </w:r>
          </w:p>
        </w:tc>
        <w:tc>
          <w:tcPr>
            <w:tcW w:w="1250" w:type="pct"/>
          </w:tcPr>
          <w:p w14:paraId="730DB7F8" w14:textId="77777777" w:rsidR="00357081" w:rsidRPr="00547BB2" w:rsidRDefault="00357081" w:rsidP="00422C3D">
            <w:pPr>
              <w:pStyle w:val="TableBody"/>
            </w:pPr>
            <w:r w:rsidRPr="00D355F2">
              <w:t>Medium security</w:t>
            </w:r>
          </w:p>
        </w:tc>
        <w:tc>
          <w:tcPr>
            <w:tcW w:w="1250" w:type="pct"/>
          </w:tcPr>
          <w:p w14:paraId="7057AA17" w14:textId="77777777" w:rsidR="00357081" w:rsidRPr="00547BB2" w:rsidRDefault="00357081" w:rsidP="00422C3D">
            <w:pPr>
              <w:pStyle w:val="TableBody"/>
            </w:pPr>
            <w:r w:rsidRPr="003E6052">
              <w:t>85</w:t>
            </w:r>
          </w:p>
        </w:tc>
        <w:tc>
          <w:tcPr>
            <w:tcW w:w="1250" w:type="pct"/>
          </w:tcPr>
          <w:p w14:paraId="6E251E14" w14:textId="77777777" w:rsidR="00357081" w:rsidRPr="00547BB2" w:rsidRDefault="00357081" w:rsidP="00422C3D">
            <w:pPr>
              <w:pStyle w:val="TableBody"/>
            </w:pPr>
            <w:r w:rsidRPr="003E6052">
              <w:t>98.8%</w:t>
            </w:r>
          </w:p>
        </w:tc>
      </w:tr>
      <w:tr w:rsidR="00357081" w:rsidRPr="00547BB2" w14:paraId="7D2A4625" w14:textId="77777777" w:rsidTr="00780D64">
        <w:tc>
          <w:tcPr>
            <w:tcW w:w="1250" w:type="pct"/>
          </w:tcPr>
          <w:p w14:paraId="10082CE7" w14:textId="77777777" w:rsidR="00357081" w:rsidRPr="00547BB2" w:rsidRDefault="00357081" w:rsidP="00422C3D">
            <w:pPr>
              <w:pStyle w:val="TableBody"/>
            </w:pPr>
            <w:r w:rsidRPr="00547BB2">
              <w:t>Dame Phyllis Frost Centre</w:t>
            </w:r>
          </w:p>
        </w:tc>
        <w:tc>
          <w:tcPr>
            <w:tcW w:w="1250" w:type="pct"/>
          </w:tcPr>
          <w:p w14:paraId="24AF4754" w14:textId="77777777" w:rsidR="00357081" w:rsidRPr="00547BB2" w:rsidRDefault="00357081" w:rsidP="00422C3D">
            <w:pPr>
              <w:pStyle w:val="TableBody"/>
            </w:pPr>
            <w:r w:rsidRPr="00547BB2">
              <w:t>Maximum security</w:t>
            </w:r>
          </w:p>
        </w:tc>
        <w:tc>
          <w:tcPr>
            <w:tcW w:w="1250" w:type="pct"/>
          </w:tcPr>
          <w:p w14:paraId="735017D6" w14:textId="77777777" w:rsidR="00357081" w:rsidRPr="00547BB2" w:rsidRDefault="00357081" w:rsidP="00422C3D">
            <w:pPr>
              <w:pStyle w:val="TableBody"/>
            </w:pPr>
            <w:r w:rsidRPr="00547BB2">
              <w:t>260 prisoners (female only)</w:t>
            </w:r>
          </w:p>
        </w:tc>
        <w:tc>
          <w:tcPr>
            <w:tcW w:w="1250" w:type="pct"/>
          </w:tcPr>
          <w:p w14:paraId="62AF6107" w14:textId="77777777" w:rsidR="00357081" w:rsidRPr="00547BB2" w:rsidRDefault="00357081" w:rsidP="00422C3D">
            <w:pPr>
              <w:pStyle w:val="TableBody"/>
            </w:pPr>
            <w:r w:rsidRPr="00547BB2">
              <w:t>79.2%</w:t>
            </w:r>
          </w:p>
        </w:tc>
      </w:tr>
      <w:tr w:rsidR="00357081" w:rsidRPr="00547BB2" w14:paraId="5DE893CC" w14:textId="77777777" w:rsidTr="00780D64">
        <w:tc>
          <w:tcPr>
            <w:tcW w:w="1250" w:type="pct"/>
          </w:tcPr>
          <w:p w14:paraId="59D1FC44" w14:textId="77777777" w:rsidR="00357081" w:rsidRPr="00547BB2" w:rsidRDefault="00357081" w:rsidP="00422C3D">
            <w:pPr>
              <w:pStyle w:val="TableBody"/>
            </w:pPr>
            <w:r w:rsidRPr="00547BB2">
              <w:t>Dhurringile Prison</w:t>
            </w:r>
          </w:p>
        </w:tc>
        <w:tc>
          <w:tcPr>
            <w:tcW w:w="1250" w:type="pct"/>
          </w:tcPr>
          <w:p w14:paraId="67C79C3C" w14:textId="77777777" w:rsidR="00357081" w:rsidRPr="00547BB2" w:rsidRDefault="00357081" w:rsidP="00422C3D">
            <w:pPr>
              <w:pStyle w:val="TableBody"/>
            </w:pPr>
            <w:r w:rsidRPr="00547BB2">
              <w:t>Minimum security</w:t>
            </w:r>
          </w:p>
        </w:tc>
        <w:tc>
          <w:tcPr>
            <w:tcW w:w="1250" w:type="pct"/>
          </w:tcPr>
          <w:p w14:paraId="6FC19A56" w14:textId="77777777" w:rsidR="00357081" w:rsidRPr="00547BB2" w:rsidRDefault="00357081" w:rsidP="00422C3D">
            <w:pPr>
              <w:pStyle w:val="TableBody"/>
            </w:pPr>
            <w:r w:rsidRPr="00547BB2">
              <w:t>170 prisoners</w:t>
            </w:r>
          </w:p>
        </w:tc>
        <w:tc>
          <w:tcPr>
            <w:tcW w:w="1250" w:type="pct"/>
          </w:tcPr>
          <w:p w14:paraId="714ACEB3" w14:textId="77777777" w:rsidR="00357081" w:rsidRPr="00547BB2" w:rsidRDefault="00357081" w:rsidP="00422C3D">
            <w:pPr>
              <w:pStyle w:val="TableBody"/>
            </w:pPr>
            <w:r w:rsidRPr="00547BB2">
              <w:t>91.8%</w:t>
            </w:r>
          </w:p>
        </w:tc>
      </w:tr>
      <w:tr w:rsidR="00357081" w:rsidRPr="00547BB2" w14:paraId="4F840CE7" w14:textId="77777777" w:rsidTr="00780D64">
        <w:tc>
          <w:tcPr>
            <w:tcW w:w="1250" w:type="pct"/>
          </w:tcPr>
          <w:p w14:paraId="3E7AF32B" w14:textId="77777777" w:rsidR="00357081" w:rsidRPr="00547BB2" w:rsidRDefault="00357081" w:rsidP="00422C3D">
            <w:pPr>
              <w:pStyle w:val="TableBody"/>
            </w:pPr>
            <w:r w:rsidRPr="00547BB2">
              <w:t>Fulham Correctional Centre</w:t>
            </w:r>
          </w:p>
        </w:tc>
        <w:tc>
          <w:tcPr>
            <w:tcW w:w="1250" w:type="pct"/>
          </w:tcPr>
          <w:p w14:paraId="0DCF8E58" w14:textId="77777777" w:rsidR="00357081" w:rsidRPr="00547BB2" w:rsidRDefault="00357081" w:rsidP="00422C3D">
            <w:pPr>
              <w:pStyle w:val="TableBody"/>
            </w:pPr>
            <w:r w:rsidRPr="00547BB2">
              <w:t>Maximum security</w:t>
            </w:r>
          </w:p>
        </w:tc>
        <w:tc>
          <w:tcPr>
            <w:tcW w:w="1250" w:type="pct"/>
          </w:tcPr>
          <w:p w14:paraId="6E9471A6" w14:textId="77777777" w:rsidR="00357081" w:rsidRPr="00547BB2" w:rsidRDefault="00357081" w:rsidP="00422C3D">
            <w:pPr>
              <w:pStyle w:val="TableBody"/>
            </w:pPr>
            <w:r w:rsidRPr="00547BB2">
              <w:t>845 prisoners</w:t>
            </w:r>
          </w:p>
        </w:tc>
        <w:tc>
          <w:tcPr>
            <w:tcW w:w="1250" w:type="pct"/>
          </w:tcPr>
          <w:p w14:paraId="4FD8E989" w14:textId="77777777" w:rsidR="00357081" w:rsidRPr="00547BB2" w:rsidRDefault="00357081" w:rsidP="00422C3D">
            <w:pPr>
              <w:pStyle w:val="TableBody"/>
            </w:pPr>
            <w:r w:rsidRPr="00547BB2">
              <w:t>90.3%</w:t>
            </w:r>
          </w:p>
        </w:tc>
      </w:tr>
      <w:tr w:rsidR="00357081" w:rsidRPr="00547BB2" w14:paraId="4B069791" w14:textId="77777777" w:rsidTr="00780D64">
        <w:tc>
          <w:tcPr>
            <w:tcW w:w="1250" w:type="pct"/>
          </w:tcPr>
          <w:p w14:paraId="17EFD57C" w14:textId="77777777" w:rsidR="00357081" w:rsidRPr="00547BB2" w:rsidRDefault="00357081" w:rsidP="00422C3D">
            <w:pPr>
              <w:pStyle w:val="TableBody"/>
            </w:pPr>
            <w:r w:rsidRPr="00547BB2">
              <w:t>Hopkins Correctional Centre</w:t>
            </w:r>
          </w:p>
        </w:tc>
        <w:tc>
          <w:tcPr>
            <w:tcW w:w="1250" w:type="pct"/>
          </w:tcPr>
          <w:p w14:paraId="66DDA82C" w14:textId="77777777" w:rsidR="00357081" w:rsidRPr="00547BB2" w:rsidRDefault="00357081" w:rsidP="00422C3D">
            <w:pPr>
              <w:pStyle w:val="TableBody"/>
            </w:pPr>
            <w:r w:rsidRPr="00547BB2">
              <w:t>Maximum security</w:t>
            </w:r>
          </w:p>
        </w:tc>
        <w:tc>
          <w:tcPr>
            <w:tcW w:w="1250" w:type="pct"/>
          </w:tcPr>
          <w:p w14:paraId="60898DAD" w14:textId="77777777" w:rsidR="00357081" w:rsidRPr="00547BB2" w:rsidRDefault="00357081" w:rsidP="00422C3D">
            <w:pPr>
              <w:pStyle w:val="TableBody"/>
            </w:pPr>
            <w:r w:rsidRPr="00547BB2">
              <w:t>397 prisoners</w:t>
            </w:r>
          </w:p>
        </w:tc>
        <w:tc>
          <w:tcPr>
            <w:tcW w:w="1250" w:type="pct"/>
          </w:tcPr>
          <w:p w14:paraId="180D230E" w14:textId="77777777" w:rsidR="00357081" w:rsidRPr="00547BB2" w:rsidRDefault="00357081" w:rsidP="00422C3D">
            <w:pPr>
              <w:pStyle w:val="TableBody"/>
            </w:pPr>
            <w:r w:rsidRPr="00547BB2">
              <w:t>100.0%</w:t>
            </w:r>
          </w:p>
        </w:tc>
      </w:tr>
      <w:tr w:rsidR="00357081" w:rsidRPr="00547BB2" w14:paraId="19894957" w14:textId="77777777" w:rsidTr="00780D64">
        <w:tc>
          <w:tcPr>
            <w:tcW w:w="1250" w:type="pct"/>
          </w:tcPr>
          <w:p w14:paraId="56F17A74" w14:textId="77777777" w:rsidR="00357081" w:rsidRPr="00547BB2" w:rsidRDefault="00357081" w:rsidP="00422C3D">
            <w:pPr>
              <w:pStyle w:val="TableBody"/>
            </w:pPr>
            <w:r w:rsidRPr="00547BB2">
              <w:t>Langi Kal Kal Prison</w:t>
            </w:r>
          </w:p>
        </w:tc>
        <w:tc>
          <w:tcPr>
            <w:tcW w:w="1250" w:type="pct"/>
          </w:tcPr>
          <w:p w14:paraId="08F399BF" w14:textId="77777777" w:rsidR="00357081" w:rsidRPr="00547BB2" w:rsidRDefault="00357081" w:rsidP="00422C3D">
            <w:pPr>
              <w:pStyle w:val="TableBody"/>
            </w:pPr>
            <w:r w:rsidRPr="00547BB2">
              <w:t>Minimum security</w:t>
            </w:r>
          </w:p>
        </w:tc>
        <w:tc>
          <w:tcPr>
            <w:tcW w:w="1250" w:type="pct"/>
          </w:tcPr>
          <w:p w14:paraId="045DF38E" w14:textId="77777777" w:rsidR="00357081" w:rsidRPr="00547BB2" w:rsidRDefault="00357081" w:rsidP="00422C3D">
            <w:pPr>
              <w:pStyle w:val="TableBody"/>
            </w:pPr>
            <w:r w:rsidRPr="00547BB2">
              <w:t>110 prisoners</w:t>
            </w:r>
          </w:p>
        </w:tc>
        <w:tc>
          <w:tcPr>
            <w:tcW w:w="1250" w:type="pct"/>
          </w:tcPr>
          <w:p w14:paraId="235546C9" w14:textId="77777777" w:rsidR="00357081" w:rsidRPr="00547BB2" w:rsidRDefault="00357081" w:rsidP="00422C3D">
            <w:pPr>
              <w:pStyle w:val="TableBody"/>
            </w:pPr>
            <w:r w:rsidRPr="00547BB2">
              <w:t>100.0%</w:t>
            </w:r>
          </w:p>
        </w:tc>
      </w:tr>
      <w:tr w:rsidR="00357081" w:rsidRPr="00547BB2" w14:paraId="413EC58A" w14:textId="77777777" w:rsidTr="00780D64">
        <w:tc>
          <w:tcPr>
            <w:tcW w:w="1250" w:type="pct"/>
          </w:tcPr>
          <w:p w14:paraId="42CF4A8C" w14:textId="77777777" w:rsidR="00357081" w:rsidRPr="00547BB2" w:rsidRDefault="00357081" w:rsidP="00422C3D">
            <w:pPr>
              <w:pStyle w:val="TableBody"/>
            </w:pPr>
            <w:r w:rsidRPr="00547BB2">
              <w:t>Loddon Prison Precinct</w:t>
            </w:r>
          </w:p>
        </w:tc>
        <w:tc>
          <w:tcPr>
            <w:tcW w:w="1250" w:type="pct"/>
          </w:tcPr>
          <w:p w14:paraId="256BC2B0" w14:textId="77777777" w:rsidR="00357081" w:rsidRPr="00547BB2" w:rsidRDefault="00357081" w:rsidP="00422C3D">
            <w:pPr>
              <w:pStyle w:val="TableBody"/>
            </w:pPr>
            <w:r w:rsidRPr="00547BB2">
              <w:t>Medium security</w:t>
            </w:r>
          </w:p>
        </w:tc>
        <w:tc>
          <w:tcPr>
            <w:tcW w:w="1250" w:type="pct"/>
          </w:tcPr>
          <w:p w14:paraId="3218AE02" w14:textId="77777777" w:rsidR="00357081" w:rsidRPr="00547BB2" w:rsidRDefault="00357081" w:rsidP="00422C3D">
            <w:pPr>
              <w:pStyle w:val="TableBody"/>
            </w:pPr>
            <w:r w:rsidRPr="00547BB2">
              <w:t>399 prisoners</w:t>
            </w:r>
          </w:p>
        </w:tc>
        <w:tc>
          <w:tcPr>
            <w:tcW w:w="1250" w:type="pct"/>
          </w:tcPr>
          <w:p w14:paraId="77D854EB" w14:textId="77777777" w:rsidR="00357081" w:rsidRPr="00547BB2" w:rsidRDefault="00357081" w:rsidP="00422C3D">
            <w:pPr>
              <w:pStyle w:val="TableBody"/>
            </w:pPr>
            <w:r w:rsidRPr="00547BB2">
              <w:t>98.0%</w:t>
            </w:r>
          </w:p>
        </w:tc>
      </w:tr>
      <w:tr w:rsidR="00357081" w:rsidRPr="00547BB2" w14:paraId="443D3286" w14:textId="77777777" w:rsidTr="00780D64">
        <w:tc>
          <w:tcPr>
            <w:tcW w:w="1250" w:type="pct"/>
          </w:tcPr>
          <w:p w14:paraId="202D16E0" w14:textId="77777777" w:rsidR="00357081" w:rsidRPr="00547BB2" w:rsidRDefault="00357081" w:rsidP="00422C3D">
            <w:pPr>
              <w:pStyle w:val="TableBody"/>
            </w:pPr>
            <w:r w:rsidRPr="00547BB2">
              <w:t>Melbourne Assessment Prison</w:t>
            </w:r>
          </w:p>
        </w:tc>
        <w:tc>
          <w:tcPr>
            <w:tcW w:w="1250" w:type="pct"/>
          </w:tcPr>
          <w:p w14:paraId="7CD35DBF" w14:textId="77777777" w:rsidR="00357081" w:rsidRPr="00547BB2" w:rsidRDefault="00357081" w:rsidP="00422C3D">
            <w:pPr>
              <w:pStyle w:val="TableBody"/>
            </w:pPr>
            <w:r w:rsidRPr="00547BB2">
              <w:t>Maximum security</w:t>
            </w:r>
          </w:p>
        </w:tc>
        <w:tc>
          <w:tcPr>
            <w:tcW w:w="1250" w:type="pct"/>
          </w:tcPr>
          <w:p w14:paraId="53C06870" w14:textId="77777777" w:rsidR="00357081" w:rsidRPr="00547BB2" w:rsidRDefault="00357081" w:rsidP="00422C3D">
            <w:pPr>
              <w:pStyle w:val="TableBody"/>
            </w:pPr>
            <w:r w:rsidRPr="00547BB2">
              <w:t>280 prisoners</w:t>
            </w:r>
          </w:p>
        </w:tc>
        <w:tc>
          <w:tcPr>
            <w:tcW w:w="1250" w:type="pct"/>
          </w:tcPr>
          <w:p w14:paraId="17737ADD" w14:textId="77777777" w:rsidR="00357081" w:rsidRPr="00547BB2" w:rsidRDefault="00357081" w:rsidP="00422C3D">
            <w:pPr>
              <w:pStyle w:val="TableBody"/>
            </w:pPr>
            <w:r w:rsidRPr="00547BB2">
              <w:t>94.6%</w:t>
            </w:r>
          </w:p>
        </w:tc>
      </w:tr>
      <w:tr w:rsidR="00357081" w:rsidRPr="00547BB2" w14:paraId="550194E2" w14:textId="77777777" w:rsidTr="00780D64">
        <w:tc>
          <w:tcPr>
            <w:tcW w:w="1250" w:type="pct"/>
          </w:tcPr>
          <w:p w14:paraId="7AC80808" w14:textId="77777777" w:rsidR="00357081" w:rsidRPr="00547BB2" w:rsidRDefault="00357081" w:rsidP="00422C3D">
            <w:pPr>
              <w:pStyle w:val="TableBody"/>
            </w:pPr>
            <w:r w:rsidRPr="00547BB2">
              <w:t>Port Phillip Prison</w:t>
            </w:r>
          </w:p>
        </w:tc>
        <w:tc>
          <w:tcPr>
            <w:tcW w:w="1250" w:type="pct"/>
          </w:tcPr>
          <w:p w14:paraId="66E91470" w14:textId="77777777" w:rsidR="00357081" w:rsidRPr="00547BB2" w:rsidRDefault="00357081" w:rsidP="00422C3D">
            <w:pPr>
              <w:pStyle w:val="TableBody"/>
            </w:pPr>
            <w:r w:rsidRPr="00547BB2">
              <w:t>Maximum security</w:t>
            </w:r>
          </w:p>
        </w:tc>
        <w:tc>
          <w:tcPr>
            <w:tcW w:w="1250" w:type="pct"/>
          </w:tcPr>
          <w:p w14:paraId="16C1FE82" w14:textId="77777777" w:rsidR="00357081" w:rsidRPr="00547BB2" w:rsidRDefault="00357081" w:rsidP="00422C3D">
            <w:pPr>
              <w:pStyle w:val="TableBody"/>
            </w:pPr>
            <w:r w:rsidRPr="00547BB2">
              <w:t>744 prisoners</w:t>
            </w:r>
          </w:p>
        </w:tc>
        <w:tc>
          <w:tcPr>
            <w:tcW w:w="1250" w:type="pct"/>
          </w:tcPr>
          <w:p w14:paraId="2B4D7155" w14:textId="0148B97D" w:rsidR="00357081" w:rsidRPr="00547BB2" w:rsidRDefault="0059268A" w:rsidP="00422C3D">
            <w:pPr>
              <w:pStyle w:val="TableBody"/>
            </w:pPr>
            <w:r>
              <w:t>1</w:t>
            </w:r>
            <w:r w:rsidR="00357081" w:rsidRPr="00547BB2">
              <w:t>00.5%</w:t>
            </w:r>
          </w:p>
        </w:tc>
      </w:tr>
      <w:tr w:rsidR="00357081" w:rsidRPr="00547BB2" w14:paraId="4413E6E0" w14:textId="77777777" w:rsidTr="00780D64">
        <w:tc>
          <w:tcPr>
            <w:tcW w:w="1250" w:type="pct"/>
          </w:tcPr>
          <w:p w14:paraId="38B9751F" w14:textId="77777777" w:rsidR="00357081" w:rsidRPr="00547BB2" w:rsidRDefault="00357081" w:rsidP="00422C3D">
            <w:pPr>
              <w:pStyle w:val="TableBody"/>
            </w:pPr>
            <w:r w:rsidRPr="00547BB2">
              <w:t>Tarrengower Prison</w:t>
            </w:r>
          </w:p>
        </w:tc>
        <w:tc>
          <w:tcPr>
            <w:tcW w:w="1250" w:type="pct"/>
          </w:tcPr>
          <w:p w14:paraId="3DCF09FE" w14:textId="77777777" w:rsidR="00357081" w:rsidRPr="00547BB2" w:rsidRDefault="00357081" w:rsidP="00422C3D">
            <w:pPr>
              <w:pStyle w:val="TableBody"/>
            </w:pPr>
            <w:r w:rsidRPr="00547BB2">
              <w:t>Minimum security</w:t>
            </w:r>
          </w:p>
        </w:tc>
        <w:tc>
          <w:tcPr>
            <w:tcW w:w="1250" w:type="pct"/>
          </w:tcPr>
          <w:p w14:paraId="4ABF260C" w14:textId="77777777" w:rsidR="00357081" w:rsidRPr="00547BB2" w:rsidRDefault="00357081" w:rsidP="00422C3D">
            <w:pPr>
              <w:pStyle w:val="TableBody"/>
            </w:pPr>
            <w:r w:rsidRPr="00547BB2">
              <w:t>54 prisoners (female only)</w:t>
            </w:r>
          </w:p>
        </w:tc>
        <w:tc>
          <w:tcPr>
            <w:tcW w:w="1250" w:type="pct"/>
          </w:tcPr>
          <w:p w14:paraId="22236CDC" w14:textId="77777777" w:rsidR="00357081" w:rsidRPr="00547BB2" w:rsidRDefault="00357081" w:rsidP="00422C3D">
            <w:pPr>
              <w:pStyle w:val="TableBody"/>
            </w:pPr>
            <w:r w:rsidRPr="00547BB2">
              <w:t>90.7%</w:t>
            </w:r>
          </w:p>
        </w:tc>
      </w:tr>
    </w:tbl>
    <w:p w14:paraId="4C964A0B" w14:textId="21CC9FAC" w:rsidR="00022270" w:rsidRPr="00673866" w:rsidRDefault="00673866" w:rsidP="00673866">
      <w:pPr>
        <w:pStyle w:val="Caption"/>
      </w:pPr>
      <w:r w:rsidRPr="00673866">
        <w:t>Figure 2: Location of adult prisons in Victoria, 30 June 2024</w:t>
      </w:r>
    </w:p>
    <w:tbl>
      <w:tblPr>
        <w:tblStyle w:val="Table"/>
        <w:tblW w:w="5000" w:type="pct"/>
        <w:tblLook w:val="04A0" w:firstRow="1" w:lastRow="0" w:firstColumn="1" w:lastColumn="0" w:noHBand="0" w:noVBand="1"/>
      </w:tblPr>
      <w:tblGrid>
        <w:gridCol w:w="2205"/>
        <w:gridCol w:w="2175"/>
        <w:gridCol w:w="2198"/>
        <w:gridCol w:w="2438"/>
      </w:tblGrid>
      <w:tr w:rsidR="00357081" w:rsidRPr="00D245EB" w14:paraId="7886C07A" w14:textId="77777777" w:rsidTr="00780D64">
        <w:tc>
          <w:tcPr>
            <w:tcW w:w="1223" w:type="pct"/>
          </w:tcPr>
          <w:p w14:paraId="311C6C29" w14:textId="77777777" w:rsidR="00357081" w:rsidRPr="00D245EB" w:rsidRDefault="00357081" w:rsidP="002506E1">
            <w:pPr>
              <w:pStyle w:val="TableHeading"/>
            </w:pPr>
            <w:r w:rsidRPr="00D245EB">
              <w:t>Prison</w:t>
            </w:r>
          </w:p>
        </w:tc>
        <w:tc>
          <w:tcPr>
            <w:tcW w:w="1206" w:type="pct"/>
          </w:tcPr>
          <w:p w14:paraId="2A6E405B" w14:textId="77777777" w:rsidR="00357081" w:rsidRPr="00D245EB" w:rsidRDefault="00357081" w:rsidP="002506E1">
            <w:pPr>
              <w:pStyle w:val="TableHeading"/>
            </w:pPr>
            <w:r w:rsidRPr="00D245EB">
              <w:t>Security</w:t>
            </w:r>
          </w:p>
        </w:tc>
        <w:tc>
          <w:tcPr>
            <w:tcW w:w="1219" w:type="pct"/>
          </w:tcPr>
          <w:p w14:paraId="62A7A644" w14:textId="77777777" w:rsidR="00357081" w:rsidRPr="00D245EB" w:rsidRDefault="00357081" w:rsidP="002506E1">
            <w:pPr>
              <w:pStyle w:val="TableHeading"/>
            </w:pPr>
            <w:r w:rsidRPr="00D245EB">
              <w:t>Utilisation</w:t>
            </w:r>
          </w:p>
        </w:tc>
        <w:tc>
          <w:tcPr>
            <w:tcW w:w="1352" w:type="pct"/>
          </w:tcPr>
          <w:p w14:paraId="54A27C48" w14:textId="77777777" w:rsidR="00357081" w:rsidRPr="00D245EB" w:rsidRDefault="00357081" w:rsidP="002506E1">
            <w:pPr>
              <w:pStyle w:val="TableHeading"/>
            </w:pPr>
            <w:r w:rsidRPr="00D245EB">
              <w:t>Capacity</w:t>
            </w:r>
          </w:p>
        </w:tc>
      </w:tr>
      <w:tr w:rsidR="00357081" w:rsidRPr="00D245EB" w14:paraId="781E07A4" w14:textId="77777777" w:rsidTr="00780D64">
        <w:tc>
          <w:tcPr>
            <w:tcW w:w="1223" w:type="pct"/>
          </w:tcPr>
          <w:p w14:paraId="6492FEDB" w14:textId="77777777" w:rsidR="00357081" w:rsidRPr="00D245EB" w:rsidRDefault="00357081" w:rsidP="002506E1">
            <w:pPr>
              <w:pStyle w:val="TableBody"/>
            </w:pPr>
            <w:r w:rsidRPr="00D245EB">
              <w:t>Barwon Prison</w:t>
            </w:r>
          </w:p>
        </w:tc>
        <w:tc>
          <w:tcPr>
            <w:tcW w:w="1206" w:type="pct"/>
          </w:tcPr>
          <w:p w14:paraId="7647FF2E" w14:textId="77777777" w:rsidR="00357081" w:rsidRPr="00D245EB" w:rsidRDefault="00357081" w:rsidP="002506E1">
            <w:pPr>
              <w:pStyle w:val="TableBody"/>
            </w:pPr>
            <w:r w:rsidRPr="00D245EB">
              <w:t>Maximum security%</w:t>
            </w:r>
          </w:p>
        </w:tc>
        <w:tc>
          <w:tcPr>
            <w:tcW w:w="1219" w:type="pct"/>
          </w:tcPr>
          <w:p w14:paraId="43158FEE" w14:textId="77777777" w:rsidR="00357081" w:rsidRPr="00D245EB" w:rsidRDefault="00357081" w:rsidP="002506E1">
            <w:pPr>
              <w:pStyle w:val="TableBody"/>
            </w:pPr>
            <w:r w:rsidRPr="00D245EB">
              <w:t>428 prisoners</w:t>
            </w:r>
          </w:p>
        </w:tc>
        <w:tc>
          <w:tcPr>
            <w:tcW w:w="1352" w:type="pct"/>
          </w:tcPr>
          <w:p w14:paraId="2D3F7FFE" w14:textId="77777777" w:rsidR="00357081" w:rsidRPr="00D245EB" w:rsidRDefault="00357081" w:rsidP="002506E1">
            <w:pPr>
              <w:pStyle w:val="TableBody"/>
            </w:pPr>
            <w:r w:rsidRPr="00D245EB">
              <w:t>66.4%</w:t>
            </w:r>
          </w:p>
        </w:tc>
      </w:tr>
      <w:tr w:rsidR="00357081" w:rsidRPr="00D245EB" w14:paraId="47A8A0E2" w14:textId="77777777" w:rsidTr="00780D64">
        <w:tc>
          <w:tcPr>
            <w:tcW w:w="1223" w:type="pct"/>
          </w:tcPr>
          <w:p w14:paraId="33180CA6" w14:textId="77777777" w:rsidR="00357081" w:rsidRPr="00D245EB" w:rsidRDefault="00357081" w:rsidP="002506E1">
            <w:pPr>
              <w:pStyle w:val="TableBody"/>
            </w:pPr>
            <w:r w:rsidRPr="00D245EB">
              <w:t>Beechworth Correctional Centre</w:t>
            </w:r>
          </w:p>
        </w:tc>
        <w:tc>
          <w:tcPr>
            <w:tcW w:w="1206" w:type="pct"/>
          </w:tcPr>
          <w:p w14:paraId="3CAA0FB3" w14:textId="77777777" w:rsidR="00357081" w:rsidRPr="00D245EB" w:rsidRDefault="00357081" w:rsidP="002506E1">
            <w:pPr>
              <w:pStyle w:val="TableBody"/>
            </w:pPr>
            <w:r w:rsidRPr="00D245EB">
              <w:t>Minimum security%</w:t>
            </w:r>
          </w:p>
        </w:tc>
        <w:tc>
          <w:tcPr>
            <w:tcW w:w="1219" w:type="pct"/>
          </w:tcPr>
          <w:p w14:paraId="6329263C" w14:textId="77777777" w:rsidR="00357081" w:rsidRPr="00D245EB" w:rsidRDefault="00357081" w:rsidP="002506E1">
            <w:pPr>
              <w:pStyle w:val="TableBody"/>
            </w:pPr>
            <w:r w:rsidRPr="00D245EB">
              <w:t>210 prisoners</w:t>
            </w:r>
          </w:p>
        </w:tc>
        <w:tc>
          <w:tcPr>
            <w:tcW w:w="1352" w:type="pct"/>
          </w:tcPr>
          <w:p w14:paraId="3CACAE54" w14:textId="77777777" w:rsidR="00357081" w:rsidRPr="00D245EB" w:rsidRDefault="00357081" w:rsidP="002506E1">
            <w:pPr>
              <w:pStyle w:val="TableBody"/>
            </w:pPr>
            <w:r w:rsidRPr="00D245EB">
              <w:t>56.2%</w:t>
            </w:r>
          </w:p>
        </w:tc>
      </w:tr>
      <w:tr w:rsidR="00357081" w:rsidRPr="00D245EB" w14:paraId="1659B73C" w14:textId="77777777" w:rsidTr="00780D64">
        <w:tc>
          <w:tcPr>
            <w:tcW w:w="1223" w:type="pct"/>
          </w:tcPr>
          <w:p w14:paraId="2B30EC2C" w14:textId="77777777" w:rsidR="00357081" w:rsidRPr="00D245EB" w:rsidRDefault="00357081" w:rsidP="002506E1">
            <w:pPr>
              <w:pStyle w:val="TableBody"/>
            </w:pPr>
            <w:r w:rsidRPr="00D245EB">
              <w:t>Dame Phyllis Frost Centre</w:t>
            </w:r>
          </w:p>
        </w:tc>
        <w:tc>
          <w:tcPr>
            <w:tcW w:w="1206" w:type="pct"/>
          </w:tcPr>
          <w:p w14:paraId="0EE1274F" w14:textId="77777777" w:rsidR="00357081" w:rsidRPr="00D245EB" w:rsidRDefault="00357081" w:rsidP="002506E1">
            <w:pPr>
              <w:pStyle w:val="TableBody"/>
            </w:pPr>
            <w:r w:rsidRPr="00D245EB">
              <w:t>Maximum security%</w:t>
            </w:r>
          </w:p>
        </w:tc>
        <w:tc>
          <w:tcPr>
            <w:tcW w:w="1219" w:type="pct"/>
          </w:tcPr>
          <w:p w14:paraId="6EADB493" w14:textId="77777777" w:rsidR="00357081" w:rsidRPr="00D245EB" w:rsidRDefault="00357081" w:rsidP="002506E1">
            <w:pPr>
              <w:pStyle w:val="TableBody"/>
            </w:pPr>
            <w:r w:rsidRPr="00D245EB">
              <w:t>568 prisoners (female only)</w:t>
            </w:r>
          </w:p>
        </w:tc>
        <w:tc>
          <w:tcPr>
            <w:tcW w:w="1352" w:type="pct"/>
          </w:tcPr>
          <w:p w14:paraId="18F5520F" w14:textId="77777777" w:rsidR="00357081" w:rsidRPr="00D245EB" w:rsidRDefault="00357081" w:rsidP="002506E1">
            <w:pPr>
              <w:pStyle w:val="TableBody"/>
            </w:pPr>
            <w:r w:rsidRPr="00D245EB">
              <w:t>41.7%</w:t>
            </w:r>
          </w:p>
        </w:tc>
      </w:tr>
      <w:tr w:rsidR="00357081" w:rsidRPr="00D245EB" w14:paraId="0CE80B87" w14:textId="77777777" w:rsidTr="00780D64">
        <w:tc>
          <w:tcPr>
            <w:tcW w:w="1223" w:type="pct"/>
          </w:tcPr>
          <w:p w14:paraId="0AD72B9A" w14:textId="77777777" w:rsidR="00357081" w:rsidRPr="00D245EB" w:rsidRDefault="00357081" w:rsidP="002506E1">
            <w:pPr>
              <w:pStyle w:val="TableBody"/>
            </w:pPr>
            <w:r w:rsidRPr="00D245EB">
              <w:t>Dhurringile Prison</w:t>
            </w:r>
          </w:p>
        </w:tc>
        <w:tc>
          <w:tcPr>
            <w:tcW w:w="1206" w:type="pct"/>
          </w:tcPr>
          <w:p w14:paraId="7BB06C43" w14:textId="77777777" w:rsidR="00357081" w:rsidRPr="00D245EB" w:rsidRDefault="00357081" w:rsidP="002506E1">
            <w:pPr>
              <w:pStyle w:val="TableBody"/>
            </w:pPr>
            <w:r w:rsidRPr="00D245EB">
              <w:t>Minimum security%</w:t>
            </w:r>
          </w:p>
        </w:tc>
        <w:tc>
          <w:tcPr>
            <w:tcW w:w="1219" w:type="pct"/>
          </w:tcPr>
          <w:p w14:paraId="3A3644D2" w14:textId="77777777" w:rsidR="00357081" w:rsidRPr="00D245EB" w:rsidRDefault="00357081" w:rsidP="002506E1">
            <w:pPr>
              <w:pStyle w:val="TableBody"/>
            </w:pPr>
            <w:r w:rsidRPr="00D245EB">
              <w:t>328 prisoners</w:t>
            </w:r>
          </w:p>
        </w:tc>
        <w:tc>
          <w:tcPr>
            <w:tcW w:w="1352" w:type="pct"/>
          </w:tcPr>
          <w:p w14:paraId="4EFAF724" w14:textId="77777777" w:rsidR="00357081" w:rsidRPr="00D245EB" w:rsidRDefault="00357081" w:rsidP="002506E1">
            <w:pPr>
              <w:pStyle w:val="TableBody"/>
            </w:pPr>
            <w:r w:rsidRPr="00D245EB">
              <w:t>45.1%</w:t>
            </w:r>
          </w:p>
        </w:tc>
      </w:tr>
      <w:tr w:rsidR="00357081" w:rsidRPr="00D245EB" w14:paraId="2A405294" w14:textId="77777777" w:rsidTr="00780D64">
        <w:tc>
          <w:tcPr>
            <w:tcW w:w="1223" w:type="pct"/>
          </w:tcPr>
          <w:p w14:paraId="3D0EFFA7" w14:textId="77777777" w:rsidR="00357081" w:rsidRPr="00D245EB" w:rsidRDefault="00357081" w:rsidP="002506E1">
            <w:pPr>
              <w:pStyle w:val="TableBody"/>
            </w:pPr>
            <w:r w:rsidRPr="00D245EB">
              <w:t>Fulham Correctional Centre</w:t>
            </w:r>
          </w:p>
        </w:tc>
        <w:tc>
          <w:tcPr>
            <w:tcW w:w="1206" w:type="pct"/>
          </w:tcPr>
          <w:p w14:paraId="037279B2" w14:textId="77777777" w:rsidR="00357081" w:rsidRPr="00D245EB" w:rsidRDefault="00357081" w:rsidP="002506E1">
            <w:pPr>
              <w:pStyle w:val="TableBody"/>
            </w:pPr>
            <w:r w:rsidRPr="00D245EB">
              <w:t>Maximum security%</w:t>
            </w:r>
          </w:p>
        </w:tc>
        <w:tc>
          <w:tcPr>
            <w:tcW w:w="1219" w:type="pct"/>
          </w:tcPr>
          <w:p w14:paraId="59B354D7" w14:textId="77777777" w:rsidR="00357081" w:rsidRPr="00D245EB" w:rsidRDefault="00357081" w:rsidP="002506E1">
            <w:pPr>
              <w:pStyle w:val="TableBody"/>
            </w:pPr>
            <w:r w:rsidRPr="00D245EB">
              <w:t>893 prisoners</w:t>
            </w:r>
          </w:p>
        </w:tc>
        <w:tc>
          <w:tcPr>
            <w:tcW w:w="1352" w:type="pct"/>
          </w:tcPr>
          <w:p w14:paraId="4FCA9844" w14:textId="77777777" w:rsidR="00357081" w:rsidRPr="00D245EB" w:rsidRDefault="00357081" w:rsidP="002506E1">
            <w:pPr>
              <w:pStyle w:val="TableBody"/>
            </w:pPr>
            <w:r w:rsidRPr="00D245EB">
              <w:t>64.1%</w:t>
            </w:r>
          </w:p>
        </w:tc>
      </w:tr>
      <w:tr w:rsidR="00357081" w:rsidRPr="00D245EB" w14:paraId="38683DD3" w14:textId="77777777" w:rsidTr="00780D64">
        <w:tc>
          <w:tcPr>
            <w:tcW w:w="1223" w:type="pct"/>
          </w:tcPr>
          <w:p w14:paraId="00ACC47F" w14:textId="77777777" w:rsidR="00357081" w:rsidRPr="00D245EB" w:rsidRDefault="00357081" w:rsidP="002506E1">
            <w:pPr>
              <w:pStyle w:val="TableBody"/>
            </w:pPr>
            <w:r w:rsidRPr="00D245EB">
              <w:t>Hopkins Correctional Centre</w:t>
            </w:r>
          </w:p>
        </w:tc>
        <w:tc>
          <w:tcPr>
            <w:tcW w:w="1206" w:type="pct"/>
          </w:tcPr>
          <w:p w14:paraId="7EFAEF9C" w14:textId="77777777" w:rsidR="00357081" w:rsidRPr="00D245EB" w:rsidRDefault="00357081" w:rsidP="002506E1">
            <w:pPr>
              <w:pStyle w:val="TableBody"/>
            </w:pPr>
            <w:r w:rsidRPr="00D245EB">
              <w:t>Maximum security%</w:t>
            </w:r>
          </w:p>
        </w:tc>
        <w:tc>
          <w:tcPr>
            <w:tcW w:w="1219" w:type="pct"/>
          </w:tcPr>
          <w:p w14:paraId="7BC72BB4" w14:textId="77777777" w:rsidR="00357081" w:rsidRPr="00D245EB" w:rsidRDefault="00357081" w:rsidP="002506E1">
            <w:pPr>
              <w:pStyle w:val="TableBody"/>
            </w:pPr>
            <w:r w:rsidRPr="00D245EB">
              <w:t>738 prisoners</w:t>
            </w:r>
          </w:p>
        </w:tc>
        <w:tc>
          <w:tcPr>
            <w:tcW w:w="1352" w:type="pct"/>
          </w:tcPr>
          <w:p w14:paraId="22E4A3AF" w14:textId="77777777" w:rsidR="00357081" w:rsidRPr="00D245EB" w:rsidRDefault="00357081" w:rsidP="002506E1">
            <w:pPr>
              <w:pStyle w:val="TableBody"/>
            </w:pPr>
            <w:r w:rsidRPr="00D245EB">
              <w:t>71.1%</w:t>
            </w:r>
          </w:p>
        </w:tc>
      </w:tr>
      <w:tr w:rsidR="00357081" w:rsidRPr="00D245EB" w14:paraId="277EC8DB" w14:textId="77777777" w:rsidTr="00780D64">
        <w:tc>
          <w:tcPr>
            <w:tcW w:w="1223" w:type="pct"/>
          </w:tcPr>
          <w:p w14:paraId="1218ABE9" w14:textId="77777777" w:rsidR="00357081" w:rsidRPr="00D245EB" w:rsidRDefault="00357081" w:rsidP="002506E1">
            <w:pPr>
              <w:pStyle w:val="TableBody"/>
            </w:pPr>
            <w:r w:rsidRPr="00D245EB">
              <w:t>Judy Lazarus Transition Centre</w:t>
            </w:r>
          </w:p>
        </w:tc>
        <w:tc>
          <w:tcPr>
            <w:tcW w:w="1206" w:type="pct"/>
          </w:tcPr>
          <w:p w14:paraId="5787BE78" w14:textId="77777777" w:rsidR="00357081" w:rsidRPr="00D245EB" w:rsidRDefault="00357081" w:rsidP="002506E1">
            <w:pPr>
              <w:pStyle w:val="TableBody"/>
            </w:pPr>
            <w:r w:rsidRPr="00D245EB">
              <w:t>Minimum security%</w:t>
            </w:r>
          </w:p>
        </w:tc>
        <w:tc>
          <w:tcPr>
            <w:tcW w:w="1219" w:type="pct"/>
          </w:tcPr>
          <w:p w14:paraId="0DA2DD9C" w14:textId="77777777" w:rsidR="00357081" w:rsidRPr="00D245EB" w:rsidRDefault="00357081" w:rsidP="002506E1">
            <w:pPr>
              <w:pStyle w:val="TableBody"/>
            </w:pPr>
            <w:r w:rsidRPr="00D245EB">
              <w:t>25 prisoners</w:t>
            </w:r>
          </w:p>
        </w:tc>
        <w:tc>
          <w:tcPr>
            <w:tcW w:w="1352" w:type="pct"/>
          </w:tcPr>
          <w:p w14:paraId="3C1C5F3F" w14:textId="77777777" w:rsidR="00357081" w:rsidRPr="00D245EB" w:rsidRDefault="00357081" w:rsidP="002506E1">
            <w:pPr>
              <w:pStyle w:val="TableBody"/>
            </w:pPr>
            <w:r w:rsidRPr="00D245EB">
              <w:t>96.0%</w:t>
            </w:r>
          </w:p>
        </w:tc>
      </w:tr>
      <w:tr w:rsidR="00357081" w:rsidRPr="00D245EB" w14:paraId="394A0548" w14:textId="77777777" w:rsidTr="00780D64">
        <w:tc>
          <w:tcPr>
            <w:tcW w:w="1223" w:type="pct"/>
          </w:tcPr>
          <w:p w14:paraId="45EC52A6" w14:textId="77777777" w:rsidR="00357081" w:rsidRPr="00D245EB" w:rsidRDefault="00357081" w:rsidP="002506E1">
            <w:pPr>
              <w:pStyle w:val="TableBody"/>
            </w:pPr>
            <w:r w:rsidRPr="00D245EB">
              <w:t>Langi Kal Kal Prison</w:t>
            </w:r>
          </w:p>
        </w:tc>
        <w:tc>
          <w:tcPr>
            <w:tcW w:w="1206" w:type="pct"/>
          </w:tcPr>
          <w:p w14:paraId="162B8306" w14:textId="77777777" w:rsidR="00357081" w:rsidRPr="00D245EB" w:rsidRDefault="00357081" w:rsidP="002506E1">
            <w:pPr>
              <w:pStyle w:val="TableBody"/>
            </w:pPr>
            <w:r w:rsidRPr="00D245EB">
              <w:t>Minimum security%</w:t>
            </w:r>
          </w:p>
        </w:tc>
        <w:tc>
          <w:tcPr>
            <w:tcW w:w="1219" w:type="pct"/>
          </w:tcPr>
          <w:p w14:paraId="1E4E330E" w14:textId="77777777" w:rsidR="00357081" w:rsidRPr="00D245EB" w:rsidRDefault="00357081" w:rsidP="002506E1">
            <w:pPr>
              <w:pStyle w:val="TableBody"/>
            </w:pPr>
            <w:r w:rsidRPr="00D245EB">
              <w:t>415 prisoners</w:t>
            </w:r>
          </w:p>
        </w:tc>
        <w:tc>
          <w:tcPr>
            <w:tcW w:w="1352" w:type="pct"/>
          </w:tcPr>
          <w:p w14:paraId="39096A91" w14:textId="77777777" w:rsidR="00357081" w:rsidRPr="00D245EB" w:rsidRDefault="00357081" w:rsidP="002506E1">
            <w:pPr>
              <w:pStyle w:val="TableBody"/>
            </w:pPr>
            <w:r w:rsidRPr="00D245EB">
              <w:t>92.5%</w:t>
            </w:r>
          </w:p>
        </w:tc>
      </w:tr>
      <w:tr w:rsidR="00357081" w:rsidRPr="00D245EB" w14:paraId="1553A0BB" w14:textId="77777777" w:rsidTr="00780D64">
        <w:tc>
          <w:tcPr>
            <w:tcW w:w="1223" w:type="pct"/>
          </w:tcPr>
          <w:p w14:paraId="67B9755E" w14:textId="77777777" w:rsidR="00357081" w:rsidRPr="00D245EB" w:rsidRDefault="00357081" w:rsidP="002506E1">
            <w:pPr>
              <w:pStyle w:val="TableBody"/>
            </w:pPr>
            <w:r w:rsidRPr="00D245EB">
              <w:t>Loddon Prison Precinct</w:t>
            </w:r>
          </w:p>
        </w:tc>
        <w:tc>
          <w:tcPr>
            <w:tcW w:w="1206" w:type="pct"/>
          </w:tcPr>
          <w:p w14:paraId="50D88BA9" w14:textId="77777777" w:rsidR="00357081" w:rsidRPr="00D245EB" w:rsidRDefault="00357081" w:rsidP="002506E1">
            <w:pPr>
              <w:pStyle w:val="TableBody"/>
            </w:pPr>
            <w:r w:rsidRPr="00D245EB">
              <w:t>Medium security</w:t>
            </w:r>
          </w:p>
        </w:tc>
        <w:tc>
          <w:tcPr>
            <w:tcW w:w="1219" w:type="pct"/>
          </w:tcPr>
          <w:p w14:paraId="1E72BD8B" w14:textId="77777777" w:rsidR="00357081" w:rsidRPr="00D245EB" w:rsidRDefault="00357081" w:rsidP="002506E1">
            <w:pPr>
              <w:pStyle w:val="TableBody"/>
            </w:pPr>
            <w:r w:rsidRPr="00D245EB">
              <w:t>704 prisoners</w:t>
            </w:r>
          </w:p>
        </w:tc>
        <w:tc>
          <w:tcPr>
            <w:tcW w:w="1352" w:type="pct"/>
          </w:tcPr>
          <w:p w14:paraId="32DE4D98" w14:textId="77777777" w:rsidR="00357081" w:rsidRPr="00D245EB" w:rsidRDefault="00357081" w:rsidP="002506E1">
            <w:pPr>
              <w:pStyle w:val="TableBody"/>
            </w:pPr>
            <w:r w:rsidRPr="00D245EB">
              <w:t>71.6%</w:t>
            </w:r>
          </w:p>
        </w:tc>
      </w:tr>
      <w:tr w:rsidR="00357081" w:rsidRPr="00D245EB" w14:paraId="31A3DB91" w14:textId="77777777" w:rsidTr="00780D64">
        <w:tc>
          <w:tcPr>
            <w:tcW w:w="1223" w:type="pct"/>
          </w:tcPr>
          <w:p w14:paraId="4449D79C" w14:textId="77777777" w:rsidR="00357081" w:rsidRPr="00D245EB" w:rsidRDefault="00357081" w:rsidP="002506E1">
            <w:pPr>
              <w:pStyle w:val="TableBody"/>
            </w:pPr>
            <w:r w:rsidRPr="00D245EB">
              <w:t>Marngoneet Correctional Centre</w:t>
            </w:r>
          </w:p>
        </w:tc>
        <w:tc>
          <w:tcPr>
            <w:tcW w:w="1206" w:type="pct"/>
          </w:tcPr>
          <w:p w14:paraId="5FE165EB" w14:textId="77777777" w:rsidR="00357081" w:rsidRPr="00D245EB" w:rsidRDefault="00357081" w:rsidP="002506E1">
            <w:pPr>
              <w:pStyle w:val="TableBody"/>
            </w:pPr>
            <w:r w:rsidRPr="00D245EB">
              <w:t>Medium security%</w:t>
            </w:r>
          </w:p>
        </w:tc>
        <w:tc>
          <w:tcPr>
            <w:tcW w:w="1219" w:type="pct"/>
          </w:tcPr>
          <w:p w14:paraId="650FD7F0" w14:textId="77777777" w:rsidR="00357081" w:rsidRPr="00D245EB" w:rsidRDefault="00357081" w:rsidP="002506E1">
            <w:pPr>
              <w:pStyle w:val="TableBody"/>
            </w:pPr>
            <w:r w:rsidRPr="00D245EB">
              <w:t>859 prisoners</w:t>
            </w:r>
          </w:p>
        </w:tc>
        <w:tc>
          <w:tcPr>
            <w:tcW w:w="1352" w:type="pct"/>
          </w:tcPr>
          <w:p w14:paraId="2BDBFDC9" w14:textId="77777777" w:rsidR="00357081" w:rsidRPr="00D245EB" w:rsidRDefault="00357081" w:rsidP="002506E1">
            <w:pPr>
              <w:pStyle w:val="TableBody"/>
            </w:pPr>
            <w:r w:rsidRPr="00D245EB">
              <w:t>68.5%</w:t>
            </w:r>
          </w:p>
        </w:tc>
      </w:tr>
      <w:tr w:rsidR="00357081" w:rsidRPr="00D245EB" w14:paraId="3834F34C" w14:textId="77777777" w:rsidTr="00780D64">
        <w:tc>
          <w:tcPr>
            <w:tcW w:w="1223" w:type="pct"/>
          </w:tcPr>
          <w:p w14:paraId="762B1174" w14:textId="77777777" w:rsidR="00357081" w:rsidRPr="00D245EB" w:rsidRDefault="00357081" w:rsidP="002506E1">
            <w:pPr>
              <w:pStyle w:val="TableBody"/>
            </w:pPr>
            <w:r w:rsidRPr="00D245EB">
              <w:t>Melbourne Assessment Prison</w:t>
            </w:r>
          </w:p>
        </w:tc>
        <w:tc>
          <w:tcPr>
            <w:tcW w:w="1206" w:type="pct"/>
          </w:tcPr>
          <w:p w14:paraId="6D498FCA" w14:textId="77777777" w:rsidR="00357081" w:rsidRPr="00D245EB" w:rsidRDefault="00357081" w:rsidP="002506E1">
            <w:pPr>
              <w:pStyle w:val="TableBody"/>
            </w:pPr>
            <w:r w:rsidRPr="00D245EB">
              <w:t>Maximum security%</w:t>
            </w:r>
          </w:p>
        </w:tc>
        <w:tc>
          <w:tcPr>
            <w:tcW w:w="1219" w:type="pct"/>
          </w:tcPr>
          <w:p w14:paraId="3A1E33F1" w14:textId="77777777" w:rsidR="00357081" w:rsidRPr="00D245EB" w:rsidRDefault="00357081" w:rsidP="002506E1">
            <w:pPr>
              <w:pStyle w:val="TableBody"/>
            </w:pPr>
            <w:r w:rsidRPr="00D245EB">
              <w:t>305 prisoners</w:t>
            </w:r>
          </w:p>
        </w:tc>
        <w:tc>
          <w:tcPr>
            <w:tcW w:w="1352" w:type="pct"/>
          </w:tcPr>
          <w:p w14:paraId="33BB6C42" w14:textId="77777777" w:rsidR="00357081" w:rsidRPr="00D245EB" w:rsidRDefault="00357081" w:rsidP="002506E1">
            <w:pPr>
              <w:pStyle w:val="TableBody"/>
            </w:pPr>
            <w:r w:rsidRPr="00D245EB">
              <w:t>53.4%</w:t>
            </w:r>
          </w:p>
        </w:tc>
      </w:tr>
      <w:tr w:rsidR="00357081" w:rsidRPr="00D245EB" w14:paraId="1029FAA3" w14:textId="77777777" w:rsidTr="00780D64">
        <w:tc>
          <w:tcPr>
            <w:tcW w:w="1223" w:type="pct"/>
          </w:tcPr>
          <w:p w14:paraId="626683D9" w14:textId="77777777" w:rsidR="00357081" w:rsidRPr="00D245EB" w:rsidRDefault="00357081" w:rsidP="002506E1">
            <w:pPr>
              <w:pStyle w:val="TableBody"/>
            </w:pPr>
            <w:r w:rsidRPr="00D245EB">
              <w:t>Metropolitan Remand Centre</w:t>
            </w:r>
          </w:p>
        </w:tc>
        <w:tc>
          <w:tcPr>
            <w:tcW w:w="1206" w:type="pct"/>
          </w:tcPr>
          <w:p w14:paraId="11DD027D" w14:textId="77777777" w:rsidR="00357081" w:rsidRPr="00D245EB" w:rsidRDefault="00357081" w:rsidP="002506E1">
            <w:pPr>
              <w:pStyle w:val="TableBody"/>
            </w:pPr>
            <w:r w:rsidRPr="00D245EB">
              <w:t>Maximum security%</w:t>
            </w:r>
          </w:p>
        </w:tc>
        <w:tc>
          <w:tcPr>
            <w:tcW w:w="1219" w:type="pct"/>
          </w:tcPr>
          <w:p w14:paraId="66B5230A" w14:textId="77777777" w:rsidR="00357081" w:rsidRPr="00D245EB" w:rsidRDefault="00357081" w:rsidP="002506E1">
            <w:pPr>
              <w:pStyle w:val="TableBody"/>
            </w:pPr>
            <w:r w:rsidRPr="00D245EB">
              <w:t>954 prisoners</w:t>
            </w:r>
          </w:p>
        </w:tc>
        <w:tc>
          <w:tcPr>
            <w:tcW w:w="1352" w:type="pct"/>
          </w:tcPr>
          <w:p w14:paraId="4E0E2839" w14:textId="77777777" w:rsidR="00357081" w:rsidRPr="00D245EB" w:rsidRDefault="00357081" w:rsidP="002506E1">
            <w:pPr>
              <w:pStyle w:val="TableBody"/>
            </w:pPr>
            <w:r w:rsidRPr="00D245EB">
              <w:t>68.8%</w:t>
            </w:r>
          </w:p>
        </w:tc>
      </w:tr>
      <w:tr w:rsidR="00357081" w:rsidRPr="00D245EB" w14:paraId="1C23E507" w14:textId="77777777" w:rsidTr="00780D64">
        <w:tc>
          <w:tcPr>
            <w:tcW w:w="1223" w:type="pct"/>
          </w:tcPr>
          <w:p w14:paraId="3580F038" w14:textId="77777777" w:rsidR="00357081" w:rsidRPr="00D245EB" w:rsidRDefault="00357081" w:rsidP="002506E1">
            <w:pPr>
              <w:pStyle w:val="TableBody"/>
            </w:pPr>
            <w:r w:rsidRPr="00D245EB">
              <w:t>Port Phillip Prison</w:t>
            </w:r>
          </w:p>
        </w:tc>
        <w:tc>
          <w:tcPr>
            <w:tcW w:w="1206" w:type="pct"/>
          </w:tcPr>
          <w:p w14:paraId="2E8C663E" w14:textId="77777777" w:rsidR="00357081" w:rsidRPr="00D245EB" w:rsidRDefault="00357081" w:rsidP="002506E1">
            <w:pPr>
              <w:pStyle w:val="TableBody"/>
            </w:pPr>
            <w:r w:rsidRPr="00D245EB">
              <w:t>Maximum security%</w:t>
            </w:r>
          </w:p>
        </w:tc>
        <w:tc>
          <w:tcPr>
            <w:tcW w:w="1219" w:type="pct"/>
          </w:tcPr>
          <w:p w14:paraId="5B3B2074" w14:textId="77777777" w:rsidR="00357081" w:rsidRPr="00D245EB" w:rsidRDefault="00357081" w:rsidP="002506E1">
            <w:pPr>
              <w:pStyle w:val="TableBody"/>
            </w:pPr>
            <w:r w:rsidRPr="00D245EB">
              <w:t>1,087 prisoners</w:t>
            </w:r>
          </w:p>
        </w:tc>
        <w:tc>
          <w:tcPr>
            <w:tcW w:w="1352" w:type="pct"/>
          </w:tcPr>
          <w:p w14:paraId="0658EA5F" w14:textId="77777777" w:rsidR="00357081" w:rsidRPr="00D245EB" w:rsidRDefault="00357081" w:rsidP="002506E1">
            <w:pPr>
              <w:pStyle w:val="TableBody"/>
            </w:pPr>
            <w:r w:rsidRPr="00D245EB">
              <w:t>69.2%</w:t>
            </w:r>
          </w:p>
        </w:tc>
      </w:tr>
      <w:tr w:rsidR="00357081" w:rsidRPr="00D245EB" w14:paraId="1A367149" w14:textId="77777777" w:rsidTr="00780D64">
        <w:tc>
          <w:tcPr>
            <w:tcW w:w="1223" w:type="pct"/>
          </w:tcPr>
          <w:p w14:paraId="2815FEF5" w14:textId="77777777" w:rsidR="00357081" w:rsidRPr="00D245EB" w:rsidRDefault="00357081" w:rsidP="002506E1">
            <w:pPr>
              <w:pStyle w:val="TableBody"/>
            </w:pPr>
            <w:r w:rsidRPr="00D245EB">
              <w:t>Ravenhall Correctional Centre</w:t>
            </w:r>
          </w:p>
        </w:tc>
        <w:tc>
          <w:tcPr>
            <w:tcW w:w="1206" w:type="pct"/>
          </w:tcPr>
          <w:p w14:paraId="6EE2C66E" w14:textId="77777777" w:rsidR="00357081" w:rsidRPr="00D245EB" w:rsidRDefault="00357081" w:rsidP="002506E1">
            <w:pPr>
              <w:pStyle w:val="TableBody"/>
            </w:pPr>
            <w:r w:rsidRPr="00D245EB">
              <w:t>Medium security%</w:t>
            </w:r>
          </w:p>
        </w:tc>
        <w:tc>
          <w:tcPr>
            <w:tcW w:w="1219" w:type="pct"/>
          </w:tcPr>
          <w:p w14:paraId="0CE36A77" w14:textId="77777777" w:rsidR="00357081" w:rsidRPr="00D245EB" w:rsidRDefault="00357081" w:rsidP="002506E1">
            <w:pPr>
              <w:pStyle w:val="TableBody"/>
            </w:pPr>
            <w:r w:rsidRPr="00D245EB">
              <w:t>1,300 prisoners</w:t>
            </w:r>
          </w:p>
        </w:tc>
        <w:tc>
          <w:tcPr>
            <w:tcW w:w="1352" w:type="pct"/>
          </w:tcPr>
          <w:p w14:paraId="0B781E7E" w14:textId="77777777" w:rsidR="00357081" w:rsidRPr="00D245EB" w:rsidRDefault="00357081" w:rsidP="002506E1">
            <w:pPr>
              <w:pStyle w:val="TableBody"/>
            </w:pPr>
            <w:r w:rsidRPr="00D245EB">
              <w:t>70.4%</w:t>
            </w:r>
          </w:p>
        </w:tc>
      </w:tr>
      <w:tr w:rsidR="00357081" w:rsidRPr="00D245EB" w14:paraId="0CAE4CB4" w14:textId="77777777" w:rsidTr="00780D64">
        <w:tc>
          <w:tcPr>
            <w:tcW w:w="1223" w:type="pct"/>
          </w:tcPr>
          <w:p w14:paraId="35A4C920" w14:textId="77777777" w:rsidR="00357081" w:rsidRPr="00D245EB" w:rsidRDefault="00357081" w:rsidP="002506E1">
            <w:pPr>
              <w:pStyle w:val="TableBody"/>
            </w:pPr>
            <w:r w:rsidRPr="00D245EB">
              <w:t xml:space="preserve">Tarrengower Prison </w:t>
            </w:r>
          </w:p>
        </w:tc>
        <w:tc>
          <w:tcPr>
            <w:tcW w:w="1206" w:type="pct"/>
          </w:tcPr>
          <w:p w14:paraId="0DC48EAB" w14:textId="77777777" w:rsidR="00357081" w:rsidRPr="00D245EB" w:rsidRDefault="00357081" w:rsidP="002506E1">
            <w:pPr>
              <w:pStyle w:val="TableBody"/>
            </w:pPr>
            <w:r w:rsidRPr="00D245EB">
              <w:t>Minimum security%</w:t>
            </w:r>
          </w:p>
        </w:tc>
        <w:tc>
          <w:tcPr>
            <w:tcW w:w="1219" w:type="pct"/>
          </w:tcPr>
          <w:p w14:paraId="48A1F8E2" w14:textId="77777777" w:rsidR="00357081" w:rsidRPr="00D245EB" w:rsidRDefault="00357081" w:rsidP="002506E1">
            <w:pPr>
              <w:pStyle w:val="TableBody"/>
            </w:pPr>
            <w:r w:rsidRPr="00D245EB">
              <w:t>72 prisoners (female only)</w:t>
            </w:r>
          </w:p>
        </w:tc>
        <w:tc>
          <w:tcPr>
            <w:tcW w:w="1352" w:type="pct"/>
          </w:tcPr>
          <w:p w14:paraId="08D5C9E0" w14:textId="77777777" w:rsidR="00357081" w:rsidRPr="00D245EB" w:rsidRDefault="00357081" w:rsidP="002506E1">
            <w:pPr>
              <w:pStyle w:val="TableBody"/>
            </w:pPr>
            <w:r w:rsidRPr="00D245EB">
              <w:t>56.9%</w:t>
            </w:r>
          </w:p>
        </w:tc>
      </w:tr>
    </w:tbl>
    <w:p w14:paraId="19E19E23" w14:textId="77777777" w:rsidR="00A4454A" w:rsidRPr="008C1137" w:rsidRDefault="00A4454A" w:rsidP="00210207">
      <w:pPr>
        <w:pStyle w:val="Numbered"/>
      </w:pPr>
      <w:r w:rsidRPr="008C1137">
        <w:lastRenderedPageBreak/>
        <w:t>As at 30 June 2024, Victoria had a total prison capacity of 8,886 beds across those 15 custodial facilities. This is a significant increase (of 126%) from the prison capacity in 2005, when Victoria’s prison capacity was 3,926 beds across 12 custodial facilities.</w:t>
      </w:r>
      <w:r w:rsidRPr="008C1137">
        <w:rPr>
          <w:rStyle w:val="Superscript"/>
        </w:rPr>
        <w:footnoteReference w:id="27"/>
      </w:r>
      <w:r w:rsidRPr="008C1137">
        <w:t xml:space="preserve"> This increase is a result of significant changes to prison infrastructure during this time (both with the upgrade of existing prisons and with the establishment of new facilities). While the Bendigo Prison closed in late 2005, four other facilities opened between 30 June 2005 and 30 June 2024: Marngoneet Correctional Centre and Metropolitan Remand Centre in 2006, Judy Lazurus Transition Centre in 2007 and Ravenhall Correctional Centre in 2017. Collectively, these four facilities added approximately 3,000 beds to Victoria’s built prison capacity. Other prisons also experienced an increase in their capacity; for instance, Beechworth Correctional Centre’s capacity increased from 120 prisoners to 210, and Port Phillip Prison’s capacity increased from 744 to 1,087.</w:t>
      </w:r>
    </w:p>
    <w:p w14:paraId="7F7C7423" w14:textId="77777777" w:rsidR="00A4454A" w:rsidRPr="008C1137" w:rsidRDefault="00A4454A" w:rsidP="00210207">
      <w:pPr>
        <w:pStyle w:val="Numbered"/>
      </w:pPr>
      <w:r w:rsidRPr="008C1137">
        <w:t xml:space="preserve">As well as the change in Victoria’s prison capacity in the 20-year period, there has also been a significant change to </w:t>
      </w:r>
      <w:r w:rsidRPr="003B3217">
        <w:rPr>
          <w:rStyle w:val="Italic"/>
        </w:rPr>
        <w:t>utilisation</w:t>
      </w:r>
      <w:r w:rsidRPr="008C1137">
        <w:t xml:space="preserve"> rates (the proportions of Victorian prisons that are used). On 30 June 2005, 94% of those 3,926 beds were filled, and this utilisation rate remained stable until 30 June 2019 (when utilisation rates sat consistently at around 90%). This suggests that prison capacity was increasing at a similar rate to the actual number of people in Victorian prisons. With a fall in the number of people in prison following the onset of COVID-19, Victoria’s utilisation rate had fallen to 67% by 30 June 2024.</w:t>
      </w:r>
    </w:p>
    <w:p w14:paraId="6480513B" w14:textId="77777777" w:rsidR="00A4454A" w:rsidRPr="008C1137" w:rsidRDefault="00A4454A" w:rsidP="0002476E">
      <w:pPr>
        <w:pStyle w:val="Heading2"/>
      </w:pPr>
      <w:r w:rsidRPr="008C1137">
        <w:lastRenderedPageBreak/>
        <w:t>Structure of this report</w:t>
      </w:r>
    </w:p>
    <w:p w14:paraId="29B941A4" w14:textId="77777777" w:rsidR="00A4454A" w:rsidRPr="008C1137" w:rsidRDefault="00A4454A" w:rsidP="00210207">
      <w:pPr>
        <w:pStyle w:val="Numbered"/>
      </w:pPr>
      <w:r w:rsidRPr="008C1137">
        <w:t xml:space="preserve">This report examines statistical data on Victoria’s prison population during the 20-year period between 1 July 2004 and 30 June 2024 and the potential drivers of changes in that population. This report contains data on the adult prison population only and does not include data on people held in mental health services or immigration detention. Children and young people in custodial services are also excluded from the data in this report. </w:t>
      </w:r>
    </w:p>
    <w:p w14:paraId="4317F80F" w14:textId="77777777" w:rsidR="00A4454A" w:rsidRPr="008C1137" w:rsidRDefault="00A4454A" w:rsidP="00210207">
      <w:pPr>
        <w:pStyle w:val="Numbered"/>
      </w:pPr>
      <w:r w:rsidRPr="008C1137">
        <w:t>The report is structured as follows:</w:t>
      </w:r>
    </w:p>
    <w:p w14:paraId="09943C3B" w14:textId="77777777" w:rsidR="00A4454A" w:rsidRPr="008C1137" w:rsidRDefault="00A4454A" w:rsidP="008C1137">
      <w:pPr>
        <w:pStyle w:val="Bullets"/>
      </w:pPr>
      <w:r w:rsidRPr="008C1137">
        <w:t>Chapter 2 presents recorded offence data on the number and types of offences recorded by police in the 20-year period</w:t>
      </w:r>
    </w:p>
    <w:p w14:paraId="16D762AD" w14:textId="77777777" w:rsidR="00A4454A" w:rsidRPr="008C1137" w:rsidRDefault="00A4454A" w:rsidP="008C1137">
      <w:pPr>
        <w:pStyle w:val="Bullets"/>
      </w:pPr>
      <w:r w:rsidRPr="008C1137">
        <w:t>Chapter 3 presents court data on the types of custodial sentences imposed, imprisonment lengths, and the number of sentenced prisoners who had served time on remand prior to sentencing</w:t>
      </w:r>
    </w:p>
    <w:p w14:paraId="5FF14603" w14:textId="77777777" w:rsidR="00A4454A" w:rsidRPr="008C1137" w:rsidRDefault="00A4454A" w:rsidP="008C1137">
      <w:pPr>
        <w:pStyle w:val="Bullets"/>
      </w:pPr>
      <w:r w:rsidRPr="008C1137">
        <w:t>Chapter 4 presents Corrections data on the demographics of Victoria’s prison population, including the number of people in prison, their age and gender, the imprisonment rate, and the number of Aboriginal prisoners and non-Aboriginal prisoners</w:t>
      </w:r>
    </w:p>
    <w:p w14:paraId="4617BFA6" w14:textId="77777777" w:rsidR="00A4454A" w:rsidRPr="008C1137" w:rsidRDefault="00A4454A" w:rsidP="008C1137">
      <w:pPr>
        <w:pStyle w:val="Bullets"/>
      </w:pPr>
      <w:r w:rsidRPr="008C1137">
        <w:t>Chapter 5 presents Corrections data on the number and proportion of Victorian prisoners who were sentenced or unsentenced (on remand) throughout the 20-year period, and their most serious alleged or sentenced offences</w:t>
      </w:r>
    </w:p>
    <w:p w14:paraId="182025FD" w14:textId="77777777" w:rsidR="00A4454A" w:rsidRPr="008C1137" w:rsidRDefault="00A4454A" w:rsidP="008C1137">
      <w:pPr>
        <w:pStyle w:val="Bullets"/>
      </w:pPr>
      <w:r w:rsidRPr="008C1137">
        <w:t>Chapter 6 presents Corrections data on the flow of prisoners through the Victorian prison system, focusing especially on receptions (entries) into custody and discharges (exits) from custody</w:t>
      </w:r>
    </w:p>
    <w:p w14:paraId="245E16DB" w14:textId="77777777" w:rsidR="00A4454A" w:rsidRPr="008C1137" w:rsidRDefault="00A4454A" w:rsidP="008C1137">
      <w:pPr>
        <w:pStyle w:val="Bullets"/>
      </w:pPr>
      <w:r w:rsidRPr="008C1137">
        <w:t>Chapter 7 concludes the report with a discussion of some of the key findings.</w:t>
      </w:r>
    </w:p>
    <w:p w14:paraId="489F8F06" w14:textId="77777777" w:rsidR="00A4454A" w:rsidRPr="008C1137" w:rsidRDefault="00A4454A" w:rsidP="00210207">
      <w:pPr>
        <w:pStyle w:val="Numbered"/>
      </w:pPr>
      <w:r w:rsidRPr="008C1137">
        <w:lastRenderedPageBreak/>
        <w:t xml:space="preserve">Together, the data from police, the courts and Corrections is intended to provide a comprehensive overview of the most likely drivers of changes in Victoria’s prison population. </w:t>
      </w:r>
    </w:p>
    <w:p w14:paraId="2C3EAD40" w14:textId="77777777" w:rsidR="00A4454A" w:rsidRPr="008C1137" w:rsidRDefault="00A4454A" w:rsidP="0002476E">
      <w:pPr>
        <w:pStyle w:val="Heading2"/>
      </w:pPr>
      <w:r w:rsidRPr="008C1137">
        <w:t>Data and data sources</w:t>
      </w:r>
    </w:p>
    <w:p w14:paraId="7B894271" w14:textId="77777777" w:rsidR="00A4454A" w:rsidRPr="008C1137" w:rsidRDefault="00A4454A" w:rsidP="00210207">
      <w:pPr>
        <w:pStyle w:val="Numbered"/>
      </w:pPr>
      <w:r w:rsidRPr="008C1137">
        <w:t>This report presents data on adults held in Victorian corrective services custody</w:t>
      </w:r>
      <w:r w:rsidRPr="008C1137">
        <w:rPr>
          <w:rStyle w:val="Superscript"/>
        </w:rPr>
        <w:footnoteReference w:id="28"/>
      </w:r>
      <w:r w:rsidRPr="008C1137">
        <w:t xml:space="preserve"> and persons sentenced in Victorian courts during the period from 2004–05 to 2023–24. </w:t>
      </w:r>
    </w:p>
    <w:p w14:paraId="14C8BCFE" w14:textId="77777777" w:rsidR="00EA6209" w:rsidRPr="00157502" w:rsidRDefault="00EA6209" w:rsidP="00B5476D">
      <w:r w:rsidRPr="008C1137">
        <w:t>In this report, two primary types of data are examined: the count on 30 June each year (a point-in-time measure) and the total count in a given financial year (sometimes referred to as the ‘flow’). Both measures offer a useful point of analysis to provide a full picture of emerging trends. To distinguish between the two measures, figures throughout this report are labelled as in Table 1.</w:t>
      </w:r>
    </w:p>
    <w:p w14:paraId="5BC6F338" w14:textId="77777777" w:rsidR="00A4454A" w:rsidRPr="008C1137" w:rsidRDefault="00A4454A" w:rsidP="00BE4EDC">
      <w:pPr>
        <w:pStyle w:val="Caption"/>
      </w:pPr>
      <w:r w:rsidRPr="00157502">
        <w:t>Table 1</w:t>
      </w:r>
      <w:r w:rsidRPr="008C1137">
        <w:t>: Types of data in this report</w:t>
      </w:r>
    </w:p>
    <w:tbl>
      <w:tblPr>
        <w:tblStyle w:val="Table"/>
        <w:tblW w:w="5000" w:type="pct"/>
        <w:tblLook w:val="0020" w:firstRow="1" w:lastRow="0" w:firstColumn="0" w:lastColumn="0" w:noHBand="0" w:noVBand="0"/>
      </w:tblPr>
      <w:tblGrid>
        <w:gridCol w:w="3006"/>
        <w:gridCol w:w="3004"/>
        <w:gridCol w:w="3006"/>
      </w:tblGrid>
      <w:tr w:rsidR="006A0A62" w:rsidRPr="008C1137" w14:paraId="67C78794" w14:textId="77777777" w:rsidTr="00CF2074">
        <w:trPr>
          <w:trHeight w:val="60"/>
        </w:trPr>
        <w:tc>
          <w:tcPr>
            <w:tcW w:w="1667" w:type="pct"/>
          </w:tcPr>
          <w:p w14:paraId="7A6D8315" w14:textId="77777777" w:rsidR="00A4454A" w:rsidRPr="00281603" w:rsidRDefault="00A4454A" w:rsidP="00281603">
            <w:pPr>
              <w:pStyle w:val="TableHeading"/>
            </w:pPr>
            <w:r w:rsidRPr="00281603">
              <w:t>Measure</w:t>
            </w:r>
          </w:p>
        </w:tc>
        <w:tc>
          <w:tcPr>
            <w:tcW w:w="1666" w:type="pct"/>
          </w:tcPr>
          <w:p w14:paraId="564AB15E" w14:textId="77777777" w:rsidR="00A4454A" w:rsidRPr="00281603" w:rsidRDefault="00A4454A" w:rsidP="00281603">
            <w:pPr>
              <w:pStyle w:val="TableHeading"/>
            </w:pPr>
            <w:r w:rsidRPr="00281603">
              <w:t>Axis title</w:t>
            </w:r>
          </w:p>
        </w:tc>
        <w:tc>
          <w:tcPr>
            <w:tcW w:w="1667" w:type="pct"/>
          </w:tcPr>
          <w:p w14:paraId="0A833CFE" w14:textId="77777777" w:rsidR="00A4454A" w:rsidRPr="00281603" w:rsidRDefault="00A4454A" w:rsidP="00281603">
            <w:pPr>
              <w:pStyle w:val="TableHeading"/>
            </w:pPr>
            <w:r w:rsidRPr="00281603">
              <w:t>Example of axis label</w:t>
            </w:r>
          </w:p>
        </w:tc>
      </w:tr>
      <w:tr w:rsidR="006A0A62" w:rsidRPr="008C1137" w14:paraId="2A9B373B" w14:textId="77777777" w:rsidTr="00CF2074">
        <w:trPr>
          <w:trHeight w:val="60"/>
        </w:trPr>
        <w:tc>
          <w:tcPr>
            <w:tcW w:w="1667" w:type="pct"/>
          </w:tcPr>
          <w:p w14:paraId="6CA93884" w14:textId="77777777" w:rsidR="00A4454A" w:rsidRPr="008C1137" w:rsidRDefault="00A4454A" w:rsidP="00390380">
            <w:pPr>
              <w:pStyle w:val="TableBody"/>
            </w:pPr>
            <w:r w:rsidRPr="008C1137">
              <w:t>Point-in-time (on 30 June)</w:t>
            </w:r>
          </w:p>
        </w:tc>
        <w:tc>
          <w:tcPr>
            <w:tcW w:w="1666" w:type="pct"/>
          </w:tcPr>
          <w:p w14:paraId="32EA148B" w14:textId="77777777" w:rsidR="00A4454A" w:rsidRPr="008C1137" w:rsidRDefault="00A4454A" w:rsidP="00390380">
            <w:pPr>
              <w:pStyle w:val="TableBody"/>
            </w:pPr>
            <w:r w:rsidRPr="008C1137">
              <w:t>Year (as at 30 June)</w:t>
            </w:r>
          </w:p>
        </w:tc>
        <w:tc>
          <w:tcPr>
            <w:tcW w:w="1667" w:type="pct"/>
          </w:tcPr>
          <w:p w14:paraId="5922E43F" w14:textId="77777777" w:rsidR="00A4454A" w:rsidRPr="008C1137" w:rsidRDefault="00A4454A" w:rsidP="00390380">
            <w:pPr>
              <w:pStyle w:val="TableBody"/>
            </w:pPr>
            <w:r w:rsidRPr="008C1137">
              <w:t>2024</w:t>
            </w:r>
          </w:p>
        </w:tc>
      </w:tr>
      <w:tr w:rsidR="006A0A62" w:rsidRPr="008C1137" w14:paraId="6E085435" w14:textId="77777777" w:rsidTr="00CF2074">
        <w:trPr>
          <w:trHeight w:val="60"/>
        </w:trPr>
        <w:tc>
          <w:tcPr>
            <w:tcW w:w="1667" w:type="pct"/>
          </w:tcPr>
          <w:p w14:paraId="1FA28CF4" w14:textId="77777777" w:rsidR="00A4454A" w:rsidRPr="008C1137" w:rsidRDefault="00A4454A" w:rsidP="00390380">
            <w:pPr>
              <w:pStyle w:val="TableBody"/>
            </w:pPr>
            <w:r w:rsidRPr="008C1137">
              <w:t>Total count for financial year</w:t>
            </w:r>
          </w:p>
        </w:tc>
        <w:tc>
          <w:tcPr>
            <w:tcW w:w="1666" w:type="pct"/>
          </w:tcPr>
          <w:p w14:paraId="3A064129" w14:textId="77777777" w:rsidR="00A4454A" w:rsidRPr="008C1137" w:rsidRDefault="00A4454A" w:rsidP="00390380">
            <w:pPr>
              <w:pStyle w:val="TableBody"/>
            </w:pPr>
            <w:r w:rsidRPr="008C1137">
              <w:t>Financial year</w:t>
            </w:r>
          </w:p>
        </w:tc>
        <w:tc>
          <w:tcPr>
            <w:tcW w:w="1667" w:type="pct"/>
          </w:tcPr>
          <w:p w14:paraId="1CFE978A" w14:textId="77777777" w:rsidR="00A4454A" w:rsidRPr="008C1137" w:rsidRDefault="00A4454A" w:rsidP="00390380">
            <w:pPr>
              <w:pStyle w:val="TableBody"/>
            </w:pPr>
            <w:r w:rsidRPr="008C1137">
              <w:t>2023–24</w:t>
            </w:r>
          </w:p>
        </w:tc>
      </w:tr>
    </w:tbl>
    <w:p w14:paraId="3F2DDA64" w14:textId="77777777" w:rsidR="00A4454A" w:rsidRPr="008C1137" w:rsidRDefault="00A4454A" w:rsidP="00210207">
      <w:pPr>
        <w:pStyle w:val="Numbered"/>
      </w:pPr>
      <w:r w:rsidRPr="008C1137">
        <w:t>Data on adults in custody (including demographics, legal status, total count, receptions and discharges from custody), as well as utilisation rates, was obtained from Corrections Victoria’s monthly time series data.</w:t>
      </w:r>
      <w:r w:rsidRPr="008C1137">
        <w:rPr>
          <w:rStyle w:val="Superscript"/>
        </w:rPr>
        <w:footnoteReference w:id="29"/>
      </w:r>
      <w:r w:rsidRPr="008C1137">
        <w:t xml:space="preserve"> Two primary types of data were examined: the number of persons in prison at the end of each month, and the number of persons received into, and discharged from, prison each month.</w:t>
      </w:r>
    </w:p>
    <w:p w14:paraId="5D1FF92E" w14:textId="77777777" w:rsidR="00A4454A" w:rsidRPr="008C1137" w:rsidRDefault="00A4454A" w:rsidP="00210207">
      <w:pPr>
        <w:pStyle w:val="Numbered"/>
      </w:pPr>
      <w:r w:rsidRPr="008C1137">
        <w:t xml:space="preserve">The most recent recorded offence data was obtained directly from the Crime Statistics Agency. The data on total counts of recorded </w:t>
      </w:r>
      <w:r w:rsidRPr="003B3217">
        <w:rPr>
          <w:rStyle w:val="Italic"/>
        </w:rPr>
        <w:lastRenderedPageBreak/>
        <w:t>offences</w:t>
      </w:r>
      <w:r w:rsidRPr="008C1137">
        <w:t xml:space="preserve"> and </w:t>
      </w:r>
      <w:r w:rsidRPr="003B3217">
        <w:rPr>
          <w:rStyle w:val="Italic"/>
        </w:rPr>
        <w:t>offenders</w:t>
      </w:r>
      <w:r w:rsidRPr="008C1137">
        <w:t xml:space="preserve"> covers the period from 2004–05 to 2023–24. Data on offence types covers the period from 2010–11 to 2023–24 and was obtained from the Crime Statistics Agency’s publications.</w:t>
      </w:r>
      <w:r w:rsidRPr="008C1137">
        <w:rPr>
          <w:rStyle w:val="Superscript"/>
        </w:rPr>
        <w:footnoteReference w:id="30"/>
      </w:r>
    </w:p>
    <w:p w14:paraId="2EA74529" w14:textId="77777777" w:rsidR="00A4454A" w:rsidRPr="008C1137" w:rsidRDefault="00A4454A" w:rsidP="00210207">
      <w:pPr>
        <w:pStyle w:val="Numbered"/>
      </w:pPr>
      <w:r w:rsidRPr="008C1137">
        <w:t>Sentencing data was obtained from Court Services Victoria via information-sharing agreements between the courts and the Council. Magistrates’ Court data was supplied to the Council in extracts from the CourtLink case management system. Higher courts data was supplied to the Council in the Higher Courts Sentencing Database. Sentencing data is unpublished and is not publicly available.</w:t>
      </w:r>
    </w:p>
    <w:p w14:paraId="6214FB80" w14:textId="77777777" w:rsidR="00A4454A" w:rsidRPr="008C1137" w:rsidRDefault="00A4454A" w:rsidP="00210207">
      <w:pPr>
        <w:pStyle w:val="Numbered"/>
      </w:pPr>
      <w:r w:rsidRPr="008C1137">
        <w:t>Data was obtained from the Australian Bureau of Statistics on imprisonment rates, the most serious offence of sentenced prisoners, the most serious alleged offence of unsentenced prisoners, the average imprisonment length for sentenced prisoners, time served on remand by unsentenced prisoners on 30 June each year, and demographic data on Victorian prisoners.</w:t>
      </w:r>
      <w:r w:rsidRPr="008C1137">
        <w:rPr>
          <w:rStyle w:val="Superscript"/>
        </w:rPr>
        <w:footnoteReference w:id="31"/>
      </w:r>
    </w:p>
    <w:p w14:paraId="5A0153E3" w14:textId="77777777" w:rsidR="00A4454A" w:rsidRPr="008C1137" w:rsidRDefault="00A4454A" w:rsidP="00210207">
      <w:pPr>
        <w:pStyle w:val="Numbered"/>
      </w:pPr>
      <w:r w:rsidRPr="008C1137">
        <w:t>Data on prisoners eligible for and granted parole each year was obtained from the Adult Parole Board’s annual reports, which cover the period from 2013–14 to 2023–24.</w:t>
      </w:r>
      <w:r w:rsidRPr="008C1137">
        <w:rPr>
          <w:rStyle w:val="Superscript"/>
        </w:rPr>
        <w:footnoteReference w:id="32"/>
      </w:r>
    </w:p>
    <w:p w14:paraId="7FFC0500" w14:textId="77777777" w:rsidR="00A4454A" w:rsidRPr="008C1137" w:rsidRDefault="00A4454A" w:rsidP="00210207">
      <w:pPr>
        <w:pStyle w:val="Numbered"/>
      </w:pPr>
      <w:r w:rsidRPr="008C1137">
        <w:lastRenderedPageBreak/>
        <w:t>Data on post-sentence orders each year was obtained from the Post Sentence Authority’s annual reports, which cover the period from 2017–18 to 2023–24.</w:t>
      </w:r>
      <w:r w:rsidRPr="008C1137">
        <w:rPr>
          <w:rStyle w:val="Superscript"/>
        </w:rPr>
        <w:footnoteReference w:id="33"/>
      </w:r>
    </w:p>
    <w:p w14:paraId="0258D387" w14:textId="77777777" w:rsidR="00A4454A" w:rsidRPr="008C1137" w:rsidRDefault="00A4454A" w:rsidP="00210207">
      <w:pPr>
        <w:pStyle w:val="Numbered"/>
      </w:pPr>
      <w:r w:rsidRPr="008C1137">
        <w:t xml:space="preserve">Data on the average </w:t>
      </w:r>
      <w:r w:rsidRPr="003B3217">
        <w:rPr>
          <w:rStyle w:val="Italic"/>
        </w:rPr>
        <w:t>daily</w:t>
      </w:r>
      <w:r w:rsidRPr="008C1137">
        <w:t xml:space="preserve"> cost per prisoner, the real net operating expenditure for prisons in each state and territory each year, the proportion of released prisoners who re-enter prison within 2 years, and pending criminal cases each year was obtained from the Productivity Commission’s </w:t>
      </w:r>
      <w:r w:rsidRPr="003B3217">
        <w:rPr>
          <w:rStyle w:val="Italic"/>
        </w:rPr>
        <w:t>Report on Government Services</w:t>
      </w:r>
      <w:r w:rsidRPr="008C1137">
        <w:t xml:space="preserve"> for the period from 2013–14 to 2023–24.</w:t>
      </w:r>
      <w:r w:rsidRPr="008C1137">
        <w:rPr>
          <w:rStyle w:val="Superscript"/>
        </w:rPr>
        <w:footnoteReference w:id="34"/>
      </w:r>
      <w:r w:rsidRPr="008C1137">
        <w:t xml:space="preserve"> </w:t>
      </w:r>
    </w:p>
    <w:p w14:paraId="24B7A5B5" w14:textId="77777777" w:rsidR="00A4454A" w:rsidRPr="008C1137" w:rsidRDefault="00A4454A" w:rsidP="00210207">
      <w:pPr>
        <w:pStyle w:val="Numbered"/>
      </w:pPr>
      <w:r w:rsidRPr="008C1137">
        <w:t xml:space="preserve">Throughout this report, all percentages have been rounded to whole numbers unless small changes are being reported. Data may not sum to a given total due to rounding. </w:t>
      </w:r>
    </w:p>
    <w:p w14:paraId="345CC50F" w14:textId="77777777" w:rsidR="00A4454A" w:rsidRPr="008C1137" w:rsidRDefault="00A4454A" w:rsidP="00210207">
      <w:pPr>
        <w:pStyle w:val="Numbered"/>
      </w:pPr>
      <w:r w:rsidRPr="008C1137">
        <w:t>Additionally, offences have been grouped into six broad offence categories: offences against the person, property offences, drug offences, public order offences, justice procedure offences and other offences. In Chapter 2 (‘Recorded offences in Victoria’), offence types have been grouped into these six offence categories using the Crime Statistics Agency’s offence classification.</w:t>
      </w:r>
      <w:r w:rsidRPr="008C1137">
        <w:rPr>
          <w:rStyle w:val="Superscript"/>
        </w:rPr>
        <w:footnoteReference w:id="35"/>
      </w:r>
      <w:r w:rsidRPr="008C1137">
        <w:t xml:space="preserve"> In the remaining chapters, offence types have been grouped into these six offence categories using the Australian Bureau of Statistics’ Australian and New Zealand Standard Offence Classification (ANZSOC).</w:t>
      </w:r>
      <w:r w:rsidRPr="008C1137">
        <w:rPr>
          <w:rStyle w:val="Superscript"/>
        </w:rPr>
        <w:footnoteReference w:id="36"/>
      </w:r>
      <w:r w:rsidRPr="008C1137">
        <w:t xml:space="preserve"> Where appropriate, offence types and specific offences are considered in isolation. Table 2 lists each offence category and examples of their constituent offence types (using </w:t>
      </w:r>
      <w:r w:rsidRPr="008C1137">
        <w:lastRenderedPageBreak/>
        <w:t>ANZSOC and the Crime Statistics Agency’s offence classification) for ease of reference.</w:t>
      </w:r>
      <w:r w:rsidRPr="008C1137">
        <w:rPr>
          <w:rStyle w:val="Superscript"/>
        </w:rPr>
        <w:footnoteReference w:id="37"/>
      </w:r>
    </w:p>
    <w:p w14:paraId="660092AF" w14:textId="77777777" w:rsidR="00A4454A" w:rsidRPr="008C1137" w:rsidRDefault="00A4454A" w:rsidP="00BE4EDC">
      <w:pPr>
        <w:pStyle w:val="Caption"/>
      </w:pPr>
      <w:r w:rsidRPr="00157502">
        <w:t>Table 2</w:t>
      </w:r>
      <w:r w:rsidRPr="008C1137">
        <w:t>: Offence categories and examples of their constituent offence types in this report</w:t>
      </w:r>
      <w:r w:rsidRPr="008C1137">
        <w:rPr>
          <w:rStyle w:val="Superscript"/>
        </w:rPr>
        <w:footnoteReference w:id="38"/>
      </w:r>
    </w:p>
    <w:tbl>
      <w:tblPr>
        <w:tblStyle w:val="Table"/>
        <w:tblW w:w="5000" w:type="pct"/>
        <w:tblLook w:val="0020" w:firstRow="1" w:lastRow="0" w:firstColumn="0" w:lastColumn="0" w:noHBand="0" w:noVBand="0"/>
      </w:tblPr>
      <w:tblGrid>
        <w:gridCol w:w="2104"/>
        <w:gridCol w:w="1504"/>
        <w:gridCol w:w="5408"/>
      </w:tblGrid>
      <w:tr w:rsidR="006A0A62" w:rsidRPr="008C1137" w14:paraId="61BA19E0" w14:textId="77777777" w:rsidTr="00CF2074">
        <w:trPr>
          <w:trHeight w:val="457"/>
        </w:trPr>
        <w:tc>
          <w:tcPr>
            <w:tcW w:w="1167" w:type="pct"/>
          </w:tcPr>
          <w:p w14:paraId="3F08334B" w14:textId="77777777" w:rsidR="00A4454A" w:rsidRPr="00281603" w:rsidRDefault="00A4454A" w:rsidP="00281603">
            <w:pPr>
              <w:pStyle w:val="TableHeading"/>
            </w:pPr>
            <w:r w:rsidRPr="00281603">
              <w:t>Offence category</w:t>
            </w:r>
          </w:p>
        </w:tc>
        <w:tc>
          <w:tcPr>
            <w:tcW w:w="834" w:type="pct"/>
          </w:tcPr>
          <w:p w14:paraId="38A4976B" w14:textId="77777777" w:rsidR="00A4454A" w:rsidRPr="00281603" w:rsidRDefault="00A4454A" w:rsidP="00281603">
            <w:pPr>
              <w:pStyle w:val="TableHeading"/>
            </w:pPr>
            <w:r w:rsidRPr="00281603">
              <w:t>Short title</w:t>
            </w:r>
          </w:p>
        </w:tc>
        <w:tc>
          <w:tcPr>
            <w:tcW w:w="3000" w:type="pct"/>
          </w:tcPr>
          <w:p w14:paraId="1D51AF2D" w14:textId="77777777" w:rsidR="00A4454A" w:rsidRPr="00281603" w:rsidRDefault="00A4454A" w:rsidP="00281603">
            <w:pPr>
              <w:pStyle w:val="TableHeading"/>
            </w:pPr>
            <w:r w:rsidRPr="00281603">
              <w:t>Examples of offence types</w:t>
            </w:r>
          </w:p>
        </w:tc>
      </w:tr>
      <w:tr w:rsidR="006A0A62" w:rsidRPr="008C1137" w14:paraId="538F8AA5" w14:textId="77777777" w:rsidTr="00CF2074">
        <w:trPr>
          <w:trHeight w:val="60"/>
        </w:trPr>
        <w:tc>
          <w:tcPr>
            <w:tcW w:w="1167" w:type="pct"/>
          </w:tcPr>
          <w:p w14:paraId="3B7F9FFC" w14:textId="77777777" w:rsidR="00A4454A" w:rsidRPr="000C258A" w:rsidRDefault="00A4454A" w:rsidP="00390380">
            <w:pPr>
              <w:pStyle w:val="TableBody"/>
              <w:rPr>
                <w:rStyle w:val="Strong"/>
              </w:rPr>
            </w:pPr>
            <w:r w:rsidRPr="000C258A">
              <w:rPr>
                <w:rStyle w:val="Strong"/>
              </w:rPr>
              <w:t>Offences against the person</w:t>
            </w:r>
          </w:p>
        </w:tc>
        <w:tc>
          <w:tcPr>
            <w:tcW w:w="834" w:type="pct"/>
          </w:tcPr>
          <w:p w14:paraId="2A2958D2" w14:textId="77777777" w:rsidR="00A4454A" w:rsidRPr="008C1137" w:rsidRDefault="00A4454A" w:rsidP="00390380">
            <w:pPr>
              <w:pStyle w:val="TableBody"/>
            </w:pPr>
            <w:r w:rsidRPr="008C1137">
              <w:t>Person</w:t>
            </w:r>
          </w:p>
        </w:tc>
        <w:tc>
          <w:tcPr>
            <w:tcW w:w="3000" w:type="pct"/>
          </w:tcPr>
          <w:p w14:paraId="0F4134B4" w14:textId="77777777" w:rsidR="00A4454A" w:rsidRPr="008C1137" w:rsidRDefault="00A4454A" w:rsidP="00390380">
            <w:pPr>
              <w:pStyle w:val="TableBody"/>
            </w:pPr>
            <w:r w:rsidRPr="008C1137">
              <w:t>Homicide offences, assault and causing injury offences, sexual assault offences, dangerous acts offences, abduction offences, robbery offences</w:t>
            </w:r>
          </w:p>
        </w:tc>
      </w:tr>
      <w:tr w:rsidR="006A0A62" w:rsidRPr="008C1137" w14:paraId="506D1250" w14:textId="77777777" w:rsidTr="00CF2074">
        <w:trPr>
          <w:trHeight w:val="60"/>
        </w:trPr>
        <w:tc>
          <w:tcPr>
            <w:tcW w:w="1167" w:type="pct"/>
          </w:tcPr>
          <w:p w14:paraId="44C6D10E" w14:textId="77777777" w:rsidR="00A4454A" w:rsidRPr="000C258A" w:rsidRDefault="00A4454A" w:rsidP="00390380">
            <w:pPr>
              <w:pStyle w:val="TableBody"/>
              <w:rPr>
                <w:rStyle w:val="Strong"/>
              </w:rPr>
            </w:pPr>
            <w:r w:rsidRPr="000C258A">
              <w:rPr>
                <w:rStyle w:val="Strong"/>
              </w:rPr>
              <w:t xml:space="preserve">Property offences </w:t>
            </w:r>
          </w:p>
        </w:tc>
        <w:tc>
          <w:tcPr>
            <w:tcW w:w="834" w:type="pct"/>
          </w:tcPr>
          <w:p w14:paraId="1A4EDC42" w14:textId="77777777" w:rsidR="00A4454A" w:rsidRPr="008C1137" w:rsidRDefault="00A4454A" w:rsidP="00390380">
            <w:pPr>
              <w:pStyle w:val="TableBody"/>
            </w:pPr>
            <w:r w:rsidRPr="008C1137">
              <w:t>Property</w:t>
            </w:r>
          </w:p>
        </w:tc>
        <w:tc>
          <w:tcPr>
            <w:tcW w:w="3000" w:type="pct"/>
          </w:tcPr>
          <w:p w14:paraId="5E647F1B" w14:textId="77777777" w:rsidR="00A4454A" w:rsidRPr="008C1137" w:rsidRDefault="00A4454A" w:rsidP="00390380">
            <w:pPr>
              <w:pStyle w:val="TableBody"/>
            </w:pPr>
            <w:r w:rsidRPr="008C1137">
              <w:t>Property damage offences, burglary offences, theft offences</w:t>
            </w:r>
          </w:p>
        </w:tc>
      </w:tr>
      <w:tr w:rsidR="006A0A62" w:rsidRPr="008C1137" w14:paraId="769FAED2" w14:textId="77777777" w:rsidTr="00CF2074">
        <w:trPr>
          <w:trHeight w:val="60"/>
        </w:trPr>
        <w:tc>
          <w:tcPr>
            <w:tcW w:w="1167" w:type="pct"/>
          </w:tcPr>
          <w:p w14:paraId="0364694C" w14:textId="77777777" w:rsidR="00A4454A" w:rsidRPr="000C258A" w:rsidRDefault="00A4454A" w:rsidP="00390380">
            <w:pPr>
              <w:pStyle w:val="TableBody"/>
              <w:rPr>
                <w:rStyle w:val="Strong"/>
              </w:rPr>
            </w:pPr>
            <w:r w:rsidRPr="000C258A">
              <w:rPr>
                <w:rStyle w:val="Strong"/>
              </w:rPr>
              <w:t xml:space="preserve">Drug offences </w:t>
            </w:r>
          </w:p>
        </w:tc>
        <w:tc>
          <w:tcPr>
            <w:tcW w:w="834" w:type="pct"/>
          </w:tcPr>
          <w:p w14:paraId="3E28411B" w14:textId="77777777" w:rsidR="00A4454A" w:rsidRPr="008C1137" w:rsidRDefault="00A4454A" w:rsidP="00390380">
            <w:pPr>
              <w:pStyle w:val="TableBody"/>
            </w:pPr>
            <w:r w:rsidRPr="008C1137">
              <w:t>Drug</w:t>
            </w:r>
          </w:p>
        </w:tc>
        <w:tc>
          <w:tcPr>
            <w:tcW w:w="3000" w:type="pct"/>
          </w:tcPr>
          <w:p w14:paraId="29568100" w14:textId="77777777" w:rsidR="00A4454A" w:rsidRPr="008C1137" w:rsidRDefault="00A4454A" w:rsidP="00390380">
            <w:pPr>
              <w:pStyle w:val="TableBody"/>
            </w:pPr>
            <w:r w:rsidRPr="008C1137">
              <w:t>Drug trafficking offences, drug use and possession offences, cultivating or manufacturing drugs offences</w:t>
            </w:r>
          </w:p>
        </w:tc>
      </w:tr>
      <w:tr w:rsidR="006A0A62" w:rsidRPr="008C1137" w14:paraId="52B57AA2" w14:textId="77777777" w:rsidTr="00CF2074">
        <w:trPr>
          <w:trHeight w:val="60"/>
        </w:trPr>
        <w:tc>
          <w:tcPr>
            <w:tcW w:w="1167" w:type="pct"/>
          </w:tcPr>
          <w:p w14:paraId="6702959D" w14:textId="77777777" w:rsidR="00A4454A" w:rsidRPr="000C258A" w:rsidRDefault="00A4454A" w:rsidP="00390380">
            <w:pPr>
              <w:pStyle w:val="TableBody"/>
              <w:rPr>
                <w:rStyle w:val="Strong"/>
              </w:rPr>
            </w:pPr>
            <w:r w:rsidRPr="000C258A">
              <w:rPr>
                <w:rStyle w:val="Strong"/>
              </w:rPr>
              <w:t xml:space="preserve">Public order offences </w:t>
            </w:r>
          </w:p>
        </w:tc>
        <w:tc>
          <w:tcPr>
            <w:tcW w:w="834" w:type="pct"/>
          </w:tcPr>
          <w:p w14:paraId="69329474" w14:textId="77777777" w:rsidR="00A4454A" w:rsidRPr="008C1137" w:rsidRDefault="00A4454A" w:rsidP="00390380">
            <w:pPr>
              <w:pStyle w:val="TableBody"/>
            </w:pPr>
            <w:r w:rsidRPr="008C1137">
              <w:t>Public order</w:t>
            </w:r>
          </w:p>
        </w:tc>
        <w:tc>
          <w:tcPr>
            <w:tcW w:w="3000" w:type="pct"/>
          </w:tcPr>
          <w:p w14:paraId="54761FF9" w14:textId="77777777" w:rsidR="00A4454A" w:rsidRPr="008C1137" w:rsidRDefault="00A4454A" w:rsidP="00390380">
            <w:pPr>
              <w:pStyle w:val="TableBody"/>
            </w:pPr>
            <w:r w:rsidRPr="008C1137">
              <w:t>Weapons offences, disorderly conduct offences, public nuisance offences, public security offences</w:t>
            </w:r>
          </w:p>
        </w:tc>
      </w:tr>
      <w:tr w:rsidR="006A0A62" w:rsidRPr="008C1137" w14:paraId="30C1DD94" w14:textId="77777777" w:rsidTr="00CF2074">
        <w:trPr>
          <w:trHeight w:val="60"/>
        </w:trPr>
        <w:tc>
          <w:tcPr>
            <w:tcW w:w="1167" w:type="pct"/>
          </w:tcPr>
          <w:p w14:paraId="172E7744" w14:textId="77777777" w:rsidR="00A4454A" w:rsidRPr="000C258A" w:rsidRDefault="00A4454A" w:rsidP="00390380">
            <w:pPr>
              <w:pStyle w:val="TableBody"/>
              <w:rPr>
                <w:rStyle w:val="Strong"/>
              </w:rPr>
            </w:pPr>
            <w:r w:rsidRPr="000C258A">
              <w:rPr>
                <w:rStyle w:val="Strong"/>
              </w:rPr>
              <w:t xml:space="preserve">Justice procedure offences </w:t>
            </w:r>
          </w:p>
        </w:tc>
        <w:tc>
          <w:tcPr>
            <w:tcW w:w="834" w:type="pct"/>
          </w:tcPr>
          <w:p w14:paraId="6CA21A15" w14:textId="77777777" w:rsidR="00A4454A" w:rsidRPr="008C1137" w:rsidRDefault="00A4454A" w:rsidP="00390380">
            <w:pPr>
              <w:pStyle w:val="TableBody"/>
            </w:pPr>
            <w:r w:rsidRPr="008C1137">
              <w:t>Justice procedure</w:t>
            </w:r>
          </w:p>
        </w:tc>
        <w:tc>
          <w:tcPr>
            <w:tcW w:w="3000" w:type="pct"/>
          </w:tcPr>
          <w:p w14:paraId="21CF822E" w14:textId="77777777" w:rsidR="00A4454A" w:rsidRPr="008C1137" w:rsidRDefault="00A4454A" w:rsidP="00390380">
            <w:pPr>
              <w:pStyle w:val="TableBody"/>
            </w:pPr>
            <w:r w:rsidRPr="008C1137">
              <w:t>Breach of order offences (breach of family violence order offences, breach of bail offences, breach of intervention order offences and other breach offences), perverting the course of justice offences</w:t>
            </w:r>
          </w:p>
        </w:tc>
      </w:tr>
      <w:tr w:rsidR="006A0A62" w:rsidRPr="008C1137" w14:paraId="37A217F9" w14:textId="77777777" w:rsidTr="00CF2074">
        <w:trPr>
          <w:trHeight w:val="60"/>
        </w:trPr>
        <w:tc>
          <w:tcPr>
            <w:tcW w:w="1167" w:type="pct"/>
          </w:tcPr>
          <w:p w14:paraId="185E3974" w14:textId="77777777" w:rsidR="00A4454A" w:rsidRPr="000C258A" w:rsidRDefault="00A4454A" w:rsidP="00390380">
            <w:pPr>
              <w:pStyle w:val="TableBody"/>
              <w:rPr>
                <w:rStyle w:val="Strong"/>
              </w:rPr>
            </w:pPr>
            <w:r w:rsidRPr="000C258A">
              <w:rPr>
                <w:rStyle w:val="Strong"/>
              </w:rPr>
              <w:t xml:space="preserve">Other offences </w:t>
            </w:r>
          </w:p>
        </w:tc>
        <w:tc>
          <w:tcPr>
            <w:tcW w:w="834" w:type="pct"/>
          </w:tcPr>
          <w:p w14:paraId="71CEE3F0" w14:textId="77777777" w:rsidR="00A4454A" w:rsidRPr="008C1137" w:rsidRDefault="00A4454A" w:rsidP="00390380">
            <w:pPr>
              <w:pStyle w:val="TableBody"/>
            </w:pPr>
            <w:r w:rsidRPr="008C1137">
              <w:t>Other</w:t>
            </w:r>
          </w:p>
        </w:tc>
        <w:tc>
          <w:tcPr>
            <w:tcW w:w="3000" w:type="pct"/>
          </w:tcPr>
          <w:p w14:paraId="290B755C" w14:textId="77777777" w:rsidR="00A4454A" w:rsidRPr="008C1137" w:rsidRDefault="00A4454A" w:rsidP="00390380">
            <w:pPr>
              <w:pStyle w:val="TableBody"/>
            </w:pPr>
            <w:r w:rsidRPr="008C1137">
              <w:t>Traffic and vehicle regulatory offences, other miscellaneous offences</w:t>
            </w:r>
          </w:p>
        </w:tc>
      </w:tr>
    </w:tbl>
    <w:p w14:paraId="70C9A668" w14:textId="77777777" w:rsidR="00A4454A" w:rsidRPr="008C1137" w:rsidRDefault="00A4454A" w:rsidP="0002476E">
      <w:pPr>
        <w:pStyle w:val="Heading3"/>
      </w:pPr>
      <w:r w:rsidRPr="008C1137">
        <w:t>Effect of the COVID-19 pandemic on the data in this report</w:t>
      </w:r>
    </w:p>
    <w:p w14:paraId="0301E7A9" w14:textId="77777777" w:rsidR="00A4454A" w:rsidRPr="008C1137" w:rsidRDefault="00A4454A" w:rsidP="00210207">
      <w:pPr>
        <w:pStyle w:val="Numbered"/>
      </w:pPr>
      <w:r w:rsidRPr="008C1137">
        <w:t xml:space="preserve">The COVID-19 pandemic had a significant effect on court operations, the prison system and the wider Victorian community. As a result, the data in this report is likely to have been affected, particularly in the 2020–21 and 2021–22 financial years. For example, the number of people sentenced in the two to three years after March 2020 may be lower than in other years because the pandemic caused delays in court proceedings. Imprisonment rates may be higher than in other years because court backlogs may have led to prioritisation of more serious cases during that period. Prison sentences may be shorter than in other years, reflecting the combined effect of guilty pleas having an ‘augmented </w:t>
      </w:r>
      <w:r w:rsidRPr="008C1137">
        <w:lastRenderedPageBreak/>
        <w:t>mitigatory effect’</w:t>
      </w:r>
      <w:r w:rsidRPr="008C1137">
        <w:rPr>
          <w:rStyle w:val="Superscript"/>
        </w:rPr>
        <w:footnoteReference w:id="39"/>
      </w:r>
      <w:r w:rsidRPr="008C1137">
        <w:t xml:space="preserve"> and the experience of prison being more burdensome during this period. Further, more people may have been discharged from remand during this period due to the combined effect of the experience of prison being more burdensome and the likelihood that the time spent on remand would exceed any prison sentence imposed given the delays within the justice system.</w:t>
      </w:r>
    </w:p>
    <w:p w14:paraId="7B20E5E1" w14:textId="516675D6" w:rsidR="00A4454A" w:rsidRPr="008C1137" w:rsidRDefault="00A4454A" w:rsidP="008D24FA">
      <w:pPr>
        <w:pStyle w:val="Heading1Numbered"/>
      </w:pPr>
      <w:bookmarkStart w:id="5" w:name="_Toc210672549"/>
      <w:r w:rsidRPr="008C1137">
        <w:lastRenderedPageBreak/>
        <w:t>Recorded offences in Victoria</w:t>
      </w:r>
      <w:bookmarkEnd w:id="5"/>
    </w:p>
    <w:p w14:paraId="381FDE61" w14:textId="77777777" w:rsidR="00A4454A" w:rsidRPr="008C1137" w:rsidRDefault="00A4454A" w:rsidP="00210207">
      <w:pPr>
        <w:pStyle w:val="Numbered"/>
      </w:pPr>
      <w:r w:rsidRPr="008C1137">
        <w:t>To contextualise changes in Victoria’s prison population, this chapter presents recorded offence data published by the Crime Statistics Agency for the 20 years to 30 June 2024 (or, in some instances, for shorter periods based on available data). It is important to understand whether the nature of offending in a jurisdiction has changed. If the numbers and types of offences committed in a jurisdiction change (especially more serious offences that can attract terms of imprisonment), it would reasonably be expected that there would be a concurrent change in that jurisdiction’s prison population.</w:t>
      </w:r>
    </w:p>
    <w:p w14:paraId="21FB3BD7" w14:textId="77777777" w:rsidR="00B96EC0" w:rsidRPr="00D86818" w:rsidRDefault="00B96EC0" w:rsidP="00D86818">
      <w:pPr>
        <w:rPr>
          <w:rStyle w:val="Strong"/>
        </w:rPr>
      </w:pPr>
      <w:r w:rsidRPr="00D86818">
        <w:rPr>
          <w:rStyle w:val="Strong"/>
        </w:rPr>
        <w:t>Key terminology used in this chapter</w:t>
      </w:r>
    </w:p>
    <w:p w14:paraId="3E3378DA" w14:textId="77777777" w:rsidR="00B96EC0" w:rsidRPr="008C1137" w:rsidRDefault="00B96EC0" w:rsidP="00B5476D">
      <w:r w:rsidRPr="00313882">
        <w:rPr>
          <w:rStyle w:val="Strong"/>
        </w:rPr>
        <w:t>Recorded offence</w:t>
      </w:r>
      <w:r w:rsidRPr="008C1137">
        <w:t>: any criminal act committed by a person or organisation that is reported to, or detected by, police for which a penalty may be imposed under the Victorian criminal justice system.</w:t>
      </w:r>
    </w:p>
    <w:p w14:paraId="57B0238D" w14:textId="77777777" w:rsidR="00B96EC0" w:rsidRPr="008C1137" w:rsidRDefault="00B96EC0" w:rsidP="00B5476D">
      <w:r w:rsidRPr="00313882">
        <w:rPr>
          <w:rStyle w:val="Strong"/>
        </w:rPr>
        <w:t>Criminal incident</w:t>
      </w:r>
      <w:r w:rsidRPr="008C1137">
        <w:t>: a criminal event that includes one or more offences, one or more alleged offenders and/or one or more victims, and is recorded by police as occurring on a single date at the one location.</w:t>
      </w:r>
    </w:p>
    <w:p w14:paraId="1B50C8B1" w14:textId="77777777" w:rsidR="00B96EC0" w:rsidRPr="008C1137" w:rsidRDefault="00B96EC0" w:rsidP="00B5476D">
      <w:r w:rsidRPr="00313882">
        <w:rPr>
          <w:rStyle w:val="Strong"/>
        </w:rPr>
        <w:t>Alleged offender incident</w:t>
      </w:r>
      <w:r w:rsidRPr="008C1137">
        <w:t>: an incident involving one or more offences linked to an alleged offender. Where two alleged offenders have participated in the one incident, two alleged offender incidents are recorded. There may be multiple incidents within a given period that involve the one alleged offender.</w:t>
      </w:r>
    </w:p>
    <w:p w14:paraId="052FFA6F" w14:textId="77777777" w:rsidR="00B96EC0" w:rsidRPr="008C1137" w:rsidRDefault="00B96EC0" w:rsidP="00B5476D">
      <w:r w:rsidRPr="00EA0250">
        <w:rPr>
          <w:rStyle w:val="Strong"/>
        </w:rPr>
        <w:t>Unique alleged offender</w:t>
      </w:r>
      <w:r w:rsidRPr="008C1137">
        <w:t xml:space="preserve">: a person or organisation involved in one or more alleged criminal incidents within a financial year. One unique alleged offender may have been involved in multiple criminal incidents during a financial year but will only be counted once in the data presented in this chapter. If there are multiple unique alleged offenders related to a single </w:t>
      </w:r>
      <w:r w:rsidRPr="008C1137">
        <w:lastRenderedPageBreak/>
        <w:t xml:space="preserve">criminal incident, each unique alleged offender will be counted once in the financial year. </w:t>
      </w:r>
    </w:p>
    <w:p w14:paraId="1CA7166B" w14:textId="77777777" w:rsidR="00B96EC0" w:rsidRPr="008C1137" w:rsidRDefault="00B96EC0" w:rsidP="00B5476D">
      <w:r w:rsidRPr="00EA0250">
        <w:rPr>
          <w:rStyle w:val="Strong"/>
        </w:rPr>
        <w:t>Family incident flag</w:t>
      </w:r>
      <w:r w:rsidRPr="008C1137">
        <w:t>: an identifier indicating that Victoria Police attended an incident and completed a risk assessment and risk management report. ‘The report is completed when family violence incidents, interfamilial-related sexual offences, and child abuse are reported to police’.</w:t>
      </w:r>
      <w:r w:rsidRPr="003B3217">
        <w:t>*</w:t>
      </w:r>
    </w:p>
    <w:p w14:paraId="5113D326" w14:textId="77777777" w:rsidR="00B96EC0" w:rsidRPr="008C1137" w:rsidRDefault="00B96EC0" w:rsidP="00D4532A">
      <w:r w:rsidRPr="000C258A">
        <w:rPr>
          <w:rStyle w:val="Strong"/>
        </w:rPr>
        <w:t>Source</w:t>
      </w:r>
      <w:r w:rsidRPr="008C1137">
        <w:t>: Crime Statistics Agency, ‘Glossary and Data Dictionary’ (crimestatistics.vic.gov.au, 2025)</w:t>
      </w:r>
    </w:p>
    <w:p w14:paraId="00982F34" w14:textId="77777777" w:rsidR="00B96EC0" w:rsidRPr="008C1137" w:rsidRDefault="00B96EC0" w:rsidP="00D4532A">
      <w:pPr>
        <w:rPr>
          <w:rStyle w:val="Italic"/>
        </w:rPr>
      </w:pPr>
      <w:r w:rsidRPr="000F1B94">
        <w:t xml:space="preserve">*See source definition of </w:t>
      </w:r>
      <w:r w:rsidRPr="008C1137">
        <w:rPr>
          <w:rStyle w:val="Italic"/>
        </w:rPr>
        <w:t>Victoria Police Risk Assessment and Management Report</w:t>
      </w:r>
    </w:p>
    <w:p w14:paraId="39A30089" w14:textId="77777777" w:rsidR="00A4454A" w:rsidRPr="008C1137" w:rsidRDefault="00A4454A" w:rsidP="00210207">
      <w:pPr>
        <w:pStyle w:val="Numbered"/>
      </w:pPr>
      <w:r w:rsidRPr="008C1137">
        <w:t xml:space="preserve">Recorded offence data captures crime that has been reported to, or detected by, police and includes offences alleged against both adults and children. Conversely, recorded offence data does </w:t>
      </w:r>
      <w:r w:rsidRPr="003B3217">
        <w:rPr>
          <w:rStyle w:val="Italic"/>
        </w:rPr>
        <w:t xml:space="preserve">not </w:t>
      </w:r>
      <w:r w:rsidRPr="008C1137">
        <w:t>include offences that have not been reported to, or detected by, police. As a corollary of that, recorded offence data will invariably be an underestimate of the actual prevalence of offending in Victoria, especially for under-reported crimes such as family violence and sexual violence.</w:t>
      </w:r>
      <w:r w:rsidRPr="008C1137">
        <w:rPr>
          <w:rStyle w:val="Superscript"/>
        </w:rPr>
        <w:footnoteReference w:id="40"/>
      </w:r>
      <w:r w:rsidRPr="008C1137">
        <w:t xml:space="preserve"> Recorded offence data includes the number of </w:t>
      </w:r>
      <w:r w:rsidRPr="003B3217">
        <w:rPr>
          <w:rStyle w:val="Italic"/>
        </w:rPr>
        <w:t>recorded offences</w:t>
      </w:r>
      <w:r w:rsidRPr="008C1137">
        <w:t xml:space="preserve"> (crimes), the number of </w:t>
      </w:r>
      <w:r w:rsidRPr="003B3217">
        <w:rPr>
          <w:rStyle w:val="Italic"/>
        </w:rPr>
        <w:t>criminal incidents</w:t>
      </w:r>
      <w:r w:rsidRPr="008C1137">
        <w:t xml:space="preserve"> (criminal events), the number of </w:t>
      </w:r>
      <w:r w:rsidRPr="003B3217">
        <w:rPr>
          <w:rStyle w:val="Italic"/>
        </w:rPr>
        <w:t>alleged offender incidents</w:t>
      </w:r>
      <w:r w:rsidRPr="008C1137">
        <w:t xml:space="preserve"> (criminal events involving an identified offender) and the number of </w:t>
      </w:r>
      <w:r w:rsidRPr="003B3217">
        <w:rPr>
          <w:rStyle w:val="Italic"/>
        </w:rPr>
        <w:t>unique alleged offenders</w:t>
      </w:r>
      <w:r w:rsidRPr="008C1137">
        <w:t xml:space="preserve"> (unique people alleged to have committed an offence). There can be multiple crimes committed in a single criminal incident, and the same person can commit multiple offences in a single financial year. All four measures of offending are therefore useful for different purposes. </w:t>
      </w:r>
    </w:p>
    <w:p w14:paraId="3D5864AE" w14:textId="77777777" w:rsidR="00A4454A" w:rsidRPr="008C1137" w:rsidRDefault="00A4454A" w:rsidP="0002476E">
      <w:pPr>
        <w:pStyle w:val="Heading2"/>
      </w:pPr>
      <w:r w:rsidRPr="008C1137">
        <w:lastRenderedPageBreak/>
        <w:t xml:space="preserve">Number of recorded </w:t>
      </w:r>
      <w:r w:rsidRPr="0053159E">
        <w:rPr>
          <w:rStyle w:val="Italic"/>
        </w:rPr>
        <w:t>offences and criminal incidents</w:t>
      </w:r>
      <w:r w:rsidRPr="008C1137">
        <w:t>, overall and per capita</w:t>
      </w:r>
    </w:p>
    <w:p w14:paraId="031B4A0C" w14:textId="5A282106" w:rsidR="00A4454A" w:rsidRPr="008C1137" w:rsidRDefault="00A4454A" w:rsidP="00210207">
      <w:pPr>
        <w:pStyle w:val="Numbered"/>
      </w:pPr>
      <w:r w:rsidRPr="008C1137">
        <w:t xml:space="preserve">Figure 3 shows the number of recorded alleged offences (crimes) and criminal incidents (events) each financial year in the 20-year period. The number of recorded offences captures every offence reported to, or detected by, police. This can provide a broad indication of the volume of crime dealt with by police each year. There are, though, often multiple offences committed in a single criminal incident; for example, an offender may have been charged with additional offences due to the nature of their offending, such as contravening a conduct condition of bail or contravening a supervision order. For this reason, the number of criminal incidents generally sits lower than the number of recorded offences and can more accurately reflect the occurrence of criminal activity in the community. </w:t>
      </w:r>
    </w:p>
    <w:p w14:paraId="49096F65" w14:textId="77777777" w:rsidR="00CF6E1C" w:rsidRPr="008C1137" w:rsidRDefault="00CF6E1C" w:rsidP="00BE4EDC">
      <w:pPr>
        <w:pStyle w:val="Caption"/>
      </w:pPr>
      <w:r w:rsidRPr="00157502">
        <w:t>Figure 3</w:t>
      </w:r>
      <w:r w:rsidRPr="008C1137">
        <w:t>: Number of recorded offences and criminal incidents, 2004–05 to 2023–24</w:t>
      </w:r>
    </w:p>
    <w:tbl>
      <w:tblPr>
        <w:tblStyle w:val="Table"/>
        <w:tblW w:w="5000" w:type="pct"/>
        <w:tblLook w:val="04A0" w:firstRow="1" w:lastRow="0" w:firstColumn="1" w:lastColumn="0" w:noHBand="0" w:noVBand="1"/>
      </w:tblPr>
      <w:tblGrid>
        <w:gridCol w:w="2043"/>
        <w:gridCol w:w="3253"/>
        <w:gridCol w:w="3720"/>
      </w:tblGrid>
      <w:tr w:rsidR="006706F0" w:rsidRPr="006706F0" w14:paraId="150A5047" w14:textId="77777777" w:rsidTr="008E07FA">
        <w:trPr>
          <w:trHeight w:val="288"/>
          <w:tblHeader/>
        </w:trPr>
        <w:tc>
          <w:tcPr>
            <w:tcW w:w="1133" w:type="pct"/>
            <w:noWrap/>
            <w:hideMark/>
          </w:tcPr>
          <w:p w14:paraId="21B3570A" w14:textId="77777777" w:rsidR="006706F0" w:rsidRPr="006706F0" w:rsidRDefault="006706F0" w:rsidP="00C11103">
            <w:pPr>
              <w:pStyle w:val="TableHeading"/>
            </w:pPr>
            <w:r w:rsidRPr="006706F0">
              <w:t>Financial year</w:t>
            </w:r>
          </w:p>
        </w:tc>
        <w:tc>
          <w:tcPr>
            <w:tcW w:w="1804" w:type="pct"/>
            <w:noWrap/>
            <w:hideMark/>
          </w:tcPr>
          <w:p w14:paraId="781EE46F" w14:textId="77777777" w:rsidR="006706F0" w:rsidRPr="006706F0" w:rsidRDefault="006706F0" w:rsidP="00C11103">
            <w:pPr>
              <w:pStyle w:val="TableHeading"/>
            </w:pPr>
            <w:r w:rsidRPr="006706F0">
              <w:t>Recorded offences</w:t>
            </w:r>
          </w:p>
        </w:tc>
        <w:tc>
          <w:tcPr>
            <w:tcW w:w="2063" w:type="pct"/>
            <w:noWrap/>
            <w:hideMark/>
          </w:tcPr>
          <w:p w14:paraId="542E734E" w14:textId="77777777" w:rsidR="006706F0" w:rsidRPr="006706F0" w:rsidRDefault="006706F0" w:rsidP="00C11103">
            <w:pPr>
              <w:pStyle w:val="TableHeading"/>
            </w:pPr>
            <w:r w:rsidRPr="006706F0">
              <w:t>Recorded criminal incidents</w:t>
            </w:r>
          </w:p>
        </w:tc>
      </w:tr>
      <w:tr w:rsidR="006706F0" w:rsidRPr="006706F0" w14:paraId="18FF9703" w14:textId="77777777" w:rsidTr="008E07FA">
        <w:trPr>
          <w:trHeight w:val="288"/>
        </w:trPr>
        <w:tc>
          <w:tcPr>
            <w:tcW w:w="1133" w:type="pct"/>
            <w:noWrap/>
            <w:hideMark/>
          </w:tcPr>
          <w:p w14:paraId="47B67E92" w14:textId="77777777" w:rsidR="006706F0" w:rsidRPr="006706F0" w:rsidRDefault="006706F0" w:rsidP="00C11103">
            <w:pPr>
              <w:pStyle w:val="TableBody"/>
            </w:pPr>
            <w:r w:rsidRPr="006706F0">
              <w:t>2004-05</w:t>
            </w:r>
          </w:p>
        </w:tc>
        <w:tc>
          <w:tcPr>
            <w:tcW w:w="1804" w:type="pct"/>
            <w:noWrap/>
            <w:hideMark/>
          </w:tcPr>
          <w:p w14:paraId="3F228B85" w14:textId="77777777" w:rsidR="006706F0" w:rsidRPr="006706F0" w:rsidRDefault="006706F0" w:rsidP="00C11103">
            <w:pPr>
              <w:pStyle w:val="TableBody"/>
            </w:pPr>
            <w:r w:rsidRPr="006706F0">
              <w:t>377,376</w:t>
            </w:r>
          </w:p>
        </w:tc>
        <w:tc>
          <w:tcPr>
            <w:tcW w:w="2063" w:type="pct"/>
            <w:noWrap/>
            <w:hideMark/>
          </w:tcPr>
          <w:p w14:paraId="2B4F370C" w14:textId="77777777" w:rsidR="006706F0" w:rsidRPr="006706F0" w:rsidRDefault="006706F0" w:rsidP="00C11103">
            <w:pPr>
              <w:pStyle w:val="TableBody"/>
            </w:pPr>
            <w:r w:rsidRPr="006706F0">
              <w:t>302,102</w:t>
            </w:r>
          </w:p>
        </w:tc>
      </w:tr>
      <w:tr w:rsidR="006706F0" w:rsidRPr="006706F0" w14:paraId="65500426" w14:textId="77777777" w:rsidTr="008E07FA">
        <w:trPr>
          <w:trHeight w:val="288"/>
        </w:trPr>
        <w:tc>
          <w:tcPr>
            <w:tcW w:w="1133" w:type="pct"/>
            <w:noWrap/>
            <w:hideMark/>
          </w:tcPr>
          <w:p w14:paraId="205104CA" w14:textId="77777777" w:rsidR="006706F0" w:rsidRPr="006706F0" w:rsidRDefault="006706F0" w:rsidP="00C11103">
            <w:pPr>
              <w:pStyle w:val="TableBody"/>
            </w:pPr>
            <w:r w:rsidRPr="006706F0">
              <w:t>2005-06</w:t>
            </w:r>
          </w:p>
        </w:tc>
        <w:tc>
          <w:tcPr>
            <w:tcW w:w="1804" w:type="pct"/>
            <w:noWrap/>
            <w:hideMark/>
          </w:tcPr>
          <w:p w14:paraId="5F3183C9" w14:textId="77777777" w:rsidR="006706F0" w:rsidRPr="006706F0" w:rsidRDefault="006706F0" w:rsidP="00C11103">
            <w:pPr>
              <w:pStyle w:val="TableBody"/>
            </w:pPr>
            <w:r w:rsidRPr="006706F0">
              <w:t>377,455</w:t>
            </w:r>
          </w:p>
        </w:tc>
        <w:tc>
          <w:tcPr>
            <w:tcW w:w="2063" w:type="pct"/>
            <w:noWrap/>
            <w:hideMark/>
          </w:tcPr>
          <w:p w14:paraId="09999E06" w14:textId="77777777" w:rsidR="006706F0" w:rsidRPr="006706F0" w:rsidRDefault="006706F0" w:rsidP="00C11103">
            <w:pPr>
              <w:pStyle w:val="TableBody"/>
            </w:pPr>
            <w:r w:rsidRPr="006706F0">
              <w:t>303,417</w:t>
            </w:r>
          </w:p>
        </w:tc>
      </w:tr>
      <w:tr w:rsidR="006706F0" w:rsidRPr="006706F0" w14:paraId="1D3318FF" w14:textId="77777777" w:rsidTr="008E07FA">
        <w:trPr>
          <w:trHeight w:val="288"/>
        </w:trPr>
        <w:tc>
          <w:tcPr>
            <w:tcW w:w="1133" w:type="pct"/>
            <w:noWrap/>
            <w:hideMark/>
          </w:tcPr>
          <w:p w14:paraId="49BC19F1" w14:textId="77777777" w:rsidR="006706F0" w:rsidRPr="006706F0" w:rsidRDefault="006706F0" w:rsidP="00C11103">
            <w:pPr>
              <w:pStyle w:val="TableBody"/>
            </w:pPr>
            <w:r w:rsidRPr="006706F0">
              <w:t>2006-07</w:t>
            </w:r>
          </w:p>
        </w:tc>
        <w:tc>
          <w:tcPr>
            <w:tcW w:w="1804" w:type="pct"/>
            <w:noWrap/>
            <w:hideMark/>
          </w:tcPr>
          <w:p w14:paraId="503C2138" w14:textId="77777777" w:rsidR="006706F0" w:rsidRPr="006706F0" w:rsidRDefault="006706F0" w:rsidP="00C11103">
            <w:pPr>
              <w:pStyle w:val="TableBody"/>
            </w:pPr>
            <w:r w:rsidRPr="006706F0">
              <w:t>380,018</w:t>
            </w:r>
          </w:p>
        </w:tc>
        <w:tc>
          <w:tcPr>
            <w:tcW w:w="2063" w:type="pct"/>
            <w:noWrap/>
            <w:hideMark/>
          </w:tcPr>
          <w:p w14:paraId="2DD3460C" w14:textId="77777777" w:rsidR="006706F0" w:rsidRPr="006706F0" w:rsidRDefault="006706F0" w:rsidP="00C11103">
            <w:pPr>
              <w:pStyle w:val="TableBody"/>
            </w:pPr>
            <w:r w:rsidRPr="006706F0">
              <w:t>308,542</w:t>
            </w:r>
          </w:p>
        </w:tc>
      </w:tr>
      <w:tr w:rsidR="006706F0" w:rsidRPr="006706F0" w14:paraId="143E28F4" w14:textId="77777777" w:rsidTr="008E07FA">
        <w:trPr>
          <w:trHeight w:val="288"/>
        </w:trPr>
        <w:tc>
          <w:tcPr>
            <w:tcW w:w="1133" w:type="pct"/>
            <w:noWrap/>
            <w:hideMark/>
          </w:tcPr>
          <w:p w14:paraId="4C52B1EC" w14:textId="77777777" w:rsidR="006706F0" w:rsidRPr="006706F0" w:rsidRDefault="006706F0" w:rsidP="00C11103">
            <w:pPr>
              <w:pStyle w:val="TableBody"/>
            </w:pPr>
            <w:r w:rsidRPr="006706F0">
              <w:t>2007-08</w:t>
            </w:r>
          </w:p>
        </w:tc>
        <w:tc>
          <w:tcPr>
            <w:tcW w:w="1804" w:type="pct"/>
            <w:noWrap/>
            <w:hideMark/>
          </w:tcPr>
          <w:p w14:paraId="1B8088EC" w14:textId="77777777" w:rsidR="006706F0" w:rsidRPr="006706F0" w:rsidRDefault="006706F0" w:rsidP="00C11103">
            <w:pPr>
              <w:pStyle w:val="TableBody"/>
            </w:pPr>
            <w:r w:rsidRPr="006706F0">
              <w:t>380,721</w:t>
            </w:r>
          </w:p>
        </w:tc>
        <w:tc>
          <w:tcPr>
            <w:tcW w:w="2063" w:type="pct"/>
            <w:noWrap/>
            <w:hideMark/>
          </w:tcPr>
          <w:p w14:paraId="2D118593" w14:textId="77777777" w:rsidR="006706F0" w:rsidRPr="006706F0" w:rsidRDefault="006706F0" w:rsidP="00C11103">
            <w:pPr>
              <w:pStyle w:val="TableBody"/>
            </w:pPr>
            <w:r w:rsidRPr="006706F0">
              <w:t>312,783</w:t>
            </w:r>
          </w:p>
        </w:tc>
      </w:tr>
      <w:tr w:rsidR="006706F0" w:rsidRPr="006706F0" w14:paraId="2E29F390" w14:textId="77777777" w:rsidTr="008E07FA">
        <w:trPr>
          <w:trHeight w:val="288"/>
        </w:trPr>
        <w:tc>
          <w:tcPr>
            <w:tcW w:w="1133" w:type="pct"/>
            <w:noWrap/>
            <w:hideMark/>
          </w:tcPr>
          <w:p w14:paraId="2FB5D63C" w14:textId="77777777" w:rsidR="006706F0" w:rsidRPr="006706F0" w:rsidRDefault="006706F0" w:rsidP="00C11103">
            <w:pPr>
              <w:pStyle w:val="TableBody"/>
            </w:pPr>
            <w:r w:rsidRPr="006706F0">
              <w:t>2008-09</w:t>
            </w:r>
          </w:p>
        </w:tc>
        <w:tc>
          <w:tcPr>
            <w:tcW w:w="1804" w:type="pct"/>
            <w:noWrap/>
            <w:hideMark/>
          </w:tcPr>
          <w:p w14:paraId="6DE87B1C" w14:textId="77777777" w:rsidR="006706F0" w:rsidRPr="006706F0" w:rsidRDefault="006706F0" w:rsidP="00C11103">
            <w:pPr>
              <w:pStyle w:val="TableBody"/>
            </w:pPr>
            <w:r w:rsidRPr="006706F0">
              <w:t>385,181</w:t>
            </w:r>
          </w:p>
        </w:tc>
        <w:tc>
          <w:tcPr>
            <w:tcW w:w="2063" w:type="pct"/>
            <w:noWrap/>
            <w:hideMark/>
          </w:tcPr>
          <w:p w14:paraId="0AC7CDAC" w14:textId="77777777" w:rsidR="006706F0" w:rsidRPr="006706F0" w:rsidRDefault="006706F0" w:rsidP="00C11103">
            <w:pPr>
              <w:pStyle w:val="TableBody"/>
            </w:pPr>
            <w:r w:rsidRPr="006706F0">
              <w:t>314,179</w:t>
            </w:r>
          </w:p>
        </w:tc>
      </w:tr>
      <w:tr w:rsidR="006706F0" w:rsidRPr="006706F0" w14:paraId="501B5E7C" w14:textId="77777777" w:rsidTr="008E07FA">
        <w:trPr>
          <w:trHeight w:val="288"/>
        </w:trPr>
        <w:tc>
          <w:tcPr>
            <w:tcW w:w="1133" w:type="pct"/>
            <w:noWrap/>
            <w:hideMark/>
          </w:tcPr>
          <w:p w14:paraId="1A719802" w14:textId="77777777" w:rsidR="006706F0" w:rsidRPr="006706F0" w:rsidRDefault="006706F0" w:rsidP="00C11103">
            <w:pPr>
              <w:pStyle w:val="TableBody"/>
            </w:pPr>
            <w:r w:rsidRPr="006706F0">
              <w:t>2009-10</w:t>
            </w:r>
          </w:p>
        </w:tc>
        <w:tc>
          <w:tcPr>
            <w:tcW w:w="1804" w:type="pct"/>
            <w:noWrap/>
            <w:hideMark/>
          </w:tcPr>
          <w:p w14:paraId="12E13D27" w14:textId="77777777" w:rsidR="006706F0" w:rsidRPr="006706F0" w:rsidRDefault="006706F0" w:rsidP="00C11103">
            <w:pPr>
              <w:pStyle w:val="TableBody"/>
            </w:pPr>
            <w:r w:rsidRPr="006706F0">
              <w:t>379,522</w:t>
            </w:r>
          </w:p>
        </w:tc>
        <w:tc>
          <w:tcPr>
            <w:tcW w:w="2063" w:type="pct"/>
            <w:noWrap/>
            <w:hideMark/>
          </w:tcPr>
          <w:p w14:paraId="65F3AC06" w14:textId="77777777" w:rsidR="006706F0" w:rsidRPr="006706F0" w:rsidRDefault="006706F0" w:rsidP="00C11103">
            <w:pPr>
              <w:pStyle w:val="TableBody"/>
            </w:pPr>
            <w:r w:rsidRPr="006706F0">
              <w:t>315,180</w:t>
            </w:r>
          </w:p>
        </w:tc>
      </w:tr>
      <w:tr w:rsidR="006706F0" w:rsidRPr="006706F0" w14:paraId="5FD94F84" w14:textId="77777777" w:rsidTr="008E07FA">
        <w:trPr>
          <w:trHeight w:val="288"/>
        </w:trPr>
        <w:tc>
          <w:tcPr>
            <w:tcW w:w="1133" w:type="pct"/>
            <w:noWrap/>
            <w:hideMark/>
          </w:tcPr>
          <w:p w14:paraId="4504A200" w14:textId="77777777" w:rsidR="006706F0" w:rsidRPr="006706F0" w:rsidRDefault="006706F0" w:rsidP="00C11103">
            <w:pPr>
              <w:pStyle w:val="TableBody"/>
            </w:pPr>
            <w:r w:rsidRPr="006706F0">
              <w:t>2010-11</w:t>
            </w:r>
          </w:p>
        </w:tc>
        <w:tc>
          <w:tcPr>
            <w:tcW w:w="1804" w:type="pct"/>
            <w:noWrap/>
            <w:hideMark/>
          </w:tcPr>
          <w:p w14:paraId="5DC7A381" w14:textId="77777777" w:rsidR="006706F0" w:rsidRPr="006706F0" w:rsidRDefault="006706F0" w:rsidP="00C11103">
            <w:pPr>
              <w:pStyle w:val="TableBody"/>
            </w:pPr>
            <w:r w:rsidRPr="006706F0">
              <w:t>377,637</w:t>
            </w:r>
          </w:p>
        </w:tc>
        <w:tc>
          <w:tcPr>
            <w:tcW w:w="2063" w:type="pct"/>
            <w:noWrap/>
            <w:hideMark/>
          </w:tcPr>
          <w:p w14:paraId="4ED86CF8" w14:textId="77777777" w:rsidR="006706F0" w:rsidRPr="006706F0" w:rsidRDefault="006706F0" w:rsidP="00C11103">
            <w:pPr>
              <w:pStyle w:val="TableBody"/>
            </w:pPr>
            <w:r w:rsidRPr="006706F0">
              <w:t>310,802</w:t>
            </w:r>
          </w:p>
        </w:tc>
      </w:tr>
      <w:tr w:rsidR="006706F0" w:rsidRPr="006706F0" w14:paraId="0979A693" w14:textId="77777777" w:rsidTr="008E07FA">
        <w:trPr>
          <w:trHeight w:val="288"/>
        </w:trPr>
        <w:tc>
          <w:tcPr>
            <w:tcW w:w="1133" w:type="pct"/>
            <w:noWrap/>
            <w:hideMark/>
          </w:tcPr>
          <w:p w14:paraId="2ECC6A99" w14:textId="77777777" w:rsidR="006706F0" w:rsidRPr="006706F0" w:rsidRDefault="006706F0" w:rsidP="00C11103">
            <w:pPr>
              <w:pStyle w:val="TableBody"/>
            </w:pPr>
            <w:r w:rsidRPr="006706F0">
              <w:t>2011-12</w:t>
            </w:r>
          </w:p>
        </w:tc>
        <w:tc>
          <w:tcPr>
            <w:tcW w:w="1804" w:type="pct"/>
            <w:noWrap/>
            <w:hideMark/>
          </w:tcPr>
          <w:p w14:paraId="73223BC8" w14:textId="77777777" w:rsidR="006706F0" w:rsidRPr="006706F0" w:rsidRDefault="006706F0" w:rsidP="00C11103">
            <w:pPr>
              <w:pStyle w:val="TableBody"/>
            </w:pPr>
            <w:r w:rsidRPr="006706F0">
              <w:t>406,655</w:t>
            </w:r>
          </w:p>
        </w:tc>
        <w:tc>
          <w:tcPr>
            <w:tcW w:w="2063" w:type="pct"/>
            <w:noWrap/>
            <w:hideMark/>
          </w:tcPr>
          <w:p w14:paraId="035C5D73" w14:textId="77777777" w:rsidR="006706F0" w:rsidRPr="006706F0" w:rsidRDefault="006706F0" w:rsidP="00C11103">
            <w:pPr>
              <w:pStyle w:val="TableBody"/>
            </w:pPr>
            <w:r w:rsidRPr="006706F0">
              <w:t>327,489</w:t>
            </w:r>
          </w:p>
        </w:tc>
      </w:tr>
      <w:tr w:rsidR="006706F0" w:rsidRPr="006706F0" w14:paraId="7A2F57AE" w14:textId="77777777" w:rsidTr="008E07FA">
        <w:trPr>
          <w:trHeight w:val="288"/>
        </w:trPr>
        <w:tc>
          <w:tcPr>
            <w:tcW w:w="1133" w:type="pct"/>
            <w:noWrap/>
            <w:hideMark/>
          </w:tcPr>
          <w:p w14:paraId="1AF805CF" w14:textId="77777777" w:rsidR="006706F0" w:rsidRPr="006706F0" w:rsidRDefault="006706F0" w:rsidP="00C11103">
            <w:pPr>
              <w:pStyle w:val="TableBody"/>
            </w:pPr>
            <w:r w:rsidRPr="006706F0">
              <w:t>2012-13</w:t>
            </w:r>
          </w:p>
        </w:tc>
        <w:tc>
          <w:tcPr>
            <w:tcW w:w="1804" w:type="pct"/>
            <w:noWrap/>
            <w:hideMark/>
          </w:tcPr>
          <w:p w14:paraId="380396B7" w14:textId="77777777" w:rsidR="006706F0" w:rsidRPr="006706F0" w:rsidRDefault="006706F0" w:rsidP="00C11103">
            <w:pPr>
              <w:pStyle w:val="TableBody"/>
            </w:pPr>
            <w:r w:rsidRPr="006706F0">
              <w:t>424,802</w:t>
            </w:r>
          </w:p>
        </w:tc>
        <w:tc>
          <w:tcPr>
            <w:tcW w:w="2063" w:type="pct"/>
            <w:noWrap/>
            <w:hideMark/>
          </w:tcPr>
          <w:p w14:paraId="7CB9AD03" w14:textId="77777777" w:rsidR="006706F0" w:rsidRPr="006706F0" w:rsidRDefault="006706F0" w:rsidP="00C11103">
            <w:pPr>
              <w:pStyle w:val="TableBody"/>
            </w:pPr>
            <w:r w:rsidRPr="006706F0">
              <w:t>333,043</w:t>
            </w:r>
          </w:p>
        </w:tc>
      </w:tr>
      <w:tr w:rsidR="006706F0" w:rsidRPr="006706F0" w14:paraId="00965F1D" w14:textId="77777777" w:rsidTr="008E07FA">
        <w:trPr>
          <w:trHeight w:val="288"/>
        </w:trPr>
        <w:tc>
          <w:tcPr>
            <w:tcW w:w="1133" w:type="pct"/>
            <w:noWrap/>
            <w:hideMark/>
          </w:tcPr>
          <w:p w14:paraId="05439757" w14:textId="77777777" w:rsidR="006706F0" w:rsidRPr="006706F0" w:rsidRDefault="006706F0" w:rsidP="00C11103">
            <w:pPr>
              <w:pStyle w:val="TableBody"/>
            </w:pPr>
            <w:r w:rsidRPr="006706F0">
              <w:t>2013-14</w:t>
            </w:r>
          </w:p>
        </w:tc>
        <w:tc>
          <w:tcPr>
            <w:tcW w:w="1804" w:type="pct"/>
            <w:noWrap/>
            <w:hideMark/>
          </w:tcPr>
          <w:p w14:paraId="0D119217" w14:textId="77777777" w:rsidR="006706F0" w:rsidRPr="006706F0" w:rsidRDefault="006706F0" w:rsidP="00C11103">
            <w:pPr>
              <w:pStyle w:val="TableBody"/>
            </w:pPr>
            <w:r w:rsidRPr="006706F0">
              <w:t>448,813</w:t>
            </w:r>
          </w:p>
        </w:tc>
        <w:tc>
          <w:tcPr>
            <w:tcW w:w="2063" w:type="pct"/>
            <w:noWrap/>
            <w:hideMark/>
          </w:tcPr>
          <w:p w14:paraId="761E39A5" w14:textId="77777777" w:rsidR="006706F0" w:rsidRPr="006706F0" w:rsidRDefault="006706F0" w:rsidP="00C11103">
            <w:pPr>
              <w:pStyle w:val="TableBody"/>
            </w:pPr>
            <w:r w:rsidRPr="006706F0">
              <w:t>344,121</w:t>
            </w:r>
          </w:p>
        </w:tc>
      </w:tr>
      <w:tr w:rsidR="006706F0" w:rsidRPr="006706F0" w14:paraId="0B8E7255" w14:textId="77777777" w:rsidTr="008E07FA">
        <w:trPr>
          <w:trHeight w:val="288"/>
        </w:trPr>
        <w:tc>
          <w:tcPr>
            <w:tcW w:w="1133" w:type="pct"/>
            <w:noWrap/>
            <w:hideMark/>
          </w:tcPr>
          <w:p w14:paraId="23CB8BDE" w14:textId="77777777" w:rsidR="006706F0" w:rsidRPr="006706F0" w:rsidRDefault="006706F0" w:rsidP="00C11103">
            <w:pPr>
              <w:pStyle w:val="TableBody"/>
            </w:pPr>
            <w:r w:rsidRPr="006706F0">
              <w:t>2014-15</w:t>
            </w:r>
          </w:p>
        </w:tc>
        <w:tc>
          <w:tcPr>
            <w:tcW w:w="1804" w:type="pct"/>
            <w:noWrap/>
            <w:hideMark/>
          </w:tcPr>
          <w:p w14:paraId="52C17D32" w14:textId="77777777" w:rsidR="006706F0" w:rsidRPr="006706F0" w:rsidRDefault="006706F0" w:rsidP="00C11103">
            <w:pPr>
              <w:pStyle w:val="TableBody"/>
            </w:pPr>
            <w:r w:rsidRPr="006706F0">
              <w:t>471,740</w:t>
            </w:r>
          </w:p>
        </w:tc>
        <w:tc>
          <w:tcPr>
            <w:tcW w:w="2063" w:type="pct"/>
            <w:noWrap/>
            <w:hideMark/>
          </w:tcPr>
          <w:p w14:paraId="63ECB952" w14:textId="77777777" w:rsidR="006706F0" w:rsidRPr="006706F0" w:rsidRDefault="006706F0" w:rsidP="00C11103">
            <w:pPr>
              <w:pStyle w:val="TableBody"/>
            </w:pPr>
            <w:r w:rsidRPr="006706F0">
              <w:t>351,765</w:t>
            </w:r>
          </w:p>
        </w:tc>
      </w:tr>
      <w:tr w:rsidR="006706F0" w:rsidRPr="006706F0" w14:paraId="335400B5" w14:textId="77777777" w:rsidTr="008E07FA">
        <w:trPr>
          <w:trHeight w:val="288"/>
        </w:trPr>
        <w:tc>
          <w:tcPr>
            <w:tcW w:w="1133" w:type="pct"/>
            <w:noWrap/>
            <w:hideMark/>
          </w:tcPr>
          <w:p w14:paraId="72C4DDCC" w14:textId="77777777" w:rsidR="006706F0" w:rsidRPr="006706F0" w:rsidRDefault="006706F0" w:rsidP="00C11103">
            <w:pPr>
              <w:pStyle w:val="TableBody"/>
            </w:pPr>
            <w:r w:rsidRPr="006706F0">
              <w:t>2015-16</w:t>
            </w:r>
          </w:p>
        </w:tc>
        <w:tc>
          <w:tcPr>
            <w:tcW w:w="1804" w:type="pct"/>
            <w:noWrap/>
            <w:hideMark/>
          </w:tcPr>
          <w:p w14:paraId="057DE0C9" w14:textId="77777777" w:rsidR="006706F0" w:rsidRPr="006706F0" w:rsidRDefault="006706F0" w:rsidP="00C11103">
            <w:pPr>
              <w:pStyle w:val="TableBody"/>
            </w:pPr>
            <w:r w:rsidRPr="006706F0">
              <w:t>535,319</w:t>
            </w:r>
          </w:p>
        </w:tc>
        <w:tc>
          <w:tcPr>
            <w:tcW w:w="2063" w:type="pct"/>
            <w:noWrap/>
            <w:hideMark/>
          </w:tcPr>
          <w:p w14:paraId="4925344B" w14:textId="77777777" w:rsidR="006706F0" w:rsidRPr="006706F0" w:rsidRDefault="006706F0" w:rsidP="00C11103">
            <w:pPr>
              <w:pStyle w:val="TableBody"/>
            </w:pPr>
            <w:r w:rsidRPr="006706F0">
              <w:t>396,838</w:t>
            </w:r>
          </w:p>
        </w:tc>
      </w:tr>
      <w:tr w:rsidR="006706F0" w:rsidRPr="006706F0" w14:paraId="40C93E55" w14:textId="77777777" w:rsidTr="008E07FA">
        <w:trPr>
          <w:trHeight w:val="288"/>
        </w:trPr>
        <w:tc>
          <w:tcPr>
            <w:tcW w:w="1133" w:type="pct"/>
            <w:noWrap/>
            <w:hideMark/>
          </w:tcPr>
          <w:p w14:paraId="38ABE2F7" w14:textId="77777777" w:rsidR="006706F0" w:rsidRPr="006706F0" w:rsidRDefault="006706F0" w:rsidP="00C11103">
            <w:pPr>
              <w:pStyle w:val="TableBody"/>
            </w:pPr>
            <w:r w:rsidRPr="006706F0">
              <w:t>2016-17</w:t>
            </w:r>
          </w:p>
        </w:tc>
        <w:tc>
          <w:tcPr>
            <w:tcW w:w="1804" w:type="pct"/>
            <w:noWrap/>
            <w:hideMark/>
          </w:tcPr>
          <w:p w14:paraId="352EF4F3" w14:textId="77777777" w:rsidR="006706F0" w:rsidRPr="006706F0" w:rsidRDefault="006706F0" w:rsidP="00C11103">
            <w:pPr>
              <w:pStyle w:val="TableBody"/>
            </w:pPr>
            <w:r w:rsidRPr="006706F0">
              <w:t>532,106</w:t>
            </w:r>
          </w:p>
        </w:tc>
        <w:tc>
          <w:tcPr>
            <w:tcW w:w="2063" w:type="pct"/>
            <w:noWrap/>
            <w:hideMark/>
          </w:tcPr>
          <w:p w14:paraId="6577D23C" w14:textId="77777777" w:rsidR="006706F0" w:rsidRPr="006706F0" w:rsidRDefault="006706F0" w:rsidP="00C11103">
            <w:pPr>
              <w:pStyle w:val="TableBody"/>
            </w:pPr>
            <w:r w:rsidRPr="006706F0">
              <w:t>405,250</w:t>
            </w:r>
          </w:p>
        </w:tc>
      </w:tr>
      <w:tr w:rsidR="006706F0" w:rsidRPr="006706F0" w14:paraId="2993902D" w14:textId="77777777" w:rsidTr="008E07FA">
        <w:trPr>
          <w:trHeight w:val="288"/>
        </w:trPr>
        <w:tc>
          <w:tcPr>
            <w:tcW w:w="1133" w:type="pct"/>
            <w:noWrap/>
            <w:hideMark/>
          </w:tcPr>
          <w:p w14:paraId="03692A5C" w14:textId="77777777" w:rsidR="006706F0" w:rsidRPr="006706F0" w:rsidRDefault="006706F0" w:rsidP="00C11103">
            <w:pPr>
              <w:pStyle w:val="TableBody"/>
            </w:pPr>
            <w:r w:rsidRPr="006706F0">
              <w:t>2017-18</w:t>
            </w:r>
          </w:p>
        </w:tc>
        <w:tc>
          <w:tcPr>
            <w:tcW w:w="1804" w:type="pct"/>
            <w:noWrap/>
            <w:hideMark/>
          </w:tcPr>
          <w:p w14:paraId="748AB8FA" w14:textId="77777777" w:rsidR="006706F0" w:rsidRPr="006706F0" w:rsidRDefault="006706F0" w:rsidP="00C11103">
            <w:pPr>
              <w:pStyle w:val="TableBody"/>
            </w:pPr>
            <w:r w:rsidRPr="006706F0">
              <w:t>505,769</w:t>
            </w:r>
          </w:p>
        </w:tc>
        <w:tc>
          <w:tcPr>
            <w:tcW w:w="2063" w:type="pct"/>
            <w:noWrap/>
            <w:hideMark/>
          </w:tcPr>
          <w:p w14:paraId="08E73972" w14:textId="77777777" w:rsidR="006706F0" w:rsidRPr="006706F0" w:rsidRDefault="006706F0" w:rsidP="00C11103">
            <w:pPr>
              <w:pStyle w:val="TableBody"/>
            </w:pPr>
            <w:r w:rsidRPr="006706F0">
              <w:t>381,696</w:t>
            </w:r>
          </w:p>
        </w:tc>
      </w:tr>
      <w:tr w:rsidR="006706F0" w:rsidRPr="006706F0" w14:paraId="493217E0" w14:textId="77777777" w:rsidTr="008E07FA">
        <w:trPr>
          <w:trHeight w:val="288"/>
        </w:trPr>
        <w:tc>
          <w:tcPr>
            <w:tcW w:w="1133" w:type="pct"/>
            <w:noWrap/>
            <w:hideMark/>
          </w:tcPr>
          <w:p w14:paraId="1D0EC5F2" w14:textId="77777777" w:rsidR="006706F0" w:rsidRPr="006706F0" w:rsidRDefault="006706F0" w:rsidP="00C11103">
            <w:pPr>
              <w:pStyle w:val="TableBody"/>
            </w:pPr>
            <w:r w:rsidRPr="006706F0">
              <w:t>2018-19</w:t>
            </w:r>
          </w:p>
        </w:tc>
        <w:tc>
          <w:tcPr>
            <w:tcW w:w="1804" w:type="pct"/>
            <w:noWrap/>
            <w:hideMark/>
          </w:tcPr>
          <w:p w14:paraId="5ACCA636" w14:textId="77777777" w:rsidR="006706F0" w:rsidRPr="006706F0" w:rsidRDefault="006706F0" w:rsidP="00C11103">
            <w:pPr>
              <w:pStyle w:val="TableBody"/>
            </w:pPr>
            <w:r w:rsidRPr="006706F0">
              <w:t>513,400</w:t>
            </w:r>
          </w:p>
        </w:tc>
        <w:tc>
          <w:tcPr>
            <w:tcW w:w="2063" w:type="pct"/>
            <w:noWrap/>
            <w:hideMark/>
          </w:tcPr>
          <w:p w14:paraId="78114286" w14:textId="77777777" w:rsidR="006706F0" w:rsidRPr="006706F0" w:rsidRDefault="006706F0" w:rsidP="00C11103">
            <w:pPr>
              <w:pStyle w:val="TableBody"/>
            </w:pPr>
            <w:r w:rsidRPr="006706F0">
              <w:t>385,786</w:t>
            </w:r>
          </w:p>
        </w:tc>
      </w:tr>
      <w:tr w:rsidR="006706F0" w:rsidRPr="006706F0" w14:paraId="2220A7C4" w14:textId="77777777" w:rsidTr="008E07FA">
        <w:trPr>
          <w:trHeight w:val="288"/>
        </w:trPr>
        <w:tc>
          <w:tcPr>
            <w:tcW w:w="1133" w:type="pct"/>
            <w:noWrap/>
            <w:hideMark/>
          </w:tcPr>
          <w:p w14:paraId="21CAB655" w14:textId="77777777" w:rsidR="006706F0" w:rsidRPr="006706F0" w:rsidRDefault="006706F0" w:rsidP="00C11103">
            <w:pPr>
              <w:pStyle w:val="TableBody"/>
            </w:pPr>
            <w:r w:rsidRPr="006706F0">
              <w:t>2019-20</w:t>
            </w:r>
          </w:p>
        </w:tc>
        <w:tc>
          <w:tcPr>
            <w:tcW w:w="1804" w:type="pct"/>
            <w:noWrap/>
            <w:hideMark/>
          </w:tcPr>
          <w:p w14:paraId="78C19911" w14:textId="77777777" w:rsidR="006706F0" w:rsidRPr="006706F0" w:rsidRDefault="006706F0" w:rsidP="00C11103">
            <w:pPr>
              <w:pStyle w:val="TableBody"/>
            </w:pPr>
            <w:r w:rsidRPr="006706F0">
              <w:t>543,937</w:t>
            </w:r>
          </w:p>
        </w:tc>
        <w:tc>
          <w:tcPr>
            <w:tcW w:w="2063" w:type="pct"/>
            <w:noWrap/>
            <w:hideMark/>
          </w:tcPr>
          <w:p w14:paraId="361A183D" w14:textId="77777777" w:rsidR="006706F0" w:rsidRPr="006706F0" w:rsidRDefault="006706F0" w:rsidP="00C11103">
            <w:pPr>
              <w:pStyle w:val="TableBody"/>
            </w:pPr>
            <w:r w:rsidRPr="006706F0">
              <w:t>406,664</w:t>
            </w:r>
          </w:p>
        </w:tc>
      </w:tr>
      <w:tr w:rsidR="006706F0" w:rsidRPr="006706F0" w14:paraId="7AE30C96" w14:textId="77777777" w:rsidTr="008E07FA">
        <w:trPr>
          <w:trHeight w:val="288"/>
        </w:trPr>
        <w:tc>
          <w:tcPr>
            <w:tcW w:w="1133" w:type="pct"/>
            <w:noWrap/>
            <w:hideMark/>
          </w:tcPr>
          <w:p w14:paraId="59D0C83E" w14:textId="77777777" w:rsidR="006706F0" w:rsidRPr="006706F0" w:rsidRDefault="006706F0" w:rsidP="00C11103">
            <w:pPr>
              <w:pStyle w:val="TableBody"/>
            </w:pPr>
            <w:r w:rsidRPr="006706F0">
              <w:t>2020-21</w:t>
            </w:r>
          </w:p>
        </w:tc>
        <w:tc>
          <w:tcPr>
            <w:tcW w:w="1804" w:type="pct"/>
            <w:noWrap/>
            <w:hideMark/>
          </w:tcPr>
          <w:p w14:paraId="399EDBA6" w14:textId="77777777" w:rsidR="006706F0" w:rsidRPr="006706F0" w:rsidRDefault="006706F0" w:rsidP="00C11103">
            <w:pPr>
              <w:pStyle w:val="TableBody"/>
            </w:pPr>
            <w:r w:rsidRPr="006706F0">
              <w:t>521,455</w:t>
            </w:r>
          </w:p>
        </w:tc>
        <w:tc>
          <w:tcPr>
            <w:tcW w:w="2063" w:type="pct"/>
            <w:noWrap/>
            <w:hideMark/>
          </w:tcPr>
          <w:p w14:paraId="1E5D4314" w14:textId="77777777" w:rsidR="006706F0" w:rsidRPr="006706F0" w:rsidRDefault="006706F0" w:rsidP="00C11103">
            <w:pPr>
              <w:pStyle w:val="TableBody"/>
            </w:pPr>
            <w:r w:rsidRPr="006706F0">
              <w:t>377,330</w:t>
            </w:r>
          </w:p>
        </w:tc>
      </w:tr>
      <w:tr w:rsidR="006706F0" w:rsidRPr="006706F0" w14:paraId="2F3D8CB5" w14:textId="77777777" w:rsidTr="008E07FA">
        <w:trPr>
          <w:trHeight w:val="288"/>
        </w:trPr>
        <w:tc>
          <w:tcPr>
            <w:tcW w:w="1133" w:type="pct"/>
            <w:noWrap/>
            <w:hideMark/>
          </w:tcPr>
          <w:p w14:paraId="7366CAC7" w14:textId="77777777" w:rsidR="006706F0" w:rsidRPr="006706F0" w:rsidRDefault="006706F0" w:rsidP="00C11103">
            <w:pPr>
              <w:pStyle w:val="TableBody"/>
            </w:pPr>
            <w:r w:rsidRPr="006706F0">
              <w:t>2021-22</w:t>
            </w:r>
          </w:p>
        </w:tc>
        <w:tc>
          <w:tcPr>
            <w:tcW w:w="1804" w:type="pct"/>
            <w:noWrap/>
            <w:hideMark/>
          </w:tcPr>
          <w:p w14:paraId="497E30E6" w14:textId="77777777" w:rsidR="006706F0" w:rsidRPr="006706F0" w:rsidRDefault="006706F0" w:rsidP="00C11103">
            <w:pPr>
              <w:pStyle w:val="TableBody"/>
            </w:pPr>
            <w:r w:rsidRPr="006706F0">
              <w:t>469,022</w:t>
            </w:r>
          </w:p>
        </w:tc>
        <w:tc>
          <w:tcPr>
            <w:tcW w:w="2063" w:type="pct"/>
            <w:noWrap/>
            <w:hideMark/>
          </w:tcPr>
          <w:p w14:paraId="0926C418" w14:textId="77777777" w:rsidR="006706F0" w:rsidRPr="006706F0" w:rsidRDefault="006706F0" w:rsidP="00C11103">
            <w:pPr>
              <w:pStyle w:val="TableBody"/>
            </w:pPr>
            <w:r w:rsidRPr="006706F0">
              <w:t>340,099</w:t>
            </w:r>
          </w:p>
        </w:tc>
      </w:tr>
      <w:tr w:rsidR="006706F0" w:rsidRPr="006706F0" w14:paraId="124A9425" w14:textId="77777777" w:rsidTr="008E07FA">
        <w:trPr>
          <w:trHeight w:val="288"/>
        </w:trPr>
        <w:tc>
          <w:tcPr>
            <w:tcW w:w="1133" w:type="pct"/>
            <w:noWrap/>
            <w:hideMark/>
          </w:tcPr>
          <w:p w14:paraId="674BDA3D" w14:textId="77777777" w:rsidR="006706F0" w:rsidRPr="006706F0" w:rsidRDefault="006706F0" w:rsidP="00C11103">
            <w:pPr>
              <w:pStyle w:val="TableBody"/>
            </w:pPr>
            <w:r w:rsidRPr="006706F0">
              <w:t>2022-23</w:t>
            </w:r>
          </w:p>
        </w:tc>
        <w:tc>
          <w:tcPr>
            <w:tcW w:w="1804" w:type="pct"/>
            <w:noWrap/>
            <w:hideMark/>
          </w:tcPr>
          <w:p w14:paraId="640031DF" w14:textId="77777777" w:rsidR="006706F0" w:rsidRPr="006706F0" w:rsidRDefault="006706F0" w:rsidP="00C11103">
            <w:pPr>
              <w:pStyle w:val="TableBody"/>
            </w:pPr>
            <w:r w:rsidRPr="006706F0">
              <w:t>506,144</w:t>
            </w:r>
          </w:p>
        </w:tc>
        <w:tc>
          <w:tcPr>
            <w:tcW w:w="2063" w:type="pct"/>
            <w:noWrap/>
            <w:hideMark/>
          </w:tcPr>
          <w:p w14:paraId="76861E70" w14:textId="77777777" w:rsidR="006706F0" w:rsidRPr="006706F0" w:rsidRDefault="006706F0" w:rsidP="00C11103">
            <w:pPr>
              <w:pStyle w:val="TableBody"/>
            </w:pPr>
            <w:r w:rsidRPr="006706F0">
              <w:t>370,524</w:t>
            </w:r>
          </w:p>
        </w:tc>
      </w:tr>
      <w:tr w:rsidR="006706F0" w:rsidRPr="006706F0" w14:paraId="12771C97" w14:textId="77777777" w:rsidTr="008E07FA">
        <w:trPr>
          <w:trHeight w:val="288"/>
        </w:trPr>
        <w:tc>
          <w:tcPr>
            <w:tcW w:w="1133" w:type="pct"/>
            <w:noWrap/>
            <w:hideMark/>
          </w:tcPr>
          <w:p w14:paraId="522200D2" w14:textId="77777777" w:rsidR="006706F0" w:rsidRPr="006706F0" w:rsidRDefault="006706F0" w:rsidP="00C11103">
            <w:pPr>
              <w:pStyle w:val="TableBody"/>
            </w:pPr>
            <w:r w:rsidRPr="006706F0">
              <w:t>2023-24</w:t>
            </w:r>
          </w:p>
        </w:tc>
        <w:tc>
          <w:tcPr>
            <w:tcW w:w="1804" w:type="pct"/>
            <w:noWrap/>
            <w:hideMark/>
          </w:tcPr>
          <w:p w14:paraId="7D8646A9" w14:textId="77777777" w:rsidR="006706F0" w:rsidRPr="006706F0" w:rsidRDefault="006706F0" w:rsidP="00C11103">
            <w:pPr>
              <w:pStyle w:val="TableBody"/>
            </w:pPr>
            <w:r w:rsidRPr="006706F0">
              <w:t>552,088</w:t>
            </w:r>
          </w:p>
        </w:tc>
        <w:tc>
          <w:tcPr>
            <w:tcW w:w="2063" w:type="pct"/>
            <w:noWrap/>
            <w:hideMark/>
          </w:tcPr>
          <w:p w14:paraId="2351C173" w14:textId="77777777" w:rsidR="006706F0" w:rsidRPr="006706F0" w:rsidRDefault="006706F0" w:rsidP="00C11103">
            <w:pPr>
              <w:pStyle w:val="TableBody"/>
            </w:pPr>
            <w:r w:rsidRPr="006706F0">
              <w:t>409,009</w:t>
            </w:r>
          </w:p>
        </w:tc>
      </w:tr>
    </w:tbl>
    <w:p w14:paraId="3B4B6EDF" w14:textId="77777777" w:rsidR="00CF6E1C" w:rsidRPr="008C1137" w:rsidRDefault="00CF6E1C" w:rsidP="00D4532A">
      <w:r w:rsidRPr="000C258A">
        <w:rPr>
          <w:rStyle w:val="Strong"/>
        </w:rPr>
        <w:lastRenderedPageBreak/>
        <w:t>Source</w:t>
      </w:r>
      <w:r w:rsidRPr="008C1137">
        <w:t>: Crime Statistics Agency Victoria, unpublished data</w:t>
      </w:r>
    </w:p>
    <w:p w14:paraId="48F451E0" w14:textId="77777777" w:rsidR="00A4454A" w:rsidRPr="008C1137" w:rsidRDefault="00A4454A" w:rsidP="00210207">
      <w:pPr>
        <w:pStyle w:val="Numbered"/>
      </w:pPr>
      <w:r w:rsidRPr="008C1137">
        <w:t xml:space="preserve">In the 7 years to 30 June 2011, the number of recorded offences and criminal incidents in Victoria stayed relatively stable (with criminal incidents sitting around 19% lower than recorded offences), before then increasing significantly in the 5 years that followed, to 2015–16. Since 2015–16, no apparent trend has been exhibited, though the gap seems to have widened between the two, likely reflecting the introduction of a number of ‘secondary offences’ (such as contravening a conduct condition of bail and committing an indicatable offence while on bail, neither of which were distinct offences prior to 2013). In effect, while there was a 46% increase in the number of recorded offences in the 20-year period, there was a smaller 35% increase in the number of criminal incidents. </w:t>
      </w:r>
    </w:p>
    <w:p w14:paraId="5FF5DBF6" w14:textId="77777777" w:rsidR="00A4454A" w:rsidRPr="008C1137" w:rsidRDefault="00A4454A" w:rsidP="00210207">
      <w:pPr>
        <w:pStyle w:val="Numbered"/>
      </w:pPr>
      <w:r w:rsidRPr="008C1137">
        <w:t>Raw numbers fail, however, to account for population changes. There was a significant population increase in Victoria in that same period, from just over 5 million people in June 2005 to almost 7 million in June 2024 (39%).</w:t>
      </w:r>
      <w:r w:rsidRPr="008C1137">
        <w:rPr>
          <w:rStyle w:val="Superscript"/>
        </w:rPr>
        <w:footnoteReference w:id="41"/>
      </w:r>
      <w:r w:rsidRPr="008C1137">
        <w:t xml:space="preserve"> In other words, while the 46% growth in the number of recorded offences exceeded the increase in Victoria’s population, population growth </w:t>
      </w:r>
      <w:r w:rsidRPr="003B3217">
        <w:rPr>
          <w:rStyle w:val="Italic"/>
        </w:rPr>
        <w:t>outpaced</w:t>
      </w:r>
      <w:r w:rsidRPr="008C1137">
        <w:t xml:space="preserve"> growth in the number of criminal incidents (which increased by 35%). This is most likely due to changes in which behaviours are criminalised,</w:t>
      </w:r>
      <w:r w:rsidRPr="008C1137">
        <w:rPr>
          <w:rStyle w:val="Superscript"/>
        </w:rPr>
        <w:footnoteReference w:id="42"/>
      </w:r>
      <w:r w:rsidRPr="008C1137">
        <w:t xml:space="preserve"> and an increased willingness to report gender-based violence,</w:t>
      </w:r>
      <w:r w:rsidRPr="008C1137">
        <w:rPr>
          <w:rStyle w:val="Superscript"/>
        </w:rPr>
        <w:footnoteReference w:id="43"/>
      </w:r>
      <w:r w:rsidRPr="008C1137">
        <w:t xml:space="preserve"> </w:t>
      </w:r>
      <w:r w:rsidRPr="008C1137">
        <w:lastRenderedPageBreak/>
        <w:t>rather than an actual increase in the prevalence of offending behaviours.</w:t>
      </w:r>
    </w:p>
    <w:p w14:paraId="76045830" w14:textId="249A5D74" w:rsidR="00A4454A" w:rsidRPr="008C1137" w:rsidRDefault="00A4454A" w:rsidP="00210207">
      <w:pPr>
        <w:pStyle w:val="Numbered"/>
      </w:pPr>
      <w:r w:rsidRPr="008C1137">
        <w:t>To illustrate, Figure 4 shows the per capita rate of recorded offences and criminal incidents in Victoria over time. Over the 20-year period, the rate of recorded offences increased by just 5%, from 7,564 offences per 100,000 people to 7,911. Again, however, most of this increase occurred from 2011–12 to 2015–16. Since then – with the exception of the two most recent financial years (and a small increase in 2019–20, due to breach of chief health officer direction offences during COVID-19</w:t>
      </w:r>
      <w:r w:rsidRPr="008C1137">
        <w:rPr>
          <w:rStyle w:val="Superscript"/>
        </w:rPr>
        <w:footnoteReference w:id="44"/>
      </w:r>
      <w:r w:rsidRPr="008C1137">
        <w:t>) – there was actually a decrease in the per capita rate of offending, with offence rates lower than they were at their peak in 2015–16. In turn, the rate of criminal incidents actually declined over the 20-year period (by 3%).</w:t>
      </w:r>
    </w:p>
    <w:p w14:paraId="3BFC7E85" w14:textId="77777777" w:rsidR="00477ACE" w:rsidRPr="008C1137" w:rsidRDefault="00477ACE" w:rsidP="00BE4EDC">
      <w:pPr>
        <w:pStyle w:val="Caption"/>
      </w:pPr>
      <w:r w:rsidRPr="00157502">
        <w:t>Figure 4</w:t>
      </w:r>
      <w:r w:rsidRPr="008C1137">
        <w:t>: Per capita rate of recorded offences and criminal incidents (per 100,000 population), 2004–05 to 2023–24</w:t>
      </w:r>
    </w:p>
    <w:tbl>
      <w:tblPr>
        <w:tblStyle w:val="Table"/>
        <w:tblW w:w="5000" w:type="pct"/>
        <w:tblLook w:val="04A0" w:firstRow="1" w:lastRow="0" w:firstColumn="1" w:lastColumn="0" w:noHBand="0" w:noVBand="1"/>
      </w:tblPr>
      <w:tblGrid>
        <w:gridCol w:w="1921"/>
        <w:gridCol w:w="3548"/>
        <w:gridCol w:w="3547"/>
      </w:tblGrid>
      <w:tr w:rsidR="0073590D" w:rsidRPr="0073590D" w14:paraId="5F088186" w14:textId="77777777" w:rsidTr="008E07FA">
        <w:trPr>
          <w:trHeight w:val="288"/>
          <w:tblHeader/>
        </w:trPr>
        <w:tc>
          <w:tcPr>
            <w:tcW w:w="1065" w:type="pct"/>
            <w:noWrap/>
            <w:hideMark/>
          </w:tcPr>
          <w:p w14:paraId="61D5AB62" w14:textId="77777777" w:rsidR="0073590D" w:rsidRPr="0073590D" w:rsidRDefault="0073590D" w:rsidP="0007655F">
            <w:pPr>
              <w:pStyle w:val="TableHeading"/>
            </w:pPr>
            <w:r w:rsidRPr="0073590D">
              <w:t>Financial year</w:t>
            </w:r>
          </w:p>
        </w:tc>
        <w:tc>
          <w:tcPr>
            <w:tcW w:w="1967" w:type="pct"/>
            <w:noWrap/>
            <w:hideMark/>
          </w:tcPr>
          <w:p w14:paraId="5D1CB840" w14:textId="77777777" w:rsidR="0073590D" w:rsidRPr="0073590D" w:rsidRDefault="0073590D" w:rsidP="0007655F">
            <w:pPr>
              <w:pStyle w:val="TableHeading"/>
            </w:pPr>
            <w:r w:rsidRPr="0073590D">
              <w:t>Per capita recorded offences</w:t>
            </w:r>
          </w:p>
        </w:tc>
        <w:tc>
          <w:tcPr>
            <w:tcW w:w="1967" w:type="pct"/>
            <w:noWrap/>
            <w:hideMark/>
          </w:tcPr>
          <w:p w14:paraId="31D54D70" w14:textId="77777777" w:rsidR="0073590D" w:rsidRPr="0073590D" w:rsidRDefault="0073590D" w:rsidP="0007655F">
            <w:pPr>
              <w:pStyle w:val="TableHeading"/>
            </w:pPr>
            <w:r w:rsidRPr="0073590D">
              <w:t>Per capita criminal incidents</w:t>
            </w:r>
          </w:p>
        </w:tc>
      </w:tr>
      <w:tr w:rsidR="0073590D" w:rsidRPr="0073590D" w14:paraId="0D4AABE0" w14:textId="77777777" w:rsidTr="008E07FA">
        <w:trPr>
          <w:trHeight w:val="288"/>
        </w:trPr>
        <w:tc>
          <w:tcPr>
            <w:tcW w:w="1065" w:type="pct"/>
            <w:noWrap/>
            <w:hideMark/>
          </w:tcPr>
          <w:p w14:paraId="645DE897" w14:textId="77777777" w:rsidR="0073590D" w:rsidRPr="0073590D" w:rsidRDefault="0073590D" w:rsidP="0007655F">
            <w:pPr>
              <w:pStyle w:val="TableBody"/>
            </w:pPr>
            <w:r w:rsidRPr="0073590D">
              <w:t>2004-05</w:t>
            </w:r>
          </w:p>
        </w:tc>
        <w:tc>
          <w:tcPr>
            <w:tcW w:w="1967" w:type="pct"/>
            <w:noWrap/>
            <w:hideMark/>
          </w:tcPr>
          <w:p w14:paraId="01B0CCD0" w14:textId="77777777" w:rsidR="0073590D" w:rsidRPr="0073590D" w:rsidRDefault="0073590D" w:rsidP="0007655F">
            <w:pPr>
              <w:pStyle w:val="TableBody"/>
            </w:pPr>
            <w:r w:rsidRPr="0073590D">
              <w:t>7,564</w:t>
            </w:r>
          </w:p>
        </w:tc>
        <w:tc>
          <w:tcPr>
            <w:tcW w:w="1967" w:type="pct"/>
            <w:noWrap/>
            <w:hideMark/>
          </w:tcPr>
          <w:p w14:paraId="76AE06E0" w14:textId="77777777" w:rsidR="0073590D" w:rsidRPr="0073590D" w:rsidRDefault="0073590D" w:rsidP="0007655F">
            <w:pPr>
              <w:pStyle w:val="TableBody"/>
            </w:pPr>
            <w:r w:rsidRPr="0073590D">
              <w:t>6,055</w:t>
            </w:r>
          </w:p>
        </w:tc>
      </w:tr>
      <w:tr w:rsidR="0073590D" w:rsidRPr="0073590D" w14:paraId="52827EEF" w14:textId="77777777" w:rsidTr="008E07FA">
        <w:trPr>
          <w:trHeight w:val="288"/>
        </w:trPr>
        <w:tc>
          <w:tcPr>
            <w:tcW w:w="1065" w:type="pct"/>
            <w:noWrap/>
            <w:hideMark/>
          </w:tcPr>
          <w:p w14:paraId="04B07B88" w14:textId="77777777" w:rsidR="0073590D" w:rsidRPr="0073590D" w:rsidRDefault="0073590D" w:rsidP="0007655F">
            <w:pPr>
              <w:pStyle w:val="TableBody"/>
            </w:pPr>
            <w:r w:rsidRPr="0073590D">
              <w:t>2005-06</w:t>
            </w:r>
          </w:p>
        </w:tc>
        <w:tc>
          <w:tcPr>
            <w:tcW w:w="1967" w:type="pct"/>
            <w:noWrap/>
            <w:hideMark/>
          </w:tcPr>
          <w:p w14:paraId="017FCB01" w14:textId="77777777" w:rsidR="0073590D" w:rsidRPr="0073590D" w:rsidRDefault="0073590D" w:rsidP="0007655F">
            <w:pPr>
              <w:pStyle w:val="TableBody"/>
            </w:pPr>
            <w:r w:rsidRPr="0073590D">
              <w:t>7,458</w:t>
            </w:r>
          </w:p>
        </w:tc>
        <w:tc>
          <w:tcPr>
            <w:tcW w:w="1967" w:type="pct"/>
            <w:noWrap/>
            <w:hideMark/>
          </w:tcPr>
          <w:p w14:paraId="1E9B9A7D" w14:textId="77777777" w:rsidR="0073590D" w:rsidRPr="0073590D" w:rsidRDefault="0073590D" w:rsidP="0007655F">
            <w:pPr>
              <w:pStyle w:val="TableBody"/>
            </w:pPr>
            <w:r w:rsidRPr="0073590D">
              <w:t>5,995</w:t>
            </w:r>
          </w:p>
        </w:tc>
      </w:tr>
      <w:tr w:rsidR="0073590D" w:rsidRPr="0073590D" w14:paraId="1AFD23CE" w14:textId="77777777" w:rsidTr="008E07FA">
        <w:trPr>
          <w:trHeight w:val="288"/>
        </w:trPr>
        <w:tc>
          <w:tcPr>
            <w:tcW w:w="1065" w:type="pct"/>
            <w:noWrap/>
            <w:hideMark/>
          </w:tcPr>
          <w:p w14:paraId="734C6DC7" w14:textId="77777777" w:rsidR="0073590D" w:rsidRPr="0073590D" w:rsidRDefault="0073590D" w:rsidP="0007655F">
            <w:pPr>
              <w:pStyle w:val="TableBody"/>
            </w:pPr>
            <w:r w:rsidRPr="0073590D">
              <w:t>2006-07</w:t>
            </w:r>
          </w:p>
        </w:tc>
        <w:tc>
          <w:tcPr>
            <w:tcW w:w="1967" w:type="pct"/>
            <w:noWrap/>
            <w:hideMark/>
          </w:tcPr>
          <w:p w14:paraId="561C5072" w14:textId="77777777" w:rsidR="0073590D" w:rsidRPr="0073590D" w:rsidRDefault="0073590D" w:rsidP="0007655F">
            <w:pPr>
              <w:pStyle w:val="TableBody"/>
            </w:pPr>
            <w:r w:rsidRPr="0073590D">
              <w:t>7,374</w:t>
            </w:r>
          </w:p>
        </w:tc>
        <w:tc>
          <w:tcPr>
            <w:tcW w:w="1967" w:type="pct"/>
            <w:noWrap/>
            <w:hideMark/>
          </w:tcPr>
          <w:p w14:paraId="174707A6" w14:textId="77777777" w:rsidR="0073590D" w:rsidRPr="0073590D" w:rsidRDefault="0073590D" w:rsidP="0007655F">
            <w:pPr>
              <w:pStyle w:val="TableBody"/>
            </w:pPr>
            <w:r w:rsidRPr="0073590D">
              <w:t>5,987</w:t>
            </w:r>
          </w:p>
        </w:tc>
      </w:tr>
      <w:tr w:rsidR="0073590D" w:rsidRPr="0073590D" w14:paraId="397545B4" w14:textId="77777777" w:rsidTr="008E07FA">
        <w:trPr>
          <w:trHeight w:val="288"/>
        </w:trPr>
        <w:tc>
          <w:tcPr>
            <w:tcW w:w="1065" w:type="pct"/>
            <w:noWrap/>
            <w:hideMark/>
          </w:tcPr>
          <w:p w14:paraId="7C5347A9" w14:textId="77777777" w:rsidR="0073590D" w:rsidRPr="0073590D" w:rsidRDefault="0073590D" w:rsidP="0007655F">
            <w:pPr>
              <w:pStyle w:val="TableBody"/>
            </w:pPr>
            <w:r w:rsidRPr="0073590D">
              <w:t>2007-08</w:t>
            </w:r>
          </w:p>
        </w:tc>
        <w:tc>
          <w:tcPr>
            <w:tcW w:w="1967" w:type="pct"/>
            <w:noWrap/>
            <w:hideMark/>
          </w:tcPr>
          <w:p w14:paraId="21F11695" w14:textId="77777777" w:rsidR="0073590D" w:rsidRPr="0073590D" w:rsidRDefault="0073590D" w:rsidP="0007655F">
            <w:pPr>
              <w:pStyle w:val="TableBody"/>
            </w:pPr>
            <w:r w:rsidRPr="0073590D">
              <w:t>7,243</w:t>
            </w:r>
          </w:p>
        </w:tc>
        <w:tc>
          <w:tcPr>
            <w:tcW w:w="1967" w:type="pct"/>
            <w:noWrap/>
            <w:hideMark/>
          </w:tcPr>
          <w:p w14:paraId="38FC1318" w14:textId="77777777" w:rsidR="0073590D" w:rsidRPr="0073590D" w:rsidRDefault="0073590D" w:rsidP="0007655F">
            <w:pPr>
              <w:pStyle w:val="TableBody"/>
            </w:pPr>
            <w:r w:rsidRPr="0073590D">
              <w:t>5,951</w:t>
            </w:r>
          </w:p>
        </w:tc>
      </w:tr>
      <w:tr w:rsidR="0073590D" w:rsidRPr="0073590D" w14:paraId="450C04A9" w14:textId="77777777" w:rsidTr="008E07FA">
        <w:trPr>
          <w:trHeight w:val="288"/>
        </w:trPr>
        <w:tc>
          <w:tcPr>
            <w:tcW w:w="1065" w:type="pct"/>
            <w:noWrap/>
            <w:hideMark/>
          </w:tcPr>
          <w:p w14:paraId="62FFD6E4" w14:textId="77777777" w:rsidR="0073590D" w:rsidRPr="0073590D" w:rsidRDefault="0073590D" w:rsidP="0007655F">
            <w:pPr>
              <w:pStyle w:val="TableBody"/>
            </w:pPr>
            <w:r w:rsidRPr="0073590D">
              <w:t>2008-09</w:t>
            </w:r>
          </w:p>
        </w:tc>
        <w:tc>
          <w:tcPr>
            <w:tcW w:w="1967" w:type="pct"/>
            <w:noWrap/>
            <w:hideMark/>
          </w:tcPr>
          <w:p w14:paraId="0BE3D421" w14:textId="77777777" w:rsidR="0073590D" w:rsidRPr="0073590D" w:rsidRDefault="0073590D" w:rsidP="0007655F">
            <w:pPr>
              <w:pStyle w:val="TableBody"/>
            </w:pPr>
            <w:r w:rsidRPr="0073590D">
              <w:t>7,170</w:t>
            </w:r>
          </w:p>
        </w:tc>
        <w:tc>
          <w:tcPr>
            <w:tcW w:w="1967" w:type="pct"/>
            <w:noWrap/>
            <w:hideMark/>
          </w:tcPr>
          <w:p w14:paraId="3E4DADA9" w14:textId="77777777" w:rsidR="0073590D" w:rsidRPr="0073590D" w:rsidRDefault="0073590D" w:rsidP="0007655F">
            <w:pPr>
              <w:pStyle w:val="TableBody"/>
            </w:pPr>
            <w:r w:rsidRPr="0073590D">
              <w:t>5,849</w:t>
            </w:r>
          </w:p>
        </w:tc>
      </w:tr>
      <w:tr w:rsidR="0073590D" w:rsidRPr="0073590D" w14:paraId="4FF5DEEF" w14:textId="77777777" w:rsidTr="008E07FA">
        <w:trPr>
          <w:trHeight w:val="288"/>
        </w:trPr>
        <w:tc>
          <w:tcPr>
            <w:tcW w:w="1065" w:type="pct"/>
            <w:noWrap/>
            <w:hideMark/>
          </w:tcPr>
          <w:p w14:paraId="791BA02E" w14:textId="77777777" w:rsidR="0073590D" w:rsidRPr="0073590D" w:rsidRDefault="0073590D" w:rsidP="0007655F">
            <w:pPr>
              <w:pStyle w:val="TableBody"/>
            </w:pPr>
            <w:r w:rsidRPr="0073590D">
              <w:t>2009-10</w:t>
            </w:r>
          </w:p>
        </w:tc>
        <w:tc>
          <w:tcPr>
            <w:tcW w:w="1967" w:type="pct"/>
            <w:noWrap/>
            <w:hideMark/>
          </w:tcPr>
          <w:p w14:paraId="33DD0E48" w14:textId="77777777" w:rsidR="0073590D" w:rsidRPr="0073590D" w:rsidRDefault="0073590D" w:rsidP="0007655F">
            <w:pPr>
              <w:pStyle w:val="TableBody"/>
            </w:pPr>
            <w:r w:rsidRPr="0073590D">
              <w:t>6,950</w:t>
            </w:r>
          </w:p>
        </w:tc>
        <w:tc>
          <w:tcPr>
            <w:tcW w:w="1967" w:type="pct"/>
            <w:noWrap/>
            <w:hideMark/>
          </w:tcPr>
          <w:p w14:paraId="4279A684" w14:textId="77777777" w:rsidR="0073590D" w:rsidRPr="0073590D" w:rsidRDefault="0073590D" w:rsidP="0007655F">
            <w:pPr>
              <w:pStyle w:val="TableBody"/>
            </w:pPr>
            <w:r w:rsidRPr="0073590D">
              <w:t>5,771</w:t>
            </w:r>
          </w:p>
        </w:tc>
      </w:tr>
      <w:tr w:rsidR="0073590D" w:rsidRPr="0073590D" w14:paraId="6F1A7667" w14:textId="77777777" w:rsidTr="008E07FA">
        <w:trPr>
          <w:trHeight w:val="288"/>
        </w:trPr>
        <w:tc>
          <w:tcPr>
            <w:tcW w:w="1065" w:type="pct"/>
            <w:noWrap/>
            <w:hideMark/>
          </w:tcPr>
          <w:p w14:paraId="26764D85" w14:textId="77777777" w:rsidR="0073590D" w:rsidRPr="0073590D" w:rsidRDefault="0073590D" w:rsidP="0007655F">
            <w:pPr>
              <w:pStyle w:val="TableBody"/>
            </w:pPr>
            <w:r w:rsidRPr="0073590D">
              <w:t>2010-11</w:t>
            </w:r>
          </w:p>
        </w:tc>
        <w:tc>
          <w:tcPr>
            <w:tcW w:w="1967" w:type="pct"/>
            <w:noWrap/>
            <w:hideMark/>
          </w:tcPr>
          <w:p w14:paraId="2388A0DD" w14:textId="77777777" w:rsidR="0073590D" w:rsidRPr="0073590D" w:rsidRDefault="0073590D" w:rsidP="0007655F">
            <w:pPr>
              <w:pStyle w:val="TableBody"/>
            </w:pPr>
            <w:r w:rsidRPr="0073590D">
              <w:t>6,819</w:t>
            </w:r>
          </w:p>
        </w:tc>
        <w:tc>
          <w:tcPr>
            <w:tcW w:w="1967" w:type="pct"/>
            <w:noWrap/>
            <w:hideMark/>
          </w:tcPr>
          <w:p w14:paraId="4B9004F1" w14:textId="77777777" w:rsidR="0073590D" w:rsidRPr="0073590D" w:rsidRDefault="0073590D" w:rsidP="0007655F">
            <w:pPr>
              <w:pStyle w:val="TableBody"/>
            </w:pPr>
            <w:r w:rsidRPr="0073590D">
              <w:t>5,612</w:t>
            </w:r>
          </w:p>
        </w:tc>
      </w:tr>
      <w:tr w:rsidR="0073590D" w:rsidRPr="0073590D" w14:paraId="313D4C79" w14:textId="77777777" w:rsidTr="008E07FA">
        <w:trPr>
          <w:trHeight w:val="288"/>
        </w:trPr>
        <w:tc>
          <w:tcPr>
            <w:tcW w:w="1065" w:type="pct"/>
            <w:noWrap/>
            <w:hideMark/>
          </w:tcPr>
          <w:p w14:paraId="653D39FD" w14:textId="77777777" w:rsidR="0073590D" w:rsidRPr="0073590D" w:rsidRDefault="0073590D" w:rsidP="0007655F">
            <w:pPr>
              <w:pStyle w:val="TableBody"/>
            </w:pPr>
            <w:r w:rsidRPr="0073590D">
              <w:t>2011-12</w:t>
            </w:r>
          </w:p>
        </w:tc>
        <w:tc>
          <w:tcPr>
            <w:tcW w:w="1967" w:type="pct"/>
            <w:noWrap/>
            <w:hideMark/>
          </w:tcPr>
          <w:p w14:paraId="78E68064" w14:textId="77777777" w:rsidR="0073590D" w:rsidRPr="0073590D" w:rsidRDefault="0073590D" w:rsidP="0007655F">
            <w:pPr>
              <w:pStyle w:val="TableBody"/>
            </w:pPr>
            <w:r w:rsidRPr="0073590D">
              <w:t>7,196</w:t>
            </w:r>
          </w:p>
        </w:tc>
        <w:tc>
          <w:tcPr>
            <w:tcW w:w="1967" w:type="pct"/>
            <w:noWrap/>
            <w:hideMark/>
          </w:tcPr>
          <w:p w14:paraId="3DD8623B" w14:textId="77777777" w:rsidR="0073590D" w:rsidRPr="0073590D" w:rsidRDefault="0073590D" w:rsidP="0007655F">
            <w:pPr>
              <w:pStyle w:val="TableBody"/>
            </w:pPr>
            <w:r w:rsidRPr="0073590D">
              <w:t>5,795</w:t>
            </w:r>
          </w:p>
        </w:tc>
      </w:tr>
      <w:tr w:rsidR="0073590D" w:rsidRPr="0073590D" w14:paraId="027562C1" w14:textId="77777777" w:rsidTr="008E07FA">
        <w:trPr>
          <w:trHeight w:val="288"/>
        </w:trPr>
        <w:tc>
          <w:tcPr>
            <w:tcW w:w="1065" w:type="pct"/>
            <w:noWrap/>
            <w:hideMark/>
          </w:tcPr>
          <w:p w14:paraId="17AB8C09" w14:textId="77777777" w:rsidR="0073590D" w:rsidRPr="0073590D" w:rsidRDefault="0073590D" w:rsidP="0007655F">
            <w:pPr>
              <w:pStyle w:val="TableBody"/>
            </w:pPr>
            <w:r w:rsidRPr="0073590D">
              <w:t>2012-13</w:t>
            </w:r>
          </w:p>
        </w:tc>
        <w:tc>
          <w:tcPr>
            <w:tcW w:w="1967" w:type="pct"/>
            <w:noWrap/>
            <w:hideMark/>
          </w:tcPr>
          <w:p w14:paraId="2B27F316" w14:textId="77777777" w:rsidR="0073590D" w:rsidRPr="0073590D" w:rsidRDefault="0073590D" w:rsidP="0007655F">
            <w:pPr>
              <w:pStyle w:val="TableBody"/>
            </w:pPr>
            <w:r w:rsidRPr="0073590D">
              <w:t>7,359</w:t>
            </w:r>
          </w:p>
        </w:tc>
        <w:tc>
          <w:tcPr>
            <w:tcW w:w="1967" w:type="pct"/>
            <w:noWrap/>
            <w:hideMark/>
          </w:tcPr>
          <w:p w14:paraId="36A56736" w14:textId="77777777" w:rsidR="0073590D" w:rsidRPr="0073590D" w:rsidRDefault="0073590D" w:rsidP="0007655F">
            <w:pPr>
              <w:pStyle w:val="TableBody"/>
            </w:pPr>
            <w:r w:rsidRPr="0073590D">
              <w:t>5,769</w:t>
            </w:r>
          </w:p>
        </w:tc>
      </w:tr>
      <w:tr w:rsidR="0073590D" w:rsidRPr="0073590D" w14:paraId="4BB10082" w14:textId="77777777" w:rsidTr="008E07FA">
        <w:trPr>
          <w:trHeight w:val="288"/>
        </w:trPr>
        <w:tc>
          <w:tcPr>
            <w:tcW w:w="1065" w:type="pct"/>
            <w:noWrap/>
            <w:hideMark/>
          </w:tcPr>
          <w:p w14:paraId="6C5A3B4F" w14:textId="77777777" w:rsidR="0073590D" w:rsidRPr="0073590D" w:rsidRDefault="0073590D" w:rsidP="0007655F">
            <w:pPr>
              <w:pStyle w:val="TableBody"/>
            </w:pPr>
            <w:r w:rsidRPr="0073590D">
              <w:t>2013-14</w:t>
            </w:r>
          </w:p>
        </w:tc>
        <w:tc>
          <w:tcPr>
            <w:tcW w:w="1967" w:type="pct"/>
            <w:noWrap/>
            <w:hideMark/>
          </w:tcPr>
          <w:p w14:paraId="5CA2448E" w14:textId="77777777" w:rsidR="0073590D" w:rsidRPr="0073590D" w:rsidRDefault="0073590D" w:rsidP="0007655F">
            <w:pPr>
              <w:pStyle w:val="TableBody"/>
            </w:pPr>
            <w:r w:rsidRPr="0073590D">
              <w:t>7,614</w:t>
            </w:r>
          </w:p>
        </w:tc>
        <w:tc>
          <w:tcPr>
            <w:tcW w:w="1967" w:type="pct"/>
            <w:noWrap/>
            <w:hideMark/>
          </w:tcPr>
          <w:p w14:paraId="582CD9EB" w14:textId="77777777" w:rsidR="0073590D" w:rsidRPr="0073590D" w:rsidRDefault="0073590D" w:rsidP="0007655F">
            <w:pPr>
              <w:pStyle w:val="TableBody"/>
            </w:pPr>
            <w:r w:rsidRPr="0073590D">
              <w:t>5,838</w:t>
            </w:r>
          </w:p>
        </w:tc>
      </w:tr>
      <w:tr w:rsidR="0073590D" w:rsidRPr="0073590D" w14:paraId="20A7454E" w14:textId="77777777" w:rsidTr="008E07FA">
        <w:trPr>
          <w:trHeight w:val="288"/>
        </w:trPr>
        <w:tc>
          <w:tcPr>
            <w:tcW w:w="1065" w:type="pct"/>
            <w:noWrap/>
            <w:hideMark/>
          </w:tcPr>
          <w:p w14:paraId="606D69E5" w14:textId="77777777" w:rsidR="0073590D" w:rsidRPr="0073590D" w:rsidRDefault="0073590D" w:rsidP="0007655F">
            <w:pPr>
              <w:pStyle w:val="TableBody"/>
            </w:pPr>
            <w:r w:rsidRPr="0073590D">
              <w:t>2014-15</w:t>
            </w:r>
          </w:p>
        </w:tc>
        <w:tc>
          <w:tcPr>
            <w:tcW w:w="1967" w:type="pct"/>
            <w:noWrap/>
            <w:hideMark/>
          </w:tcPr>
          <w:p w14:paraId="60845AE5" w14:textId="77777777" w:rsidR="0073590D" w:rsidRPr="0073590D" w:rsidRDefault="0073590D" w:rsidP="0007655F">
            <w:pPr>
              <w:pStyle w:val="TableBody"/>
            </w:pPr>
            <w:r w:rsidRPr="0073590D">
              <w:t>7,833</w:t>
            </w:r>
          </w:p>
        </w:tc>
        <w:tc>
          <w:tcPr>
            <w:tcW w:w="1967" w:type="pct"/>
            <w:noWrap/>
            <w:hideMark/>
          </w:tcPr>
          <w:p w14:paraId="509FE1D3" w14:textId="77777777" w:rsidR="0073590D" w:rsidRPr="0073590D" w:rsidRDefault="0073590D" w:rsidP="0007655F">
            <w:pPr>
              <w:pStyle w:val="TableBody"/>
            </w:pPr>
            <w:r w:rsidRPr="0073590D">
              <w:t>5,841</w:t>
            </w:r>
          </w:p>
        </w:tc>
      </w:tr>
      <w:tr w:rsidR="0073590D" w:rsidRPr="0073590D" w14:paraId="44AE2F6C" w14:textId="77777777" w:rsidTr="008E07FA">
        <w:trPr>
          <w:trHeight w:val="288"/>
        </w:trPr>
        <w:tc>
          <w:tcPr>
            <w:tcW w:w="1065" w:type="pct"/>
            <w:noWrap/>
            <w:hideMark/>
          </w:tcPr>
          <w:p w14:paraId="4C1A7928" w14:textId="77777777" w:rsidR="0073590D" w:rsidRPr="0073590D" w:rsidRDefault="0073590D" w:rsidP="0007655F">
            <w:pPr>
              <w:pStyle w:val="TableBody"/>
            </w:pPr>
            <w:r w:rsidRPr="0073590D">
              <w:t>2015-16</w:t>
            </w:r>
          </w:p>
        </w:tc>
        <w:tc>
          <w:tcPr>
            <w:tcW w:w="1967" w:type="pct"/>
            <w:noWrap/>
            <w:hideMark/>
          </w:tcPr>
          <w:p w14:paraId="2EA6D9BC" w14:textId="77777777" w:rsidR="0073590D" w:rsidRPr="0073590D" w:rsidRDefault="0073590D" w:rsidP="0007655F">
            <w:pPr>
              <w:pStyle w:val="TableBody"/>
            </w:pPr>
            <w:r w:rsidRPr="0073590D">
              <w:t>8,672</w:t>
            </w:r>
          </w:p>
        </w:tc>
        <w:tc>
          <w:tcPr>
            <w:tcW w:w="1967" w:type="pct"/>
            <w:noWrap/>
            <w:hideMark/>
          </w:tcPr>
          <w:p w14:paraId="51FBD1D8" w14:textId="77777777" w:rsidR="0073590D" w:rsidRPr="0073590D" w:rsidRDefault="0073590D" w:rsidP="0007655F">
            <w:pPr>
              <w:pStyle w:val="TableBody"/>
            </w:pPr>
            <w:r w:rsidRPr="0073590D">
              <w:t>6,428</w:t>
            </w:r>
          </w:p>
        </w:tc>
      </w:tr>
      <w:tr w:rsidR="0073590D" w:rsidRPr="0073590D" w14:paraId="7BB52001" w14:textId="77777777" w:rsidTr="008E07FA">
        <w:trPr>
          <w:trHeight w:val="288"/>
        </w:trPr>
        <w:tc>
          <w:tcPr>
            <w:tcW w:w="1065" w:type="pct"/>
            <w:noWrap/>
            <w:hideMark/>
          </w:tcPr>
          <w:p w14:paraId="695E27E9" w14:textId="77777777" w:rsidR="0073590D" w:rsidRPr="0073590D" w:rsidRDefault="0073590D" w:rsidP="0007655F">
            <w:pPr>
              <w:pStyle w:val="TableBody"/>
            </w:pPr>
            <w:r w:rsidRPr="0073590D">
              <w:t>2016-17</w:t>
            </w:r>
          </w:p>
        </w:tc>
        <w:tc>
          <w:tcPr>
            <w:tcW w:w="1967" w:type="pct"/>
            <w:noWrap/>
            <w:hideMark/>
          </w:tcPr>
          <w:p w14:paraId="5C2E0224" w14:textId="77777777" w:rsidR="0073590D" w:rsidRPr="0073590D" w:rsidRDefault="0073590D" w:rsidP="0007655F">
            <w:pPr>
              <w:pStyle w:val="TableBody"/>
            </w:pPr>
            <w:r w:rsidRPr="0073590D">
              <w:t>8,443</w:t>
            </w:r>
          </w:p>
        </w:tc>
        <w:tc>
          <w:tcPr>
            <w:tcW w:w="1967" w:type="pct"/>
            <w:noWrap/>
            <w:hideMark/>
          </w:tcPr>
          <w:p w14:paraId="6C14F984" w14:textId="77777777" w:rsidR="0073590D" w:rsidRPr="0073590D" w:rsidRDefault="0073590D" w:rsidP="0007655F">
            <w:pPr>
              <w:pStyle w:val="TableBody"/>
            </w:pPr>
            <w:r w:rsidRPr="0073590D">
              <w:t>6,430</w:t>
            </w:r>
          </w:p>
        </w:tc>
      </w:tr>
      <w:tr w:rsidR="0073590D" w:rsidRPr="0073590D" w14:paraId="6660FBFB" w14:textId="77777777" w:rsidTr="008E07FA">
        <w:trPr>
          <w:trHeight w:val="288"/>
        </w:trPr>
        <w:tc>
          <w:tcPr>
            <w:tcW w:w="1065" w:type="pct"/>
            <w:noWrap/>
            <w:hideMark/>
          </w:tcPr>
          <w:p w14:paraId="6E99CBA8" w14:textId="77777777" w:rsidR="0073590D" w:rsidRPr="0073590D" w:rsidRDefault="0073590D" w:rsidP="0007655F">
            <w:pPr>
              <w:pStyle w:val="TableBody"/>
            </w:pPr>
            <w:r w:rsidRPr="0073590D">
              <w:t>2017-18</w:t>
            </w:r>
          </w:p>
        </w:tc>
        <w:tc>
          <w:tcPr>
            <w:tcW w:w="1967" w:type="pct"/>
            <w:noWrap/>
            <w:hideMark/>
          </w:tcPr>
          <w:p w14:paraId="1D26F1A1" w14:textId="77777777" w:rsidR="0073590D" w:rsidRPr="0073590D" w:rsidRDefault="0073590D" w:rsidP="0007655F">
            <w:pPr>
              <w:pStyle w:val="TableBody"/>
            </w:pPr>
            <w:r w:rsidRPr="0073590D">
              <w:t>7,874</w:t>
            </w:r>
          </w:p>
        </w:tc>
        <w:tc>
          <w:tcPr>
            <w:tcW w:w="1967" w:type="pct"/>
            <w:noWrap/>
            <w:hideMark/>
          </w:tcPr>
          <w:p w14:paraId="7A10823B" w14:textId="77777777" w:rsidR="0073590D" w:rsidRPr="0073590D" w:rsidRDefault="0073590D" w:rsidP="0007655F">
            <w:pPr>
              <w:pStyle w:val="TableBody"/>
            </w:pPr>
            <w:r w:rsidRPr="0073590D">
              <w:t>5,943</w:t>
            </w:r>
          </w:p>
        </w:tc>
      </w:tr>
      <w:tr w:rsidR="0073590D" w:rsidRPr="0073590D" w14:paraId="1C91C88A" w14:textId="77777777" w:rsidTr="008E07FA">
        <w:trPr>
          <w:trHeight w:val="288"/>
        </w:trPr>
        <w:tc>
          <w:tcPr>
            <w:tcW w:w="1065" w:type="pct"/>
            <w:noWrap/>
            <w:hideMark/>
          </w:tcPr>
          <w:p w14:paraId="31AFB16A" w14:textId="77777777" w:rsidR="0073590D" w:rsidRPr="0073590D" w:rsidRDefault="0073590D" w:rsidP="0007655F">
            <w:pPr>
              <w:pStyle w:val="TableBody"/>
            </w:pPr>
            <w:r w:rsidRPr="0073590D">
              <w:t>2018-19</w:t>
            </w:r>
          </w:p>
        </w:tc>
        <w:tc>
          <w:tcPr>
            <w:tcW w:w="1967" w:type="pct"/>
            <w:noWrap/>
            <w:hideMark/>
          </w:tcPr>
          <w:p w14:paraId="3C35F232" w14:textId="77777777" w:rsidR="0073590D" w:rsidRPr="0073590D" w:rsidRDefault="0073590D" w:rsidP="0007655F">
            <w:pPr>
              <w:pStyle w:val="TableBody"/>
            </w:pPr>
            <w:r w:rsidRPr="0073590D">
              <w:t>7,853</w:t>
            </w:r>
          </w:p>
        </w:tc>
        <w:tc>
          <w:tcPr>
            <w:tcW w:w="1967" w:type="pct"/>
            <w:noWrap/>
            <w:hideMark/>
          </w:tcPr>
          <w:p w14:paraId="7C9934F6" w14:textId="77777777" w:rsidR="0073590D" w:rsidRPr="0073590D" w:rsidRDefault="0073590D" w:rsidP="0007655F">
            <w:pPr>
              <w:pStyle w:val="TableBody"/>
            </w:pPr>
            <w:r w:rsidRPr="0073590D">
              <w:t>5,901</w:t>
            </w:r>
          </w:p>
        </w:tc>
      </w:tr>
      <w:tr w:rsidR="0073590D" w:rsidRPr="0073590D" w14:paraId="2BE35236" w14:textId="77777777" w:rsidTr="008E07FA">
        <w:trPr>
          <w:trHeight w:val="288"/>
        </w:trPr>
        <w:tc>
          <w:tcPr>
            <w:tcW w:w="1065" w:type="pct"/>
            <w:noWrap/>
            <w:hideMark/>
          </w:tcPr>
          <w:p w14:paraId="1FC723B0" w14:textId="77777777" w:rsidR="0073590D" w:rsidRPr="0073590D" w:rsidRDefault="0073590D" w:rsidP="0007655F">
            <w:pPr>
              <w:pStyle w:val="TableBody"/>
            </w:pPr>
            <w:r w:rsidRPr="0073590D">
              <w:t>2019-20</w:t>
            </w:r>
          </w:p>
        </w:tc>
        <w:tc>
          <w:tcPr>
            <w:tcW w:w="1967" w:type="pct"/>
            <w:noWrap/>
            <w:hideMark/>
          </w:tcPr>
          <w:p w14:paraId="35B0CA57" w14:textId="77777777" w:rsidR="0073590D" w:rsidRPr="0073590D" w:rsidRDefault="0073590D" w:rsidP="0007655F">
            <w:pPr>
              <w:pStyle w:val="TableBody"/>
            </w:pPr>
            <w:r w:rsidRPr="0073590D">
              <w:t>8,223</w:t>
            </w:r>
          </w:p>
        </w:tc>
        <w:tc>
          <w:tcPr>
            <w:tcW w:w="1967" w:type="pct"/>
            <w:noWrap/>
            <w:hideMark/>
          </w:tcPr>
          <w:p w14:paraId="5A4F364F" w14:textId="77777777" w:rsidR="0073590D" w:rsidRPr="0073590D" w:rsidRDefault="0073590D" w:rsidP="0007655F">
            <w:pPr>
              <w:pStyle w:val="TableBody"/>
            </w:pPr>
            <w:r w:rsidRPr="0073590D">
              <w:t>6,148</w:t>
            </w:r>
          </w:p>
        </w:tc>
      </w:tr>
      <w:tr w:rsidR="0073590D" w:rsidRPr="0073590D" w14:paraId="348A2C72" w14:textId="77777777" w:rsidTr="008E07FA">
        <w:trPr>
          <w:trHeight w:val="288"/>
        </w:trPr>
        <w:tc>
          <w:tcPr>
            <w:tcW w:w="1065" w:type="pct"/>
            <w:noWrap/>
            <w:hideMark/>
          </w:tcPr>
          <w:p w14:paraId="4AD5AF78" w14:textId="77777777" w:rsidR="0073590D" w:rsidRPr="0073590D" w:rsidRDefault="0073590D" w:rsidP="0007655F">
            <w:pPr>
              <w:pStyle w:val="TableBody"/>
            </w:pPr>
            <w:r w:rsidRPr="0073590D">
              <w:lastRenderedPageBreak/>
              <w:t>2020-21</w:t>
            </w:r>
          </w:p>
        </w:tc>
        <w:tc>
          <w:tcPr>
            <w:tcW w:w="1967" w:type="pct"/>
            <w:noWrap/>
            <w:hideMark/>
          </w:tcPr>
          <w:p w14:paraId="02B95DDF" w14:textId="77777777" w:rsidR="0073590D" w:rsidRPr="0073590D" w:rsidRDefault="0073590D" w:rsidP="0007655F">
            <w:pPr>
              <w:pStyle w:val="TableBody"/>
            </w:pPr>
            <w:r w:rsidRPr="0073590D">
              <w:t>7,964</w:t>
            </w:r>
          </w:p>
        </w:tc>
        <w:tc>
          <w:tcPr>
            <w:tcW w:w="1967" w:type="pct"/>
            <w:noWrap/>
            <w:hideMark/>
          </w:tcPr>
          <w:p w14:paraId="1C52EE3C" w14:textId="77777777" w:rsidR="0073590D" w:rsidRPr="0073590D" w:rsidRDefault="0073590D" w:rsidP="0007655F">
            <w:pPr>
              <w:pStyle w:val="TableBody"/>
            </w:pPr>
            <w:r w:rsidRPr="0073590D">
              <w:t>5,763</w:t>
            </w:r>
          </w:p>
        </w:tc>
      </w:tr>
      <w:tr w:rsidR="0073590D" w:rsidRPr="0073590D" w14:paraId="7489C38E" w14:textId="77777777" w:rsidTr="008E07FA">
        <w:trPr>
          <w:trHeight w:val="288"/>
        </w:trPr>
        <w:tc>
          <w:tcPr>
            <w:tcW w:w="1065" w:type="pct"/>
            <w:noWrap/>
            <w:hideMark/>
          </w:tcPr>
          <w:p w14:paraId="33D7E82F" w14:textId="77777777" w:rsidR="0073590D" w:rsidRPr="0073590D" w:rsidRDefault="0073590D" w:rsidP="0007655F">
            <w:pPr>
              <w:pStyle w:val="TableBody"/>
            </w:pPr>
            <w:r w:rsidRPr="0073590D">
              <w:t>2021-22</w:t>
            </w:r>
          </w:p>
        </w:tc>
        <w:tc>
          <w:tcPr>
            <w:tcW w:w="1967" w:type="pct"/>
            <w:noWrap/>
            <w:hideMark/>
          </w:tcPr>
          <w:p w14:paraId="7CF31396" w14:textId="77777777" w:rsidR="0073590D" w:rsidRPr="0073590D" w:rsidRDefault="0073590D" w:rsidP="0007655F">
            <w:pPr>
              <w:pStyle w:val="TableBody"/>
            </w:pPr>
            <w:r w:rsidRPr="0073590D">
              <w:t>7,074</w:t>
            </w:r>
          </w:p>
        </w:tc>
        <w:tc>
          <w:tcPr>
            <w:tcW w:w="1967" w:type="pct"/>
            <w:noWrap/>
            <w:hideMark/>
          </w:tcPr>
          <w:p w14:paraId="14434A65" w14:textId="77777777" w:rsidR="0073590D" w:rsidRPr="0073590D" w:rsidRDefault="0073590D" w:rsidP="0007655F">
            <w:pPr>
              <w:pStyle w:val="TableBody"/>
            </w:pPr>
            <w:r w:rsidRPr="0073590D">
              <w:t>5,129</w:t>
            </w:r>
          </w:p>
        </w:tc>
      </w:tr>
      <w:tr w:rsidR="0073590D" w:rsidRPr="0073590D" w14:paraId="1CC9AAAD" w14:textId="77777777" w:rsidTr="008E07FA">
        <w:trPr>
          <w:trHeight w:val="288"/>
        </w:trPr>
        <w:tc>
          <w:tcPr>
            <w:tcW w:w="1065" w:type="pct"/>
            <w:noWrap/>
            <w:hideMark/>
          </w:tcPr>
          <w:p w14:paraId="642007A2" w14:textId="77777777" w:rsidR="0073590D" w:rsidRPr="0073590D" w:rsidRDefault="0073590D" w:rsidP="0007655F">
            <w:pPr>
              <w:pStyle w:val="TableBody"/>
            </w:pPr>
            <w:r w:rsidRPr="0073590D">
              <w:t>2022-23</w:t>
            </w:r>
          </w:p>
        </w:tc>
        <w:tc>
          <w:tcPr>
            <w:tcW w:w="1967" w:type="pct"/>
            <w:noWrap/>
            <w:hideMark/>
          </w:tcPr>
          <w:p w14:paraId="3BD1C52B" w14:textId="77777777" w:rsidR="0073590D" w:rsidRPr="0073590D" w:rsidRDefault="0073590D" w:rsidP="0007655F">
            <w:pPr>
              <w:pStyle w:val="TableBody"/>
            </w:pPr>
            <w:r w:rsidRPr="0073590D">
              <w:t>7,426</w:t>
            </w:r>
          </w:p>
        </w:tc>
        <w:tc>
          <w:tcPr>
            <w:tcW w:w="1967" w:type="pct"/>
            <w:noWrap/>
            <w:hideMark/>
          </w:tcPr>
          <w:p w14:paraId="7985CB00" w14:textId="77777777" w:rsidR="0073590D" w:rsidRPr="0073590D" w:rsidRDefault="0073590D" w:rsidP="0007655F">
            <w:pPr>
              <w:pStyle w:val="TableBody"/>
            </w:pPr>
            <w:r w:rsidRPr="0073590D">
              <w:t>5,436</w:t>
            </w:r>
          </w:p>
        </w:tc>
      </w:tr>
      <w:tr w:rsidR="0073590D" w:rsidRPr="0073590D" w14:paraId="189D2140" w14:textId="77777777" w:rsidTr="008E07FA">
        <w:trPr>
          <w:trHeight w:val="288"/>
        </w:trPr>
        <w:tc>
          <w:tcPr>
            <w:tcW w:w="1065" w:type="pct"/>
            <w:noWrap/>
            <w:hideMark/>
          </w:tcPr>
          <w:p w14:paraId="7FA56312" w14:textId="77777777" w:rsidR="0073590D" w:rsidRPr="0073590D" w:rsidRDefault="0073590D" w:rsidP="0007655F">
            <w:pPr>
              <w:pStyle w:val="TableBody"/>
            </w:pPr>
            <w:r w:rsidRPr="0073590D">
              <w:t>2023-24</w:t>
            </w:r>
          </w:p>
        </w:tc>
        <w:tc>
          <w:tcPr>
            <w:tcW w:w="1967" w:type="pct"/>
            <w:noWrap/>
            <w:hideMark/>
          </w:tcPr>
          <w:p w14:paraId="06D69A89" w14:textId="77777777" w:rsidR="0073590D" w:rsidRPr="0073590D" w:rsidRDefault="0073590D" w:rsidP="0007655F">
            <w:pPr>
              <w:pStyle w:val="TableBody"/>
            </w:pPr>
            <w:r w:rsidRPr="0073590D">
              <w:t>7,911</w:t>
            </w:r>
          </w:p>
        </w:tc>
        <w:tc>
          <w:tcPr>
            <w:tcW w:w="1967" w:type="pct"/>
            <w:noWrap/>
            <w:hideMark/>
          </w:tcPr>
          <w:p w14:paraId="71F329F2" w14:textId="77777777" w:rsidR="0073590D" w:rsidRPr="0073590D" w:rsidRDefault="0073590D" w:rsidP="0007655F">
            <w:pPr>
              <w:pStyle w:val="TableBody"/>
            </w:pPr>
            <w:r w:rsidRPr="0073590D">
              <w:t>5,861</w:t>
            </w:r>
          </w:p>
        </w:tc>
      </w:tr>
    </w:tbl>
    <w:p w14:paraId="55BFDF6C" w14:textId="77777777" w:rsidR="00477ACE" w:rsidRPr="008C1137" w:rsidRDefault="00477ACE" w:rsidP="00D4532A">
      <w:r w:rsidRPr="000C258A">
        <w:rPr>
          <w:rStyle w:val="Strong"/>
        </w:rPr>
        <w:t>Source</w:t>
      </w:r>
      <w:r w:rsidRPr="008C1137">
        <w:t>: Crime Statistics Agency Victoria, unpublished data</w:t>
      </w:r>
    </w:p>
    <w:p w14:paraId="1FB811E4" w14:textId="74ACF787" w:rsidR="00A4454A" w:rsidRPr="008C1137" w:rsidRDefault="00A4454A" w:rsidP="00210207">
      <w:pPr>
        <w:pStyle w:val="Numbered"/>
      </w:pPr>
      <w:r w:rsidRPr="008C1137">
        <w:t xml:space="preserve">As can be seen in Figure 3, there are around 400,000 criminal incidents recorded by police each year. In order to present data on the number of unique alleged </w:t>
      </w:r>
      <w:r w:rsidRPr="003B3217">
        <w:rPr>
          <w:rStyle w:val="Italic"/>
        </w:rPr>
        <w:t>offenders</w:t>
      </w:r>
      <w:r w:rsidRPr="008C1137">
        <w:t xml:space="preserve"> each year, it is important to first understand that not all of those criminal incidents result in identification of the alleged offender. Figure 5 shows the number of </w:t>
      </w:r>
      <w:r w:rsidRPr="003B3217">
        <w:rPr>
          <w:rStyle w:val="Italic"/>
        </w:rPr>
        <w:t>alleged offender incidents</w:t>
      </w:r>
      <w:r w:rsidRPr="008C1137">
        <w:t>, which indicates how many criminal incidents each year resulted in the identification of the alleged offender. The proportion of criminal incidents resulting in identification of an alleged offender was usually around 40% each year, after having increased steadily in the 6 years to 2009–10.</w:t>
      </w:r>
    </w:p>
    <w:p w14:paraId="4AFDA4E4" w14:textId="77777777" w:rsidR="00B71068" w:rsidRPr="008C1137" w:rsidRDefault="00B71068" w:rsidP="00BE4EDC">
      <w:pPr>
        <w:pStyle w:val="Caption"/>
      </w:pPr>
      <w:r w:rsidRPr="00157502">
        <w:t>Figure 5</w:t>
      </w:r>
      <w:r w:rsidRPr="008C1137">
        <w:t>: Number of alleged offender incidents, 2004–05 to 2023–24</w:t>
      </w:r>
    </w:p>
    <w:tbl>
      <w:tblPr>
        <w:tblStyle w:val="Table"/>
        <w:tblW w:w="5000" w:type="pct"/>
        <w:tblLook w:val="04A0" w:firstRow="1" w:lastRow="0" w:firstColumn="1" w:lastColumn="0" w:noHBand="0" w:noVBand="1"/>
      </w:tblPr>
      <w:tblGrid>
        <w:gridCol w:w="4508"/>
        <w:gridCol w:w="4508"/>
      </w:tblGrid>
      <w:tr w:rsidR="00EA6D17" w:rsidRPr="00EA6D17" w14:paraId="46708CBE" w14:textId="77777777" w:rsidTr="003B453B">
        <w:trPr>
          <w:trHeight w:val="288"/>
          <w:tblHeader/>
        </w:trPr>
        <w:tc>
          <w:tcPr>
            <w:tcW w:w="2500" w:type="pct"/>
            <w:noWrap/>
            <w:hideMark/>
          </w:tcPr>
          <w:p w14:paraId="55E131BA" w14:textId="77777777" w:rsidR="00EA6D17" w:rsidRPr="00EA6D17" w:rsidRDefault="00EA6D17" w:rsidP="0040081A">
            <w:pPr>
              <w:pStyle w:val="TableHeading"/>
            </w:pPr>
            <w:r w:rsidRPr="00EA6D17">
              <w:t>Financial year</w:t>
            </w:r>
          </w:p>
        </w:tc>
        <w:tc>
          <w:tcPr>
            <w:tcW w:w="2500" w:type="pct"/>
            <w:noWrap/>
            <w:hideMark/>
          </w:tcPr>
          <w:p w14:paraId="3B3DA1AF" w14:textId="77777777" w:rsidR="00EA6D17" w:rsidRPr="00EA6D17" w:rsidRDefault="00EA6D17" w:rsidP="0040081A">
            <w:pPr>
              <w:pStyle w:val="TableHeading"/>
            </w:pPr>
            <w:r w:rsidRPr="00EA6D17">
              <w:t>Alleged offender incidents (people)</w:t>
            </w:r>
          </w:p>
        </w:tc>
      </w:tr>
      <w:tr w:rsidR="00EA6D17" w:rsidRPr="00EA6D17" w14:paraId="04F583BD" w14:textId="77777777" w:rsidTr="003B453B">
        <w:trPr>
          <w:trHeight w:val="288"/>
        </w:trPr>
        <w:tc>
          <w:tcPr>
            <w:tcW w:w="2500" w:type="pct"/>
            <w:noWrap/>
            <w:hideMark/>
          </w:tcPr>
          <w:p w14:paraId="66D42A84" w14:textId="77777777" w:rsidR="00EA6D17" w:rsidRPr="00EA6D17" w:rsidRDefault="00EA6D17" w:rsidP="0040081A">
            <w:pPr>
              <w:pStyle w:val="TableBody"/>
            </w:pPr>
            <w:r w:rsidRPr="00EA6D17">
              <w:t>2004-05</w:t>
            </w:r>
          </w:p>
        </w:tc>
        <w:tc>
          <w:tcPr>
            <w:tcW w:w="2500" w:type="pct"/>
            <w:noWrap/>
            <w:hideMark/>
          </w:tcPr>
          <w:p w14:paraId="746FED74" w14:textId="77777777" w:rsidR="00EA6D17" w:rsidRPr="00EA6D17" w:rsidRDefault="00EA6D17" w:rsidP="0040081A">
            <w:pPr>
              <w:pStyle w:val="TableBody"/>
            </w:pPr>
            <w:r w:rsidRPr="00EA6D17">
              <w:t>75,632</w:t>
            </w:r>
          </w:p>
        </w:tc>
      </w:tr>
      <w:tr w:rsidR="00EA6D17" w:rsidRPr="00EA6D17" w14:paraId="6086E4EB" w14:textId="77777777" w:rsidTr="003B453B">
        <w:trPr>
          <w:trHeight w:val="288"/>
        </w:trPr>
        <w:tc>
          <w:tcPr>
            <w:tcW w:w="2500" w:type="pct"/>
            <w:noWrap/>
            <w:hideMark/>
          </w:tcPr>
          <w:p w14:paraId="59CBA23B" w14:textId="77777777" w:rsidR="00EA6D17" w:rsidRPr="00EA6D17" w:rsidRDefault="00EA6D17" w:rsidP="0040081A">
            <w:pPr>
              <w:pStyle w:val="TableBody"/>
            </w:pPr>
            <w:r w:rsidRPr="00EA6D17">
              <w:t>2005-06</w:t>
            </w:r>
          </w:p>
        </w:tc>
        <w:tc>
          <w:tcPr>
            <w:tcW w:w="2500" w:type="pct"/>
            <w:noWrap/>
            <w:hideMark/>
          </w:tcPr>
          <w:p w14:paraId="741B9097" w14:textId="77777777" w:rsidR="00EA6D17" w:rsidRPr="00EA6D17" w:rsidRDefault="00EA6D17" w:rsidP="0040081A">
            <w:pPr>
              <w:pStyle w:val="TableBody"/>
            </w:pPr>
            <w:r w:rsidRPr="00EA6D17">
              <w:t>87,820</w:t>
            </w:r>
          </w:p>
        </w:tc>
      </w:tr>
      <w:tr w:rsidR="00EA6D17" w:rsidRPr="00EA6D17" w14:paraId="607C51EF" w14:textId="77777777" w:rsidTr="003B453B">
        <w:trPr>
          <w:trHeight w:val="288"/>
        </w:trPr>
        <w:tc>
          <w:tcPr>
            <w:tcW w:w="2500" w:type="pct"/>
            <w:noWrap/>
            <w:hideMark/>
          </w:tcPr>
          <w:p w14:paraId="3208F326" w14:textId="77777777" w:rsidR="00EA6D17" w:rsidRPr="00EA6D17" w:rsidRDefault="00EA6D17" w:rsidP="0040081A">
            <w:pPr>
              <w:pStyle w:val="TableBody"/>
            </w:pPr>
            <w:r w:rsidRPr="00EA6D17">
              <w:t>2006-07</w:t>
            </w:r>
          </w:p>
        </w:tc>
        <w:tc>
          <w:tcPr>
            <w:tcW w:w="2500" w:type="pct"/>
            <w:noWrap/>
            <w:hideMark/>
          </w:tcPr>
          <w:p w14:paraId="1C64C23D" w14:textId="77777777" w:rsidR="00EA6D17" w:rsidRPr="00EA6D17" w:rsidRDefault="00EA6D17" w:rsidP="0040081A">
            <w:pPr>
              <w:pStyle w:val="TableBody"/>
            </w:pPr>
            <w:r w:rsidRPr="00EA6D17">
              <w:t>92,918</w:t>
            </w:r>
          </w:p>
        </w:tc>
      </w:tr>
      <w:tr w:rsidR="00EA6D17" w:rsidRPr="00EA6D17" w14:paraId="52EC6C98" w14:textId="77777777" w:rsidTr="003B453B">
        <w:trPr>
          <w:trHeight w:val="288"/>
        </w:trPr>
        <w:tc>
          <w:tcPr>
            <w:tcW w:w="2500" w:type="pct"/>
            <w:noWrap/>
            <w:hideMark/>
          </w:tcPr>
          <w:p w14:paraId="1C602B5F" w14:textId="77777777" w:rsidR="00EA6D17" w:rsidRPr="00EA6D17" w:rsidRDefault="00EA6D17" w:rsidP="0040081A">
            <w:pPr>
              <w:pStyle w:val="TableBody"/>
            </w:pPr>
            <w:r w:rsidRPr="00EA6D17">
              <w:t>2007-08</w:t>
            </w:r>
          </w:p>
        </w:tc>
        <w:tc>
          <w:tcPr>
            <w:tcW w:w="2500" w:type="pct"/>
            <w:noWrap/>
            <w:hideMark/>
          </w:tcPr>
          <w:p w14:paraId="306CA46B" w14:textId="77777777" w:rsidR="00EA6D17" w:rsidRPr="00EA6D17" w:rsidRDefault="00EA6D17" w:rsidP="0040081A">
            <w:pPr>
              <w:pStyle w:val="TableBody"/>
            </w:pPr>
            <w:r w:rsidRPr="00EA6D17">
              <w:t>96,458</w:t>
            </w:r>
          </w:p>
        </w:tc>
      </w:tr>
      <w:tr w:rsidR="00EA6D17" w:rsidRPr="00EA6D17" w14:paraId="544D71C8" w14:textId="77777777" w:rsidTr="003B453B">
        <w:trPr>
          <w:trHeight w:val="288"/>
        </w:trPr>
        <w:tc>
          <w:tcPr>
            <w:tcW w:w="2500" w:type="pct"/>
            <w:noWrap/>
            <w:hideMark/>
          </w:tcPr>
          <w:p w14:paraId="530EE73F" w14:textId="77777777" w:rsidR="00EA6D17" w:rsidRPr="00EA6D17" w:rsidRDefault="00EA6D17" w:rsidP="0040081A">
            <w:pPr>
              <w:pStyle w:val="TableBody"/>
            </w:pPr>
            <w:r w:rsidRPr="00EA6D17">
              <w:t>2008-09</w:t>
            </w:r>
          </w:p>
        </w:tc>
        <w:tc>
          <w:tcPr>
            <w:tcW w:w="2500" w:type="pct"/>
            <w:noWrap/>
            <w:hideMark/>
          </w:tcPr>
          <w:p w14:paraId="7DCA4887" w14:textId="77777777" w:rsidR="00EA6D17" w:rsidRPr="00EA6D17" w:rsidRDefault="00EA6D17" w:rsidP="0040081A">
            <w:pPr>
              <w:pStyle w:val="TableBody"/>
            </w:pPr>
            <w:r w:rsidRPr="00EA6D17">
              <w:t>105,229</w:t>
            </w:r>
          </w:p>
        </w:tc>
      </w:tr>
      <w:tr w:rsidR="00EA6D17" w:rsidRPr="00EA6D17" w14:paraId="2041950F" w14:textId="77777777" w:rsidTr="003B453B">
        <w:trPr>
          <w:trHeight w:val="288"/>
        </w:trPr>
        <w:tc>
          <w:tcPr>
            <w:tcW w:w="2500" w:type="pct"/>
            <w:noWrap/>
            <w:hideMark/>
          </w:tcPr>
          <w:p w14:paraId="3A12E08C" w14:textId="77777777" w:rsidR="00EA6D17" w:rsidRPr="00EA6D17" w:rsidRDefault="00EA6D17" w:rsidP="0040081A">
            <w:pPr>
              <w:pStyle w:val="TableBody"/>
            </w:pPr>
            <w:r w:rsidRPr="00EA6D17">
              <w:t>2009-10</w:t>
            </w:r>
          </w:p>
        </w:tc>
        <w:tc>
          <w:tcPr>
            <w:tcW w:w="2500" w:type="pct"/>
            <w:noWrap/>
            <w:hideMark/>
          </w:tcPr>
          <w:p w14:paraId="013D1B01" w14:textId="77777777" w:rsidR="00EA6D17" w:rsidRPr="00EA6D17" w:rsidRDefault="00EA6D17" w:rsidP="0040081A">
            <w:pPr>
              <w:pStyle w:val="TableBody"/>
            </w:pPr>
            <w:r w:rsidRPr="00EA6D17">
              <w:t>118,768</w:t>
            </w:r>
          </w:p>
        </w:tc>
      </w:tr>
      <w:tr w:rsidR="00EA6D17" w:rsidRPr="00EA6D17" w14:paraId="1B99066C" w14:textId="77777777" w:rsidTr="003B453B">
        <w:trPr>
          <w:trHeight w:val="288"/>
        </w:trPr>
        <w:tc>
          <w:tcPr>
            <w:tcW w:w="2500" w:type="pct"/>
            <w:noWrap/>
            <w:hideMark/>
          </w:tcPr>
          <w:p w14:paraId="0F0033EC" w14:textId="77777777" w:rsidR="00EA6D17" w:rsidRPr="00EA6D17" w:rsidRDefault="00EA6D17" w:rsidP="0040081A">
            <w:pPr>
              <w:pStyle w:val="TableBody"/>
            </w:pPr>
            <w:r w:rsidRPr="00EA6D17">
              <w:t>2010-11</w:t>
            </w:r>
          </w:p>
        </w:tc>
        <w:tc>
          <w:tcPr>
            <w:tcW w:w="2500" w:type="pct"/>
            <w:noWrap/>
            <w:hideMark/>
          </w:tcPr>
          <w:p w14:paraId="15D4B10D" w14:textId="77777777" w:rsidR="00EA6D17" w:rsidRPr="00EA6D17" w:rsidRDefault="00EA6D17" w:rsidP="0040081A">
            <w:pPr>
              <w:pStyle w:val="TableBody"/>
            </w:pPr>
            <w:r w:rsidRPr="00EA6D17">
              <w:t>117,382</w:t>
            </w:r>
          </w:p>
        </w:tc>
      </w:tr>
      <w:tr w:rsidR="00EA6D17" w:rsidRPr="00EA6D17" w14:paraId="43292F92" w14:textId="77777777" w:rsidTr="003B453B">
        <w:trPr>
          <w:trHeight w:val="288"/>
        </w:trPr>
        <w:tc>
          <w:tcPr>
            <w:tcW w:w="2500" w:type="pct"/>
            <w:noWrap/>
            <w:hideMark/>
          </w:tcPr>
          <w:p w14:paraId="58980C07" w14:textId="77777777" w:rsidR="00EA6D17" w:rsidRPr="00EA6D17" w:rsidRDefault="00EA6D17" w:rsidP="0040081A">
            <w:pPr>
              <w:pStyle w:val="TableBody"/>
            </w:pPr>
            <w:r w:rsidRPr="00EA6D17">
              <w:t>2011-12</w:t>
            </w:r>
          </w:p>
        </w:tc>
        <w:tc>
          <w:tcPr>
            <w:tcW w:w="2500" w:type="pct"/>
            <w:noWrap/>
            <w:hideMark/>
          </w:tcPr>
          <w:p w14:paraId="5C123FDF" w14:textId="77777777" w:rsidR="00EA6D17" w:rsidRPr="00EA6D17" w:rsidRDefault="00EA6D17" w:rsidP="0040081A">
            <w:pPr>
              <w:pStyle w:val="TableBody"/>
            </w:pPr>
            <w:r w:rsidRPr="00EA6D17">
              <w:t>121,449</w:t>
            </w:r>
          </w:p>
        </w:tc>
      </w:tr>
      <w:tr w:rsidR="00EA6D17" w:rsidRPr="00EA6D17" w14:paraId="317F97BE" w14:textId="77777777" w:rsidTr="003B453B">
        <w:trPr>
          <w:trHeight w:val="288"/>
        </w:trPr>
        <w:tc>
          <w:tcPr>
            <w:tcW w:w="2500" w:type="pct"/>
            <w:noWrap/>
            <w:hideMark/>
          </w:tcPr>
          <w:p w14:paraId="1E12BA8D" w14:textId="77777777" w:rsidR="00EA6D17" w:rsidRPr="00EA6D17" w:rsidRDefault="00EA6D17" w:rsidP="0040081A">
            <w:pPr>
              <w:pStyle w:val="TableBody"/>
            </w:pPr>
            <w:r w:rsidRPr="00EA6D17">
              <w:t>2012-13</w:t>
            </w:r>
          </w:p>
        </w:tc>
        <w:tc>
          <w:tcPr>
            <w:tcW w:w="2500" w:type="pct"/>
            <w:noWrap/>
            <w:hideMark/>
          </w:tcPr>
          <w:p w14:paraId="4F8B63C7" w14:textId="77777777" w:rsidR="00EA6D17" w:rsidRPr="00EA6D17" w:rsidRDefault="00EA6D17" w:rsidP="0040081A">
            <w:pPr>
              <w:pStyle w:val="TableBody"/>
            </w:pPr>
            <w:r w:rsidRPr="00EA6D17">
              <w:t>134,370</w:t>
            </w:r>
          </w:p>
        </w:tc>
      </w:tr>
      <w:tr w:rsidR="00EA6D17" w:rsidRPr="00EA6D17" w14:paraId="1CD45C72" w14:textId="77777777" w:rsidTr="003B453B">
        <w:trPr>
          <w:trHeight w:val="288"/>
        </w:trPr>
        <w:tc>
          <w:tcPr>
            <w:tcW w:w="2500" w:type="pct"/>
            <w:noWrap/>
            <w:hideMark/>
          </w:tcPr>
          <w:p w14:paraId="06ED34AF" w14:textId="77777777" w:rsidR="00EA6D17" w:rsidRPr="00EA6D17" w:rsidRDefault="00EA6D17" w:rsidP="0040081A">
            <w:pPr>
              <w:pStyle w:val="TableBody"/>
            </w:pPr>
            <w:r w:rsidRPr="00EA6D17">
              <w:t>2013-14</w:t>
            </w:r>
          </w:p>
        </w:tc>
        <w:tc>
          <w:tcPr>
            <w:tcW w:w="2500" w:type="pct"/>
            <w:noWrap/>
            <w:hideMark/>
          </w:tcPr>
          <w:p w14:paraId="550ADD30" w14:textId="77777777" w:rsidR="00EA6D17" w:rsidRPr="00EA6D17" w:rsidRDefault="00EA6D17" w:rsidP="0040081A">
            <w:pPr>
              <w:pStyle w:val="TableBody"/>
            </w:pPr>
            <w:r w:rsidRPr="00EA6D17">
              <w:t>139,118</w:t>
            </w:r>
          </w:p>
        </w:tc>
      </w:tr>
      <w:tr w:rsidR="00EA6D17" w:rsidRPr="00EA6D17" w14:paraId="7A2D7F16" w14:textId="77777777" w:rsidTr="003B453B">
        <w:trPr>
          <w:trHeight w:val="288"/>
        </w:trPr>
        <w:tc>
          <w:tcPr>
            <w:tcW w:w="2500" w:type="pct"/>
            <w:noWrap/>
            <w:hideMark/>
          </w:tcPr>
          <w:p w14:paraId="19EB4B5F" w14:textId="77777777" w:rsidR="00EA6D17" w:rsidRPr="00EA6D17" w:rsidRDefault="00EA6D17" w:rsidP="0040081A">
            <w:pPr>
              <w:pStyle w:val="TableBody"/>
            </w:pPr>
            <w:r w:rsidRPr="00EA6D17">
              <w:t>2014-15</w:t>
            </w:r>
          </w:p>
        </w:tc>
        <w:tc>
          <w:tcPr>
            <w:tcW w:w="2500" w:type="pct"/>
            <w:noWrap/>
            <w:hideMark/>
          </w:tcPr>
          <w:p w14:paraId="72B739B3" w14:textId="77777777" w:rsidR="00EA6D17" w:rsidRPr="00EA6D17" w:rsidRDefault="00EA6D17" w:rsidP="0040081A">
            <w:pPr>
              <w:pStyle w:val="TableBody"/>
            </w:pPr>
            <w:r w:rsidRPr="00EA6D17">
              <w:t>144,542</w:t>
            </w:r>
          </w:p>
        </w:tc>
      </w:tr>
      <w:tr w:rsidR="00EA6D17" w:rsidRPr="00EA6D17" w14:paraId="340B0DC7" w14:textId="77777777" w:rsidTr="003B453B">
        <w:trPr>
          <w:trHeight w:val="288"/>
        </w:trPr>
        <w:tc>
          <w:tcPr>
            <w:tcW w:w="2500" w:type="pct"/>
            <w:noWrap/>
            <w:hideMark/>
          </w:tcPr>
          <w:p w14:paraId="3E7160F5" w14:textId="77777777" w:rsidR="00EA6D17" w:rsidRPr="00EA6D17" w:rsidRDefault="00EA6D17" w:rsidP="0040081A">
            <w:pPr>
              <w:pStyle w:val="TableBody"/>
            </w:pPr>
            <w:r w:rsidRPr="00EA6D17">
              <w:t>2015-16</w:t>
            </w:r>
          </w:p>
        </w:tc>
        <w:tc>
          <w:tcPr>
            <w:tcW w:w="2500" w:type="pct"/>
            <w:noWrap/>
            <w:hideMark/>
          </w:tcPr>
          <w:p w14:paraId="1EA17B7C" w14:textId="77777777" w:rsidR="00EA6D17" w:rsidRPr="00EA6D17" w:rsidRDefault="00EA6D17" w:rsidP="0040081A">
            <w:pPr>
              <w:pStyle w:val="TableBody"/>
            </w:pPr>
            <w:r w:rsidRPr="00EA6D17">
              <w:t>155,761</w:t>
            </w:r>
          </w:p>
        </w:tc>
      </w:tr>
      <w:tr w:rsidR="00EA6D17" w:rsidRPr="00EA6D17" w14:paraId="0ABFCD71" w14:textId="77777777" w:rsidTr="003B453B">
        <w:trPr>
          <w:trHeight w:val="288"/>
        </w:trPr>
        <w:tc>
          <w:tcPr>
            <w:tcW w:w="2500" w:type="pct"/>
            <w:noWrap/>
            <w:hideMark/>
          </w:tcPr>
          <w:p w14:paraId="271C5AF2" w14:textId="77777777" w:rsidR="00EA6D17" w:rsidRPr="00EA6D17" w:rsidRDefault="00EA6D17" w:rsidP="0040081A">
            <w:pPr>
              <w:pStyle w:val="TableBody"/>
            </w:pPr>
            <w:r w:rsidRPr="00EA6D17">
              <w:t>2016-17</w:t>
            </w:r>
          </w:p>
        </w:tc>
        <w:tc>
          <w:tcPr>
            <w:tcW w:w="2500" w:type="pct"/>
            <w:noWrap/>
            <w:hideMark/>
          </w:tcPr>
          <w:p w14:paraId="05D9AC9E" w14:textId="77777777" w:rsidR="00EA6D17" w:rsidRPr="00EA6D17" w:rsidRDefault="00EA6D17" w:rsidP="0040081A">
            <w:pPr>
              <w:pStyle w:val="TableBody"/>
            </w:pPr>
            <w:r w:rsidRPr="00EA6D17">
              <w:t>160,933</w:t>
            </w:r>
          </w:p>
        </w:tc>
      </w:tr>
      <w:tr w:rsidR="00EA6D17" w:rsidRPr="00EA6D17" w14:paraId="55B30247" w14:textId="77777777" w:rsidTr="003B453B">
        <w:trPr>
          <w:trHeight w:val="288"/>
        </w:trPr>
        <w:tc>
          <w:tcPr>
            <w:tcW w:w="2500" w:type="pct"/>
            <w:noWrap/>
            <w:hideMark/>
          </w:tcPr>
          <w:p w14:paraId="7B3929AF" w14:textId="77777777" w:rsidR="00EA6D17" w:rsidRPr="00EA6D17" w:rsidRDefault="00EA6D17" w:rsidP="0040081A">
            <w:pPr>
              <w:pStyle w:val="TableBody"/>
            </w:pPr>
            <w:r w:rsidRPr="00EA6D17">
              <w:t>2017-18</w:t>
            </w:r>
          </w:p>
        </w:tc>
        <w:tc>
          <w:tcPr>
            <w:tcW w:w="2500" w:type="pct"/>
            <w:noWrap/>
            <w:hideMark/>
          </w:tcPr>
          <w:p w14:paraId="5B012345" w14:textId="77777777" w:rsidR="00EA6D17" w:rsidRPr="00EA6D17" w:rsidRDefault="00EA6D17" w:rsidP="0040081A">
            <w:pPr>
              <w:pStyle w:val="TableBody"/>
            </w:pPr>
            <w:r w:rsidRPr="00EA6D17">
              <w:t>157,395</w:t>
            </w:r>
          </w:p>
        </w:tc>
      </w:tr>
      <w:tr w:rsidR="00EA6D17" w:rsidRPr="00EA6D17" w14:paraId="54FF4A81" w14:textId="77777777" w:rsidTr="003B453B">
        <w:trPr>
          <w:trHeight w:val="288"/>
        </w:trPr>
        <w:tc>
          <w:tcPr>
            <w:tcW w:w="2500" w:type="pct"/>
            <w:noWrap/>
            <w:hideMark/>
          </w:tcPr>
          <w:p w14:paraId="4F6B536E" w14:textId="77777777" w:rsidR="00EA6D17" w:rsidRPr="00EA6D17" w:rsidRDefault="00EA6D17" w:rsidP="0040081A">
            <w:pPr>
              <w:pStyle w:val="TableBody"/>
            </w:pPr>
            <w:r w:rsidRPr="00EA6D17">
              <w:t>2018-19</w:t>
            </w:r>
          </w:p>
        </w:tc>
        <w:tc>
          <w:tcPr>
            <w:tcW w:w="2500" w:type="pct"/>
            <w:noWrap/>
            <w:hideMark/>
          </w:tcPr>
          <w:p w14:paraId="636C838B" w14:textId="77777777" w:rsidR="00EA6D17" w:rsidRPr="00EA6D17" w:rsidRDefault="00EA6D17" w:rsidP="0040081A">
            <w:pPr>
              <w:pStyle w:val="TableBody"/>
            </w:pPr>
            <w:r w:rsidRPr="00EA6D17">
              <w:t>159,465</w:t>
            </w:r>
          </w:p>
        </w:tc>
      </w:tr>
      <w:tr w:rsidR="00EA6D17" w:rsidRPr="00EA6D17" w14:paraId="7EC86444" w14:textId="77777777" w:rsidTr="003B453B">
        <w:trPr>
          <w:trHeight w:val="288"/>
        </w:trPr>
        <w:tc>
          <w:tcPr>
            <w:tcW w:w="2500" w:type="pct"/>
            <w:noWrap/>
            <w:hideMark/>
          </w:tcPr>
          <w:p w14:paraId="60DA1CFD" w14:textId="77777777" w:rsidR="00EA6D17" w:rsidRPr="00EA6D17" w:rsidRDefault="00EA6D17" w:rsidP="0040081A">
            <w:pPr>
              <w:pStyle w:val="TableBody"/>
            </w:pPr>
            <w:r w:rsidRPr="00EA6D17">
              <w:t>2019-20</w:t>
            </w:r>
          </w:p>
        </w:tc>
        <w:tc>
          <w:tcPr>
            <w:tcW w:w="2500" w:type="pct"/>
            <w:noWrap/>
            <w:hideMark/>
          </w:tcPr>
          <w:p w14:paraId="2A9705DB" w14:textId="77777777" w:rsidR="00EA6D17" w:rsidRPr="00EA6D17" w:rsidRDefault="00EA6D17" w:rsidP="0040081A">
            <w:pPr>
              <w:pStyle w:val="TableBody"/>
            </w:pPr>
            <w:r w:rsidRPr="00EA6D17">
              <w:t>168,259</w:t>
            </w:r>
          </w:p>
        </w:tc>
      </w:tr>
      <w:tr w:rsidR="00EA6D17" w:rsidRPr="00EA6D17" w14:paraId="1B5C784E" w14:textId="77777777" w:rsidTr="003B453B">
        <w:trPr>
          <w:trHeight w:val="288"/>
        </w:trPr>
        <w:tc>
          <w:tcPr>
            <w:tcW w:w="2500" w:type="pct"/>
            <w:noWrap/>
            <w:hideMark/>
          </w:tcPr>
          <w:p w14:paraId="68BB905E" w14:textId="77777777" w:rsidR="00EA6D17" w:rsidRPr="00EA6D17" w:rsidRDefault="00EA6D17" w:rsidP="0040081A">
            <w:pPr>
              <w:pStyle w:val="TableBody"/>
            </w:pPr>
            <w:r w:rsidRPr="00EA6D17">
              <w:t>2020-21</w:t>
            </w:r>
          </w:p>
        </w:tc>
        <w:tc>
          <w:tcPr>
            <w:tcW w:w="2500" w:type="pct"/>
            <w:noWrap/>
            <w:hideMark/>
          </w:tcPr>
          <w:p w14:paraId="7E9E562A" w14:textId="77777777" w:rsidR="00EA6D17" w:rsidRPr="00EA6D17" w:rsidRDefault="00EA6D17" w:rsidP="0040081A">
            <w:pPr>
              <w:pStyle w:val="TableBody"/>
            </w:pPr>
            <w:r w:rsidRPr="00EA6D17">
              <w:t>184,068</w:t>
            </w:r>
          </w:p>
        </w:tc>
      </w:tr>
      <w:tr w:rsidR="00EA6D17" w:rsidRPr="00EA6D17" w14:paraId="67EB3040" w14:textId="77777777" w:rsidTr="003B453B">
        <w:trPr>
          <w:trHeight w:val="288"/>
        </w:trPr>
        <w:tc>
          <w:tcPr>
            <w:tcW w:w="2500" w:type="pct"/>
            <w:noWrap/>
            <w:hideMark/>
          </w:tcPr>
          <w:p w14:paraId="4580034E" w14:textId="77777777" w:rsidR="00EA6D17" w:rsidRPr="00EA6D17" w:rsidRDefault="00EA6D17" w:rsidP="0040081A">
            <w:pPr>
              <w:pStyle w:val="TableBody"/>
            </w:pPr>
            <w:r w:rsidRPr="00EA6D17">
              <w:t>2021-22</w:t>
            </w:r>
          </w:p>
        </w:tc>
        <w:tc>
          <w:tcPr>
            <w:tcW w:w="2500" w:type="pct"/>
            <w:noWrap/>
            <w:hideMark/>
          </w:tcPr>
          <w:p w14:paraId="5B0B9F4D" w14:textId="77777777" w:rsidR="00EA6D17" w:rsidRPr="00EA6D17" w:rsidRDefault="00EA6D17" w:rsidP="0040081A">
            <w:pPr>
              <w:pStyle w:val="TableBody"/>
            </w:pPr>
            <w:r w:rsidRPr="00EA6D17">
              <w:t>151,638</w:t>
            </w:r>
          </w:p>
        </w:tc>
      </w:tr>
      <w:tr w:rsidR="00EA6D17" w:rsidRPr="00EA6D17" w14:paraId="7116F735" w14:textId="77777777" w:rsidTr="003B453B">
        <w:trPr>
          <w:trHeight w:val="288"/>
        </w:trPr>
        <w:tc>
          <w:tcPr>
            <w:tcW w:w="2500" w:type="pct"/>
            <w:noWrap/>
            <w:hideMark/>
          </w:tcPr>
          <w:p w14:paraId="44A6FAF0" w14:textId="77777777" w:rsidR="00EA6D17" w:rsidRPr="00EA6D17" w:rsidRDefault="00EA6D17" w:rsidP="0040081A">
            <w:pPr>
              <w:pStyle w:val="TableBody"/>
            </w:pPr>
            <w:r w:rsidRPr="00EA6D17">
              <w:t>2022-23</w:t>
            </w:r>
          </w:p>
        </w:tc>
        <w:tc>
          <w:tcPr>
            <w:tcW w:w="2500" w:type="pct"/>
            <w:noWrap/>
            <w:hideMark/>
          </w:tcPr>
          <w:p w14:paraId="54F5B469" w14:textId="77777777" w:rsidR="00EA6D17" w:rsidRPr="00EA6D17" w:rsidRDefault="00EA6D17" w:rsidP="0040081A">
            <w:pPr>
              <w:pStyle w:val="TableBody"/>
            </w:pPr>
            <w:r w:rsidRPr="00EA6D17">
              <w:t>156,941</w:t>
            </w:r>
          </w:p>
        </w:tc>
      </w:tr>
      <w:tr w:rsidR="00EA6D17" w:rsidRPr="00EA6D17" w14:paraId="5F9C45E4" w14:textId="77777777" w:rsidTr="003B453B">
        <w:trPr>
          <w:trHeight w:val="288"/>
        </w:trPr>
        <w:tc>
          <w:tcPr>
            <w:tcW w:w="2500" w:type="pct"/>
            <w:noWrap/>
            <w:hideMark/>
          </w:tcPr>
          <w:p w14:paraId="1916AF02" w14:textId="77777777" w:rsidR="00EA6D17" w:rsidRPr="00EA6D17" w:rsidRDefault="00EA6D17" w:rsidP="0040081A">
            <w:pPr>
              <w:pStyle w:val="TableBody"/>
            </w:pPr>
            <w:r w:rsidRPr="00EA6D17">
              <w:t>2023-24</w:t>
            </w:r>
          </w:p>
        </w:tc>
        <w:tc>
          <w:tcPr>
            <w:tcW w:w="2500" w:type="pct"/>
            <w:noWrap/>
            <w:hideMark/>
          </w:tcPr>
          <w:p w14:paraId="164491DB" w14:textId="77777777" w:rsidR="00EA6D17" w:rsidRPr="00EA6D17" w:rsidRDefault="00EA6D17" w:rsidP="0040081A">
            <w:pPr>
              <w:pStyle w:val="TableBody"/>
            </w:pPr>
            <w:r w:rsidRPr="00EA6D17">
              <w:t>165,207</w:t>
            </w:r>
          </w:p>
        </w:tc>
      </w:tr>
    </w:tbl>
    <w:p w14:paraId="72C2442C" w14:textId="77777777" w:rsidR="00B71068" w:rsidRPr="008C1137" w:rsidRDefault="00B71068" w:rsidP="00D4532A">
      <w:r w:rsidRPr="000C258A">
        <w:rPr>
          <w:rStyle w:val="Strong"/>
        </w:rPr>
        <w:lastRenderedPageBreak/>
        <w:t>Source</w:t>
      </w:r>
      <w:r w:rsidRPr="008C1137">
        <w:t>: Crime Statistics Agency Victoria, unpublished data</w:t>
      </w:r>
    </w:p>
    <w:p w14:paraId="73931365" w14:textId="77777777" w:rsidR="00A4454A" w:rsidRPr="008C1137" w:rsidRDefault="00A4454A" w:rsidP="0002476E">
      <w:pPr>
        <w:pStyle w:val="Heading2"/>
      </w:pPr>
      <w:r w:rsidRPr="008C1137">
        <w:t xml:space="preserve">Number of recorded </w:t>
      </w:r>
      <w:r w:rsidRPr="0053159E">
        <w:rPr>
          <w:rStyle w:val="Italic"/>
        </w:rPr>
        <w:t>offenders</w:t>
      </w:r>
      <w:r w:rsidRPr="008C1137">
        <w:t>, overall and per capita</w:t>
      </w:r>
    </w:p>
    <w:p w14:paraId="6C5BF30A" w14:textId="2AA0DBDF" w:rsidR="00A4454A" w:rsidRPr="008C1137" w:rsidRDefault="00A4454A" w:rsidP="00210207">
      <w:pPr>
        <w:pStyle w:val="Numbered"/>
      </w:pPr>
      <w:r w:rsidRPr="008C1137">
        <w:t xml:space="preserve">Next, this chapter presents data on the number of unique alleged </w:t>
      </w:r>
      <w:r w:rsidRPr="003B3217">
        <w:rPr>
          <w:rStyle w:val="Italic"/>
        </w:rPr>
        <w:t xml:space="preserve">offenders </w:t>
      </w:r>
      <w:r w:rsidRPr="008C1137">
        <w:t xml:space="preserve">each year, which indicates whether there are more or less </w:t>
      </w:r>
      <w:r w:rsidRPr="003B3217">
        <w:rPr>
          <w:rStyle w:val="Italic"/>
        </w:rPr>
        <w:t>people</w:t>
      </w:r>
      <w:r w:rsidRPr="008C1137">
        <w:t xml:space="preserve"> committing offences each year, and therefore whether more or less people might be expected to be remanded or receive prison sentences. The increased proportion of criminal incidents resulting in identification of an alleged offender prior to 2009–10 (see [2.7]) would at least partly explain the increase in the number of unique alleged offenders during that period. Since 2009–10, there seems to have been relative stability in the number of unique alleged offenders each year (Figure 6), ranging from a low of 72,361 in 2010–11 to a high of 80,915 in 2018–19, with the exception of the numbers in 2019–20 and 2020–21 (largely a result of breach of chief health officer direction offences).</w:t>
      </w:r>
      <w:r w:rsidRPr="008C1137">
        <w:rPr>
          <w:rStyle w:val="Superscript"/>
        </w:rPr>
        <w:footnoteReference w:id="45"/>
      </w:r>
      <w:r w:rsidRPr="008C1137">
        <w:t xml:space="preserve"> Even including the anomalously high number during COVID-19, that equates to an average of about 73,000 unique alleged offenders in Victoria each year.</w:t>
      </w:r>
    </w:p>
    <w:p w14:paraId="014B0944" w14:textId="77777777" w:rsidR="006767B9" w:rsidRPr="008C1137" w:rsidRDefault="006767B9" w:rsidP="00BE4EDC">
      <w:pPr>
        <w:pStyle w:val="Caption"/>
      </w:pPr>
      <w:r w:rsidRPr="00157502">
        <w:t>Figure 6</w:t>
      </w:r>
      <w:r w:rsidRPr="008C1137">
        <w:t>: Number of unique alleged offenders recorded, 2004–05 to 2023–24</w:t>
      </w:r>
    </w:p>
    <w:tbl>
      <w:tblPr>
        <w:tblStyle w:val="Table"/>
        <w:tblW w:w="5000" w:type="pct"/>
        <w:tblLook w:val="04A0" w:firstRow="1" w:lastRow="0" w:firstColumn="1" w:lastColumn="0" w:noHBand="0" w:noVBand="1"/>
      </w:tblPr>
      <w:tblGrid>
        <w:gridCol w:w="4953"/>
        <w:gridCol w:w="4063"/>
      </w:tblGrid>
      <w:tr w:rsidR="00EA6D17" w:rsidRPr="00EA6D17" w14:paraId="10A29BF5" w14:textId="77777777" w:rsidTr="00D04750">
        <w:trPr>
          <w:trHeight w:val="288"/>
          <w:tblHeader/>
        </w:trPr>
        <w:tc>
          <w:tcPr>
            <w:tcW w:w="2747" w:type="pct"/>
            <w:noWrap/>
            <w:hideMark/>
          </w:tcPr>
          <w:p w14:paraId="1336C4F4" w14:textId="77777777" w:rsidR="00EA6D17" w:rsidRPr="00EA6D17" w:rsidRDefault="00EA6D17" w:rsidP="00D04750">
            <w:pPr>
              <w:pStyle w:val="TableHeading"/>
            </w:pPr>
            <w:r w:rsidRPr="00EA6D17">
              <w:t>Financial year</w:t>
            </w:r>
          </w:p>
        </w:tc>
        <w:tc>
          <w:tcPr>
            <w:tcW w:w="2253" w:type="pct"/>
            <w:noWrap/>
            <w:hideMark/>
          </w:tcPr>
          <w:p w14:paraId="372E91F8" w14:textId="77777777" w:rsidR="00EA6D17" w:rsidRPr="00EA6D17" w:rsidRDefault="00EA6D17" w:rsidP="00D04750">
            <w:pPr>
              <w:pStyle w:val="TableHeading"/>
            </w:pPr>
            <w:r w:rsidRPr="00EA6D17">
              <w:t>Total</w:t>
            </w:r>
          </w:p>
        </w:tc>
      </w:tr>
      <w:tr w:rsidR="00EA6D17" w:rsidRPr="00EA6D17" w14:paraId="311AAF7F" w14:textId="77777777" w:rsidTr="00D04750">
        <w:trPr>
          <w:trHeight w:val="288"/>
        </w:trPr>
        <w:tc>
          <w:tcPr>
            <w:tcW w:w="2747" w:type="pct"/>
            <w:noWrap/>
            <w:hideMark/>
          </w:tcPr>
          <w:p w14:paraId="4945B6B5" w14:textId="77777777" w:rsidR="00EA6D17" w:rsidRPr="00EA6D17" w:rsidRDefault="00EA6D17" w:rsidP="00D04750">
            <w:pPr>
              <w:pStyle w:val="TableBody"/>
            </w:pPr>
            <w:r w:rsidRPr="00EA6D17">
              <w:t>2004-05</w:t>
            </w:r>
          </w:p>
        </w:tc>
        <w:tc>
          <w:tcPr>
            <w:tcW w:w="2253" w:type="pct"/>
            <w:noWrap/>
            <w:hideMark/>
          </w:tcPr>
          <w:p w14:paraId="127F1A25" w14:textId="77777777" w:rsidR="00EA6D17" w:rsidRPr="00EA6D17" w:rsidRDefault="00EA6D17" w:rsidP="00D04750">
            <w:pPr>
              <w:pStyle w:val="TableBody"/>
            </w:pPr>
            <w:r w:rsidRPr="00EA6D17">
              <w:t>48,742</w:t>
            </w:r>
          </w:p>
        </w:tc>
      </w:tr>
      <w:tr w:rsidR="00EA6D17" w:rsidRPr="00EA6D17" w14:paraId="3CF15457" w14:textId="77777777" w:rsidTr="00D04750">
        <w:trPr>
          <w:trHeight w:val="288"/>
        </w:trPr>
        <w:tc>
          <w:tcPr>
            <w:tcW w:w="2747" w:type="pct"/>
            <w:noWrap/>
            <w:hideMark/>
          </w:tcPr>
          <w:p w14:paraId="67CB5B7F" w14:textId="77777777" w:rsidR="00EA6D17" w:rsidRPr="00EA6D17" w:rsidRDefault="00EA6D17" w:rsidP="00D04750">
            <w:pPr>
              <w:pStyle w:val="TableBody"/>
            </w:pPr>
            <w:r w:rsidRPr="00EA6D17">
              <w:t>2005-06</w:t>
            </w:r>
          </w:p>
        </w:tc>
        <w:tc>
          <w:tcPr>
            <w:tcW w:w="2253" w:type="pct"/>
            <w:noWrap/>
            <w:hideMark/>
          </w:tcPr>
          <w:p w14:paraId="7F821876" w14:textId="77777777" w:rsidR="00EA6D17" w:rsidRPr="00EA6D17" w:rsidRDefault="00EA6D17" w:rsidP="00D04750">
            <w:pPr>
              <w:pStyle w:val="TableBody"/>
            </w:pPr>
            <w:r w:rsidRPr="00EA6D17">
              <w:t>54,598</w:t>
            </w:r>
          </w:p>
        </w:tc>
      </w:tr>
      <w:tr w:rsidR="00EA6D17" w:rsidRPr="00EA6D17" w14:paraId="21006627" w14:textId="77777777" w:rsidTr="00D04750">
        <w:trPr>
          <w:trHeight w:val="288"/>
        </w:trPr>
        <w:tc>
          <w:tcPr>
            <w:tcW w:w="2747" w:type="pct"/>
            <w:noWrap/>
            <w:hideMark/>
          </w:tcPr>
          <w:p w14:paraId="113D4F9F" w14:textId="77777777" w:rsidR="00EA6D17" w:rsidRPr="00EA6D17" w:rsidRDefault="00EA6D17" w:rsidP="00D04750">
            <w:pPr>
              <w:pStyle w:val="TableBody"/>
            </w:pPr>
            <w:r w:rsidRPr="00EA6D17">
              <w:t>2006-07</w:t>
            </w:r>
          </w:p>
        </w:tc>
        <w:tc>
          <w:tcPr>
            <w:tcW w:w="2253" w:type="pct"/>
            <w:noWrap/>
            <w:hideMark/>
          </w:tcPr>
          <w:p w14:paraId="78243B35" w14:textId="77777777" w:rsidR="00EA6D17" w:rsidRPr="00EA6D17" w:rsidRDefault="00EA6D17" w:rsidP="00D04750">
            <w:pPr>
              <w:pStyle w:val="TableBody"/>
            </w:pPr>
            <w:r w:rsidRPr="00EA6D17">
              <w:t>57,811</w:t>
            </w:r>
          </w:p>
        </w:tc>
      </w:tr>
      <w:tr w:rsidR="00EA6D17" w:rsidRPr="00EA6D17" w14:paraId="2BE7BF30" w14:textId="77777777" w:rsidTr="00D04750">
        <w:trPr>
          <w:trHeight w:val="288"/>
        </w:trPr>
        <w:tc>
          <w:tcPr>
            <w:tcW w:w="2747" w:type="pct"/>
            <w:noWrap/>
            <w:hideMark/>
          </w:tcPr>
          <w:p w14:paraId="275BB06C" w14:textId="77777777" w:rsidR="00EA6D17" w:rsidRPr="00EA6D17" w:rsidRDefault="00EA6D17" w:rsidP="00D04750">
            <w:pPr>
              <w:pStyle w:val="TableBody"/>
            </w:pPr>
            <w:r w:rsidRPr="00EA6D17">
              <w:t>2007-08</w:t>
            </w:r>
          </w:p>
        </w:tc>
        <w:tc>
          <w:tcPr>
            <w:tcW w:w="2253" w:type="pct"/>
            <w:noWrap/>
            <w:hideMark/>
          </w:tcPr>
          <w:p w14:paraId="038BF94D" w14:textId="77777777" w:rsidR="00EA6D17" w:rsidRPr="00EA6D17" w:rsidRDefault="00EA6D17" w:rsidP="00D04750">
            <w:pPr>
              <w:pStyle w:val="TableBody"/>
            </w:pPr>
            <w:r w:rsidRPr="00EA6D17">
              <w:t>59,017</w:t>
            </w:r>
          </w:p>
        </w:tc>
      </w:tr>
      <w:tr w:rsidR="00EA6D17" w:rsidRPr="00EA6D17" w14:paraId="5E93D264" w14:textId="77777777" w:rsidTr="00D04750">
        <w:trPr>
          <w:trHeight w:val="288"/>
        </w:trPr>
        <w:tc>
          <w:tcPr>
            <w:tcW w:w="2747" w:type="pct"/>
            <w:noWrap/>
            <w:hideMark/>
          </w:tcPr>
          <w:p w14:paraId="749E6176" w14:textId="77777777" w:rsidR="00EA6D17" w:rsidRPr="00EA6D17" w:rsidRDefault="00EA6D17" w:rsidP="00D04750">
            <w:pPr>
              <w:pStyle w:val="TableBody"/>
            </w:pPr>
            <w:r w:rsidRPr="00EA6D17">
              <w:t>2008-09</w:t>
            </w:r>
          </w:p>
        </w:tc>
        <w:tc>
          <w:tcPr>
            <w:tcW w:w="2253" w:type="pct"/>
            <w:noWrap/>
            <w:hideMark/>
          </w:tcPr>
          <w:p w14:paraId="7B0DE194" w14:textId="77777777" w:rsidR="00EA6D17" w:rsidRPr="00EA6D17" w:rsidRDefault="00EA6D17" w:rsidP="00D04750">
            <w:pPr>
              <w:pStyle w:val="TableBody"/>
            </w:pPr>
            <w:r w:rsidRPr="00EA6D17">
              <w:t>64,630</w:t>
            </w:r>
          </w:p>
        </w:tc>
      </w:tr>
      <w:tr w:rsidR="00EA6D17" w:rsidRPr="00EA6D17" w14:paraId="3D8A39D4" w14:textId="77777777" w:rsidTr="00D04750">
        <w:trPr>
          <w:trHeight w:val="288"/>
        </w:trPr>
        <w:tc>
          <w:tcPr>
            <w:tcW w:w="2747" w:type="pct"/>
            <w:noWrap/>
            <w:hideMark/>
          </w:tcPr>
          <w:p w14:paraId="67FB2842" w14:textId="77777777" w:rsidR="00EA6D17" w:rsidRPr="00EA6D17" w:rsidRDefault="00EA6D17" w:rsidP="00D04750">
            <w:pPr>
              <w:pStyle w:val="TableBody"/>
            </w:pPr>
            <w:r w:rsidRPr="00EA6D17">
              <w:t>2009-10</w:t>
            </w:r>
          </w:p>
        </w:tc>
        <w:tc>
          <w:tcPr>
            <w:tcW w:w="2253" w:type="pct"/>
            <w:noWrap/>
            <w:hideMark/>
          </w:tcPr>
          <w:p w14:paraId="29445554" w14:textId="77777777" w:rsidR="00EA6D17" w:rsidRPr="00EA6D17" w:rsidRDefault="00EA6D17" w:rsidP="00D04750">
            <w:pPr>
              <w:pStyle w:val="TableBody"/>
            </w:pPr>
            <w:r w:rsidRPr="00EA6D17">
              <w:t>73,644</w:t>
            </w:r>
          </w:p>
        </w:tc>
      </w:tr>
      <w:tr w:rsidR="00EA6D17" w:rsidRPr="00EA6D17" w14:paraId="5FD68AC8" w14:textId="77777777" w:rsidTr="00D04750">
        <w:trPr>
          <w:trHeight w:val="288"/>
        </w:trPr>
        <w:tc>
          <w:tcPr>
            <w:tcW w:w="2747" w:type="pct"/>
            <w:noWrap/>
            <w:hideMark/>
          </w:tcPr>
          <w:p w14:paraId="7AD94A56" w14:textId="77777777" w:rsidR="00EA6D17" w:rsidRPr="00EA6D17" w:rsidRDefault="00EA6D17" w:rsidP="00D04750">
            <w:pPr>
              <w:pStyle w:val="TableBody"/>
            </w:pPr>
            <w:r w:rsidRPr="00EA6D17">
              <w:t>2010-11</w:t>
            </w:r>
          </w:p>
        </w:tc>
        <w:tc>
          <w:tcPr>
            <w:tcW w:w="2253" w:type="pct"/>
            <w:noWrap/>
            <w:hideMark/>
          </w:tcPr>
          <w:p w14:paraId="7D05BAA7" w14:textId="77777777" w:rsidR="00EA6D17" w:rsidRPr="00EA6D17" w:rsidRDefault="00EA6D17" w:rsidP="00D04750">
            <w:pPr>
              <w:pStyle w:val="TableBody"/>
            </w:pPr>
            <w:r w:rsidRPr="00EA6D17">
              <w:t>72,361</w:t>
            </w:r>
          </w:p>
        </w:tc>
      </w:tr>
      <w:tr w:rsidR="00EA6D17" w:rsidRPr="00EA6D17" w14:paraId="52D4F3BA" w14:textId="77777777" w:rsidTr="00D04750">
        <w:trPr>
          <w:trHeight w:val="288"/>
        </w:trPr>
        <w:tc>
          <w:tcPr>
            <w:tcW w:w="2747" w:type="pct"/>
            <w:noWrap/>
            <w:hideMark/>
          </w:tcPr>
          <w:p w14:paraId="44970D12" w14:textId="77777777" w:rsidR="00EA6D17" w:rsidRPr="00EA6D17" w:rsidRDefault="00EA6D17" w:rsidP="00D04750">
            <w:pPr>
              <w:pStyle w:val="TableBody"/>
            </w:pPr>
            <w:r w:rsidRPr="00EA6D17">
              <w:t>2011-12</w:t>
            </w:r>
          </w:p>
        </w:tc>
        <w:tc>
          <w:tcPr>
            <w:tcW w:w="2253" w:type="pct"/>
            <w:noWrap/>
            <w:hideMark/>
          </w:tcPr>
          <w:p w14:paraId="71DD5363" w14:textId="77777777" w:rsidR="00EA6D17" w:rsidRPr="00EA6D17" w:rsidRDefault="00EA6D17" w:rsidP="00D04750">
            <w:pPr>
              <w:pStyle w:val="TableBody"/>
            </w:pPr>
            <w:r w:rsidRPr="00EA6D17">
              <w:t>73,598</w:t>
            </w:r>
          </w:p>
        </w:tc>
      </w:tr>
      <w:tr w:rsidR="00EA6D17" w:rsidRPr="00EA6D17" w14:paraId="5747B5C8" w14:textId="77777777" w:rsidTr="00D04750">
        <w:trPr>
          <w:trHeight w:val="288"/>
        </w:trPr>
        <w:tc>
          <w:tcPr>
            <w:tcW w:w="2747" w:type="pct"/>
            <w:noWrap/>
            <w:hideMark/>
          </w:tcPr>
          <w:p w14:paraId="4E96FCAA" w14:textId="77777777" w:rsidR="00EA6D17" w:rsidRPr="00EA6D17" w:rsidRDefault="00EA6D17" w:rsidP="00D04750">
            <w:pPr>
              <w:pStyle w:val="TableBody"/>
            </w:pPr>
            <w:r w:rsidRPr="00EA6D17">
              <w:t>2012-13</w:t>
            </w:r>
          </w:p>
        </w:tc>
        <w:tc>
          <w:tcPr>
            <w:tcW w:w="2253" w:type="pct"/>
            <w:noWrap/>
            <w:hideMark/>
          </w:tcPr>
          <w:p w14:paraId="1167D449" w14:textId="77777777" w:rsidR="00EA6D17" w:rsidRPr="00EA6D17" w:rsidRDefault="00EA6D17" w:rsidP="00D04750">
            <w:pPr>
              <w:pStyle w:val="TableBody"/>
            </w:pPr>
            <w:r w:rsidRPr="00EA6D17">
              <w:t>78,533</w:t>
            </w:r>
          </w:p>
        </w:tc>
      </w:tr>
      <w:tr w:rsidR="00EA6D17" w:rsidRPr="00EA6D17" w14:paraId="4FD960F7" w14:textId="77777777" w:rsidTr="00D04750">
        <w:trPr>
          <w:trHeight w:val="288"/>
        </w:trPr>
        <w:tc>
          <w:tcPr>
            <w:tcW w:w="2747" w:type="pct"/>
            <w:noWrap/>
            <w:hideMark/>
          </w:tcPr>
          <w:p w14:paraId="75159B82" w14:textId="77777777" w:rsidR="00EA6D17" w:rsidRPr="00EA6D17" w:rsidRDefault="00EA6D17" w:rsidP="00D04750">
            <w:pPr>
              <w:pStyle w:val="TableBody"/>
            </w:pPr>
            <w:r w:rsidRPr="00EA6D17">
              <w:t>2013-14</w:t>
            </w:r>
          </w:p>
        </w:tc>
        <w:tc>
          <w:tcPr>
            <w:tcW w:w="2253" w:type="pct"/>
            <w:noWrap/>
            <w:hideMark/>
          </w:tcPr>
          <w:p w14:paraId="58FBD2F8" w14:textId="77777777" w:rsidR="00EA6D17" w:rsidRPr="00EA6D17" w:rsidRDefault="00EA6D17" w:rsidP="00D04750">
            <w:pPr>
              <w:pStyle w:val="TableBody"/>
            </w:pPr>
            <w:r w:rsidRPr="00EA6D17">
              <w:t>78,773</w:t>
            </w:r>
          </w:p>
        </w:tc>
      </w:tr>
      <w:tr w:rsidR="00EA6D17" w:rsidRPr="00EA6D17" w14:paraId="60030CC5" w14:textId="77777777" w:rsidTr="00D04750">
        <w:trPr>
          <w:trHeight w:val="288"/>
        </w:trPr>
        <w:tc>
          <w:tcPr>
            <w:tcW w:w="2747" w:type="pct"/>
            <w:noWrap/>
            <w:hideMark/>
          </w:tcPr>
          <w:p w14:paraId="6169BAA5" w14:textId="77777777" w:rsidR="00EA6D17" w:rsidRPr="00EA6D17" w:rsidRDefault="00EA6D17" w:rsidP="00D04750">
            <w:pPr>
              <w:pStyle w:val="TableBody"/>
            </w:pPr>
            <w:r w:rsidRPr="00EA6D17">
              <w:t>2014-15</w:t>
            </w:r>
          </w:p>
        </w:tc>
        <w:tc>
          <w:tcPr>
            <w:tcW w:w="2253" w:type="pct"/>
            <w:noWrap/>
            <w:hideMark/>
          </w:tcPr>
          <w:p w14:paraId="302A40C2" w14:textId="77777777" w:rsidR="00EA6D17" w:rsidRPr="00EA6D17" w:rsidRDefault="00EA6D17" w:rsidP="00D04750">
            <w:pPr>
              <w:pStyle w:val="TableBody"/>
            </w:pPr>
            <w:r w:rsidRPr="00EA6D17">
              <w:t>77,386</w:t>
            </w:r>
          </w:p>
        </w:tc>
      </w:tr>
      <w:tr w:rsidR="00EA6D17" w:rsidRPr="00EA6D17" w14:paraId="171F7BD2" w14:textId="77777777" w:rsidTr="00D04750">
        <w:trPr>
          <w:trHeight w:val="288"/>
        </w:trPr>
        <w:tc>
          <w:tcPr>
            <w:tcW w:w="2747" w:type="pct"/>
            <w:noWrap/>
            <w:hideMark/>
          </w:tcPr>
          <w:p w14:paraId="700DC78B" w14:textId="77777777" w:rsidR="00EA6D17" w:rsidRPr="00EA6D17" w:rsidRDefault="00EA6D17" w:rsidP="00D04750">
            <w:pPr>
              <w:pStyle w:val="TableBody"/>
            </w:pPr>
            <w:r w:rsidRPr="00EA6D17">
              <w:lastRenderedPageBreak/>
              <w:t>2015-16</w:t>
            </w:r>
          </w:p>
        </w:tc>
        <w:tc>
          <w:tcPr>
            <w:tcW w:w="2253" w:type="pct"/>
            <w:noWrap/>
            <w:hideMark/>
          </w:tcPr>
          <w:p w14:paraId="5BAD0180" w14:textId="77777777" w:rsidR="00EA6D17" w:rsidRPr="00EA6D17" w:rsidRDefault="00EA6D17" w:rsidP="00D04750">
            <w:pPr>
              <w:pStyle w:val="TableBody"/>
            </w:pPr>
            <w:r w:rsidRPr="00EA6D17">
              <w:t>77,658</w:t>
            </w:r>
          </w:p>
        </w:tc>
      </w:tr>
      <w:tr w:rsidR="00EA6D17" w:rsidRPr="00EA6D17" w14:paraId="49192B21" w14:textId="77777777" w:rsidTr="00D04750">
        <w:trPr>
          <w:trHeight w:val="288"/>
        </w:trPr>
        <w:tc>
          <w:tcPr>
            <w:tcW w:w="2747" w:type="pct"/>
            <w:noWrap/>
            <w:hideMark/>
          </w:tcPr>
          <w:p w14:paraId="2DDDE57B" w14:textId="77777777" w:rsidR="00EA6D17" w:rsidRPr="00EA6D17" w:rsidRDefault="00EA6D17" w:rsidP="00D04750">
            <w:pPr>
              <w:pStyle w:val="TableBody"/>
            </w:pPr>
            <w:r w:rsidRPr="00EA6D17">
              <w:t>2016-17</w:t>
            </w:r>
          </w:p>
        </w:tc>
        <w:tc>
          <w:tcPr>
            <w:tcW w:w="2253" w:type="pct"/>
            <w:noWrap/>
            <w:hideMark/>
          </w:tcPr>
          <w:p w14:paraId="34B97062" w14:textId="77777777" w:rsidR="00EA6D17" w:rsidRPr="00EA6D17" w:rsidRDefault="00EA6D17" w:rsidP="00D04750">
            <w:pPr>
              <w:pStyle w:val="TableBody"/>
            </w:pPr>
            <w:r w:rsidRPr="00EA6D17">
              <w:t>78,630</w:t>
            </w:r>
          </w:p>
        </w:tc>
      </w:tr>
      <w:tr w:rsidR="00EA6D17" w:rsidRPr="00EA6D17" w14:paraId="26BECC15" w14:textId="77777777" w:rsidTr="00D04750">
        <w:trPr>
          <w:trHeight w:val="288"/>
        </w:trPr>
        <w:tc>
          <w:tcPr>
            <w:tcW w:w="2747" w:type="pct"/>
            <w:noWrap/>
            <w:hideMark/>
          </w:tcPr>
          <w:p w14:paraId="65986E6C" w14:textId="77777777" w:rsidR="00EA6D17" w:rsidRPr="00EA6D17" w:rsidRDefault="00EA6D17" w:rsidP="00D04750">
            <w:pPr>
              <w:pStyle w:val="TableBody"/>
            </w:pPr>
            <w:r w:rsidRPr="00EA6D17">
              <w:t>2017-18</w:t>
            </w:r>
          </w:p>
        </w:tc>
        <w:tc>
          <w:tcPr>
            <w:tcW w:w="2253" w:type="pct"/>
            <w:noWrap/>
            <w:hideMark/>
          </w:tcPr>
          <w:p w14:paraId="23D1127B" w14:textId="77777777" w:rsidR="00EA6D17" w:rsidRPr="00EA6D17" w:rsidRDefault="00EA6D17" w:rsidP="00D04750">
            <w:pPr>
              <w:pStyle w:val="TableBody"/>
            </w:pPr>
            <w:r w:rsidRPr="00EA6D17">
              <w:t>78,569</w:t>
            </w:r>
          </w:p>
        </w:tc>
      </w:tr>
      <w:tr w:rsidR="00EA6D17" w:rsidRPr="00EA6D17" w14:paraId="5D2F16C7" w14:textId="77777777" w:rsidTr="00D04750">
        <w:trPr>
          <w:trHeight w:val="288"/>
        </w:trPr>
        <w:tc>
          <w:tcPr>
            <w:tcW w:w="2747" w:type="pct"/>
            <w:noWrap/>
            <w:hideMark/>
          </w:tcPr>
          <w:p w14:paraId="00A7FB7A" w14:textId="77777777" w:rsidR="00EA6D17" w:rsidRPr="00EA6D17" w:rsidRDefault="00EA6D17" w:rsidP="00D04750">
            <w:pPr>
              <w:pStyle w:val="TableBody"/>
            </w:pPr>
            <w:r w:rsidRPr="00EA6D17">
              <w:t>2018-19</w:t>
            </w:r>
          </w:p>
        </w:tc>
        <w:tc>
          <w:tcPr>
            <w:tcW w:w="2253" w:type="pct"/>
            <w:noWrap/>
            <w:hideMark/>
          </w:tcPr>
          <w:p w14:paraId="4767337D" w14:textId="77777777" w:rsidR="00EA6D17" w:rsidRPr="00EA6D17" w:rsidRDefault="00EA6D17" w:rsidP="00D04750">
            <w:pPr>
              <w:pStyle w:val="TableBody"/>
            </w:pPr>
            <w:r w:rsidRPr="00EA6D17">
              <w:t>80,915</w:t>
            </w:r>
          </w:p>
        </w:tc>
      </w:tr>
      <w:tr w:rsidR="00EA6D17" w:rsidRPr="00EA6D17" w14:paraId="363D3365" w14:textId="77777777" w:rsidTr="00D04750">
        <w:trPr>
          <w:trHeight w:val="288"/>
        </w:trPr>
        <w:tc>
          <w:tcPr>
            <w:tcW w:w="2747" w:type="pct"/>
            <w:noWrap/>
            <w:hideMark/>
          </w:tcPr>
          <w:p w14:paraId="7289C9D3" w14:textId="77777777" w:rsidR="00EA6D17" w:rsidRPr="00EA6D17" w:rsidRDefault="00EA6D17" w:rsidP="00D04750">
            <w:pPr>
              <w:pStyle w:val="TableBody"/>
            </w:pPr>
            <w:r w:rsidRPr="00EA6D17">
              <w:t>2019-20</w:t>
            </w:r>
          </w:p>
        </w:tc>
        <w:tc>
          <w:tcPr>
            <w:tcW w:w="2253" w:type="pct"/>
            <w:noWrap/>
            <w:hideMark/>
          </w:tcPr>
          <w:p w14:paraId="2B109552" w14:textId="77777777" w:rsidR="00EA6D17" w:rsidRPr="00EA6D17" w:rsidRDefault="00EA6D17" w:rsidP="00D04750">
            <w:pPr>
              <w:pStyle w:val="TableBody"/>
            </w:pPr>
            <w:r w:rsidRPr="00EA6D17">
              <w:t>82,744</w:t>
            </w:r>
          </w:p>
        </w:tc>
      </w:tr>
      <w:tr w:rsidR="00EA6D17" w:rsidRPr="00EA6D17" w14:paraId="69204C1B" w14:textId="77777777" w:rsidTr="00D04750">
        <w:trPr>
          <w:trHeight w:val="288"/>
        </w:trPr>
        <w:tc>
          <w:tcPr>
            <w:tcW w:w="2747" w:type="pct"/>
            <w:noWrap/>
            <w:hideMark/>
          </w:tcPr>
          <w:p w14:paraId="64E983E7" w14:textId="77777777" w:rsidR="00EA6D17" w:rsidRPr="00EA6D17" w:rsidRDefault="00EA6D17" w:rsidP="00D04750">
            <w:pPr>
              <w:pStyle w:val="TableBody"/>
            </w:pPr>
            <w:r w:rsidRPr="00EA6D17">
              <w:t>2020-21</w:t>
            </w:r>
          </w:p>
        </w:tc>
        <w:tc>
          <w:tcPr>
            <w:tcW w:w="2253" w:type="pct"/>
            <w:noWrap/>
            <w:hideMark/>
          </w:tcPr>
          <w:p w14:paraId="6D76296E" w14:textId="77777777" w:rsidR="00EA6D17" w:rsidRPr="00EA6D17" w:rsidRDefault="00EA6D17" w:rsidP="00D04750">
            <w:pPr>
              <w:pStyle w:val="TableBody"/>
            </w:pPr>
            <w:r w:rsidRPr="00EA6D17">
              <w:t>89,452</w:t>
            </w:r>
          </w:p>
        </w:tc>
      </w:tr>
      <w:tr w:rsidR="00EA6D17" w:rsidRPr="00EA6D17" w14:paraId="7B1EBC39" w14:textId="77777777" w:rsidTr="00D04750">
        <w:trPr>
          <w:trHeight w:val="288"/>
        </w:trPr>
        <w:tc>
          <w:tcPr>
            <w:tcW w:w="2747" w:type="pct"/>
            <w:noWrap/>
            <w:hideMark/>
          </w:tcPr>
          <w:p w14:paraId="17149E6C" w14:textId="77777777" w:rsidR="00EA6D17" w:rsidRPr="00EA6D17" w:rsidRDefault="00EA6D17" w:rsidP="00D04750">
            <w:pPr>
              <w:pStyle w:val="TableBody"/>
            </w:pPr>
            <w:r w:rsidRPr="00EA6D17">
              <w:t>2021-22</w:t>
            </w:r>
          </w:p>
        </w:tc>
        <w:tc>
          <w:tcPr>
            <w:tcW w:w="2253" w:type="pct"/>
            <w:noWrap/>
            <w:hideMark/>
          </w:tcPr>
          <w:p w14:paraId="0D0E5D52" w14:textId="77777777" w:rsidR="00EA6D17" w:rsidRPr="00EA6D17" w:rsidRDefault="00EA6D17" w:rsidP="00D04750">
            <w:pPr>
              <w:pStyle w:val="TableBody"/>
            </w:pPr>
            <w:r w:rsidRPr="00EA6D17">
              <w:t>78,914</w:t>
            </w:r>
          </w:p>
        </w:tc>
      </w:tr>
      <w:tr w:rsidR="00EA6D17" w:rsidRPr="00EA6D17" w14:paraId="28C63FC2" w14:textId="77777777" w:rsidTr="00D04750">
        <w:trPr>
          <w:trHeight w:val="288"/>
        </w:trPr>
        <w:tc>
          <w:tcPr>
            <w:tcW w:w="2747" w:type="pct"/>
            <w:noWrap/>
            <w:hideMark/>
          </w:tcPr>
          <w:p w14:paraId="6527C1B4" w14:textId="77777777" w:rsidR="00EA6D17" w:rsidRPr="00EA6D17" w:rsidRDefault="00EA6D17" w:rsidP="00D04750">
            <w:pPr>
              <w:pStyle w:val="TableBody"/>
            </w:pPr>
            <w:r w:rsidRPr="00EA6D17">
              <w:t>2022-23</w:t>
            </w:r>
          </w:p>
        </w:tc>
        <w:tc>
          <w:tcPr>
            <w:tcW w:w="2253" w:type="pct"/>
            <w:noWrap/>
            <w:hideMark/>
          </w:tcPr>
          <w:p w14:paraId="413EFEEA" w14:textId="77777777" w:rsidR="00EA6D17" w:rsidRPr="00EA6D17" w:rsidRDefault="00EA6D17" w:rsidP="00D04750">
            <w:pPr>
              <w:pStyle w:val="TableBody"/>
            </w:pPr>
            <w:r w:rsidRPr="00EA6D17">
              <w:t>76,852</w:t>
            </w:r>
          </w:p>
        </w:tc>
      </w:tr>
      <w:tr w:rsidR="00EA6D17" w:rsidRPr="00EA6D17" w14:paraId="77631030" w14:textId="77777777" w:rsidTr="00D04750">
        <w:trPr>
          <w:trHeight w:val="288"/>
        </w:trPr>
        <w:tc>
          <w:tcPr>
            <w:tcW w:w="2747" w:type="pct"/>
            <w:noWrap/>
            <w:hideMark/>
          </w:tcPr>
          <w:p w14:paraId="5888CCC4" w14:textId="77777777" w:rsidR="00EA6D17" w:rsidRPr="00EA6D17" w:rsidRDefault="00EA6D17" w:rsidP="00D04750">
            <w:pPr>
              <w:pStyle w:val="TableBody"/>
            </w:pPr>
            <w:r w:rsidRPr="00EA6D17">
              <w:t>2023-24</w:t>
            </w:r>
          </w:p>
        </w:tc>
        <w:tc>
          <w:tcPr>
            <w:tcW w:w="2253" w:type="pct"/>
            <w:noWrap/>
            <w:hideMark/>
          </w:tcPr>
          <w:p w14:paraId="13246C7F" w14:textId="77777777" w:rsidR="00EA6D17" w:rsidRPr="00EA6D17" w:rsidRDefault="00EA6D17" w:rsidP="00D04750">
            <w:pPr>
              <w:pStyle w:val="TableBody"/>
            </w:pPr>
            <w:r w:rsidRPr="00EA6D17">
              <w:t>74,378</w:t>
            </w:r>
          </w:p>
        </w:tc>
      </w:tr>
    </w:tbl>
    <w:p w14:paraId="763958FF" w14:textId="77777777" w:rsidR="006767B9" w:rsidRPr="008C1137" w:rsidRDefault="006767B9" w:rsidP="00D4532A">
      <w:r w:rsidRPr="000C258A">
        <w:rPr>
          <w:rStyle w:val="Strong"/>
        </w:rPr>
        <w:t>Source</w:t>
      </w:r>
      <w:r w:rsidRPr="008C1137">
        <w:t>: Crime Statistics Agency Victoria, unpublished data</w:t>
      </w:r>
    </w:p>
    <w:p w14:paraId="1E87AF76" w14:textId="781FCE27" w:rsidR="00A4454A" w:rsidRPr="008C1137" w:rsidRDefault="00A4454A" w:rsidP="00210207">
      <w:pPr>
        <w:pStyle w:val="Numbered"/>
      </w:pPr>
      <w:r w:rsidRPr="008C1137">
        <w:t>Therefore, while Victoria has seen an increase in recorded offences and criminal incidents (Figure 3), there has actually been relative stability in the number of individual people allegedly committing those crimes (Figure 6). This suggests that a relatively stable number of people are committing a larger number of crimes.</w:t>
      </w:r>
      <w:r w:rsidRPr="008C1137">
        <w:rPr>
          <w:rStyle w:val="Superscript"/>
        </w:rPr>
        <w:footnoteReference w:id="46"/>
      </w:r>
      <w:r w:rsidRPr="008C1137">
        <w:t xml:space="preserve"> This is most likely due, in part, to people being charged with additional offences (see [2.3]) that were not available previously, such as committing an indictable offence while on bail (which was not a distinct offence prior to 2013),</w:t>
      </w:r>
      <w:r w:rsidRPr="008C1137">
        <w:rPr>
          <w:rStyle w:val="Superscript"/>
        </w:rPr>
        <w:footnoteReference w:id="47"/>
      </w:r>
      <w:r w:rsidRPr="008C1137">
        <w:t xml:space="preserve"> and breaches of family violence intervention orders and safety notices (with a fivefold increase in the annual number of these offences recorded by police from 2010–11 to 2019–20).</w:t>
      </w:r>
      <w:r w:rsidRPr="008C1137">
        <w:rPr>
          <w:rStyle w:val="Superscript"/>
        </w:rPr>
        <w:footnoteReference w:id="48"/>
      </w:r>
    </w:p>
    <w:p w14:paraId="5662F9D6" w14:textId="7734ADB1" w:rsidR="00A4454A" w:rsidRPr="008C1137" w:rsidRDefault="00A4454A" w:rsidP="00210207">
      <w:pPr>
        <w:pStyle w:val="Numbered"/>
      </w:pPr>
      <w:r w:rsidRPr="008C1137">
        <w:t>Importantly, while there was relative stability in the number of unique alleged offenders in Victoria over the 20-year period, there was also a 39% increase in Victoria’s total population (discussed at [2.5]). Taking into account population growth, Figure 7 shows that, with the exception of an anomalous spike in 2020–21 during COVID-19, the per capita rate of unique alleged offenders actually decreased steadily since 2012–13 (from 1,360 unique alleged offenders per 100,000 in 2012–13, down by 22% to 1,066 in 2023–24), with 2023–24 having the lowest number of unique alleged offenders per capita since 2005–06.</w:t>
      </w:r>
    </w:p>
    <w:p w14:paraId="264BBEF1" w14:textId="77777777" w:rsidR="006767B9" w:rsidRPr="008C1137" w:rsidRDefault="006767B9" w:rsidP="00BE4EDC">
      <w:pPr>
        <w:pStyle w:val="Caption"/>
      </w:pPr>
      <w:r w:rsidRPr="00157502">
        <w:t>Figure 7</w:t>
      </w:r>
      <w:r w:rsidRPr="008C1137">
        <w:t>: Per capita rate of unique alleged offenders (per 100,000 population), 2004–05 to 2023–24</w:t>
      </w:r>
    </w:p>
    <w:tbl>
      <w:tblPr>
        <w:tblStyle w:val="Table"/>
        <w:tblW w:w="5000" w:type="pct"/>
        <w:tblLook w:val="04A0" w:firstRow="1" w:lastRow="0" w:firstColumn="1" w:lastColumn="0" w:noHBand="0" w:noVBand="1"/>
      </w:tblPr>
      <w:tblGrid>
        <w:gridCol w:w="2669"/>
        <w:gridCol w:w="6347"/>
      </w:tblGrid>
      <w:tr w:rsidR="002834DA" w:rsidRPr="002834DA" w14:paraId="09A86690" w14:textId="77777777" w:rsidTr="00EB750C">
        <w:trPr>
          <w:trHeight w:val="288"/>
          <w:tblHeader/>
        </w:trPr>
        <w:tc>
          <w:tcPr>
            <w:tcW w:w="1480" w:type="pct"/>
            <w:hideMark/>
          </w:tcPr>
          <w:p w14:paraId="6CDCB120" w14:textId="77777777" w:rsidR="002834DA" w:rsidRPr="002834DA" w:rsidRDefault="002834DA" w:rsidP="00EB750C">
            <w:pPr>
              <w:pStyle w:val="TableHeading"/>
            </w:pPr>
            <w:r w:rsidRPr="002834DA">
              <w:t>Financial year</w:t>
            </w:r>
          </w:p>
        </w:tc>
        <w:tc>
          <w:tcPr>
            <w:tcW w:w="3520" w:type="pct"/>
            <w:hideMark/>
          </w:tcPr>
          <w:p w14:paraId="69840B0A" w14:textId="77777777" w:rsidR="002834DA" w:rsidRPr="002834DA" w:rsidRDefault="002834DA" w:rsidP="00EB750C">
            <w:pPr>
              <w:pStyle w:val="TableHeading"/>
            </w:pPr>
            <w:r w:rsidRPr="002834DA">
              <w:t>Per capita unique alleged offenders</w:t>
            </w:r>
          </w:p>
        </w:tc>
      </w:tr>
      <w:tr w:rsidR="002834DA" w:rsidRPr="002834DA" w14:paraId="0F5B6416" w14:textId="77777777" w:rsidTr="00EB750C">
        <w:trPr>
          <w:trHeight w:val="288"/>
        </w:trPr>
        <w:tc>
          <w:tcPr>
            <w:tcW w:w="1480" w:type="pct"/>
            <w:noWrap/>
            <w:hideMark/>
          </w:tcPr>
          <w:p w14:paraId="1C735351" w14:textId="77777777" w:rsidR="002834DA" w:rsidRPr="002834DA" w:rsidRDefault="002834DA" w:rsidP="00322E9E">
            <w:pPr>
              <w:pStyle w:val="TableBody"/>
            </w:pPr>
            <w:r w:rsidRPr="002834DA">
              <w:t>2004-05</w:t>
            </w:r>
          </w:p>
        </w:tc>
        <w:tc>
          <w:tcPr>
            <w:tcW w:w="3520" w:type="pct"/>
            <w:hideMark/>
          </w:tcPr>
          <w:p w14:paraId="0F501C53" w14:textId="77777777" w:rsidR="002834DA" w:rsidRPr="002834DA" w:rsidRDefault="002834DA" w:rsidP="00322E9E">
            <w:pPr>
              <w:pStyle w:val="TableBody"/>
            </w:pPr>
            <w:r w:rsidRPr="002834DA">
              <w:t>977</w:t>
            </w:r>
          </w:p>
        </w:tc>
      </w:tr>
      <w:tr w:rsidR="002834DA" w:rsidRPr="002834DA" w14:paraId="2B40191A" w14:textId="77777777" w:rsidTr="00EB750C">
        <w:trPr>
          <w:trHeight w:val="288"/>
        </w:trPr>
        <w:tc>
          <w:tcPr>
            <w:tcW w:w="1480" w:type="pct"/>
            <w:noWrap/>
            <w:hideMark/>
          </w:tcPr>
          <w:p w14:paraId="401B61DB" w14:textId="77777777" w:rsidR="002834DA" w:rsidRPr="002834DA" w:rsidRDefault="002834DA" w:rsidP="00322E9E">
            <w:pPr>
              <w:pStyle w:val="TableBody"/>
            </w:pPr>
            <w:r w:rsidRPr="002834DA">
              <w:t>2005-06</w:t>
            </w:r>
          </w:p>
        </w:tc>
        <w:tc>
          <w:tcPr>
            <w:tcW w:w="3520" w:type="pct"/>
            <w:hideMark/>
          </w:tcPr>
          <w:p w14:paraId="7585DB6F" w14:textId="77777777" w:rsidR="002834DA" w:rsidRPr="002834DA" w:rsidRDefault="002834DA" w:rsidP="00322E9E">
            <w:pPr>
              <w:pStyle w:val="TableBody"/>
            </w:pPr>
            <w:r w:rsidRPr="002834DA">
              <w:t>1,079</w:t>
            </w:r>
          </w:p>
        </w:tc>
      </w:tr>
      <w:tr w:rsidR="002834DA" w:rsidRPr="002834DA" w14:paraId="367CF307" w14:textId="77777777" w:rsidTr="00EB750C">
        <w:trPr>
          <w:trHeight w:val="288"/>
        </w:trPr>
        <w:tc>
          <w:tcPr>
            <w:tcW w:w="1480" w:type="pct"/>
            <w:noWrap/>
            <w:hideMark/>
          </w:tcPr>
          <w:p w14:paraId="550FC3F3" w14:textId="77777777" w:rsidR="002834DA" w:rsidRPr="002834DA" w:rsidRDefault="002834DA" w:rsidP="00322E9E">
            <w:pPr>
              <w:pStyle w:val="TableBody"/>
            </w:pPr>
            <w:r w:rsidRPr="002834DA">
              <w:t>2006-07</w:t>
            </w:r>
          </w:p>
        </w:tc>
        <w:tc>
          <w:tcPr>
            <w:tcW w:w="3520" w:type="pct"/>
            <w:hideMark/>
          </w:tcPr>
          <w:p w14:paraId="58DD2262" w14:textId="77777777" w:rsidR="002834DA" w:rsidRPr="002834DA" w:rsidRDefault="002834DA" w:rsidP="00322E9E">
            <w:pPr>
              <w:pStyle w:val="TableBody"/>
            </w:pPr>
            <w:r w:rsidRPr="002834DA">
              <w:t>1,122</w:t>
            </w:r>
          </w:p>
        </w:tc>
      </w:tr>
      <w:tr w:rsidR="002834DA" w:rsidRPr="002834DA" w14:paraId="68721F0E" w14:textId="77777777" w:rsidTr="00EB750C">
        <w:trPr>
          <w:trHeight w:val="288"/>
        </w:trPr>
        <w:tc>
          <w:tcPr>
            <w:tcW w:w="1480" w:type="pct"/>
            <w:noWrap/>
            <w:hideMark/>
          </w:tcPr>
          <w:p w14:paraId="72841CD2" w14:textId="77777777" w:rsidR="002834DA" w:rsidRPr="002834DA" w:rsidRDefault="002834DA" w:rsidP="00322E9E">
            <w:pPr>
              <w:pStyle w:val="TableBody"/>
            </w:pPr>
            <w:r w:rsidRPr="002834DA">
              <w:t>2007-08</w:t>
            </w:r>
          </w:p>
        </w:tc>
        <w:tc>
          <w:tcPr>
            <w:tcW w:w="3520" w:type="pct"/>
            <w:hideMark/>
          </w:tcPr>
          <w:p w14:paraId="515296DB" w14:textId="77777777" w:rsidR="002834DA" w:rsidRPr="002834DA" w:rsidRDefault="002834DA" w:rsidP="00322E9E">
            <w:pPr>
              <w:pStyle w:val="TableBody"/>
            </w:pPr>
            <w:r w:rsidRPr="002834DA">
              <w:t>1,123</w:t>
            </w:r>
          </w:p>
        </w:tc>
      </w:tr>
      <w:tr w:rsidR="002834DA" w:rsidRPr="002834DA" w14:paraId="30AE7EB0" w14:textId="77777777" w:rsidTr="00EB750C">
        <w:trPr>
          <w:trHeight w:val="288"/>
        </w:trPr>
        <w:tc>
          <w:tcPr>
            <w:tcW w:w="1480" w:type="pct"/>
            <w:noWrap/>
            <w:hideMark/>
          </w:tcPr>
          <w:p w14:paraId="7D1E5192" w14:textId="77777777" w:rsidR="002834DA" w:rsidRPr="002834DA" w:rsidRDefault="002834DA" w:rsidP="00322E9E">
            <w:pPr>
              <w:pStyle w:val="TableBody"/>
            </w:pPr>
            <w:r w:rsidRPr="002834DA">
              <w:t>2008-09</w:t>
            </w:r>
          </w:p>
        </w:tc>
        <w:tc>
          <w:tcPr>
            <w:tcW w:w="3520" w:type="pct"/>
            <w:hideMark/>
          </w:tcPr>
          <w:p w14:paraId="0F2C470D" w14:textId="77777777" w:rsidR="002834DA" w:rsidRPr="002834DA" w:rsidRDefault="002834DA" w:rsidP="00322E9E">
            <w:pPr>
              <w:pStyle w:val="TableBody"/>
            </w:pPr>
            <w:r w:rsidRPr="002834DA">
              <w:t>1,203</w:t>
            </w:r>
          </w:p>
        </w:tc>
      </w:tr>
      <w:tr w:rsidR="002834DA" w:rsidRPr="002834DA" w14:paraId="14B6AE19" w14:textId="77777777" w:rsidTr="00EB750C">
        <w:trPr>
          <w:trHeight w:val="288"/>
        </w:trPr>
        <w:tc>
          <w:tcPr>
            <w:tcW w:w="1480" w:type="pct"/>
            <w:noWrap/>
            <w:hideMark/>
          </w:tcPr>
          <w:p w14:paraId="313EEBEC" w14:textId="77777777" w:rsidR="002834DA" w:rsidRPr="002834DA" w:rsidRDefault="002834DA" w:rsidP="00322E9E">
            <w:pPr>
              <w:pStyle w:val="TableBody"/>
            </w:pPr>
            <w:r w:rsidRPr="002834DA">
              <w:t>2009-10</w:t>
            </w:r>
          </w:p>
        </w:tc>
        <w:tc>
          <w:tcPr>
            <w:tcW w:w="3520" w:type="pct"/>
            <w:hideMark/>
          </w:tcPr>
          <w:p w14:paraId="55ED893C" w14:textId="77777777" w:rsidR="002834DA" w:rsidRPr="002834DA" w:rsidRDefault="002834DA" w:rsidP="00322E9E">
            <w:pPr>
              <w:pStyle w:val="TableBody"/>
            </w:pPr>
            <w:r w:rsidRPr="002834DA">
              <w:t>1,349</w:t>
            </w:r>
          </w:p>
        </w:tc>
      </w:tr>
      <w:tr w:rsidR="002834DA" w:rsidRPr="002834DA" w14:paraId="26EBA208" w14:textId="77777777" w:rsidTr="00EB750C">
        <w:trPr>
          <w:trHeight w:val="288"/>
        </w:trPr>
        <w:tc>
          <w:tcPr>
            <w:tcW w:w="1480" w:type="pct"/>
            <w:noWrap/>
            <w:hideMark/>
          </w:tcPr>
          <w:p w14:paraId="3F41ACC1" w14:textId="77777777" w:rsidR="002834DA" w:rsidRPr="002834DA" w:rsidRDefault="002834DA" w:rsidP="00322E9E">
            <w:pPr>
              <w:pStyle w:val="TableBody"/>
            </w:pPr>
            <w:r w:rsidRPr="002834DA">
              <w:t>2010-11</w:t>
            </w:r>
          </w:p>
        </w:tc>
        <w:tc>
          <w:tcPr>
            <w:tcW w:w="3520" w:type="pct"/>
            <w:noWrap/>
            <w:hideMark/>
          </w:tcPr>
          <w:p w14:paraId="558D4061" w14:textId="77777777" w:rsidR="002834DA" w:rsidRPr="002834DA" w:rsidRDefault="002834DA" w:rsidP="00322E9E">
            <w:pPr>
              <w:pStyle w:val="TableBody"/>
            </w:pPr>
            <w:r w:rsidRPr="002834DA">
              <w:t>1,307</w:t>
            </w:r>
          </w:p>
        </w:tc>
      </w:tr>
      <w:tr w:rsidR="002834DA" w:rsidRPr="002834DA" w14:paraId="5B7EA827" w14:textId="77777777" w:rsidTr="00EB750C">
        <w:trPr>
          <w:trHeight w:val="288"/>
        </w:trPr>
        <w:tc>
          <w:tcPr>
            <w:tcW w:w="1480" w:type="pct"/>
            <w:noWrap/>
            <w:hideMark/>
          </w:tcPr>
          <w:p w14:paraId="38B3C9C0" w14:textId="77777777" w:rsidR="002834DA" w:rsidRPr="002834DA" w:rsidRDefault="002834DA" w:rsidP="00322E9E">
            <w:pPr>
              <w:pStyle w:val="TableBody"/>
            </w:pPr>
            <w:r w:rsidRPr="002834DA">
              <w:t>2011-12</w:t>
            </w:r>
          </w:p>
        </w:tc>
        <w:tc>
          <w:tcPr>
            <w:tcW w:w="3520" w:type="pct"/>
            <w:noWrap/>
            <w:hideMark/>
          </w:tcPr>
          <w:p w14:paraId="644F911B" w14:textId="77777777" w:rsidR="002834DA" w:rsidRPr="002834DA" w:rsidRDefault="002834DA" w:rsidP="00322E9E">
            <w:pPr>
              <w:pStyle w:val="TableBody"/>
            </w:pPr>
            <w:r w:rsidRPr="002834DA">
              <w:t>1,302</w:t>
            </w:r>
          </w:p>
        </w:tc>
      </w:tr>
      <w:tr w:rsidR="002834DA" w:rsidRPr="002834DA" w14:paraId="5B97B309" w14:textId="77777777" w:rsidTr="00EB750C">
        <w:trPr>
          <w:trHeight w:val="288"/>
        </w:trPr>
        <w:tc>
          <w:tcPr>
            <w:tcW w:w="1480" w:type="pct"/>
            <w:noWrap/>
            <w:hideMark/>
          </w:tcPr>
          <w:p w14:paraId="2505B6DD" w14:textId="77777777" w:rsidR="002834DA" w:rsidRPr="002834DA" w:rsidRDefault="002834DA" w:rsidP="00322E9E">
            <w:pPr>
              <w:pStyle w:val="TableBody"/>
            </w:pPr>
            <w:r w:rsidRPr="002834DA">
              <w:t>2012-13</w:t>
            </w:r>
          </w:p>
        </w:tc>
        <w:tc>
          <w:tcPr>
            <w:tcW w:w="3520" w:type="pct"/>
            <w:noWrap/>
            <w:hideMark/>
          </w:tcPr>
          <w:p w14:paraId="6744F5D4" w14:textId="77777777" w:rsidR="002834DA" w:rsidRPr="002834DA" w:rsidRDefault="002834DA" w:rsidP="00322E9E">
            <w:pPr>
              <w:pStyle w:val="TableBody"/>
            </w:pPr>
            <w:r w:rsidRPr="002834DA">
              <w:t>1,360</w:t>
            </w:r>
          </w:p>
        </w:tc>
      </w:tr>
      <w:tr w:rsidR="002834DA" w:rsidRPr="002834DA" w14:paraId="66D7A6C9" w14:textId="77777777" w:rsidTr="00EB750C">
        <w:trPr>
          <w:trHeight w:val="288"/>
        </w:trPr>
        <w:tc>
          <w:tcPr>
            <w:tcW w:w="1480" w:type="pct"/>
            <w:noWrap/>
            <w:hideMark/>
          </w:tcPr>
          <w:p w14:paraId="65BC451F" w14:textId="77777777" w:rsidR="002834DA" w:rsidRPr="002834DA" w:rsidRDefault="002834DA" w:rsidP="00322E9E">
            <w:pPr>
              <w:pStyle w:val="TableBody"/>
            </w:pPr>
            <w:r w:rsidRPr="002834DA">
              <w:t>2013-14</w:t>
            </w:r>
          </w:p>
        </w:tc>
        <w:tc>
          <w:tcPr>
            <w:tcW w:w="3520" w:type="pct"/>
            <w:noWrap/>
            <w:hideMark/>
          </w:tcPr>
          <w:p w14:paraId="02B4A2D6" w14:textId="77777777" w:rsidR="002834DA" w:rsidRPr="002834DA" w:rsidRDefault="002834DA" w:rsidP="00322E9E">
            <w:pPr>
              <w:pStyle w:val="TableBody"/>
            </w:pPr>
            <w:r w:rsidRPr="002834DA">
              <w:t>1,336</w:t>
            </w:r>
          </w:p>
        </w:tc>
      </w:tr>
      <w:tr w:rsidR="002834DA" w:rsidRPr="002834DA" w14:paraId="787D348B" w14:textId="77777777" w:rsidTr="00EB750C">
        <w:trPr>
          <w:trHeight w:val="288"/>
        </w:trPr>
        <w:tc>
          <w:tcPr>
            <w:tcW w:w="1480" w:type="pct"/>
            <w:noWrap/>
            <w:hideMark/>
          </w:tcPr>
          <w:p w14:paraId="7A264BF4" w14:textId="77777777" w:rsidR="002834DA" w:rsidRPr="002834DA" w:rsidRDefault="002834DA" w:rsidP="00322E9E">
            <w:pPr>
              <w:pStyle w:val="TableBody"/>
            </w:pPr>
            <w:r w:rsidRPr="002834DA">
              <w:t>2014-15</w:t>
            </w:r>
          </w:p>
        </w:tc>
        <w:tc>
          <w:tcPr>
            <w:tcW w:w="3520" w:type="pct"/>
            <w:noWrap/>
            <w:hideMark/>
          </w:tcPr>
          <w:p w14:paraId="2A3CC5CE" w14:textId="77777777" w:rsidR="002834DA" w:rsidRPr="002834DA" w:rsidRDefault="002834DA" w:rsidP="00322E9E">
            <w:pPr>
              <w:pStyle w:val="TableBody"/>
            </w:pPr>
            <w:r w:rsidRPr="002834DA">
              <w:t>1,285</w:t>
            </w:r>
          </w:p>
        </w:tc>
      </w:tr>
      <w:tr w:rsidR="002834DA" w:rsidRPr="002834DA" w14:paraId="45B57AE0" w14:textId="77777777" w:rsidTr="00EB750C">
        <w:trPr>
          <w:trHeight w:val="288"/>
        </w:trPr>
        <w:tc>
          <w:tcPr>
            <w:tcW w:w="1480" w:type="pct"/>
            <w:noWrap/>
            <w:hideMark/>
          </w:tcPr>
          <w:p w14:paraId="7655A7FD" w14:textId="77777777" w:rsidR="002834DA" w:rsidRPr="002834DA" w:rsidRDefault="002834DA" w:rsidP="00322E9E">
            <w:pPr>
              <w:pStyle w:val="TableBody"/>
            </w:pPr>
            <w:r w:rsidRPr="002834DA">
              <w:t>2015-16</w:t>
            </w:r>
          </w:p>
        </w:tc>
        <w:tc>
          <w:tcPr>
            <w:tcW w:w="3520" w:type="pct"/>
            <w:noWrap/>
            <w:hideMark/>
          </w:tcPr>
          <w:p w14:paraId="4F1A798A" w14:textId="77777777" w:rsidR="002834DA" w:rsidRPr="002834DA" w:rsidRDefault="002834DA" w:rsidP="00322E9E">
            <w:pPr>
              <w:pStyle w:val="TableBody"/>
            </w:pPr>
            <w:r w:rsidRPr="002834DA">
              <w:t>1,258</w:t>
            </w:r>
          </w:p>
        </w:tc>
      </w:tr>
      <w:tr w:rsidR="002834DA" w:rsidRPr="002834DA" w14:paraId="4D3D6EC9" w14:textId="77777777" w:rsidTr="00EB750C">
        <w:trPr>
          <w:trHeight w:val="288"/>
        </w:trPr>
        <w:tc>
          <w:tcPr>
            <w:tcW w:w="1480" w:type="pct"/>
            <w:noWrap/>
            <w:hideMark/>
          </w:tcPr>
          <w:p w14:paraId="5E37B1C0" w14:textId="77777777" w:rsidR="002834DA" w:rsidRPr="002834DA" w:rsidRDefault="002834DA" w:rsidP="00322E9E">
            <w:pPr>
              <w:pStyle w:val="TableBody"/>
            </w:pPr>
            <w:r w:rsidRPr="002834DA">
              <w:t>2016-17</w:t>
            </w:r>
          </w:p>
        </w:tc>
        <w:tc>
          <w:tcPr>
            <w:tcW w:w="3520" w:type="pct"/>
            <w:noWrap/>
            <w:hideMark/>
          </w:tcPr>
          <w:p w14:paraId="19AAEC71" w14:textId="77777777" w:rsidR="002834DA" w:rsidRPr="002834DA" w:rsidRDefault="002834DA" w:rsidP="00322E9E">
            <w:pPr>
              <w:pStyle w:val="TableBody"/>
            </w:pPr>
            <w:r w:rsidRPr="002834DA">
              <w:t>1,248</w:t>
            </w:r>
          </w:p>
        </w:tc>
      </w:tr>
      <w:tr w:rsidR="002834DA" w:rsidRPr="002834DA" w14:paraId="532E883D" w14:textId="77777777" w:rsidTr="00EB750C">
        <w:trPr>
          <w:trHeight w:val="288"/>
        </w:trPr>
        <w:tc>
          <w:tcPr>
            <w:tcW w:w="1480" w:type="pct"/>
            <w:noWrap/>
            <w:hideMark/>
          </w:tcPr>
          <w:p w14:paraId="48CFF6A7" w14:textId="77777777" w:rsidR="002834DA" w:rsidRPr="002834DA" w:rsidRDefault="002834DA" w:rsidP="00322E9E">
            <w:pPr>
              <w:pStyle w:val="TableBody"/>
            </w:pPr>
            <w:r w:rsidRPr="002834DA">
              <w:t>2017-18</w:t>
            </w:r>
          </w:p>
        </w:tc>
        <w:tc>
          <w:tcPr>
            <w:tcW w:w="3520" w:type="pct"/>
            <w:noWrap/>
            <w:hideMark/>
          </w:tcPr>
          <w:p w14:paraId="6D363224" w14:textId="77777777" w:rsidR="002834DA" w:rsidRPr="002834DA" w:rsidRDefault="002834DA" w:rsidP="00322E9E">
            <w:pPr>
              <w:pStyle w:val="TableBody"/>
            </w:pPr>
            <w:r w:rsidRPr="002834DA">
              <w:t>1,223</w:t>
            </w:r>
          </w:p>
        </w:tc>
      </w:tr>
      <w:tr w:rsidR="002834DA" w:rsidRPr="002834DA" w14:paraId="069F3ED7" w14:textId="77777777" w:rsidTr="00EB750C">
        <w:trPr>
          <w:trHeight w:val="288"/>
        </w:trPr>
        <w:tc>
          <w:tcPr>
            <w:tcW w:w="1480" w:type="pct"/>
            <w:noWrap/>
            <w:hideMark/>
          </w:tcPr>
          <w:p w14:paraId="3B2D5B0F" w14:textId="77777777" w:rsidR="002834DA" w:rsidRPr="002834DA" w:rsidRDefault="002834DA" w:rsidP="00322E9E">
            <w:pPr>
              <w:pStyle w:val="TableBody"/>
            </w:pPr>
            <w:r w:rsidRPr="002834DA">
              <w:t>2018-19</w:t>
            </w:r>
          </w:p>
        </w:tc>
        <w:tc>
          <w:tcPr>
            <w:tcW w:w="3520" w:type="pct"/>
            <w:noWrap/>
            <w:hideMark/>
          </w:tcPr>
          <w:p w14:paraId="560B328D" w14:textId="77777777" w:rsidR="002834DA" w:rsidRPr="002834DA" w:rsidRDefault="002834DA" w:rsidP="00322E9E">
            <w:pPr>
              <w:pStyle w:val="TableBody"/>
            </w:pPr>
            <w:r w:rsidRPr="002834DA">
              <w:t>1,238</w:t>
            </w:r>
          </w:p>
        </w:tc>
      </w:tr>
      <w:tr w:rsidR="002834DA" w:rsidRPr="002834DA" w14:paraId="06F93AAB" w14:textId="77777777" w:rsidTr="00EB750C">
        <w:trPr>
          <w:trHeight w:val="288"/>
        </w:trPr>
        <w:tc>
          <w:tcPr>
            <w:tcW w:w="1480" w:type="pct"/>
            <w:noWrap/>
            <w:hideMark/>
          </w:tcPr>
          <w:p w14:paraId="263A7C00" w14:textId="77777777" w:rsidR="002834DA" w:rsidRPr="002834DA" w:rsidRDefault="002834DA" w:rsidP="00322E9E">
            <w:pPr>
              <w:pStyle w:val="TableBody"/>
            </w:pPr>
            <w:r w:rsidRPr="002834DA">
              <w:t>2019-20</w:t>
            </w:r>
          </w:p>
        </w:tc>
        <w:tc>
          <w:tcPr>
            <w:tcW w:w="3520" w:type="pct"/>
            <w:noWrap/>
            <w:hideMark/>
          </w:tcPr>
          <w:p w14:paraId="2CB3C0D3" w14:textId="77777777" w:rsidR="002834DA" w:rsidRPr="002834DA" w:rsidRDefault="002834DA" w:rsidP="00322E9E">
            <w:pPr>
              <w:pStyle w:val="TableBody"/>
            </w:pPr>
            <w:r w:rsidRPr="002834DA">
              <w:t>1,251</w:t>
            </w:r>
          </w:p>
        </w:tc>
      </w:tr>
      <w:tr w:rsidR="002834DA" w:rsidRPr="002834DA" w14:paraId="04ACDBF2" w14:textId="77777777" w:rsidTr="00EB750C">
        <w:trPr>
          <w:trHeight w:val="288"/>
        </w:trPr>
        <w:tc>
          <w:tcPr>
            <w:tcW w:w="1480" w:type="pct"/>
            <w:noWrap/>
            <w:hideMark/>
          </w:tcPr>
          <w:p w14:paraId="224C67B2" w14:textId="77777777" w:rsidR="002834DA" w:rsidRPr="002834DA" w:rsidRDefault="002834DA" w:rsidP="00322E9E">
            <w:pPr>
              <w:pStyle w:val="TableBody"/>
            </w:pPr>
            <w:r w:rsidRPr="002834DA">
              <w:t>2020-21</w:t>
            </w:r>
          </w:p>
        </w:tc>
        <w:tc>
          <w:tcPr>
            <w:tcW w:w="3520" w:type="pct"/>
            <w:noWrap/>
            <w:hideMark/>
          </w:tcPr>
          <w:p w14:paraId="6832ECA1" w14:textId="77777777" w:rsidR="002834DA" w:rsidRPr="002834DA" w:rsidRDefault="002834DA" w:rsidP="00322E9E">
            <w:pPr>
              <w:pStyle w:val="TableBody"/>
            </w:pPr>
            <w:r w:rsidRPr="002834DA">
              <w:t>1,366</w:t>
            </w:r>
          </w:p>
        </w:tc>
      </w:tr>
      <w:tr w:rsidR="002834DA" w:rsidRPr="002834DA" w14:paraId="0ADFB11C" w14:textId="77777777" w:rsidTr="00EB750C">
        <w:trPr>
          <w:trHeight w:val="288"/>
        </w:trPr>
        <w:tc>
          <w:tcPr>
            <w:tcW w:w="1480" w:type="pct"/>
            <w:noWrap/>
            <w:hideMark/>
          </w:tcPr>
          <w:p w14:paraId="767E8543" w14:textId="77777777" w:rsidR="002834DA" w:rsidRPr="002834DA" w:rsidRDefault="002834DA" w:rsidP="00322E9E">
            <w:pPr>
              <w:pStyle w:val="TableBody"/>
            </w:pPr>
            <w:r w:rsidRPr="002834DA">
              <w:t>2021-22</w:t>
            </w:r>
          </w:p>
        </w:tc>
        <w:tc>
          <w:tcPr>
            <w:tcW w:w="3520" w:type="pct"/>
            <w:noWrap/>
            <w:hideMark/>
          </w:tcPr>
          <w:p w14:paraId="6ECB5DF0" w14:textId="77777777" w:rsidR="002834DA" w:rsidRPr="002834DA" w:rsidRDefault="002834DA" w:rsidP="00322E9E">
            <w:pPr>
              <w:pStyle w:val="TableBody"/>
            </w:pPr>
            <w:r w:rsidRPr="002834DA">
              <w:t>1,190</w:t>
            </w:r>
          </w:p>
        </w:tc>
      </w:tr>
      <w:tr w:rsidR="002834DA" w:rsidRPr="002834DA" w14:paraId="6ABC9E14" w14:textId="77777777" w:rsidTr="00EB750C">
        <w:trPr>
          <w:trHeight w:val="288"/>
        </w:trPr>
        <w:tc>
          <w:tcPr>
            <w:tcW w:w="1480" w:type="pct"/>
            <w:noWrap/>
            <w:hideMark/>
          </w:tcPr>
          <w:p w14:paraId="429A2875" w14:textId="77777777" w:rsidR="002834DA" w:rsidRPr="002834DA" w:rsidRDefault="002834DA" w:rsidP="00322E9E">
            <w:pPr>
              <w:pStyle w:val="TableBody"/>
            </w:pPr>
            <w:r w:rsidRPr="002834DA">
              <w:t>2022-23</w:t>
            </w:r>
          </w:p>
        </w:tc>
        <w:tc>
          <w:tcPr>
            <w:tcW w:w="3520" w:type="pct"/>
            <w:noWrap/>
            <w:hideMark/>
          </w:tcPr>
          <w:p w14:paraId="2F0EED91" w14:textId="77777777" w:rsidR="002834DA" w:rsidRPr="002834DA" w:rsidRDefault="002834DA" w:rsidP="00322E9E">
            <w:pPr>
              <w:pStyle w:val="TableBody"/>
            </w:pPr>
            <w:r w:rsidRPr="002834DA">
              <w:t>1,127</w:t>
            </w:r>
          </w:p>
        </w:tc>
      </w:tr>
      <w:tr w:rsidR="002834DA" w:rsidRPr="002834DA" w14:paraId="5FCF3568" w14:textId="77777777" w:rsidTr="00EB750C">
        <w:trPr>
          <w:trHeight w:val="288"/>
        </w:trPr>
        <w:tc>
          <w:tcPr>
            <w:tcW w:w="1480" w:type="pct"/>
            <w:noWrap/>
            <w:hideMark/>
          </w:tcPr>
          <w:p w14:paraId="61094D44" w14:textId="77777777" w:rsidR="002834DA" w:rsidRPr="002834DA" w:rsidRDefault="002834DA" w:rsidP="00322E9E">
            <w:pPr>
              <w:pStyle w:val="TableBody"/>
            </w:pPr>
            <w:r w:rsidRPr="002834DA">
              <w:t>2023-24</w:t>
            </w:r>
          </w:p>
        </w:tc>
        <w:tc>
          <w:tcPr>
            <w:tcW w:w="3520" w:type="pct"/>
            <w:noWrap/>
            <w:hideMark/>
          </w:tcPr>
          <w:p w14:paraId="3CE6080A" w14:textId="77777777" w:rsidR="002834DA" w:rsidRPr="002834DA" w:rsidRDefault="002834DA" w:rsidP="00322E9E">
            <w:pPr>
              <w:pStyle w:val="TableBody"/>
            </w:pPr>
            <w:r w:rsidRPr="002834DA">
              <w:t>1,066</w:t>
            </w:r>
          </w:p>
        </w:tc>
      </w:tr>
    </w:tbl>
    <w:p w14:paraId="79B63767" w14:textId="77777777" w:rsidR="006767B9" w:rsidRPr="008C1137" w:rsidRDefault="006767B9" w:rsidP="00D4532A">
      <w:r w:rsidRPr="000C258A">
        <w:rPr>
          <w:rStyle w:val="Strong"/>
        </w:rPr>
        <w:t>Source</w:t>
      </w:r>
      <w:r w:rsidRPr="008C1137">
        <w:t>: Crime Statistics Agency Victoria, unpublished data</w:t>
      </w:r>
    </w:p>
    <w:p w14:paraId="2E177AE2" w14:textId="77777777" w:rsidR="00A4454A" w:rsidRPr="008C1137" w:rsidRDefault="00A4454A" w:rsidP="0002476E">
      <w:pPr>
        <w:pStyle w:val="Heading2"/>
      </w:pPr>
      <w:r w:rsidRPr="008C1137">
        <w:t>Types of recorded offences</w:t>
      </w:r>
    </w:p>
    <w:p w14:paraId="55D1F868" w14:textId="41165B3B" w:rsidR="00A4454A" w:rsidRPr="008C1137" w:rsidRDefault="00A4454A" w:rsidP="00210207">
      <w:pPr>
        <w:pStyle w:val="Numbered"/>
      </w:pPr>
      <w:r w:rsidRPr="008C1137">
        <w:t xml:space="preserve">Figure 6 shows that there are typically between 70,000 and 80,000 unique alleged offenders in Victoria each year. Figure 8 now presents the most common categories of offences that those unique alleged offenders were recorded as having </w:t>
      </w:r>
      <w:r w:rsidRPr="008C1137">
        <w:lastRenderedPageBreak/>
        <w:t>committed.</w:t>
      </w:r>
      <w:r w:rsidRPr="008C1137">
        <w:rPr>
          <w:rStyle w:val="Superscript"/>
        </w:rPr>
        <w:footnoteReference w:id="49"/>
      </w:r>
      <w:r w:rsidRPr="008C1137">
        <w:t xml:space="preserve"> There were significant increases in people recorded for offences against the person and justice procedure offences, significant decreases in property offences and public order offences (from their peak in 2010–11), and relative stability in the number of drug offences each year.</w:t>
      </w:r>
      <w:r w:rsidRPr="008C1137">
        <w:rPr>
          <w:rStyle w:val="Superscript"/>
        </w:rPr>
        <w:footnoteReference w:id="50"/>
      </w:r>
    </w:p>
    <w:p w14:paraId="739F95AD" w14:textId="77777777" w:rsidR="00626C72" w:rsidRPr="008C1137" w:rsidRDefault="00626C72" w:rsidP="00BE4EDC">
      <w:pPr>
        <w:pStyle w:val="Caption"/>
      </w:pPr>
      <w:r w:rsidRPr="00157502">
        <w:t>Figure 8</w:t>
      </w:r>
      <w:r w:rsidRPr="008C1137">
        <w:t>: Number of unique alleged offenders, by offence category, 2004–05 to 2023–24</w:t>
      </w:r>
    </w:p>
    <w:tbl>
      <w:tblPr>
        <w:tblStyle w:val="Table"/>
        <w:tblW w:w="5000" w:type="pct"/>
        <w:tblLayout w:type="fixed"/>
        <w:tblLook w:val="04A0" w:firstRow="1" w:lastRow="0" w:firstColumn="1" w:lastColumn="0" w:noHBand="0" w:noVBand="1"/>
      </w:tblPr>
      <w:tblGrid>
        <w:gridCol w:w="1502"/>
        <w:gridCol w:w="1504"/>
        <w:gridCol w:w="1504"/>
        <w:gridCol w:w="1502"/>
        <w:gridCol w:w="1504"/>
        <w:gridCol w:w="1500"/>
      </w:tblGrid>
      <w:tr w:rsidR="00307D80" w:rsidRPr="003B453B" w14:paraId="11A3359F" w14:textId="77777777" w:rsidTr="00F430C3">
        <w:trPr>
          <w:trHeight w:val="288"/>
          <w:tblHeader/>
        </w:trPr>
        <w:tc>
          <w:tcPr>
            <w:tcW w:w="833" w:type="pct"/>
            <w:noWrap/>
            <w:hideMark/>
          </w:tcPr>
          <w:p w14:paraId="6EC8FEBF" w14:textId="77777777" w:rsidR="00307D80" w:rsidRPr="003B453B" w:rsidRDefault="00307D80" w:rsidP="003B453B">
            <w:pPr>
              <w:pStyle w:val="TableHeading"/>
            </w:pPr>
            <w:r w:rsidRPr="003B453B">
              <w:t>Financial year</w:t>
            </w:r>
          </w:p>
        </w:tc>
        <w:tc>
          <w:tcPr>
            <w:tcW w:w="834" w:type="pct"/>
            <w:noWrap/>
            <w:hideMark/>
          </w:tcPr>
          <w:p w14:paraId="2FE1C97E" w14:textId="77777777" w:rsidR="00307D80" w:rsidRPr="003B453B" w:rsidRDefault="00307D80" w:rsidP="003B453B">
            <w:pPr>
              <w:pStyle w:val="TableHeading"/>
            </w:pPr>
            <w:r w:rsidRPr="003B453B">
              <w:t>Person</w:t>
            </w:r>
          </w:p>
        </w:tc>
        <w:tc>
          <w:tcPr>
            <w:tcW w:w="834" w:type="pct"/>
            <w:noWrap/>
            <w:hideMark/>
          </w:tcPr>
          <w:p w14:paraId="03FBBF91" w14:textId="77777777" w:rsidR="00307D80" w:rsidRPr="003B453B" w:rsidRDefault="00307D80" w:rsidP="003B453B">
            <w:pPr>
              <w:pStyle w:val="TableHeading"/>
            </w:pPr>
            <w:r w:rsidRPr="003B453B">
              <w:t>Property</w:t>
            </w:r>
          </w:p>
        </w:tc>
        <w:tc>
          <w:tcPr>
            <w:tcW w:w="833" w:type="pct"/>
            <w:noWrap/>
            <w:hideMark/>
          </w:tcPr>
          <w:p w14:paraId="6BF0DA84" w14:textId="77777777" w:rsidR="00307D80" w:rsidRPr="003B453B" w:rsidRDefault="00307D80" w:rsidP="003B453B">
            <w:pPr>
              <w:pStyle w:val="TableHeading"/>
            </w:pPr>
            <w:r w:rsidRPr="003B453B">
              <w:t>Justice procedures</w:t>
            </w:r>
          </w:p>
        </w:tc>
        <w:tc>
          <w:tcPr>
            <w:tcW w:w="834" w:type="pct"/>
            <w:noWrap/>
            <w:hideMark/>
          </w:tcPr>
          <w:p w14:paraId="11FBE6AD" w14:textId="77777777" w:rsidR="00307D80" w:rsidRPr="003B453B" w:rsidRDefault="00307D80" w:rsidP="003B453B">
            <w:pPr>
              <w:pStyle w:val="TableHeading"/>
            </w:pPr>
            <w:r w:rsidRPr="003B453B">
              <w:t>Drug</w:t>
            </w:r>
          </w:p>
        </w:tc>
        <w:tc>
          <w:tcPr>
            <w:tcW w:w="834" w:type="pct"/>
            <w:noWrap/>
            <w:hideMark/>
          </w:tcPr>
          <w:p w14:paraId="07CD43E8" w14:textId="77777777" w:rsidR="00307D80" w:rsidRPr="003B453B" w:rsidRDefault="00307D80" w:rsidP="003B453B">
            <w:pPr>
              <w:pStyle w:val="TableHeading"/>
            </w:pPr>
            <w:r w:rsidRPr="003B453B">
              <w:t>Public order</w:t>
            </w:r>
          </w:p>
        </w:tc>
      </w:tr>
      <w:tr w:rsidR="00307D80" w:rsidRPr="003B453B" w14:paraId="48C6EE92" w14:textId="77777777" w:rsidTr="00F430C3">
        <w:trPr>
          <w:trHeight w:val="288"/>
        </w:trPr>
        <w:tc>
          <w:tcPr>
            <w:tcW w:w="833" w:type="pct"/>
            <w:noWrap/>
            <w:hideMark/>
          </w:tcPr>
          <w:p w14:paraId="3D4CCFBB" w14:textId="77777777" w:rsidR="00307D80" w:rsidRPr="003B453B" w:rsidRDefault="00307D80" w:rsidP="003B453B">
            <w:pPr>
              <w:pStyle w:val="TableBody"/>
            </w:pPr>
            <w:r w:rsidRPr="003B453B">
              <w:t>2004-05</w:t>
            </w:r>
          </w:p>
        </w:tc>
        <w:tc>
          <w:tcPr>
            <w:tcW w:w="834" w:type="pct"/>
            <w:noWrap/>
            <w:hideMark/>
          </w:tcPr>
          <w:p w14:paraId="46CA10E6" w14:textId="77777777" w:rsidR="00307D80" w:rsidRPr="003B453B" w:rsidRDefault="00307D80" w:rsidP="003B453B">
            <w:pPr>
              <w:pStyle w:val="TableBody"/>
            </w:pPr>
            <w:r w:rsidRPr="003B453B">
              <w:t>13,630</w:t>
            </w:r>
          </w:p>
        </w:tc>
        <w:tc>
          <w:tcPr>
            <w:tcW w:w="834" w:type="pct"/>
            <w:noWrap/>
            <w:hideMark/>
          </w:tcPr>
          <w:p w14:paraId="50F72AD5" w14:textId="77777777" w:rsidR="00307D80" w:rsidRPr="003B453B" w:rsidRDefault="00307D80" w:rsidP="003B453B">
            <w:pPr>
              <w:pStyle w:val="TableBody"/>
            </w:pPr>
            <w:r w:rsidRPr="003B453B">
              <w:t>21,280</w:t>
            </w:r>
          </w:p>
        </w:tc>
        <w:tc>
          <w:tcPr>
            <w:tcW w:w="833" w:type="pct"/>
            <w:noWrap/>
            <w:hideMark/>
          </w:tcPr>
          <w:p w14:paraId="35332112" w14:textId="77777777" w:rsidR="00307D80" w:rsidRPr="003B453B" w:rsidRDefault="00307D80" w:rsidP="003B453B">
            <w:pPr>
              <w:pStyle w:val="TableBody"/>
            </w:pPr>
            <w:r w:rsidRPr="003B453B">
              <w:t>3,271</w:t>
            </w:r>
          </w:p>
        </w:tc>
        <w:tc>
          <w:tcPr>
            <w:tcW w:w="834" w:type="pct"/>
            <w:noWrap/>
            <w:hideMark/>
          </w:tcPr>
          <w:p w14:paraId="05887467" w14:textId="77777777" w:rsidR="00307D80" w:rsidRPr="003B453B" w:rsidRDefault="00307D80" w:rsidP="003B453B">
            <w:pPr>
              <w:pStyle w:val="TableBody"/>
            </w:pPr>
            <w:r w:rsidRPr="003B453B">
              <w:t>5,815</w:t>
            </w:r>
          </w:p>
        </w:tc>
        <w:tc>
          <w:tcPr>
            <w:tcW w:w="834" w:type="pct"/>
            <w:noWrap/>
            <w:hideMark/>
          </w:tcPr>
          <w:p w14:paraId="5EE6441F" w14:textId="77777777" w:rsidR="00307D80" w:rsidRPr="003B453B" w:rsidRDefault="00307D80" w:rsidP="003B453B">
            <w:pPr>
              <w:pStyle w:val="TableBody"/>
            </w:pPr>
            <w:r w:rsidRPr="003B453B">
              <w:t>3,708</w:t>
            </w:r>
          </w:p>
        </w:tc>
      </w:tr>
      <w:tr w:rsidR="00307D80" w:rsidRPr="003B453B" w14:paraId="58457160" w14:textId="77777777" w:rsidTr="00F430C3">
        <w:trPr>
          <w:trHeight w:val="288"/>
        </w:trPr>
        <w:tc>
          <w:tcPr>
            <w:tcW w:w="833" w:type="pct"/>
            <w:noWrap/>
            <w:hideMark/>
          </w:tcPr>
          <w:p w14:paraId="12BB3201" w14:textId="77777777" w:rsidR="00307D80" w:rsidRPr="003B453B" w:rsidRDefault="00307D80" w:rsidP="003B453B">
            <w:pPr>
              <w:pStyle w:val="TableBody"/>
            </w:pPr>
            <w:r w:rsidRPr="003B453B">
              <w:t>2005-06</w:t>
            </w:r>
          </w:p>
        </w:tc>
        <w:tc>
          <w:tcPr>
            <w:tcW w:w="834" w:type="pct"/>
            <w:noWrap/>
            <w:hideMark/>
          </w:tcPr>
          <w:p w14:paraId="327A1779" w14:textId="77777777" w:rsidR="00307D80" w:rsidRPr="003B453B" w:rsidRDefault="00307D80" w:rsidP="003B453B">
            <w:pPr>
              <w:pStyle w:val="TableBody"/>
            </w:pPr>
            <w:r w:rsidRPr="003B453B">
              <w:t>17,764</w:t>
            </w:r>
          </w:p>
        </w:tc>
        <w:tc>
          <w:tcPr>
            <w:tcW w:w="834" w:type="pct"/>
            <w:noWrap/>
            <w:hideMark/>
          </w:tcPr>
          <w:p w14:paraId="10E33EE6" w14:textId="77777777" w:rsidR="00307D80" w:rsidRPr="003B453B" w:rsidRDefault="00307D80" w:rsidP="003B453B">
            <w:pPr>
              <w:pStyle w:val="TableBody"/>
            </w:pPr>
            <w:r w:rsidRPr="003B453B">
              <w:t>21,982</w:t>
            </w:r>
          </w:p>
        </w:tc>
        <w:tc>
          <w:tcPr>
            <w:tcW w:w="833" w:type="pct"/>
            <w:noWrap/>
            <w:hideMark/>
          </w:tcPr>
          <w:p w14:paraId="78F0AB08" w14:textId="77777777" w:rsidR="00307D80" w:rsidRPr="003B453B" w:rsidRDefault="00307D80" w:rsidP="003B453B">
            <w:pPr>
              <w:pStyle w:val="TableBody"/>
            </w:pPr>
            <w:r w:rsidRPr="003B453B">
              <w:t>3,833</w:t>
            </w:r>
          </w:p>
        </w:tc>
        <w:tc>
          <w:tcPr>
            <w:tcW w:w="834" w:type="pct"/>
            <w:noWrap/>
            <w:hideMark/>
          </w:tcPr>
          <w:p w14:paraId="43DE5BED" w14:textId="77777777" w:rsidR="00307D80" w:rsidRPr="003B453B" w:rsidRDefault="00307D80" w:rsidP="003B453B">
            <w:pPr>
              <w:pStyle w:val="TableBody"/>
            </w:pPr>
            <w:r w:rsidRPr="003B453B">
              <w:t>6,123</w:t>
            </w:r>
          </w:p>
        </w:tc>
        <w:tc>
          <w:tcPr>
            <w:tcW w:w="834" w:type="pct"/>
            <w:noWrap/>
            <w:hideMark/>
          </w:tcPr>
          <w:p w14:paraId="44795D0D" w14:textId="77777777" w:rsidR="00307D80" w:rsidRPr="003B453B" w:rsidRDefault="00307D80" w:rsidP="003B453B">
            <w:pPr>
              <w:pStyle w:val="TableBody"/>
            </w:pPr>
            <w:r w:rsidRPr="003B453B">
              <w:t>3,782</w:t>
            </w:r>
          </w:p>
        </w:tc>
      </w:tr>
      <w:tr w:rsidR="00307D80" w:rsidRPr="003B453B" w14:paraId="7A135CAE" w14:textId="77777777" w:rsidTr="00F430C3">
        <w:trPr>
          <w:trHeight w:val="288"/>
        </w:trPr>
        <w:tc>
          <w:tcPr>
            <w:tcW w:w="833" w:type="pct"/>
            <w:noWrap/>
            <w:hideMark/>
          </w:tcPr>
          <w:p w14:paraId="7B1B5447" w14:textId="77777777" w:rsidR="00307D80" w:rsidRPr="003B453B" w:rsidRDefault="00307D80" w:rsidP="003B453B">
            <w:pPr>
              <w:pStyle w:val="TableBody"/>
            </w:pPr>
            <w:r w:rsidRPr="003B453B">
              <w:t>2006-07</w:t>
            </w:r>
          </w:p>
        </w:tc>
        <w:tc>
          <w:tcPr>
            <w:tcW w:w="834" w:type="pct"/>
            <w:noWrap/>
            <w:hideMark/>
          </w:tcPr>
          <w:p w14:paraId="627D10EA" w14:textId="77777777" w:rsidR="00307D80" w:rsidRPr="003B453B" w:rsidRDefault="00307D80" w:rsidP="003B453B">
            <w:pPr>
              <w:pStyle w:val="TableBody"/>
            </w:pPr>
            <w:r w:rsidRPr="003B453B">
              <w:t>19,682</w:t>
            </w:r>
          </w:p>
        </w:tc>
        <w:tc>
          <w:tcPr>
            <w:tcW w:w="834" w:type="pct"/>
            <w:noWrap/>
            <w:hideMark/>
          </w:tcPr>
          <w:p w14:paraId="72FEDB37" w14:textId="77777777" w:rsidR="00307D80" w:rsidRPr="003B453B" w:rsidRDefault="00307D80" w:rsidP="003B453B">
            <w:pPr>
              <w:pStyle w:val="TableBody"/>
            </w:pPr>
            <w:r w:rsidRPr="003B453B">
              <w:t>23,300</w:t>
            </w:r>
          </w:p>
        </w:tc>
        <w:tc>
          <w:tcPr>
            <w:tcW w:w="833" w:type="pct"/>
            <w:noWrap/>
            <w:hideMark/>
          </w:tcPr>
          <w:p w14:paraId="362CB0A3" w14:textId="77777777" w:rsidR="00307D80" w:rsidRPr="003B453B" w:rsidRDefault="00307D80" w:rsidP="003B453B">
            <w:pPr>
              <w:pStyle w:val="TableBody"/>
            </w:pPr>
            <w:r w:rsidRPr="003B453B">
              <w:t>3,432</w:t>
            </w:r>
          </w:p>
        </w:tc>
        <w:tc>
          <w:tcPr>
            <w:tcW w:w="834" w:type="pct"/>
            <w:noWrap/>
            <w:hideMark/>
          </w:tcPr>
          <w:p w14:paraId="6B81272B" w14:textId="77777777" w:rsidR="00307D80" w:rsidRPr="003B453B" w:rsidRDefault="00307D80" w:rsidP="003B453B">
            <w:pPr>
              <w:pStyle w:val="TableBody"/>
            </w:pPr>
            <w:r w:rsidRPr="003B453B">
              <w:t>6,269</w:t>
            </w:r>
          </w:p>
        </w:tc>
        <w:tc>
          <w:tcPr>
            <w:tcW w:w="834" w:type="pct"/>
            <w:noWrap/>
            <w:hideMark/>
          </w:tcPr>
          <w:p w14:paraId="54C8812D" w14:textId="77777777" w:rsidR="00307D80" w:rsidRPr="003B453B" w:rsidRDefault="00307D80" w:rsidP="003B453B">
            <w:pPr>
              <w:pStyle w:val="TableBody"/>
            </w:pPr>
            <w:r w:rsidRPr="003B453B">
              <w:t>3,926</w:t>
            </w:r>
          </w:p>
        </w:tc>
      </w:tr>
      <w:tr w:rsidR="00307D80" w:rsidRPr="003B453B" w14:paraId="7DBF3536" w14:textId="77777777" w:rsidTr="00F430C3">
        <w:trPr>
          <w:trHeight w:val="288"/>
        </w:trPr>
        <w:tc>
          <w:tcPr>
            <w:tcW w:w="833" w:type="pct"/>
            <w:noWrap/>
            <w:hideMark/>
          </w:tcPr>
          <w:p w14:paraId="53D76D34" w14:textId="77777777" w:rsidR="00307D80" w:rsidRPr="003B453B" w:rsidRDefault="00307D80" w:rsidP="003B453B">
            <w:pPr>
              <w:pStyle w:val="TableBody"/>
            </w:pPr>
            <w:r w:rsidRPr="003B453B">
              <w:t>2007-08</w:t>
            </w:r>
          </w:p>
        </w:tc>
        <w:tc>
          <w:tcPr>
            <w:tcW w:w="834" w:type="pct"/>
            <w:noWrap/>
            <w:hideMark/>
          </w:tcPr>
          <w:p w14:paraId="0A85569C" w14:textId="77777777" w:rsidR="00307D80" w:rsidRPr="003B453B" w:rsidRDefault="00307D80" w:rsidP="003B453B">
            <w:pPr>
              <w:pStyle w:val="TableBody"/>
            </w:pPr>
            <w:r w:rsidRPr="003B453B">
              <w:t>20,253</w:t>
            </w:r>
          </w:p>
        </w:tc>
        <w:tc>
          <w:tcPr>
            <w:tcW w:w="834" w:type="pct"/>
            <w:noWrap/>
            <w:hideMark/>
          </w:tcPr>
          <w:p w14:paraId="385855AC" w14:textId="77777777" w:rsidR="00307D80" w:rsidRPr="003B453B" w:rsidRDefault="00307D80" w:rsidP="003B453B">
            <w:pPr>
              <w:pStyle w:val="TableBody"/>
            </w:pPr>
            <w:r w:rsidRPr="003B453B">
              <w:t>23,865</w:t>
            </w:r>
          </w:p>
        </w:tc>
        <w:tc>
          <w:tcPr>
            <w:tcW w:w="833" w:type="pct"/>
            <w:noWrap/>
            <w:hideMark/>
          </w:tcPr>
          <w:p w14:paraId="2FDB6766" w14:textId="77777777" w:rsidR="00307D80" w:rsidRPr="003B453B" w:rsidRDefault="00307D80" w:rsidP="003B453B">
            <w:pPr>
              <w:pStyle w:val="TableBody"/>
            </w:pPr>
            <w:r w:rsidRPr="003B453B">
              <w:t>3,256</w:t>
            </w:r>
          </w:p>
        </w:tc>
        <w:tc>
          <w:tcPr>
            <w:tcW w:w="834" w:type="pct"/>
            <w:noWrap/>
            <w:hideMark/>
          </w:tcPr>
          <w:p w14:paraId="0F1A8B93" w14:textId="77777777" w:rsidR="00307D80" w:rsidRPr="003B453B" w:rsidRDefault="00307D80" w:rsidP="003B453B">
            <w:pPr>
              <w:pStyle w:val="TableBody"/>
            </w:pPr>
            <w:r w:rsidRPr="003B453B">
              <w:t>6,428</w:t>
            </w:r>
          </w:p>
        </w:tc>
        <w:tc>
          <w:tcPr>
            <w:tcW w:w="834" w:type="pct"/>
            <w:noWrap/>
            <w:hideMark/>
          </w:tcPr>
          <w:p w14:paraId="08693FE0" w14:textId="77777777" w:rsidR="00307D80" w:rsidRPr="003B453B" w:rsidRDefault="00307D80" w:rsidP="003B453B">
            <w:pPr>
              <w:pStyle w:val="TableBody"/>
            </w:pPr>
            <w:r w:rsidRPr="003B453B">
              <w:t>4,066</w:t>
            </w:r>
          </w:p>
        </w:tc>
      </w:tr>
      <w:tr w:rsidR="00307D80" w:rsidRPr="003B453B" w14:paraId="3C4CA155" w14:textId="77777777" w:rsidTr="00F430C3">
        <w:trPr>
          <w:trHeight w:val="288"/>
        </w:trPr>
        <w:tc>
          <w:tcPr>
            <w:tcW w:w="833" w:type="pct"/>
            <w:noWrap/>
            <w:hideMark/>
          </w:tcPr>
          <w:p w14:paraId="2B6963E9" w14:textId="77777777" w:rsidR="00307D80" w:rsidRPr="003B453B" w:rsidRDefault="00307D80" w:rsidP="003B453B">
            <w:pPr>
              <w:pStyle w:val="TableBody"/>
            </w:pPr>
            <w:r w:rsidRPr="003B453B">
              <w:t>2008-09</w:t>
            </w:r>
          </w:p>
        </w:tc>
        <w:tc>
          <w:tcPr>
            <w:tcW w:w="834" w:type="pct"/>
            <w:noWrap/>
            <w:hideMark/>
          </w:tcPr>
          <w:p w14:paraId="052AAEE6" w14:textId="77777777" w:rsidR="00307D80" w:rsidRPr="003B453B" w:rsidRDefault="00307D80" w:rsidP="003B453B">
            <w:pPr>
              <w:pStyle w:val="TableBody"/>
            </w:pPr>
            <w:r w:rsidRPr="003B453B">
              <w:t>21,154</w:t>
            </w:r>
          </w:p>
        </w:tc>
        <w:tc>
          <w:tcPr>
            <w:tcW w:w="834" w:type="pct"/>
            <w:noWrap/>
            <w:hideMark/>
          </w:tcPr>
          <w:p w14:paraId="51846B72" w14:textId="77777777" w:rsidR="00307D80" w:rsidRPr="003B453B" w:rsidRDefault="00307D80" w:rsidP="003B453B">
            <w:pPr>
              <w:pStyle w:val="TableBody"/>
            </w:pPr>
            <w:r w:rsidRPr="003B453B">
              <w:t>25,263</w:t>
            </w:r>
          </w:p>
        </w:tc>
        <w:tc>
          <w:tcPr>
            <w:tcW w:w="833" w:type="pct"/>
            <w:noWrap/>
            <w:hideMark/>
          </w:tcPr>
          <w:p w14:paraId="601ACF9A" w14:textId="77777777" w:rsidR="00307D80" w:rsidRPr="003B453B" w:rsidRDefault="00307D80" w:rsidP="003B453B">
            <w:pPr>
              <w:pStyle w:val="TableBody"/>
            </w:pPr>
            <w:r w:rsidRPr="003B453B">
              <w:t>3,552</w:t>
            </w:r>
          </w:p>
        </w:tc>
        <w:tc>
          <w:tcPr>
            <w:tcW w:w="834" w:type="pct"/>
            <w:noWrap/>
            <w:hideMark/>
          </w:tcPr>
          <w:p w14:paraId="7F9B22F4" w14:textId="77777777" w:rsidR="00307D80" w:rsidRPr="003B453B" w:rsidRDefault="00307D80" w:rsidP="003B453B">
            <w:pPr>
              <w:pStyle w:val="TableBody"/>
            </w:pPr>
            <w:r w:rsidRPr="003B453B">
              <w:t>6,656</w:t>
            </w:r>
          </w:p>
        </w:tc>
        <w:tc>
          <w:tcPr>
            <w:tcW w:w="834" w:type="pct"/>
            <w:noWrap/>
            <w:hideMark/>
          </w:tcPr>
          <w:p w14:paraId="7D98ECF0" w14:textId="77777777" w:rsidR="00307D80" w:rsidRPr="003B453B" w:rsidRDefault="00307D80" w:rsidP="003B453B">
            <w:pPr>
              <w:pStyle w:val="TableBody"/>
            </w:pPr>
            <w:r w:rsidRPr="003B453B">
              <w:t>6,823</w:t>
            </w:r>
          </w:p>
        </w:tc>
      </w:tr>
      <w:tr w:rsidR="00307D80" w:rsidRPr="003B453B" w14:paraId="6BC627DE" w14:textId="77777777" w:rsidTr="00F430C3">
        <w:trPr>
          <w:trHeight w:val="288"/>
        </w:trPr>
        <w:tc>
          <w:tcPr>
            <w:tcW w:w="833" w:type="pct"/>
            <w:noWrap/>
            <w:hideMark/>
          </w:tcPr>
          <w:p w14:paraId="62D61956" w14:textId="77777777" w:rsidR="00307D80" w:rsidRPr="003B453B" w:rsidRDefault="00307D80" w:rsidP="003B453B">
            <w:pPr>
              <w:pStyle w:val="TableBody"/>
            </w:pPr>
            <w:r w:rsidRPr="003B453B">
              <w:t>2009-10</w:t>
            </w:r>
          </w:p>
        </w:tc>
        <w:tc>
          <w:tcPr>
            <w:tcW w:w="834" w:type="pct"/>
            <w:noWrap/>
            <w:hideMark/>
          </w:tcPr>
          <w:p w14:paraId="4A96E1D1" w14:textId="77777777" w:rsidR="00307D80" w:rsidRPr="003B453B" w:rsidRDefault="00307D80" w:rsidP="003B453B">
            <w:pPr>
              <w:pStyle w:val="TableBody"/>
            </w:pPr>
            <w:r w:rsidRPr="003B453B">
              <w:t>22,360</w:t>
            </w:r>
          </w:p>
        </w:tc>
        <w:tc>
          <w:tcPr>
            <w:tcW w:w="834" w:type="pct"/>
            <w:noWrap/>
            <w:hideMark/>
          </w:tcPr>
          <w:p w14:paraId="1961E625" w14:textId="77777777" w:rsidR="00307D80" w:rsidRPr="003B453B" w:rsidRDefault="00307D80" w:rsidP="003B453B">
            <w:pPr>
              <w:pStyle w:val="TableBody"/>
            </w:pPr>
            <w:r w:rsidRPr="003B453B">
              <w:t>25,857</w:t>
            </w:r>
          </w:p>
        </w:tc>
        <w:tc>
          <w:tcPr>
            <w:tcW w:w="833" w:type="pct"/>
            <w:noWrap/>
            <w:hideMark/>
          </w:tcPr>
          <w:p w14:paraId="5BC6DD66" w14:textId="77777777" w:rsidR="00307D80" w:rsidRPr="003B453B" w:rsidRDefault="00307D80" w:rsidP="003B453B">
            <w:pPr>
              <w:pStyle w:val="TableBody"/>
            </w:pPr>
            <w:r w:rsidRPr="003B453B">
              <w:t>3,916</w:t>
            </w:r>
          </w:p>
        </w:tc>
        <w:tc>
          <w:tcPr>
            <w:tcW w:w="834" w:type="pct"/>
            <w:noWrap/>
            <w:hideMark/>
          </w:tcPr>
          <w:p w14:paraId="77288897" w14:textId="77777777" w:rsidR="00307D80" w:rsidRPr="003B453B" w:rsidRDefault="00307D80" w:rsidP="003B453B">
            <w:pPr>
              <w:pStyle w:val="TableBody"/>
            </w:pPr>
            <w:r w:rsidRPr="003B453B">
              <w:t>6,913</w:t>
            </w:r>
          </w:p>
        </w:tc>
        <w:tc>
          <w:tcPr>
            <w:tcW w:w="834" w:type="pct"/>
            <w:noWrap/>
            <w:hideMark/>
          </w:tcPr>
          <w:p w14:paraId="690CF054" w14:textId="77777777" w:rsidR="00307D80" w:rsidRPr="003B453B" w:rsidRDefault="00307D80" w:rsidP="003B453B">
            <w:pPr>
              <w:pStyle w:val="TableBody"/>
            </w:pPr>
            <w:r w:rsidRPr="003B453B">
              <w:t>13,516</w:t>
            </w:r>
          </w:p>
        </w:tc>
      </w:tr>
      <w:tr w:rsidR="00307D80" w:rsidRPr="003B453B" w14:paraId="4A85C37A" w14:textId="77777777" w:rsidTr="00F430C3">
        <w:trPr>
          <w:trHeight w:val="288"/>
        </w:trPr>
        <w:tc>
          <w:tcPr>
            <w:tcW w:w="833" w:type="pct"/>
            <w:noWrap/>
            <w:hideMark/>
          </w:tcPr>
          <w:p w14:paraId="2BF46D61" w14:textId="77777777" w:rsidR="00307D80" w:rsidRPr="003B453B" w:rsidRDefault="00307D80" w:rsidP="003B453B">
            <w:pPr>
              <w:pStyle w:val="TableBody"/>
            </w:pPr>
            <w:r w:rsidRPr="003B453B">
              <w:t>2010-11</w:t>
            </w:r>
          </w:p>
        </w:tc>
        <w:tc>
          <w:tcPr>
            <w:tcW w:w="834" w:type="pct"/>
            <w:noWrap/>
            <w:hideMark/>
          </w:tcPr>
          <w:p w14:paraId="5B14F449" w14:textId="77777777" w:rsidR="00307D80" w:rsidRPr="003B453B" w:rsidRDefault="00307D80" w:rsidP="003B453B">
            <w:pPr>
              <w:pStyle w:val="TableBody"/>
            </w:pPr>
            <w:r w:rsidRPr="003B453B">
              <w:t>22,758</w:t>
            </w:r>
          </w:p>
        </w:tc>
        <w:tc>
          <w:tcPr>
            <w:tcW w:w="834" w:type="pct"/>
            <w:noWrap/>
            <w:hideMark/>
          </w:tcPr>
          <w:p w14:paraId="4DEC6A63" w14:textId="77777777" w:rsidR="00307D80" w:rsidRPr="003B453B" w:rsidRDefault="00307D80" w:rsidP="003B453B">
            <w:pPr>
              <w:pStyle w:val="TableBody"/>
            </w:pPr>
            <w:r w:rsidRPr="003B453B">
              <w:t>23,197</w:t>
            </w:r>
          </w:p>
        </w:tc>
        <w:tc>
          <w:tcPr>
            <w:tcW w:w="833" w:type="pct"/>
            <w:noWrap/>
            <w:hideMark/>
          </w:tcPr>
          <w:p w14:paraId="01BA37F4" w14:textId="77777777" w:rsidR="00307D80" w:rsidRPr="003B453B" w:rsidRDefault="00307D80" w:rsidP="003B453B">
            <w:pPr>
              <w:pStyle w:val="TableBody"/>
            </w:pPr>
            <w:r w:rsidRPr="003B453B">
              <w:t>3,784</w:t>
            </w:r>
          </w:p>
        </w:tc>
        <w:tc>
          <w:tcPr>
            <w:tcW w:w="834" w:type="pct"/>
            <w:noWrap/>
            <w:hideMark/>
          </w:tcPr>
          <w:p w14:paraId="600132E7" w14:textId="77777777" w:rsidR="00307D80" w:rsidRPr="003B453B" w:rsidRDefault="00307D80" w:rsidP="003B453B">
            <w:pPr>
              <w:pStyle w:val="TableBody"/>
            </w:pPr>
            <w:r w:rsidRPr="003B453B">
              <w:t>6,665</w:t>
            </w:r>
          </w:p>
        </w:tc>
        <w:tc>
          <w:tcPr>
            <w:tcW w:w="834" w:type="pct"/>
            <w:noWrap/>
            <w:hideMark/>
          </w:tcPr>
          <w:p w14:paraId="290AA8A8" w14:textId="77777777" w:rsidR="00307D80" w:rsidRPr="003B453B" w:rsidRDefault="00307D80" w:rsidP="003B453B">
            <w:pPr>
              <w:pStyle w:val="TableBody"/>
            </w:pPr>
            <w:r w:rsidRPr="003B453B">
              <w:t>15,121</w:t>
            </w:r>
          </w:p>
        </w:tc>
      </w:tr>
      <w:tr w:rsidR="00307D80" w:rsidRPr="003B453B" w14:paraId="07C7A936" w14:textId="77777777" w:rsidTr="00F430C3">
        <w:trPr>
          <w:trHeight w:val="288"/>
        </w:trPr>
        <w:tc>
          <w:tcPr>
            <w:tcW w:w="833" w:type="pct"/>
            <w:noWrap/>
            <w:hideMark/>
          </w:tcPr>
          <w:p w14:paraId="08A90048" w14:textId="77777777" w:rsidR="00307D80" w:rsidRPr="003B453B" w:rsidRDefault="00307D80" w:rsidP="003B453B">
            <w:pPr>
              <w:pStyle w:val="TableBody"/>
            </w:pPr>
            <w:r w:rsidRPr="003B453B">
              <w:t>2011-12</w:t>
            </w:r>
          </w:p>
        </w:tc>
        <w:tc>
          <w:tcPr>
            <w:tcW w:w="834" w:type="pct"/>
            <w:noWrap/>
            <w:hideMark/>
          </w:tcPr>
          <w:p w14:paraId="567C7F48" w14:textId="77777777" w:rsidR="00307D80" w:rsidRPr="003B453B" w:rsidRDefault="00307D80" w:rsidP="003B453B">
            <w:pPr>
              <w:pStyle w:val="TableBody"/>
            </w:pPr>
            <w:r w:rsidRPr="003B453B">
              <w:t>25,108</w:t>
            </w:r>
          </w:p>
        </w:tc>
        <w:tc>
          <w:tcPr>
            <w:tcW w:w="834" w:type="pct"/>
            <w:noWrap/>
            <w:hideMark/>
          </w:tcPr>
          <w:p w14:paraId="012BBEAF" w14:textId="77777777" w:rsidR="00307D80" w:rsidRPr="003B453B" w:rsidRDefault="00307D80" w:rsidP="003B453B">
            <w:pPr>
              <w:pStyle w:val="TableBody"/>
            </w:pPr>
            <w:r w:rsidRPr="003B453B">
              <w:t>21,835</w:t>
            </w:r>
          </w:p>
        </w:tc>
        <w:tc>
          <w:tcPr>
            <w:tcW w:w="833" w:type="pct"/>
            <w:noWrap/>
            <w:hideMark/>
          </w:tcPr>
          <w:p w14:paraId="063EE4AB" w14:textId="77777777" w:rsidR="00307D80" w:rsidRPr="003B453B" w:rsidRDefault="00307D80" w:rsidP="003B453B">
            <w:pPr>
              <w:pStyle w:val="TableBody"/>
            </w:pPr>
            <w:r w:rsidRPr="003B453B">
              <w:t>4,546</w:t>
            </w:r>
          </w:p>
        </w:tc>
        <w:tc>
          <w:tcPr>
            <w:tcW w:w="834" w:type="pct"/>
            <w:noWrap/>
            <w:hideMark/>
          </w:tcPr>
          <w:p w14:paraId="35D7243A" w14:textId="77777777" w:rsidR="00307D80" w:rsidRPr="003B453B" w:rsidRDefault="00307D80" w:rsidP="003B453B">
            <w:pPr>
              <w:pStyle w:val="TableBody"/>
            </w:pPr>
            <w:r w:rsidRPr="003B453B">
              <w:t>7,566</w:t>
            </w:r>
          </w:p>
        </w:tc>
        <w:tc>
          <w:tcPr>
            <w:tcW w:w="834" w:type="pct"/>
            <w:noWrap/>
            <w:hideMark/>
          </w:tcPr>
          <w:p w14:paraId="19959B93" w14:textId="77777777" w:rsidR="00307D80" w:rsidRPr="003B453B" w:rsidRDefault="00307D80" w:rsidP="003B453B">
            <w:pPr>
              <w:pStyle w:val="TableBody"/>
            </w:pPr>
            <w:r w:rsidRPr="003B453B">
              <w:t>13,945</w:t>
            </w:r>
          </w:p>
        </w:tc>
      </w:tr>
      <w:tr w:rsidR="00307D80" w:rsidRPr="003B453B" w14:paraId="0DDA97D3" w14:textId="77777777" w:rsidTr="00F430C3">
        <w:trPr>
          <w:trHeight w:val="288"/>
        </w:trPr>
        <w:tc>
          <w:tcPr>
            <w:tcW w:w="833" w:type="pct"/>
            <w:noWrap/>
            <w:hideMark/>
          </w:tcPr>
          <w:p w14:paraId="11B3259B" w14:textId="77777777" w:rsidR="00307D80" w:rsidRPr="003B453B" w:rsidRDefault="00307D80" w:rsidP="003B453B">
            <w:pPr>
              <w:pStyle w:val="TableBody"/>
            </w:pPr>
            <w:r w:rsidRPr="003B453B">
              <w:t>2012-13</w:t>
            </w:r>
          </w:p>
        </w:tc>
        <w:tc>
          <w:tcPr>
            <w:tcW w:w="834" w:type="pct"/>
            <w:noWrap/>
            <w:hideMark/>
          </w:tcPr>
          <w:p w14:paraId="20B66C80" w14:textId="77777777" w:rsidR="00307D80" w:rsidRPr="003B453B" w:rsidRDefault="00307D80" w:rsidP="003B453B">
            <w:pPr>
              <w:pStyle w:val="TableBody"/>
            </w:pPr>
            <w:r w:rsidRPr="003B453B">
              <w:t>28,691</w:t>
            </w:r>
          </w:p>
        </w:tc>
        <w:tc>
          <w:tcPr>
            <w:tcW w:w="834" w:type="pct"/>
            <w:noWrap/>
            <w:hideMark/>
          </w:tcPr>
          <w:p w14:paraId="116D1F07" w14:textId="77777777" w:rsidR="00307D80" w:rsidRPr="003B453B" w:rsidRDefault="00307D80" w:rsidP="003B453B">
            <w:pPr>
              <w:pStyle w:val="TableBody"/>
            </w:pPr>
            <w:r w:rsidRPr="003B453B">
              <w:t>22,064</w:t>
            </w:r>
          </w:p>
        </w:tc>
        <w:tc>
          <w:tcPr>
            <w:tcW w:w="833" w:type="pct"/>
            <w:noWrap/>
            <w:hideMark/>
          </w:tcPr>
          <w:p w14:paraId="224C0FAF" w14:textId="77777777" w:rsidR="00307D80" w:rsidRPr="003B453B" w:rsidRDefault="00307D80" w:rsidP="003B453B">
            <w:pPr>
              <w:pStyle w:val="TableBody"/>
            </w:pPr>
            <w:r w:rsidRPr="003B453B">
              <w:t>4,776</w:t>
            </w:r>
          </w:p>
        </w:tc>
        <w:tc>
          <w:tcPr>
            <w:tcW w:w="834" w:type="pct"/>
            <w:noWrap/>
            <w:hideMark/>
          </w:tcPr>
          <w:p w14:paraId="5B0272A1" w14:textId="77777777" w:rsidR="00307D80" w:rsidRPr="003B453B" w:rsidRDefault="00307D80" w:rsidP="003B453B">
            <w:pPr>
              <w:pStyle w:val="TableBody"/>
            </w:pPr>
            <w:r w:rsidRPr="003B453B">
              <w:t>8,246</w:t>
            </w:r>
          </w:p>
        </w:tc>
        <w:tc>
          <w:tcPr>
            <w:tcW w:w="834" w:type="pct"/>
            <w:noWrap/>
            <w:hideMark/>
          </w:tcPr>
          <w:p w14:paraId="07F48453" w14:textId="77777777" w:rsidR="00307D80" w:rsidRPr="003B453B" w:rsidRDefault="00307D80" w:rsidP="003B453B">
            <w:pPr>
              <w:pStyle w:val="TableBody"/>
            </w:pPr>
            <w:r w:rsidRPr="003B453B">
              <w:t>14,192</w:t>
            </w:r>
          </w:p>
        </w:tc>
      </w:tr>
      <w:tr w:rsidR="00307D80" w:rsidRPr="003B453B" w14:paraId="5AC8138A" w14:textId="77777777" w:rsidTr="00F430C3">
        <w:trPr>
          <w:trHeight w:val="288"/>
        </w:trPr>
        <w:tc>
          <w:tcPr>
            <w:tcW w:w="833" w:type="pct"/>
            <w:noWrap/>
            <w:hideMark/>
          </w:tcPr>
          <w:p w14:paraId="15FF3DEA" w14:textId="77777777" w:rsidR="00307D80" w:rsidRPr="003B453B" w:rsidRDefault="00307D80" w:rsidP="003B453B">
            <w:pPr>
              <w:pStyle w:val="TableBody"/>
            </w:pPr>
            <w:r w:rsidRPr="003B453B">
              <w:t>2013-14</w:t>
            </w:r>
          </w:p>
        </w:tc>
        <w:tc>
          <w:tcPr>
            <w:tcW w:w="834" w:type="pct"/>
            <w:noWrap/>
            <w:hideMark/>
          </w:tcPr>
          <w:p w14:paraId="7BF6FFB0" w14:textId="77777777" w:rsidR="00307D80" w:rsidRPr="003B453B" w:rsidRDefault="00307D80" w:rsidP="003B453B">
            <w:pPr>
              <w:pStyle w:val="TableBody"/>
            </w:pPr>
            <w:r w:rsidRPr="003B453B">
              <w:t>30,708</w:t>
            </w:r>
          </w:p>
        </w:tc>
        <w:tc>
          <w:tcPr>
            <w:tcW w:w="834" w:type="pct"/>
            <w:noWrap/>
            <w:hideMark/>
          </w:tcPr>
          <w:p w14:paraId="4DBC004B" w14:textId="77777777" w:rsidR="00307D80" w:rsidRPr="003B453B" w:rsidRDefault="00307D80" w:rsidP="003B453B">
            <w:pPr>
              <w:pStyle w:val="TableBody"/>
            </w:pPr>
            <w:r w:rsidRPr="003B453B">
              <w:t>21,122</w:t>
            </w:r>
          </w:p>
        </w:tc>
        <w:tc>
          <w:tcPr>
            <w:tcW w:w="833" w:type="pct"/>
            <w:noWrap/>
            <w:hideMark/>
          </w:tcPr>
          <w:p w14:paraId="406412BD" w14:textId="77777777" w:rsidR="00307D80" w:rsidRPr="003B453B" w:rsidRDefault="00307D80" w:rsidP="003B453B">
            <w:pPr>
              <w:pStyle w:val="TableBody"/>
            </w:pPr>
            <w:r w:rsidRPr="003B453B">
              <w:t>5,130</w:t>
            </w:r>
          </w:p>
        </w:tc>
        <w:tc>
          <w:tcPr>
            <w:tcW w:w="834" w:type="pct"/>
            <w:noWrap/>
            <w:hideMark/>
          </w:tcPr>
          <w:p w14:paraId="5A2FC02A" w14:textId="77777777" w:rsidR="00307D80" w:rsidRPr="003B453B" w:rsidRDefault="00307D80" w:rsidP="003B453B">
            <w:pPr>
              <w:pStyle w:val="TableBody"/>
            </w:pPr>
            <w:r w:rsidRPr="003B453B">
              <w:t>8,525</w:t>
            </w:r>
          </w:p>
        </w:tc>
        <w:tc>
          <w:tcPr>
            <w:tcW w:w="834" w:type="pct"/>
            <w:noWrap/>
            <w:hideMark/>
          </w:tcPr>
          <w:p w14:paraId="74EBED7C" w14:textId="77777777" w:rsidR="00307D80" w:rsidRPr="003B453B" w:rsidRDefault="00307D80" w:rsidP="003B453B">
            <w:pPr>
              <w:pStyle w:val="TableBody"/>
            </w:pPr>
            <w:r w:rsidRPr="003B453B">
              <w:t>12,857</w:t>
            </w:r>
          </w:p>
        </w:tc>
      </w:tr>
      <w:tr w:rsidR="00307D80" w:rsidRPr="003B453B" w14:paraId="3F864877" w14:textId="77777777" w:rsidTr="00F430C3">
        <w:trPr>
          <w:trHeight w:val="288"/>
        </w:trPr>
        <w:tc>
          <w:tcPr>
            <w:tcW w:w="833" w:type="pct"/>
            <w:noWrap/>
            <w:hideMark/>
          </w:tcPr>
          <w:p w14:paraId="48A2745E" w14:textId="77777777" w:rsidR="00307D80" w:rsidRPr="003B453B" w:rsidRDefault="00307D80" w:rsidP="003B453B">
            <w:pPr>
              <w:pStyle w:val="TableBody"/>
            </w:pPr>
            <w:r w:rsidRPr="003B453B">
              <w:t>2014-15</w:t>
            </w:r>
          </w:p>
        </w:tc>
        <w:tc>
          <w:tcPr>
            <w:tcW w:w="834" w:type="pct"/>
            <w:noWrap/>
            <w:hideMark/>
          </w:tcPr>
          <w:p w14:paraId="1B570ED2" w14:textId="77777777" w:rsidR="00307D80" w:rsidRPr="003B453B" w:rsidRDefault="00307D80" w:rsidP="003B453B">
            <w:pPr>
              <w:pStyle w:val="TableBody"/>
            </w:pPr>
            <w:r w:rsidRPr="003B453B">
              <w:t>30,743</w:t>
            </w:r>
          </w:p>
        </w:tc>
        <w:tc>
          <w:tcPr>
            <w:tcW w:w="834" w:type="pct"/>
            <w:noWrap/>
            <w:hideMark/>
          </w:tcPr>
          <w:p w14:paraId="75E04B81" w14:textId="77777777" w:rsidR="00307D80" w:rsidRPr="003B453B" w:rsidRDefault="00307D80" w:rsidP="003B453B">
            <w:pPr>
              <w:pStyle w:val="TableBody"/>
            </w:pPr>
            <w:r w:rsidRPr="003B453B">
              <w:t>18,369</w:t>
            </w:r>
          </w:p>
        </w:tc>
        <w:tc>
          <w:tcPr>
            <w:tcW w:w="833" w:type="pct"/>
            <w:noWrap/>
            <w:hideMark/>
          </w:tcPr>
          <w:p w14:paraId="38BD7D10" w14:textId="77777777" w:rsidR="00307D80" w:rsidRPr="003B453B" w:rsidRDefault="00307D80" w:rsidP="003B453B">
            <w:pPr>
              <w:pStyle w:val="TableBody"/>
            </w:pPr>
            <w:r w:rsidRPr="003B453B">
              <w:t>6,088</w:t>
            </w:r>
          </w:p>
        </w:tc>
        <w:tc>
          <w:tcPr>
            <w:tcW w:w="834" w:type="pct"/>
            <w:noWrap/>
            <w:hideMark/>
          </w:tcPr>
          <w:p w14:paraId="5873A98D" w14:textId="77777777" w:rsidR="00307D80" w:rsidRPr="003B453B" w:rsidRDefault="00307D80" w:rsidP="003B453B">
            <w:pPr>
              <w:pStyle w:val="TableBody"/>
            </w:pPr>
            <w:r w:rsidRPr="003B453B">
              <w:t>9,536</w:t>
            </w:r>
          </w:p>
        </w:tc>
        <w:tc>
          <w:tcPr>
            <w:tcW w:w="834" w:type="pct"/>
            <w:noWrap/>
            <w:hideMark/>
          </w:tcPr>
          <w:p w14:paraId="683C5EC9" w14:textId="77777777" w:rsidR="00307D80" w:rsidRPr="003B453B" w:rsidRDefault="00307D80" w:rsidP="003B453B">
            <w:pPr>
              <w:pStyle w:val="TableBody"/>
            </w:pPr>
            <w:r w:rsidRPr="003B453B">
              <w:t>12,243</w:t>
            </w:r>
          </w:p>
        </w:tc>
      </w:tr>
      <w:tr w:rsidR="00307D80" w:rsidRPr="003B453B" w14:paraId="2E8E14BB" w14:textId="77777777" w:rsidTr="00F430C3">
        <w:trPr>
          <w:trHeight w:val="288"/>
        </w:trPr>
        <w:tc>
          <w:tcPr>
            <w:tcW w:w="833" w:type="pct"/>
            <w:noWrap/>
            <w:hideMark/>
          </w:tcPr>
          <w:p w14:paraId="1D96DE7D" w14:textId="77777777" w:rsidR="00307D80" w:rsidRPr="003B453B" w:rsidRDefault="00307D80" w:rsidP="003B453B">
            <w:pPr>
              <w:pStyle w:val="TableBody"/>
            </w:pPr>
            <w:r w:rsidRPr="003B453B">
              <w:t>2015-16</w:t>
            </w:r>
          </w:p>
        </w:tc>
        <w:tc>
          <w:tcPr>
            <w:tcW w:w="834" w:type="pct"/>
            <w:noWrap/>
            <w:hideMark/>
          </w:tcPr>
          <w:p w14:paraId="3FE23268" w14:textId="77777777" w:rsidR="00307D80" w:rsidRPr="003B453B" w:rsidRDefault="00307D80" w:rsidP="003B453B">
            <w:pPr>
              <w:pStyle w:val="TableBody"/>
            </w:pPr>
            <w:r w:rsidRPr="003B453B">
              <w:t>32,274</w:t>
            </w:r>
          </w:p>
        </w:tc>
        <w:tc>
          <w:tcPr>
            <w:tcW w:w="834" w:type="pct"/>
            <w:noWrap/>
            <w:hideMark/>
          </w:tcPr>
          <w:p w14:paraId="63B4A72E" w14:textId="77777777" w:rsidR="00307D80" w:rsidRPr="003B453B" w:rsidRDefault="00307D80" w:rsidP="003B453B">
            <w:pPr>
              <w:pStyle w:val="TableBody"/>
            </w:pPr>
            <w:r w:rsidRPr="003B453B">
              <w:t>18,999</w:t>
            </w:r>
          </w:p>
        </w:tc>
        <w:tc>
          <w:tcPr>
            <w:tcW w:w="833" w:type="pct"/>
            <w:noWrap/>
            <w:hideMark/>
          </w:tcPr>
          <w:p w14:paraId="247E8307" w14:textId="77777777" w:rsidR="00307D80" w:rsidRPr="003B453B" w:rsidRDefault="00307D80" w:rsidP="003B453B">
            <w:pPr>
              <w:pStyle w:val="TableBody"/>
            </w:pPr>
            <w:r w:rsidRPr="003B453B">
              <w:t>6,451</w:t>
            </w:r>
          </w:p>
        </w:tc>
        <w:tc>
          <w:tcPr>
            <w:tcW w:w="834" w:type="pct"/>
            <w:noWrap/>
            <w:hideMark/>
          </w:tcPr>
          <w:p w14:paraId="24756BED" w14:textId="77777777" w:rsidR="00307D80" w:rsidRPr="003B453B" w:rsidRDefault="00307D80" w:rsidP="003B453B">
            <w:pPr>
              <w:pStyle w:val="TableBody"/>
            </w:pPr>
            <w:r w:rsidRPr="003B453B">
              <w:t>8,905</w:t>
            </w:r>
          </w:p>
        </w:tc>
        <w:tc>
          <w:tcPr>
            <w:tcW w:w="834" w:type="pct"/>
            <w:noWrap/>
            <w:hideMark/>
          </w:tcPr>
          <w:p w14:paraId="47BA2868" w14:textId="77777777" w:rsidR="00307D80" w:rsidRPr="003B453B" w:rsidRDefault="00307D80" w:rsidP="003B453B">
            <w:pPr>
              <w:pStyle w:val="TableBody"/>
            </w:pPr>
            <w:r w:rsidRPr="003B453B">
              <w:t>10,679</w:t>
            </w:r>
          </w:p>
        </w:tc>
      </w:tr>
      <w:tr w:rsidR="00307D80" w:rsidRPr="003B453B" w14:paraId="40B99630" w14:textId="77777777" w:rsidTr="00F430C3">
        <w:trPr>
          <w:trHeight w:val="288"/>
        </w:trPr>
        <w:tc>
          <w:tcPr>
            <w:tcW w:w="833" w:type="pct"/>
            <w:noWrap/>
            <w:hideMark/>
          </w:tcPr>
          <w:p w14:paraId="1BBE1B88" w14:textId="77777777" w:rsidR="00307D80" w:rsidRPr="003B453B" w:rsidRDefault="00307D80" w:rsidP="003B453B">
            <w:pPr>
              <w:pStyle w:val="TableBody"/>
            </w:pPr>
            <w:r w:rsidRPr="003B453B">
              <w:t>2016-17</w:t>
            </w:r>
          </w:p>
        </w:tc>
        <w:tc>
          <w:tcPr>
            <w:tcW w:w="834" w:type="pct"/>
            <w:noWrap/>
            <w:hideMark/>
          </w:tcPr>
          <w:p w14:paraId="673302D3" w14:textId="77777777" w:rsidR="00307D80" w:rsidRPr="003B453B" w:rsidRDefault="00307D80" w:rsidP="003B453B">
            <w:pPr>
              <w:pStyle w:val="TableBody"/>
            </w:pPr>
            <w:r w:rsidRPr="003B453B">
              <w:t>32,998</w:t>
            </w:r>
          </w:p>
        </w:tc>
        <w:tc>
          <w:tcPr>
            <w:tcW w:w="834" w:type="pct"/>
            <w:noWrap/>
            <w:hideMark/>
          </w:tcPr>
          <w:p w14:paraId="2B00515D" w14:textId="77777777" w:rsidR="00307D80" w:rsidRPr="003B453B" w:rsidRDefault="00307D80" w:rsidP="003B453B">
            <w:pPr>
              <w:pStyle w:val="TableBody"/>
            </w:pPr>
            <w:r w:rsidRPr="003B453B">
              <w:t>19,249</w:t>
            </w:r>
          </w:p>
        </w:tc>
        <w:tc>
          <w:tcPr>
            <w:tcW w:w="833" w:type="pct"/>
            <w:noWrap/>
            <w:hideMark/>
          </w:tcPr>
          <w:p w14:paraId="463E282A" w14:textId="77777777" w:rsidR="00307D80" w:rsidRPr="003B453B" w:rsidRDefault="00307D80" w:rsidP="003B453B">
            <w:pPr>
              <w:pStyle w:val="TableBody"/>
            </w:pPr>
            <w:r w:rsidRPr="003B453B">
              <w:t>7,031</w:t>
            </w:r>
          </w:p>
        </w:tc>
        <w:tc>
          <w:tcPr>
            <w:tcW w:w="834" w:type="pct"/>
            <w:noWrap/>
            <w:hideMark/>
          </w:tcPr>
          <w:p w14:paraId="5997A2C1" w14:textId="77777777" w:rsidR="00307D80" w:rsidRPr="003B453B" w:rsidRDefault="00307D80" w:rsidP="003B453B">
            <w:pPr>
              <w:pStyle w:val="TableBody"/>
            </w:pPr>
            <w:r w:rsidRPr="003B453B">
              <w:t>8,682</w:t>
            </w:r>
          </w:p>
        </w:tc>
        <w:tc>
          <w:tcPr>
            <w:tcW w:w="834" w:type="pct"/>
            <w:noWrap/>
            <w:hideMark/>
          </w:tcPr>
          <w:p w14:paraId="294BBB9A" w14:textId="77777777" w:rsidR="00307D80" w:rsidRPr="003B453B" w:rsidRDefault="00307D80" w:rsidP="003B453B">
            <w:pPr>
              <w:pStyle w:val="TableBody"/>
            </w:pPr>
            <w:r w:rsidRPr="003B453B">
              <w:t>10,366</w:t>
            </w:r>
          </w:p>
        </w:tc>
      </w:tr>
      <w:tr w:rsidR="00307D80" w:rsidRPr="003B453B" w14:paraId="5B2B02FC" w14:textId="77777777" w:rsidTr="00F430C3">
        <w:trPr>
          <w:trHeight w:val="288"/>
        </w:trPr>
        <w:tc>
          <w:tcPr>
            <w:tcW w:w="833" w:type="pct"/>
            <w:noWrap/>
            <w:hideMark/>
          </w:tcPr>
          <w:p w14:paraId="2AC38010" w14:textId="77777777" w:rsidR="00307D80" w:rsidRPr="003B453B" w:rsidRDefault="00307D80" w:rsidP="003B453B">
            <w:pPr>
              <w:pStyle w:val="TableBody"/>
            </w:pPr>
            <w:r w:rsidRPr="003B453B">
              <w:t>2017-18</w:t>
            </w:r>
          </w:p>
        </w:tc>
        <w:tc>
          <w:tcPr>
            <w:tcW w:w="834" w:type="pct"/>
            <w:noWrap/>
            <w:hideMark/>
          </w:tcPr>
          <w:p w14:paraId="2914AA60" w14:textId="77777777" w:rsidR="00307D80" w:rsidRPr="003B453B" w:rsidRDefault="00307D80" w:rsidP="003B453B">
            <w:pPr>
              <w:pStyle w:val="TableBody"/>
            </w:pPr>
            <w:r w:rsidRPr="003B453B">
              <w:t>33,291</w:t>
            </w:r>
          </w:p>
        </w:tc>
        <w:tc>
          <w:tcPr>
            <w:tcW w:w="834" w:type="pct"/>
            <w:noWrap/>
            <w:hideMark/>
          </w:tcPr>
          <w:p w14:paraId="18D8E012" w14:textId="77777777" w:rsidR="00307D80" w:rsidRPr="003B453B" w:rsidRDefault="00307D80" w:rsidP="003B453B">
            <w:pPr>
              <w:pStyle w:val="TableBody"/>
            </w:pPr>
            <w:r w:rsidRPr="003B453B">
              <w:t>19,172</w:t>
            </w:r>
          </w:p>
        </w:tc>
        <w:tc>
          <w:tcPr>
            <w:tcW w:w="833" w:type="pct"/>
            <w:noWrap/>
            <w:hideMark/>
          </w:tcPr>
          <w:p w14:paraId="5318D90C" w14:textId="77777777" w:rsidR="00307D80" w:rsidRPr="003B453B" w:rsidRDefault="00307D80" w:rsidP="003B453B">
            <w:pPr>
              <w:pStyle w:val="TableBody"/>
            </w:pPr>
            <w:r w:rsidRPr="003B453B">
              <w:t>7,454</w:t>
            </w:r>
          </w:p>
        </w:tc>
        <w:tc>
          <w:tcPr>
            <w:tcW w:w="834" w:type="pct"/>
            <w:noWrap/>
            <w:hideMark/>
          </w:tcPr>
          <w:p w14:paraId="7B4B7846" w14:textId="77777777" w:rsidR="00307D80" w:rsidRPr="003B453B" w:rsidRDefault="00307D80" w:rsidP="003B453B">
            <w:pPr>
              <w:pStyle w:val="TableBody"/>
            </w:pPr>
            <w:r w:rsidRPr="003B453B">
              <w:t>8,527</w:t>
            </w:r>
          </w:p>
        </w:tc>
        <w:tc>
          <w:tcPr>
            <w:tcW w:w="834" w:type="pct"/>
            <w:noWrap/>
            <w:hideMark/>
          </w:tcPr>
          <w:p w14:paraId="19520A3F" w14:textId="77777777" w:rsidR="00307D80" w:rsidRPr="003B453B" w:rsidRDefault="00307D80" w:rsidP="003B453B">
            <w:pPr>
              <w:pStyle w:val="TableBody"/>
            </w:pPr>
            <w:r w:rsidRPr="003B453B">
              <w:t>9,900</w:t>
            </w:r>
          </w:p>
        </w:tc>
      </w:tr>
      <w:tr w:rsidR="00307D80" w:rsidRPr="003B453B" w14:paraId="1C400857" w14:textId="77777777" w:rsidTr="00F430C3">
        <w:trPr>
          <w:trHeight w:val="288"/>
        </w:trPr>
        <w:tc>
          <w:tcPr>
            <w:tcW w:w="833" w:type="pct"/>
            <w:noWrap/>
            <w:hideMark/>
          </w:tcPr>
          <w:p w14:paraId="1C1E55D1" w14:textId="77777777" w:rsidR="00307D80" w:rsidRPr="003B453B" w:rsidRDefault="00307D80" w:rsidP="003B453B">
            <w:pPr>
              <w:pStyle w:val="TableBody"/>
            </w:pPr>
            <w:r w:rsidRPr="003B453B">
              <w:t>2018-19</w:t>
            </w:r>
          </w:p>
        </w:tc>
        <w:tc>
          <w:tcPr>
            <w:tcW w:w="834" w:type="pct"/>
            <w:noWrap/>
            <w:hideMark/>
          </w:tcPr>
          <w:p w14:paraId="52CEE55A" w14:textId="77777777" w:rsidR="00307D80" w:rsidRPr="003B453B" w:rsidRDefault="00307D80" w:rsidP="003B453B">
            <w:pPr>
              <w:pStyle w:val="TableBody"/>
            </w:pPr>
            <w:r w:rsidRPr="003B453B">
              <w:t>34,210</w:t>
            </w:r>
          </w:p>
        </w:tc>
        <w:tc>
          <w:tcPr>
            <w:tcW w:w="834" w:type="pct"/>
            <w:noWrap/>
            <w:hideMark/>
          </w:tcPr>
          <w:p w14:paraId="664190E6" w14:textId="77777777" w:rsidR="00307D80" w:rsidRPr="003B453B" w:rsidRDefault="00307D80" w:rsidP="003B453B">
            <w:pPr>
              <w:pStyle w:val="TableBody"/>
            </w:pPr>
            <w:r w:rsidRPr="003B453B">
              <w:t>19,433</w:t>
            </w:r>
          </w:p>
        </w:tc>
        <w:tc>
          <w:tcPr>
            <w:tcW w:w="833" w:type="pct"/>
            <w:noWrap/>
            <w:hideMark/>
          </w:tcPr>
          <w:p w14:paraId="7C60B446" w14:textId="77777777" w:rsidR="00307D80" w:rsidRPr="003B453B" w:rsidRDefault="00307D80" w:rsidP="003B453B">
            <w:pPr>
              <w:pStyle w:val="TableBody"/>
            </w:pPr>
            <w:r w:rsidRPr="003B453B">
              <w:t>8,137</w:t>
            </w:r>
          </w:p>
        </w:tc>
        <w:tc>
          <w:tcPr>
            <w:tcW w:w="834" w:type="pct"/>
            <w:noWrap/>
            <w:hideMark/>
          </w:tcPr>
          <w:p w14:paraId="24F0D0C6" w14:textId="77777777" w:rsidR="00307D80" w:rsidRPr="003B453B" w:rsidRDefault="00307D80" w:rsidP="003B453B">
            <w:pPr>
              <w:pStyle w:val="TableBody"/>
            </w:pPr>
            <w:r w:rsidRPr="003B453B">
              <w:t>9,168</w:t>
            </w:r>
          </w:p>
        </w:tc>
        <w:tc>
          <w:tcPr>
            <w:tcW w:w="834" w:type="pct"/>
            <w:noWrap/>
            <w:hideMark/>
          </w:tcPr>
          <w:p w14:paraId="458612C6" w14:textId="77777777" w:rsidR="00307D80" w:rsidRPr="003B453B" w:rsidRDefault="00307D80" w:rsidP="003B453B">
            <w:pPr>
              <w:pStyle w:val="TableBody"/>
            </w:pPr>
            <w:r w:rsidRPr="003B453B">
              <w:t>9,698</w:t>
            </w:r>
          </w:p>
        </w:tc>
      </w:tr>
      <w:tr w:rsidR="00307D80" w:rsidRPr="003B453B" w14:paraId="78B15717" w14:textId="77777777" w:rsidTr="00F430C3">
        <w:trPr>
          <w:trHeight w:val="288"/>
        </w:trPr>
        <w:tc>
          <w:tcPr>
            <w:tcW w:w="833" w:type="pct"/>
            <w:noWrap/>
            <w:hideMark/>
          </w:tcPr>
          <w:p w14:paraId="5F8CB0C5" w14:textId="77777777" w:rsidR="00307D80" w:rsidRPr="003B453B" w:rsidRDefault="00307D80" w:rsidP="003B453B">
            <w:pPr>
              <w:pStyle w:val="TableBody"/>
            </w:pPr>
            <w:r w:rsidRPr="003B453B">
              <w:t>2019-20</w:t>
            </w:r>
          </w:p>
        </w:tc>
        <w:tc>
          <w:tcPr>
            <w:tcW w:w="834" w:type="pct"/>
            <w:noWrap/>
            <w:hideMark/>
          </w:tcPr>
          <w:p w14:paraId="33665421" w14:textId="77777777" w:rsidR="00307D80" w:rsidRPr="003B453B" w:rsidRDefault="00307D80" w:rsidP="003B453B">
            <w:pPr>
              <w:pStyle w:val="TableBody"/>
            </w:pPr>
            <w:r w:rsidRPr="003B453B">
              <w:t>35,100</w:t>
            </w:r>
          </w:p>
        </w:tc>
        <w:tc>
          <w:tcPr>
            <w:tcW w:w="834" w:type="pct"/>
            <w:noWrap/>
            <w:hideMark/>
          </w:tcPr>
          <w:p w14:paraId="77B6324D" w14:textId="77777777" w:rsidR="00307D80" w:rsidRPr="003B453B" w:rsidRDefault="00307D80" w:rsidP="003B453B">
            <w:pPr>
              <w:pStyle w:val="TableBody"/>
            </w:pPr>
            <w:r w:rsidRPr="003B453B">
              <w:t>18,971</w:t>
            </w:r>
          </w:p>
        </w:tc>
        <w:tc>
          <w:tcPr>
            <w:tcW w:w="833" w:type="pct"/>
            <w:noWrap/>
            <w:hideMark/>
          </w:tcPr>
          <w:p w14:paraId="23B4BCA5" w14:textId="77777777" w:rsidR="00307D80" w:rsidRPr="003B453B" w:rsidRDefault="00307D80" w:rsidP="003B453B">
            <w:pPr>
              <w:pStyle w:val="TableBody"/>
            </w:pPr>
            <w:r w:rsidRPr="003B453B">
              <w:t>8,436</w:t>
            </w:r>
          </w:p>
        </w:tc>
        <w:tc>
          <w:tcPr>
            <w:tcW w:w="834" w:type="pct"/>
            <w:noWrap/>
            <w:hideMark/>
          </w:tcPr>
          <w:p w14:paraId="67B5C567" w14:textId="77777777" w:rsidR="00307D80" w:rsidRPr="003B453B" w:rsidRDefault="00307D80" w:rsidP="003B453B">
            <w:pPr>
              <w:pStyle w:val="TableBody"/>
            </w:pPr>
            <w:r w:rsidRPr="003B453B">
              <w:t>9,540</w:t>
            </w:r>
          </w:p>
        </w:tc>
        <w:tc>
          <w:tcPr>
            <w:tcW w:w="834" w:type="pct"/>
            <w:noWrap/>
            <w:hideMark/>
          </w:tcPr>
          <w:p w14:paraId="4362FADA" w14:textId="77777777" w:rsidR="00307D80" w:rsidRPr="003B453B" w:rsidRDefault="00307D80" w:rsidP="003B453B">
            <w:pPr>
              <w:pStyle w:val="TableBody"/>
            </w:pPr>
            <w:r w:rsidRPr="003B453B">
              <w:t>7,589</w:t>
            </w:r>
          </w:p>
        </w:tc>
      </w:tr>
      <w:tr w:rsidR="00307D80" w:rsidRPr="003B453B" w14:paraId="517394A7" w14:textId="77777777" w:rsidTr="00F430C3">
        <w:trPr>
          <w:trHeight w:val="288"/>
        </w:trPr>
        <w:tc>
          <w:tcPr>
            <w:tcW w:w="833" w:type="pct"/>
            <w:noWrap/>
            <w:hideMark/>
          </w:tcPr>
          <w:p w14:paraId="46670218" w14:textId="77777777" w:rsidR="00307D80" w:rsidRPr="003B453B" w:rsidRDefault="00307D80" w:rsidP="003B453B">
            <w:pPr>
              <w:pStyle w:val="TableBody"/>
            </w:pPr>
            <w:r w:rsidRPr="003B453B">
              <w:t>2020-21</w:t>
            </w:r>
          </w:p>
        </w:tc>
        <w:tc>
          <w:tcPr>
            <w:tcW w:w="834" w:type="pct"/>
            <w:noWrap/>
            <w:hideMark/>
          </w:tcPr>
          <w:p w14:paraId="78C82C8E" w14:textId="77777777" w:rsidR="00307D80" w:rsidRPr="003B453B" w:rsidRDefault="00307D80" w:rsidP="003B453B">
            <w:pPr>
              <w:pStyle w:val="TableBody"/>
            </w:pPr>
            <w:r w:rsidRPr="003B453B">
              <w:t>35,146</w:t>
            </w:r>
          </w:p>
        </w:tc>
        <w:tc>
          <w:tcPr>
            <w:tcW w:w="834" w:type="pct"/>
            <w:noWrap/>
            <w:hideMark/>
          </w:tcPr>
          <w:p w14:paraId="32623B9F" w14:textId="77777777" w:rsidR="00307D80" w:rsidRPr="003B453B" w:rsidRDefault="00307D80" w:rsidP="003B453B">
            <w:pPr>
              <w:pStyle w:val="TableBody"/>
            </w:pPr>
            <w:r w:rsidRPr="003B453B">
              <w:t>16,190</w:t>
            </w:r>
          </w:p>
        </w:tc>
        <w:tc>
          <w:tcPr>
            <w:tcW w:w="833" w:type="pct"/>
            <w:noWrap/>
            <w:hideMark/>
          </w:tcPr>
          <w:p w14:paraId="7D961C4C" w14:textId="77777777" w:rsidR="00307D80" w:rsidRPr="003B453B" w:rsidRDefault="00307D80" w:rsidP="003B453B">
            <w:pPr>
              <w:pStyle w:val="TableBody"/>
            </w:pPr>
            <w:r w:rsidRPr="003B453B">
              <w:t>8,138</w:t>
            </w:r>
          </w:p>
        </w:tc>
        <w:tc>
          <w:tcPr>
            <w:tcW w:w="834" w:type="pct"/>
            <w:noWrap/>
            <w:hideMark/>
          </w:tcPr>
          <w:p w14:paraId="02C89223" w14:textId="77777777" w:rsidR="00307D80" w:rsidRPr="003B453B" w:rsidRDefault="00307D80" w:rsidP="003B453B">
            <w:pPr>
              <w:pStyle w:val="TableBody"/>
            </w:pPr>
            <w:r w:rsidRPr="003B453B">
              <w:t>8,696</w:t>
            </w:r>
          </w:p>
        </w:tc>
        <w:tc>
          <w:tcPr>
            <w:tcW w:w="834" w:type="pct"/>
            <w:noWrap/>
            <w:hideMark/>
          </w:tcPr>
          <w:p w14:paraId="639B0C60" w14:textId="77777777" w:rsidR="00307D80" w:rsidRPr="003B453B" w:rsidRDefault="00307D80" w:rsidP="003B453B">
            <w:pPr>
              <w:pStyle w:val="TableBody"/>
            </w:pPr>
            <w:r w:rsidRPr="003B453B">
              <w:t>6,107</w:t>
            </w:r>
          </w:p>
        </w:tc>
      </w:tr>
      <w:tr w:rsidR="00307D80" w:rsidRPr="003B453B" w14:paraId="111E6653" w14:textId="77777777" w:rsidTr="00F430C3">
        <w:trPr>
          <w:trHeight w:val="288"/>
        </w:trPr>
        <w:tc>
          <w:tcPr>
            <w:tcW w:w="833" w:type="pct"/>
            <w:noWrap/>
            <w:hideMark/>
          </w:tcPr>
          <w:p w14:paraId="5A1A9DD6" w14:textId="77777777" w:rsidR="00307D80" w:rsidRPr="003B453B" w:rsidRDefault="00307D80" w:rsidP="003B453B">
            <w:pPr>
              <w:pStyle w:val="TableBody"/>
            </w:pPr>
            <w:r w:rsidRPr="003B453B">
              <w:t>2021-22</w:t>
            </w:r>
          </w:p>
        </w:tc>
        <w:tc>
          <w:tcPr>
            <w:tcW w:w="834" w:type="pct"/>
            <w:noWrap/>
            <w:hideMark/>
          </w:tcPr>
          <w:p w14:paraId="4A260C68" w14:textId="77777777" w:rsidR="00307D80" w:rsidRPr="003B453B" w:rsidRDefault="00307D80" w:rsidP="003B453B">
            <w:pPr>
              <w:pStyle w:val="TableBody"/>
            </w:pPr>
            <w:r w:rsidRPr="003B453B">
              <w:t>34,523</w:t>
            </w:r>
          </w:p>
        </w:tc>
        <w:tc>
          <w:tcPr>
            <w:tcW w:w="834" w:type="pct"/>
            <w:noWrap/>
            <w:hideMark/>
          </w:tcPr>
          <w:p w14:paraId="30B6E0AD" w14:textId="77777777" w:rsidR="00307D80" w:rsidRPr="003B453B" w:rsidRDefault="00307D80" w:rsidP="003B453B">
            <w:pPr>
              <w:pStyle w:val="TableBody"/>
            </w:pPr>
            <w:r w:rsidRPr="003B453B">
              <w:t>15,585</w:t>
            </w:r>
          </w:p>
        </w:tc>
        <w:tc>
          <w:tcPr>
            <w:tcW w:w="833" w:type="pct"/>
            <w:noWrap/>
            <w:hideMark/>
          </w:tcPr>
          <w:p w14:paraId="72D62017" w14:textId="77777777" w:rsidR="00307D80" w:rsidRPr="003B453B" w:rsidRDefault="00307D80" w:rsidP="003B453B">
            <w:pPr>
              <w:pStyle w:val="TableBody"/>
            </w:pPr>
            <w:r w:rsidRPr="003B453B">
              <w:t>8,917</w:t>
            </w:r>
          </w:p>
        </w:tc>
        <w:tc>
          <w:tcPr>
            <w:tcW w:w="834" w:type="pct"/>
            <w:noWrap/>
            <w:hideMark/>
          </w:tcPr>
          <w:p w14:paraId="1B9A0AFE" w14:textId="77777777" w:rsidR="00307D80" w:rsidRPr="003B453B" w:rsidRDefault="00307D80" w:rsidP="003B453B">
            <w:pPr>
              <w:pStyle w:val="TableBody"/>
            </w:pPr>
            <w:r w:rsidRPr="003B453B">
              <w:t>7,676</w:t>
            </w:r>
          </w:p>
        </w:tc>
        <w:tc>
          <w:tcPr>
            <w:tcW w:w="834" w:type="pct"/>
            <w:noWrap/>
            <w:hideMark/>
          </w:tcPr>
          <w:p w14:paraId="7FA476D4" w14:textId="77777777" w:rsidR="00307D80" w:rsidRPr="003B453B" w:rsidRDefault="00307D80" w:rsidP="003B453B">
            <w:pPr>
              <w:pStyle w:val="TableBody"/>
            </w:pPr>
            <w:r w:rsidRPr="003B453B">
              <w:t>5,979</w:t>
            </w:r>
          </w:p>
        </w:tc>
      </w:tr>
      <w:tr w:rsidR="00307D80" w:rsidRPr="003B453B" w14:paraId="26033C23" w14:textId="77777777" w:rsidTr="00F430C3">
        <w:trPr>
          <w:trHeight w:val="288"/>
        </w:trPr>
        <w:tc>
          <w:tcPr>
            <w:tcW w:w="833" w:type="pct"/>
            <w:noWrap/>
            <w:hideMark/>
          </w:tcPr>
          <w:p w14:paraId="5648445C" w14:textId="77777777" w:rsidR="00307D80" w:rsidRPr="003B453B" w:rsidRDefault="00307D80" w:rsidP="003B453B">
            <w:pPr>
              <w:pStyle w:val="TableBody"/>
            </w:pPr>
            <w:r w:rsidRPr="003B453B">
              <w:t>2022-23</w:t>
            </w:r>
          </w:p>
        </w:tc>
        <w:tc>
          <w:tcPr>
            <w:tcW w:w="834" w:type="pct"/>
            <w:noWrap/>
            <w:hideMark/>
          </w:tcPr>
          <w:p w14:paraId="2D735ED5" w14:textId="77777777" w:rsidR="00307D80" w:rsidRPr="003B453B" w:rsidRDefault="00307D80" w:rsidP="003B453B">
            <w:pPr>
              <w:pStyle w:val="TableBody"/>
            </w:pPr>
            <w:r w:rsidRPr="003B453B">
              <w:t>36,011</w:t>
            </w:r>
          </w:p>
        </w:tc>
        <w:tc>
          <w:tcPr>
            <w:tcW w:w="834" w:type="pct"/>
            <w:noWrap/>
            <w:hideMark/>
          </w:tcPr>
          <w:p w14:paraId="3E09C9F3" w14:textId="77777777" w:rsidR="00307D80" w:rsidRPr="003B453B" w:rsidRDefault="00307D80" w:rsidP="003B453B">
            <w:pPr>
              <w:pStyle w:val="TableBody"/>
            </w:pPr>
            <w:r w:rsidRPr="003B453B">
              <w:t>16,858</w:t>
            </w:r>
          </w:p>
        </w:tc>
        <w:tc>
          <w:tcPr>
            <w:tcW w:w="833" w:type="pct"/>
            <w:noWrap/>
            <w:hideMark/>
          </w:tcPr>
          <w:p w14:paraId="18954E70" w14:textId="77777777" w:rsidR="00307D80" w:rsidRPr="003B453B" w:rsidRDefault="00307D80" w:rsidP="003B453B">
            <w:pPr>
              <w:pStyle w:val="TableBody"/>
            </w:pPr>
            <w:r w:rsidRPr="003B453B">
              <w:t>9,650</w:t>
            </w:r>
          </w:p>
        </w:tc>
        <w:tc>
          <w:tcPr>
            <w:tcW w:w="834" w:type="pct"/>
            <w:noWrap/>
            <w:hideMark/>
          </w:tcPr>
          <w:p w14:paraId="32EEEC64" w14:textId="77777777" w:rsidR="00307D80" w:rsidRPr="003B453B" w:rsidRDefault="00307D80" w:rsidP="003B453B">
            <w:pPr>
              <w:pStyle w:val="TableBody"/>
            </w:pPr>
            <w:r w:rsidRPr="003B453B">
              <w:t>7,595</w:t>
            </w:r>
          </w:p>
        </w:tc>
        <w:tc>
          <w:tcPr>
            <w:tcW w:w="834" w:type="pct"/>
            <w:noWrap/>
            <w:hideMark/>
          </w:tcPr>
          <w:p w14:paraId="12EF79AB" w14:textId="77777777" w:rsidR="00307D80" w:rsidRPr="003B453B" w:rsidRDefault="00307D80" w:rsidP="003B453B">
            <w:pPr>
              <w:pStyle w:val="TableBody"/>
            </w:pPr>
            <w:r w:rsidRPr="003B453B">
              <w:t>6,262</w:t>
            </w:r>
          </w:p>
        </w:tc>
      </w:tr>
      <w:tr w:rsidR="00307D80" w:rsidRPr="003B453B" w14:paraId="7AC1A3FD" w14:textId="77777777" w:rsidTr="00F430C3">
        <w:trPr>
          <w:trHeight w:val="288"/>
        </w:trPr>
        <w:tc>
          <w:tcPr>
            <w:tcW w:w="833" w:type="pct"/>
            <w:noWrap/>
            <w:hideMark/>
          </w:tcPr>
          <w:p w14:paraId="6526D724" w14:textId="77777777" w:rsidR="00307D80" w:rsidRPr="003B453B" w:rsidRDefault="00307D80" w:rsidP="003B453B">
            <w:pPr>
              <w:pStyle w:val="TableBody"/>
            </w:pPr>
            <w:r w:rsidRPr="003B453B">
              <w:t>2023-24</w:t>
            </w:r>
          </w:p>
        </w:tc>
        <w:tc>
          <w:tcPr>
            <w:tcW w:w="834" w:type="pct"/>
            <w:noWrap/>
            <w:hideMark/>
          </w:tcPr>
          <w:p w14:paraId="1E186469" w14:textId="77777777" w:rsidR="00307D80" w:rsidRPr="003B453B" w:rsidRDefault="00307D80" w:rsidP="003B453B">
            <w:pPr>
              <w:pStyle w:val="TableBody"/>
            </w:pPr>
            <w:r w:rsidRPr="003B453B">
              <w:t>35,576</w:t>
            </w:r>
          </w:p>
        </w:tc>
        <w:tc>
          <w:tcPr>
            <w:tcW w:w="834" w:type="pct"/>
            <w:noWrap/>
            <w:hideMark/>
          </w:tcPr>
          <w:p w14:paraId="28D0CBF0" w14:textId="77777777" w:rsidR="00307D80" w:rsidRPr="003B453B" w:rsidRDefault="00307D80" w:rsidP="003B453B">
            <w:pPr>
              <w:pStyle w:val="TableBody"/>
            </w:pPr>
            <w:r w:rsidRPr="003B453B">
              <w:t>16,790</w:t>
            </w:r>
          </w:p>
        </w:tc>
        <w:tc>
          <w:tcPr>
            <w:tcW w:w="833" w:type="pct"/>
            <w:noWrap/>
            <w:hideMark/>
          </w:tcPr>
          <w:p w14:paraId="6D2C8E13" w14:textId="77777777" w:rsidR="00307D80" w:rsidRPr="003B453B" w:rsidRDefault="00307D80" w:rsidP="003B453B">
            <w:pPr>
              <w:pStyle w:val="TableBody"/>
            </w:pPr>
            <w:r w:rsidRPr="003B453B">
              <w:t>9,315</w:t>
            </w:r>
          </w:p>
        </w:tc>
        <w:tc>
          <w:tcPr>
            <w:tcW w:w="834" w:type="pct"/>
            <w:noWrap/>
            <w:hideMark/>
          </w:tcPr>
          <w:p w14:paraId="61537193" w14:textId="77777777" w:rsidR="00307D80" w:rsidRPr="003B453B" w:rsidRDefault="00307D80" w:rsidP="003B453B">
            <w:pPr>
              <w:pStyle w:val="TableBody"/>
            </w:pPr>
            <w:r w:rsidRPr="003B453B">
              <w:t>7,392</w:t>
            </w:r>
          </w:p>
        </w:tc>
        <w:tc>
          <w:tcPr>
            <w:tcW w:w="834" w:type="pct"/>
            <w:noWrap/>
            <w:hideMark/>
          </w:tcPr>
          <w:p w14:paraId="59390C36" w14:textId="77777777" w:rsidR="00307D80" w:rsidRPr="003B453B" w:rsidRDefault="00307D80" w:rsidP="003B453B">
            <w:pPr>
              <w:pStyle w:val="TableBody"/>
            </w:pPr>
            <w:r w:rsidRPr="003B453B">
              <w:t>5,010</w:t>
            </w:r>
          </w:p>
        </w:tc>
      </w:tr>
    </w:tbl>
    <w:p w14:paraId="03D618AA" w14:textId="77777777" w:rsidR="00626C72" w:rsidRPr="00157502" w:rsidRDefault="00626C72" w:rsidP="00D4532A">
      <w:r w:rsidRPr="000C258A">
        <w:rPr>
          <w:rStyle w:val="Strong"/>
        </w:rPr>
        <w:t>Source</w:t>
      </w:r>
      <w:r w:rsidRPr="008C1137">
        <w:t>: Crime Statistics Agency Victoria, unpublished data</w:t>
      </w:r>
    </w:p>
    <w:p w14:paraId="7333927B" w14:textId="11B6CBBD" w:rsidR="00A4454A" w:rsidRPr="008C1137" w:rsidRDefault="00A4454A" w:rsidP="00210207">
      <w:pPr>
        <w:pStyle w:val="Numbered"/>
      </w:pPr>
      <w:r w:rsidRPr="008C1137">
        <w:t xml:space="preserve">Each year since 2011–12, people were most commonly apprehended for offences against the person, increasing from </w:t>
      </w:r>
      <w:r w:rsidRPr="008C1137">
        <w:lastRenderedPageBreak/>
        <w:t>13,630 unique alleged offenders in 2004–05 to 35,576 in 2023–24 (a threefold increase). There was an increase in unique alleged offenders for all offence types categorised as offences against the person. However, the three most common offence types – assault offences, sexual assault offences and stalking offences – showed large increases (of 64%, 75% and 117% respectively) in unique alleged offenders, particularly since 2010–11. An increase in these offence types is likely attributable to an increase in recorded family violence offending.</w:t>
      </w:r>
      <w:r w:rsidRPr="008C1137">
        <w:rPr>
          <w:rStyle w:val="Superscript"/>
        </w:rPr>
        <w:footnoteReference w:id="51"/>
      </w:r>
      <w:r w:rsidRPr="008C1137">
        <w:t xml:space="preserve"> The data shows that between 2010–11 and 2023–24, the number of recorded </w:t>
      </w:r>
      <w:r w:rsidRPr="003B3217">
        <w:rPr>
          <w:rStyle w:val="Italic"/>
        </w:rPr>
        <w:t>offences</w:t>
      </w:r>
      <w:r w:rsidRPr="008C1137">
        <w:t xml:space="preserve"> with a family violence flag</w:t>
      </w:r>
      <w:r w:rsidRPr="008C1137">
        <w:rPr>
          <w:rStyle w:val="Superscript"/>
        </w:rPr>
        <w:footnoteReference w:id="52"/>
      </w:r>
      <w:r w:rsidRPr="008C1137">
        <w:t xml:space="preserve"> increased by 146% for assault offences, 204% for sexual assault offences and 250% for stalking offences</w:t>
      </w:r>
      <w:r w:rsidRPr="008C1137">
        <w:rPr>
          <w:rStyle w:val="Superscript"/>
        </w:rPr>
        <w:footnoteReference w:id="53"/>
      </w:r>
      <w:r w:rsidRPr="008C1137">
        <w:t xml:space="preserve"> (Figure 9). During this period, there was also an increase in the </w:t>
      </w:r>
      <w:r w:rsidRPr="003B3217">
        <w:rPr>
          <w:rStyle w:val="Italic"/>
        </w:rPr>
        <w:t>proportion</w:t>
      </w:r>
      <w:r w:rsidRPr="008C1137">
        <w:t xml:space="preserve"> of these offence types that were recorded as occurring in the context of family violence:</w:t>
      </w:r>
    </w:p>
    <w:p w14:paraId="1C877DAF" w14:textId="77777777" w:rsidR="00A4454A" w:rsidRPr="008C1137" w:rsidRDefault="00A4454A" w:rsidP="008C1137">
      <w:pPr>
        <w:pStyle w:val="Bullets"/>
      </w:pPr>
      <w:r w:rsidRPr="008C1137">
        <w:t>family violence assault offences increased from 33% to 50% of all assault offences</w:t>
      </w:r>
    </w:p>
    <w:p w14:paraId="14ED65F0" w14:textId="77777777" w:rsidR="00A4454A" w:rsidRPr="008C1137" w:rsidRDefault="00A4454A" w:rsidP="008C1137">
      <w:pPr>
        <w:pStyle w:val="Bullets"/>
      </w:pPr>
      <w:r w:rsidRPr="008C1137">
        <w:t>family violence sexual assault offences increased from 27% to 39% of all sexual assault offences and</w:t>
      </w:r>
    </w:p>
    <w:p w14:paraId="726C66FA" w14:textId="77777777" w:rsidR="00A4454A" w:rsidRPr="008C1137" w:rsidRDefault="00A4454A" w:rsidP="008C1137">
      <w:pPr>
        <w:pStyle w:val="Bullets"/>
      </w:pPr>
      <w:r w:rsidRPr="008C1137">
        <w:lastRenderedPageBreak/>
        <w:t>family violence stalking offences increased from 35% to 60% of all stalking offences.</w:t>
      </w:r>
      <w:r w:rsidRPr="008C1137">
        <w:rPr>
          <w:rStyle w:val="Superscript"/>
        </w:rPr>
        <w:footnoteReference w:id="54"/>
      </w:r>
    </w:p>
    <w:p w14:paraId="6D1B4DC5" w14:textId="77777777" w:rsidR="00A3512D" w:rsidRPr="008C1137" w:rsidRDefault="00A3512D" w:rsidP="00BE4EDC">
      <w:pPr>
        <w:pStyle w:val="Caption"/>
      </w:pPr>
      <w:r w:rsidRPr="00157502">
        <w:t>Figure 9</w:t>
      </w:r>
      <w:r w:rsidRPr="008C1137">
        <w:t>: Number of recorded assault offences, sexual assault offences and stalking offences that occurred in the context of family violence, 2010–11 and 2023–24</w:t>
      </w:r>
    </w:p>
    <w:tbl>
      <w:tblPr>
        <w:tblStyle w:val="Table"/>
        <w:tblW w:w="5000" w:type="pct"/>
        <w:tblLook w:val="04A0" w:firstRow="1" w:lastRow="0" w:firstColumn="1" w:lastColumn="0" w:noHBand="0" w:noVBand="1"/>
      </w:tblPr>
      <w:tblGrid>
        <w:gridCol w:w="2254"/>
        <w:gridCol w:w="2254"/>
        <w:gridCol w:w="2254"/>
        <w:gridCol w:w="2254"/>
      </w:tblGrid>
      <w:tr w:rsidR="00AB5C76" w:rsidRPr="00B8306C" w14:paraId="32C5AA25" w14:textId="0F92A078" w:rsidTr="00A65FC4">
        <w:trPr>
          <w:trHeight w:val="288"/>
          <w:tblHeader/>
        </w:trPr>
        <w:tc>
          <w:tcPr>
            <w:tcW w:w="1250" w:type="pct"/>
            <w:noWrap/>
            <w:hideMark/>
          </w:tcPr>
          <w:p w14:paraId="5DE5F07D" w14:textId="017A3BFF" w:rsidR="00AB5C76" w:rsidRPr="00B8306C" w:rsidRDefault="00B8306C" w:rsidP="00B8306C">
            <w:pPr>
              <w:pStyle w:val="TableHeading"/>
            </w:pPr>
            <w:r>
              <w:t>Financial year</w:t>
            </w:r>
          </w:p>
        </w:tc>
        <w:tc>
          <w:tcPr>
            <w:tcW w:w="1250" w:type="pct"/>
            <w:noWrap/>
            <w:hideMark/>
          </w:tcPr>
          <w:p w14:paraId="5947CE64" w14:textId="77777777" w:rsidR="00AB5C76" w:rsidRPr="00B8306C" w:rsidRDefault="00AB5C76" w:rsidP="00B8306C">
            <w:pPr>
              <w:pStyle w:val="TableHeading"/>
            </w:pPr>
            <w:r w:rsidRPr="00B8306C">
              <w:t>Assault</w:t>
            </w:r>
          </w:p>
        </w:tc>
        <w:tc>
          <w:tcPr>
            <w:tcW w:w="1250" w:type="pct"/>
          </w:tcPr>
          <w:p w14:paraId="385559A9" w14:textId="3D5D87DB" w:rsidR="00AB5C76" w:rsidRPr="00B8306C" w:rsidRDefault="00AB5C76" w:rsidP="00B8306C">
            <w:pPr>
              <w:pStyle w:val="TableHeading"/>
            </w:pPr>
            <w:r w:rsidRPr="00B8306C">
              <w:t>Sexual assault</w:t>
            </w:r>
          </w:p>
        </w:tc>
        <w:tc>
          <w:tcPr>
            <w:tcW w:w="1250" w:type="pct"/>
          </w:tcPr>
          <w:p w14:paraId="0722CA5A" w14:textId="5CB99F5B" w:rsidR="00AB5C76" w:rsidRPr="00B8306C" w:rsidRDefault="00AB5C76" w:rsidP="00B8306C">
            <w:pPr>
              <w:pStyle w:val="TableHeading"/>
            </w:pPr>
            <w:r w:rsidRPr="00B8306C">
              <w:t>Stalking</w:t>
            </w:r>
          </w:p>
        </w:tc>
      </w:tr>
      <w:tr w:rsidR="00AB5C76" w:rsidRPr="00B8306C" w14:paraId="54EFBAF7" w14:textId="58235CE5" w:rsidTr="00A65FC4">
        <w:trPr>
          <w:trHeight w:val="288"/>
        </w:trPr>
        <w:tc>
          <w:tcPr>
            <w:tcW w:w="1250" w:type="pct"/>
            <w:noWrap/>
            <w:hideMark/>
          </w:tcPr>
          <w:p w14:paraId="641D22C8" w14:textId="77777777" w:rsidR="00AB5C76" w:rsidRPr="00B8306C" w:rsidRDefault="00AB5C76" w:rsidP="00B8306C">
            <w:pPr>
              <w:pStyle w:val="TableBody"/>
            </w:pPr>
            <w:r w:rsidRPr="00B8306C">
              <w:t>2010-11</w:t>
            </w:r>
          </w:p>
        </w:tc>
        <w:tc>
          <w:tcPr>
            <w:tcW w:w="1250" w:type="pct"/>
            <w:noWrap/>
            <w:hideMark/>
          </w:tcPr>
          <w:p w14:paraId="4CCC4E96" w14:textId="77777777" w:rsidR="00AB5C76" w:rsidRPr="00B8306C" w:rsidRDefault="00AB5C76" w:rsidP="00B8306C">
            <w:pPr>
              <w:pStyle w:val="TableBody"/>
            </w:pPr>
            <w:r w:rsidRPr="00B8306C">
              <w:t>9,800</w:t>
            </w:r>
          </w:p>
        </w:tc>
        <w:tc>
          <w:tcPr>
            <w:tcW w:w="1250" w:type="pct"/>
          </w:tcPr>
          <w:p w14:paraId="32CB1FC9" w14:textId="358F25FB" w:rsidR="00AB5C76" w:rsidRPr="00B8306C" w:rsidRDefault="00AB5C76" w:rsidP="00B8306C">
            <w:pPr>
              <w:pStyle w:val="TableBody"/>
            </w:pPr>
            <w:r w:rsidRPr="00B8306C">
              <w:t>2,107</w:t>
            </w:r>
          </w:p>
        </w:tc>
        <w:tc>
          <w:tcPr>
            <w:tcW w:w="1250" w:type="pct"/>
          </w:tcPr>
          <w:p w14:paraId="5FAF9A2D" w14:textId="6EBA9A25" w:rsidR="00AB5C76" w:rsidRPr="00B8306C" w:rsidRDefault="00AB5C76" w:rsidP="00B8306C">
            <w:pPr>
              <w:pStyle w:val="TableBody"/>
            </w:pPr>
            <w:r w:rsidRPr="00B8306C">
              <w:t>2,288</w:t>
            </w:r>
          </w:p>
        </w:tc>
      </w:tr>
      <w:tr w:rsidR="00AB5C76" w:rsidRPr="00B8306C" w14:paraId="782A8445" w14:textId="07B86991" w:rsidTr="00A65FC4">
        <w:trPr>
          <w:trHeight w:val="288"/>
        </w:trPr>
        <w:tc>
          <w:tcPr>
            <w:tcW w:w="1250" w:type="pct"/>
            <w:noWrap/>
            <w:hideMark/>
          </w:tcPr>
          <w:p w14:paraId="0BE473D8" w14:textId="77777777" w:rsidR="00AB5C76" w:rsidRPr="00B8306C" w:rsidRDefault="00AB5C76" w:rsidP="00B8306C">
            <w:pPr>
              <w:pStyle w:val="TableBody"/>
            </w:pPr>
            <w:r w:rsidRPr="00B8306C">
              <w:t>2011-12</w:t>
            </w:r>
          </w:p>
        </w:tc>
        <w:tc>
          <w:tcPr>
            <w:tcW w:w="1250" w:type="pct"/>
            <w:noWrap/>
            <w:hideMark/>
          </w:tcPr>
          <w:p w14:paraId="563CDE57" w14:textId="77777777" w:rsidR="00AB5C76" w:rsidRPr="00B8306C" w:rsidRDefault="00AB5C76" w:rsidP="00B8306C">
            <w:pPr>
              <w:pStyle w:val="TableBody"/>
            </w:pPr>
            <w:r w:rsidRPr="00B8306C">
              <w:t>14,138</w:t>
            </w:r>
          </w:p>
        </w:tc>
        <w:tc>
          <w:tcPr>
            <w:tcW w:w="1250" w:type="pct"/>
          </w:tcPr>
          <w:p w14:paraId="4F4F3089" w14:textId="2C05CBB1" w:rsidR="00AB5C76" w:rsidRPr="00B8306C" w:rsidRDefault="00AB5C76" w:rsidP="00B8306C">
            <w:pPr>
              <w:pStyle w:val="TableBody"/>
            </w:pPr>
            <w:r w:rsidRPr="00B8306C">
              <w:t>2,824</w:t>
            </w:r>
          </w:p>
        </w:tc>
        <w:tc>
          <w:tcPr>
            <w:tcW w:w="1250" w:type="pct"/>
          </w:tcPr>
          <w:p w14:paraId="48B69759" w14:textId="1FD9099A" w:rsidR="00AB5C76" w:rsidRPr="00B8306C" w:rsidRDefault="00AB5C76" w:rsidP="00B8306C">
            <w:pPr>
              <w:pStyle w:val="TableBody"/>
            </w:pPr>
            <w:r w:rsidRPr="00B8306C">
              <w:t>3,993</w:t>
            </w:r>
          </w:p>
        </w:tc>
      </w:tr>
      <w:tr w:rsidR="00AB5C76" w:rsidRPr="00B8306C" w14:paraId="27CA3CB5" w14:textId="64520B5F" w:rsidTr="00A65FC4">
        <w:trPr>
          <w:trHeight w:val="288"/>
        </w:trPr>
        <w:tc>
          <w:tcPr>
            <w:tcW w:w="1250" w:type="pct"/>
            <w:noWrap/>
            <w:hideMark/>
          </w:tcPr>
          <w:p w14:paraId="12215503" w14:textId="77777777" w:rsidR="00AB5C76" w:rsidRPr="00B8306C" w:rsidRDefault="00AB5C76" w:rsidP="00B8306C">
            <w:pPr>
              <w:pStyle w:val="TableBody"/>
            </w:pPr>
            <w:r w:rsidRPr="00B8306C">
              <w:t>2012-13</w:t>
            </w:r>
          </w:p>
        </w:tc>
        <w:tc>
          <w:tcPr>
            <w:tcW w:w="1250" w:type="pct"/>
            <w:noWrap/>
            <w:hideMark/>
          </w:tcPr>
          <w:p w14:paraId="23C71701" w14:textId="77777777" w:rsidR="00AB5C76" w:rsidRPr="00B8306C" w:rsidRDefault="00AB5C76" w:rsidP="00B8306C">
            <w:pPr>
              <w:pStyle w:val="TableBody"/>
            </w:pPr>
            <w:r w:rsidRPr="00B8306C">
              <w:t>16,910</w:t>
            </w:r>
          </w:p>
        </w:tc>
        <w:tc>
          <w:tcPr>
            <w:tcW w:w="1250" w:type="pct"/>
          </w:tcPr>
          <w:p w14:paraId="19CF9F00" w14:textId="4D1373C7" w:rsidR="00AB5C76" w:rsidRPr="00B8306C" w:rsidRDefault="00AB5C76" w:rsidP="00B8306C">
            <w:pPr>
              <w:pStyle w:val="TableBody"/>
            </w:pPr>
            <w:r w:rsidRPr="00B8306C">
              <w:t>3,223</w:t>
            </w:r>
          </w:p>
        </w:tc>
        <w:tc>
          <w:tcPr>
            <w:tcW w:w="1250" w:type="pct"/>
          </w:tcPr>
          <w:p w14:paraId="3A8B1EB8" w14:textId="06263F35" w:rsidR="00AB5C76" w:rsidRPr="00B8306C" w:rsidRDefault="00AB5C76" w:rsidP="00B8306C">
            <w:pPr>
              <w:pStyle w:val="TableBody"/>
            </w:pPr>
            <w:r w:rsidRPr="00B8306C">
              <w:t>4,885</w:t>
            </w:r>
          </w:p>
        </w:tc>
      </w:tr>
      <w:tr w:rsidR="00AB5C76" w:rsidRPr="00B8306C" w14:paraId="11EA2118" w14:textId="045376E0" w:rsidTr="00A65FC4">
        <w:trPr>
          <w:trHeight w:val="288"/>
        </w:trPr>
        <w:tc>
          <w:tcPr>
            <w:tcW w:w="1250" w:type="pct"/>
            <w:noWrap/>
            <w:hideMark/>
          </w:tcPr>
          <w:p w14:paraId="1487C033" w14:textId="77777777" w:rsidR="00AB5C76" w:rsidRPr="00B8306C" w:rsidRDefault="00AB5C76" w:rsidP="00B8306C">
            <w:pPr>
              <w:pStyle w:val="TableBody"/>
            </w:pPr>
            <w:r w:rsidRPr="00B8306C">
              <w:t>2013-14</w:t>
            </w:r>
          </w:p>
        </w:tc>
        <w:tc>
          <w:tcPr>
            <w:tcW w:w="1250" w:type="pct"/>
            <w:noWrap/>
            <w:hideMark/>
          </w:tcPr>
          <w:p w14:paraId="36E53334" w14:textId="77777777" w:rsidR="00AB5C76" w:rsidRPr="00B8306C" w:rsidRDefault="00AB5C76" w:rsidP="00B8306C">
            <w:pPr>
              <w:pStyle w:val="TableBody"/>
            </w:pPr>
            <w:r w:rsidRPr="00B8306C">
              <w:t>18,185</w:t>
            </w:r>
          </w:p>
        </w:tc>
        <w:tc>
          <w:tcPr>
            <w:tcW w:w="1250" w:type="pct"/>
          </w:tcPr>
          <w:p w14:paraId="7DB3C098" w14:textId="73F094C1" w:rsidR="00AB5C76" w:rsidRPr="00B8306C" w:rsidRDefault="00AB5C76" w:rsidP="00B8306C">
            <w:pPr>
              <w:pStyle w:val="TableBody"/>
            </w:pPr>
            <w:r w:rsidRPr="00B8306C">
              <w:t>3,704</w:t>
            </w:r>
          </w:p>
        </w:tc>
        <w:tc>
          <w:tcPr>
            <w:tcW w:w="1250" w:type="pct"/>
          </w:tcPr>
          <w:p w14:paraId="11041FB5" w14:textId="66411C4C" w:rsidR="00AB5C76" w:rsidRPr="00B8306C" w:rsidRDefault="00AB5C76" w:rsidP="00B8306C">
            <w:pPr>
              <w:pStyle w:val="TableBody"/>
            </w:pPr>
            <w:r w:rsidRPr="00B8306C">
              <w:t>5,599</w:t>
            </w:r>
          </w:p>
        </w:tc>
      </w:tr>
      <w:tr w:rsidR="00AB5C76" w:rsidRPr="00B8306C" w14:paraId="1CB6B176" w14:textId="6AE77CA1" w:rsidTr="00A65FC4">
        <w:trPr>
          <w:trHeight w:val="288"/>
        </w:trPr>
        <w:tc>
          <w:tcPr>
            <w:tcW w:w="1250" w:type="pct"/>
            <w:noWrap/>
            <w:hideMark/>
          </w:tcPr>
          <w:p w14:paraId="5E0448F8" w14:textId="77777777" w:rsidR="00AB5C76" w:rsidRPr="00B8306C" w:rsidRDefault="00AB5C76" w:rsidP="00B8306C">
            <w:pPr>
              <w:pStyle w:val="TableBody"/>
            </w:pPr>
            <w:r w:rsidRPr="00B8306C">
              <w:t>2014-15</w:t>
            </w:r>
          </w:p>
        </w:tc>
        <w:tc>
          <w:tcPr>
            <w:tcW w:w="1250" w:type="pct"/>
            <w:noWrap/>
            <w:hideMark/>
          </w:tcPr>
          <w:p w14:paraId="65703539" w14:textId="77777777" w:rsidR="00AB5C76" w:rsidRPr="00B8306C" w:rsidRDefault="00AB5C76" w:rsidP="00B8306C">
            <w:pPr>
              <w:pStyle w:val="TableBody"/>
            </w:pPr>
            <w:r w:rsidRPr="00B8306C">
              <w:t>18,825</w:t>
            </w:r>
          </w:p>
        </w:tc>
        <w:tc>
          <w:tcPr>
            <w:tcW w:w="1250" w:type="pct"/>
          </w:tcPr>
          <w:p w14:paraId="44361D28" w14:textId="6B094EA3" w:rsidR="00AB5C76" w:rsidRPr="00B8306C" w:rsidRDefault="00AB5C76" w:rsidP="00B8306C">
            <w:pPr>
              <w:pStyle w:val="TableBody"/>
            </w:pPr>
            <w:r w:rsidRPr="00B8306C">
              <w:t>4,108</w:t>
            </w:r>
          </w:p>
        </w:tc>
        <w:tc>
          <w:tcPr>
            <w:tcW w:w="1250" w:type="pct"/>
          </w:tcPr>
          <w:p w14:paraId="4DA51157" w14:textId="50972353" w:rsidR="00AB5C76" w:rsidRPr="00B8306C" w:rsidRDefault="00AB5C76" w:rsidP="00B8306C">
            <w:pPr>
              <w:pStyle w:val="TableBody"/>
            </w:pPr>
            <w:r w:rsidRPr="00B8306C">
              <w:t>6,485</w:t>
            </w:r>
          </w:p>
        </w:tc>
      </w:tr>
      <w:tr w:rsidR="00AB5C76" w:rsidRPr="00B8306C" w14:paraId="25DDA794" w14:textId="5133167F" w:rsidTr="00A65FC4">
        <w:trPr>
          <w:trHeight w:val="288"/>
        </w:trPr>
        <w:tc>
          <w:tcPr>
            <w:tcW w:w="1250" w:type="pct"/>
            <w:noWrap/>
            <w:hideMark/>
          </w:tcPr>
          <w:p w14:paraId="27C2C8F8" w14:textId="77777777" w:rsidR="00AB5C76" w:rsidRPr="00B8306C" w:rsidRDefault="00AB5C76" w:rsidP="00B8306C">
            <w:pPr>
              <w:pStyle w:val="TableBody"/>
            </w:pPr>
            <w:r w:rsidRPr="00B8306C">
              <w:t>2015-16</w:t>
            </w:r>
          </w:p>
        </w:tc>
        <w:tc>
          <w:tcPr>
            <w:tcW w:w="1250" w:type="pct"/>
            <w:noWrap/>
            <w:hideMark/>
          </w:tcPr>
          <w:p w14:paraId="76A4A868" w14:textId="77777777" w:rsidR="00AB5C76" w:rsidRPr="00B8306C" w:rsidRDefault="00AB5C76" w:rsidP="00B8306C">
            <w:pPr>
              <w:pStyle w:val="TableBody"/>
            </w:pPr>
            <w:r w:rsidRPr="00B8306C">
              <w:t>21,942</w:t>
            </w:r>
          </w:p>
        </w:tc>
        <w:tc>
          <w:tcPr>
            <w:tcW w:w="1250" w:type="pct"/>
          </w:tcPr>
          <w:p w14:paraId="1D32BACD" w14:textId="3E3507C4" w:rsidR="00AB5C76" w:rsidRPr="00B8306C" w:rsidRDefault="00AB5C76" w:rsidP="00B8306C">
            <w:pPr>
              <w:pStyle w:val="TableBody"/>
            </w:pPr>
            <w:r w:rsidRPr="00B8306C">
              <w:t>4,795</w:t>
            </w:r>
          </w:p>
        </w:tc>
        <w:tc>
          <w:tcPr>
            <w:tcW w:w="1250" w:type="pct"/>
          </w:tcPr>
          <w:p w14:paraId="2FF2DCD4" w14:textId="130E90ED" w:rsidR="00AB5C76" w:rsidRPr="00B8306C" w:rsidRDefault="00AB5C76" w:rsidP="00B8306C">
            <w:pPr>
              <w:pStyle w:val="TableBody"/>
            </w:pPr>
            <w:r w:rsidRPr="00B8306C">
              <w:t>7,503</w:t>
            </w:r>
          </w:p>
        </w:tc>
      </w:tr>
      <w:tr w:rsidR="00AB5C76" w:rsidRPr="00B8306C" w14:paraId="5210B55E" w14:textId="30DA9AC2" w:rsidTr="00A65FC4">
        <w:trPr>
          <w:trHeight w:val="288"/>
        </w:trPr>
        <w:tc>
          <w:tcPr>
            <w:tcW w:w="1250" w:type="pct"/>
            <w:noWrap/>
            <w:hideMark/>
          </w:tcPr>
          <w:p w14:paraId="43728DBD" w14:textId="77777777" w:rsidR="00AB5C76" w:rsidRPr="00B8306C" w:rsidRDefault="00AB5C76" w:rsidP="00B8306C">
            <w:pPr>
              <w:pStyle w:val="TableBody"/>
            </w:pPr>
            <w:r w:rsidRPr="00B8306C">
              <w:t>2016-17</w:t>
            </w:r>
          </w:p>
        </w:tc>
        <w:tc>
          <w:tcPr>
            <w:tcW w:w="1250" w:type="pct"/>
            <w:noWrap/>
            <w:hideMark/>
          </w:tcPr>
          <w:p w14:paraId="1CB4759C" w14:textId="77777777" w:rsidR="00AB5C76" w:rsidRPr="00B8306C" w:rsidRDefault="00AB5C76" w:rsidP="00B8306C">
            <w:pPr>
              <w:pStyle w:val="TableBody"/>
            </w:pPr>
            <w:r w:rsidRPr="00B8306C">
              <w:t>22,446</w:t>
            </w:r>
          </w:p>
        </w:tc>
        <w:tc>
          <w:tcPr>
            <w:tcW w:w="1250" w:type="pct"/>
          </w:tcPr>
          <w:p w14:paraId="72418757" w14:textId="56F213E8" w:rsidR="00AB5C76" w:rsidRPr="00B8306C" w:rsidRDefault="00AB5C76" w:rsidP="00B8306C">
            <w:pPr>
              <w:pStyle w:val="TableBody"/>
            </w:pPr>
            <w:r w:rsidRPr="00B8306C">
              <w:t>5,275</w:t>
            </w:r>
          </w:p>
        </w:tc>
        <w:tc>
          <w:tcPr>
            <w:tcW w:w="1250" w:type="pct"/>
          </w:tcPr>
          <w:p w14:paraId="4D6FC2F7" w14:textId="53976A4D" w:rsidR="00AB5C76" w:rsidRPr="00B8306C" w:rsidRDefault="00AB5C76" w:rsidP="00B8306C">
            <w:pPr>
              <w:pStyle w:val="TableBody"/>
            </w:pPr>
            <w:r w:rsidRPr="00B8306C">
              <w:t>6,834</w:t>
            </w:r>
          </w:p>
        </w:tc>
      </w:tr>
      <w:tr w:rsidR="00AB5C76" w:rsidRPr="00B8306C" w14:paraId="25868C89" w14:textId="72D5ED60" w:rsidTr="00A65FC4">
        <w:trPr>
          <w:trHeight w:val="288"/>
        </w:trPr>
        <w:tc>
          <w:tcPr>
            <w:tcW w:w="1250" w:type="pct"/>
            <w:noWrap/>
            <w:hideMark/>
          </w:tcPr>
          <w:p w14:paraId="660AACDD" w14:textId="77777777" w:rsidR="00AB5C76" w:rsidRPr="00B8306C" w:rsidRDefault="00AB5C76" w:rsidP="00B8306C">
            <w:pPr>
              <w:pStyle w:val="TableBody"/>
            </w:pPr>
            <w:r w:rsidRPr="00B8306C">
              <w:t>2017-18</w:t>
            </w:r>
          </w:p>
        </w:tc>
        <w:tc>
          <w:tcPr>
            <w:tcW w:w="1250" w:type="pct"/>
            <w:noWrap/>
            <w:hideMark/>
          </w:tcPr>
          <w:p w14:paraId="429692B2" w14:textId="77777777" w:rsidR="00AB5C76" w:rsidRPr="00B8306C" w:rsidRDefault="00AB5C76" w:rsidP="00B8306C">
            <w:pPr>
              <w:pStyle w:val="TableBody"/>
            </w:pPr>
            <w:r w:rsidRPr="00B8306C">
              <w:t>21,742</w:t>
            </w:r>
          </w:p>
        </w:tc>
        <w:tc>
          <w:tcPr>
            <w:tcW w:w="1250" w:type="pct"/>
          </w:tcPr>
          <w:p w14:paraId="396A9F96" w14:textId="4A79031A" w:rsidR="00AB5C76" w:rsidRPr="00B8306C" w:rsidRDefault="00AB5C76" w:rsidP="00B8306C">
            <w:pPr>
              <w:pStyle w:val="TableBody"/>
            </w:pPr>
            <w:r w:rsidRPr="00B8306C">
              <w:t>5,713</w:t>
            </w:r>
          </w:p>
        </w:tc>
        <w:tc>
          <w:tcPr>
            <w:tcW w:w="1250" w:type="pct"/>
          </w:tcPr>
          <w:p w14:paraId="1400812D" w14:textId="72685437" w:rsidR="00AB5C76" w:rsidRPr="00B8306C" w:rsidRDefault="00AB5C76" w:rsidP="00B8306C">
            <w:pPr>
              <w:pStyle w:val="TableBody"/>
            </w:pPr>
            <w:r w:rsidRPr="00B8306C">
              <w:t>6,726</w:t>
            </w:r>
          </w:p>
        </w:tc>
      </w:tr>
      <w:tr w:rsidR="00AB5C76" w:rsidRPr="00B8306C" w14:paraId="2A393B60" w14:textId="2773BD04" w:rsidTr="00A65FC4">
        <w:trPr>
          <w:trHeight w:val="288"/>
        </w:trPr>
        <w:tc>
          <w:tcPr>
            <w:tcW w:w="1250" w:type="pct"/>
            <w:noWrap/>
            <w:hideMark/>
          </w:tcPr>
          <w:p w14:paraId="35CA1D64" w14:textId="77777777" w:rsidR="00AB5C76" w:rsidRPr="00B8306C" w:rsidRDefault="00AB5C76" w:rsidP="00B8306C">
            <w:pPr>
              <w:pStyle w:val="TableBody"/>
            </w:pPr>
            <w:r w:rsidRPr="00B8306C">
              <w:t>2018-19</w:t>
            </w:r>
          </w:p>
        </w:tc>
        <w:tc>
          <w:tcPr>
            <w:tcW w:w="1250" w:type="pct"/>
            <w:noWrap/>
            <w:hideMark/>
          </w:tcPr>
          <w:p w14:paraId="25D652F5" w14:textId="77777777" w:rsidR="00AB5C76" w:rsidRPr="00B8306C" w:rsidRDefault="00AB5C76" w:rsidP="00B8306C">
            <w:pPr>
              <w:pStyle w:val="TableBody"/>
            </w:pPr>
            <w:r w:rsidRPr="00B8306C">
              <w:t>22,553</w:t>
            </w:r>
          </w:p>
        </w:tc>
        <w:tc>
          <w:tcPr>
            <w:tcW w:w="1250" w:type="pct"/>
          </w:tcPr>
          <w:p w14:paraId="7848F121" w14:textId="21578184" w:rsidR="00AB5C76" w:rsidRPr="00B8306C" w:rsidRDefault="00AB5C76" w:rsidP="00B8306C">
            <w:pPr>
              <w:pStyle w:val="TableBody"/>
            </w:pPr>
            <w:r w:rsidRPr="00B8306C">
              <w:t>5,284</w:t>
            </w:r>
          </w:p>
        </w:tc>
        <w:tc>
          <w:tcPr>
            <w:tcW w:w="1250" w:type="pct"/>
          </w:tcPr>
          <w:p w14:paraId="1E26FFD2" w14:textId="5930EC10" w:rsidR="00AB5C76" w:rsidRPr="00B8306C" w:rsidRDefault="00AB5C76" w:rsidP="00B8306C">
            <w:pPr>
              <w:pStyle w:val="TableBody"/>
            </w:pPr>
            <w:r w:rsidRPr="00B8306C">
              <w:t>7,149</w:t>
            </w:r>
          </w:p>
        </w:tc>
      </w:tr>
      <w:tr w:rsidR="00AB5C76" w:rsidRPr="00B8306C" w14:paraId="0F192CBC" w14:textId="44DCF44F" w:rsidTr="00A65FC4">
        <w:trPr>
          <w:trHeight w:val="288"/>
        </w:trPr>
        <w:tc>
          <w:tcPr>
            <w:tcW w:w="1250" w:type="pct"/>
            <w:noWrap/>
            <w:hideMark/>
          </w:tcPr>
          <w:p w14:paraId="70A79874" w14:textId="77777777" w:rsidR="00AB5C76" w:rsidRPr="00B8306C" w:rsidRDefault="00AB5C76" w:rsidP="00B8306C">
            <w:pPr>
              <w:pStyle w:val="TableBody"/>
            </w:pPr>
            <w:r w:rsidRPr="00B8306C">
              <w:t>2019-20</w:t>
            </w:r>
          </w:p>
        </w:tc>
        <w:tc>
          <w:tcPr>
            <w:tcW w:w="1250" w:type="pct"/>
            <w:noWrap/>
            <w:hideMark/>
          </w:tcPr>
          <w:p w14:paraId="68909E63" w14:textId="77777777" w:rsidR="00AB5C76" w:rsidRPr="00B8306C" w:rsidRDefault="00AB5C76" w:rsidP="00B8306C">
            <w:pPr>
              <w:pStyle w:val="TableBody"/>
            </w:pPr>
            <w:r w:rsidRPr="00B8306C">
              <w:t>24,046</w:t>
            </w:r>
          </w:p>
        </w:tc>
        <w:tc>
          <w:tcPr>
            <w:tcW w:w="1250" w:type="pct"/>
          </w:tcPr>
          <w:p w14:paraId="518A29B3" w14:textId="3C6E89A0" w:rsidR="00AB5C76" w:rsidRPr="00B8306C" w:rsidRDefault="00AB5C76" w:rsidP="00B8306C">
            <w:pPr>
              <w:pStyle w:val="TableBody"/>
            </w:pPr>
            <w:r w:rsidRPr="00B8306C">
              <w:t>5,307</w:t>
            </w:r>
          </w:p>
        </w:tc>
        <w:tc>
          <w:tcPr>
            <w:tcW w:w="1250" w:type="pct"/>
          </w:tcPr>
          <w:p w14:paraId="6B955403" w14:textId="5AC4E4B5" w:rsidR="00AB5C76" w:rsidRPr="00B8306C" w:rsidRDefault="00AB5C76" w:rsidP="00B8306C">
            <w:pPr>
              <w:pStyle w:val="TableBody"/>
            </w:pPr>
            <w:r w:rsidRPr="00B8306C">
              <w:t>7,602</w:t>
            </w:r>
          </w:p>
        </w:tc>
      </w:tr>
      <w:tr w:rsidR="00AB5C76" w:rsidRPr="00B8306C" w14:paraId="4CB576AB" w14:textId="4E86EA11" w:rsidTr="00A65FC4">
        <w:trPr>
          <w:trHeight w:val="288"/>
        </w:trPr>
        <w:tc>
          <w:tcPr>
            <w:tcW w:w="1250" w:type="pct"/>
            <w:noWrap/>
            <w:hideMark/>
          </w:tcPr>
          <w:p w14:paraId="53D5E9EF" w14:textId="77777777" w:rsidR="00AB5C76" w:rsidRPr="00B8306C" w:rsidRDefault="00AB5C76" w:rsidP="00B8306C">
            <w:pPr>
              <w:pStyle w:val="TableBody"/>
            </w:pPr>
            <w:r w:rsidRPr="00B8306C">
              <w:t>2020-21</w:t>
            </w:r>
          </w:p>
        </w:tc>
        <w:tc>
          <w:tcPr>
            <w:tcW w:w="1250" w:type="pct"/>
            <w:noWrap/>
            <w:hideMark/>
          </w:tcPr>
          <w:p w14:paraId="507C5429" w14:textId="77777777" w:rsidR="00AB5C76" w:rsidRPr="00B8306C" w:rsidRDefault="00AB5C76" w:rsidP="00B8306C">
            <w:pPr>
              <w:pStyle w:val="TableBody"/>
            </w:pPr>
            <w:r w:rsidRPr="00B8306C">
              <w:t>24,208</w:t>
            </w:r>
          </w:p>
        </w:tc>
        <w:tc>
          <w:tcPr>
            <w:tcW w:w="1250" w:type="pct"/>
          </w:tcPr>
          <w:p w14:paraId="32B67A35" w14:textId="1D7B0EB6" w:rsidR="00AB5C76" w:rsidRPr="00B8306C" w:rsidRDefault="00AB5C76" w:rsidP="00B8306C">
            <w:pPr>
              <w:pStyle w:val="TableBody"/>
            </w:pPr>
            <w:r w:rsidRPr="00B8306C">
              <w:t>6,037</w:t>
            </w:r>
          </w:p>
        </w:tc>
        <w:tc>
          <w:tcPr>
            <w:tcW w:w="1250" w:type="pct"/>
          </w:tcPr>
          <w:p w14:paraId="28CE60C0" w14:textId="10625FAC" w:rsidR="00AB5C76" w:rsidRPr="00B8306C" w:rsidRDefault="00AB5C76" w:rsidP="00B8306C">
            <w:pPr>
              <w:pStyle w:val="TableBody"/>
            </w:pPr>
            <w:r w:rsidRPr="00B8306C">
              <w:t>8,187</w:t>
            </w:r>
          </w:p>
        </w:tc>
      </w:tr>
      <w:tr w:rsidR="00AB5C76" w:rsidRPr="00B8306C" w14:paraId="21D138A1" w14:textId="28FD0C9F" w:rsidTr="00A65FC4">
        <w:trPr>
          <w:trHeight w:val="288"/>
        </w:trPr>
        <w:tc>
          <w:tcPr>
            <w:tcW w:w="1250" w:type="pct"/>
            <w:noWrap/>
            <w:hideMark/>
          </w:tcPr>
          <w:p w14:paraId="68966CCA" w14:textId="77777777" w:rsidR="00AB5C76" w:rsidRPr="00B8306C" w:rsidRDefault="00AB5C76" w:rsidP="00B8306C">
            <w:pPr>
              <w:pStyle w:val="TableBody"/>
            </w:pPr>
            <w:r w:rsidRPr="00B8306C">
              <w:t>2021-22</w:t>
            </w:r>
          </w:p>
        </w:tc>
        <w:tc>
          <w:tcPr>
            <w:tcW w:w="1250" w:type="pct"/>
            <w:noWrap/>
            <w:hideMark/>
          </w:tcPr>
          <w:p w14:paraId="6DD86615" w14:textId="77777777" w:rsidR="00AB5C76" w:rsidRPr="00B8306C" w:rsidRDefault="00AB5C76" w:rsidP="00B8306C">
            <w:pPr>
              <w:pStyle w:val="TableBody"/>
            </w:pPr>
            <w:r w:rsidRPr="00B8306C">
              <w:t>23,253</w:t>
            </w:r>
          </w:p>
        </w:tc>
        <w:tc>
          <w:tcPr>
            <w:tcW w:w="1250" w:type="pct"/>
          </w:tcPr>
          <w:p w14:paraId="5811B1B6" w14:textId="39DB6623" w:rsidR="00AB5C76" w:rsidRPr="00B8306C" w:rsidRDefault="00AB5C76" w:rsidP="00B8306C">
            <w:pPr>
              <w:pStyle w:val="TableBody"/>
            </w:pPr>
            <w:r w:rsidRPr="00B8306C">
              <w:t>5,823</w:t>
            </w:r>
          </w:p>
        </w:tc>
        <w:tc>
          <w:tcPr>
            <w:tcW w:w="1250" w:type="pct"/>
          </w:tcPr>
          <w:p w14:paraId="0EDA0003" w14:textId="5C3F3B2B" w:rsidR="00AB5C76" w:rsidRPr="00B8306C" w:rsidRDefault="00AB5C76" w:rsidP="00B8306C">
            <w:pPr>
              <w:pStyle w:val="TableBody"/>
            </w:pPr>
            <w:r w:rsidRPr="00B8306C">
              <w:t>8,001</w:t>
            </w:r>
          </w:p>
        </w:tc>
      </w:tr>
      <w:tr w:rsidR="00AB5C76" w:rsidRPr="00B8306C" w14:paraId="65AB1DC7" w14:textId="00CDD6CA" w:rsidTr="00A65FC4">
        <w:trPr>
          <w:trHeight w:val="288"/>
        </w:trPr>
        <w:tc>
          <w:tcPr>
            <w:tcW w:w="1250" w:type="pct"/>
            <w:noWrap/>
            <w:hideMark/>
          </w:tcPr>
          <w:p w14:paraId="72763BD9" w14:textId="77777777" w:rsidR="00AB5C76" w:rsidRPr="00B8306C" w:rsidRDefault="00AB5C76" w:rsidP="00B8306C">
            <w:pPr>
              <w:pStyle w:val="TableBody"/>
            </w:pPr>
            <w:r w:rsidRPr="00B8306C">
              <w:t>2022-23</w:t>
            </w:r>
          </w:p>
        </w:tc>
        <w:tc>
          <w:tcPr>
            <w:tcW w:w="1250" w:type="pct"/>
            <w:noWrap/>
            <w:hideMark/>
          </w:tcPr>
          <w:p w14:paraId="3CE2D8FC" w14:textId="77777777" w:rsidR="00AB5C76" w:rsidRPr="00B8306C" w:rsidRDefault="00AB5C76" w:rsidP="00B8306C">
            <w:pPr>
              <w:pStyle w:val="TableBody"/>
            </w:pPr>
            <w:r w:rsidRPr="00B8306C">
              <w:t>23,362</w:t>
            </w:r>
          </w:p>
        </w:tc>
        <w:tc>
          <w:tcPr>
            <w:tcW w:w="1250" w:type="pct"/>
          </w:tcPr>
          <w:p w14:paraId="23515630" w14:textId="026441F0" w:rsidR="00AB5C76" w:rsidRPr="00B8306C" w:rsidRDefault="00AB5C76" w:rsidP="00B8306C">
            <w:pPr>
              <w:pStyle w:val="TableBody"/>
            </w:pPr>
            <w:r w:rsidRPr="00B8306C">
              <w:t>5,766</w:t>
            </w:r>
          </w:p>
        </w:tc>
        <w:tc>
          <w:tcPr>
            <w:tcW w:w="1250" w:type="pct"/>
          </w:tcPr>
          <w:p w14:paraId="73B5A1A7" w14:textId="1A076C32" w:rsidR="00AB5C76" w:rsidRPr="00B8306C" w:rsidRDefault="00AB5C76" w:rsidP="00B8306C">
            <w:pPr>
              <w:pStyle w:val="TableBody"/>
            </w:pPr>
            <w:r w:rsidRPr="00B8306C">
              <w:t>7,422</w:t>
            </w:r>
          </w:p>
        </w:tc>
      </w:tr>
      <w:tr w:rsidR="00AB5C76" w:rsidRPr="00B8306C" w14:paraId="31361552" w14:textId="29CE882B" w:rsidTr="00A65FC4">
        <w:trPr>
          <w:trHeight w:val="294"/>
        </w:trPr>
        <w:tc>
          <w:tcPr>
            <w:tcW w:w="1250" w:type="pct"/>
            <w:noWrap/>
            <w:hideMark/>
          </w:tcPr>
          <w:p w14:paraId="70A23A26" w14:textId="77777777" w:rsidR="00AB5C76" w:rsidRPr="00B8306C" w:rsidRDefault="00AB5C76" w:rsidP="00B8306C">
            <w:pPr>
              <w:pStyle w:val="TableBody"/>
            </w:pPr>
            <w:r w:rsidRPr="00B8306C">
              <w:t>2023-24</w:t>
            </w:r>
          </w:p>
        </w:tc>
        <w:tc>
          <w:tcPr>
            <w:tcW w:w="1250" w:type="pct"/>
            <w:noWrap/>
            <w:hideMark/>
          </w:tcPr>
          <w:p w14:paraId="1A9DC25C" w14:textId="77777777" w:rsidR="00AB5C76" w:rsidRPr="00B8306C" w:rsidRDefault="00AB5C76" w:rsidP="00B8306C">
            <w:pPr>
              <w:pStyle w:val="TableBody"/>
            </w:pPr>
            <w:r w:rsidRPr="00B8306C">
              <w:t>24,137</w:t>
            </w:r>
          </w:p>
        </w:tc>
        <w:tc>
          <w:tcPr>
            <w:tcW w:w="1250" w:type="pct"/>
          </w:tcPr>
          <w:p w14:paraId="18AFF757" w14:textId="31B0851F" w:rsidR="00AB5C76" w:rsidRPr="00B8306C" w:rsidRDefault="00AB5C76" w:rsidP="00B8306C">
            <w:pPr>
              <w:pStyle w:val="TableBody"/>
            </w:pPr>
            <w:r w:rsidRPr="00B8306C">
              <w:t>6,396</w:t>
            </w:r>
          </w:p>
        </w:tc>
        <w:tc>
          <w:tcPr>
            <w:tcW w:w="1250" w:type="pct"/>
          </w:tcPr>
          <w:p w14:paraId="734A9077" w14:textId="0E9523F0" w:rsidR="00AB5C76" w:rsidRPr="00B8306C" w:rsidRDefault="00AB5C76" w:rsidP="00B8306C">
            <w:pPr>
              <w:pStyle w:val="TableBody"/>
            </w:pPr>
            <w:r w:rsidRPr="00B8306C">
              <w:t>7,997</w:t>
            </w:r>
          </w:p>
        </w:tc>
      </w:tr>
    </w:tbl>
    <w:p w14:paraId="0A6D2DBD" w14:textId="77777777" w:rsidR="00A3512D" w:rsidRPr="008C1137" w:rsidRDefault="00A3512D" w:rsidP="00D4532A">
      <w:r w:rsidRPr="000C258A">
        <w:rPr>
          <w:rStyle w:val="Strong"/>
        </w:rPr>
        <w:t>Source</w:t>
      </w:r>
      <w:r w:rsidRPr="008C1137">
        <w:t>: Crime Statistics Agency Victoria,</w:t>
      </w:r>
      <w:r w:rsidRPr="008C1137">
        <w:rPr>
          <w:rStyle w:val="Italic"/>
        </w:rPr>
        <w:t xml:space="preserve"> Recorded Offences: Year Ending 30 June </w:t>
      </w:r>
      <w:r w:rsidRPr="008C1137">
        <w:t>(2024) Table 03</w:t>
      </w:r>
    </w:p>
    <w:p w14:paraId="43B766E7" w14:textId="2613A31A" w:rsidR="00A4454A" w:rsidRPr="008C1137" w:rsidRDefault="00A4454A" w:rsidP="00210207">
      <w:pPr>
        <w:pStyle w:val="Numbered"/>
      </w:pPr>
      <w:r w:rsidRPr="008C1137">
        <w:t>While non-family violence related assault offences, sexual assault offences and stalking offences also increased (by 22%, 78% and 28% respectively), family violence offending is driving the considerable increases in these offence types.</w:t>
      </w:r>
      <w:r w:rsidRPr="008C1137">
        <w:rPr>
          <w:rStyle w:val="Superscript"/>
        </w:rPr>
        <w:footnoteReference w:id="55"/>
      </w:r>
      <w:r w:rsidRPr="008C1137">
        <w:t xml:space="preserve"> </w:t>
      </w:r>
    </w:p>
    <w:p w14:paraId="6DF37CEA" w14:textId="64947B1B" w:rsidR="00A4454A" w:rsidRPr="008C1137" w:rsidRDefault="00A4454A" w:rsidP="00210207">
      <w:pPr>
        <w:pStyle w:val="Numbered"/>
      </w:pPr>
      <w:r w:rsidRPr="008C1137">
        <w:t xml:space="preserve">Similarly, family violence offending contributed to the rapid increase in the number of unique alleged offenders recorded as committing justice procedure offences, which increased by 185% between 2004–05 and 2023–24 (Figure 8), with breach </w:t>
      </w:r>
      <w:r w:rsidRPr="008C1137">
        <w:lastRenderedPageBreak/>
        <w:t>of family violence order offences driving most of the increase.</w:t>
      </w:r>
      <w:r w:rsidRPr="008C1137">
        <w:rPr>
          <w:rStyle w:val="Superscript"/>
        </w:rPr>
        <w:footnoteReference w:id="56"/>
      </w:r>
      <w:r w:rsidRPr="008C1137">
        <w:t xml:space="preserve"> To a smaller extent, breach of bail offences also contributed to this growth. Figure 10 shows the number of recorded breach of order offences (which include breach of family violence order offences, breach of bail offences, breach of intervention order offences and other breach offences) between 2010–11 and 2023–24. </w:t>
      </w:r>
    </w:p>
    <w:p w14:paraId="4DD864C7" w14:textId="77777777" w:rsidR="003B2797" w:rsidRPr="008C1137" w:rsidRDefault="003B2797" w:rsidP="00BE4EDC">
      <w:pPr>
        <w:pStyle w:val="Caption"/>
      </w:pPr>
      <w:r w:rsidRPr="00157502">
        <w:t>Figure 10</w:t>
      </w:r>
      <w:r w:rsidRPr="008C1137">
        <w:t>: Number of recorded breach of orders offences, by offence type, 2010–11 to 2023–24</w:t>
      </w:r>
    </w:p>
    <w:tbl>
      <w:tblPr>
        <w:tblStyle w:val="Table"/>
        <w:tblW w:w="5000" w:type="pct"/>
        <w:tblLook w:val="04A0" w:firstRow="1" w:lastRow="0" w:firstColumn="1" w:lastColumn="0" w:noHBand="0" w:noVBand="1"/>
      </w:tblPr>
      <w:tblGrid>
        <w:gridCol w:w="1228"/>
        <w:gridCol w:w="2292"/>
        <w:gridCol w:w="1821"/>
        <w:gridCol w:w="2088"/>
        <w:gridCol w:w="1587"/>
      </w:tblGrid>
      <w:tr w:rsidR="00F07D43" w:rsidRPr="008915EB" w14:paraId="53F82CED" w14:textId="77777777" w:rsidTr="00A652F6">
        <w:trPr>
          <w:trHeight w:val="288"/>
          <w:tblHeader/>
        </w:trPr>
        <w:tc>
          <w:tcPr>
            <w:tcW w:w="779" w:type="pct"/>
            <w:noWrap/>
            <w:hideMark/>
          </w:tcPr>
          <w:p w14:paraId="4153DDDA" w14:textId="532EE62A" w:rsidR="00F07D43" w:rsidRPr="00F07D43" w:rsidRDefault="00F07D43" w:rsidP="00F07D43">
            <w:pPr>
              <w:pStyle w:val="TableHeading"/>
            </w:pPr>
            <w:r w:rsidRPr="00F07D43">
              <w:t>Financial year</w:t>
            </w:r>
          </w:p>
        </w:tc>
        <w:tc>
          <w:tcPr>
            <w:tcW w:w="1055" w:type="pct"/>
            <w:noWrap/>
            <w:hideMark/>
          </w:tcPr>
          <w:p w14:paraId="523A9941" w14:textId="77777777" w:rsidR="00F07D43" w:rsidRPr="00F07D43" w:rsidRDefault="00F07D43" w:rsidP="00F07D43">
            <w:pPr>
              <w:pStyle w:val="TableHeading"/>
            </w:pPr>
            <w:r w:rsidRPr="00F07D43">
              <w:t>Breach family violence order</w:t>
            </w:r>
          </w:p>
        </w:tc>
        <w:tc>
          <w:tcPr>
            <w:tcW w:w="1055" w:type="pct"/>
            <w:noWrap/>
            <w:hideMark/>
          </w:tcPr>
          <w:p w14:paraId="2D16337F" w14:textId="77777777" w:rsidR="00F07D43" w:rsidRPr="00F07D43" w:rsidRDefault="00F07D43" w:rsidP="00F07D43">
            <w:pPr>
              <w:pStyle w:val="TableHeading"/>
            </w:pPr>
            <w:r w:rsidRPr="00F07D43">
              <w:t>Breach bail conditions</w:t>
            </w:r>
          </w:p>
        </w:tc>
        <w:tc>
          <w:tcPr>
            <w:tcW w:w="1055" w:type="pct"/>
            <w:noWrap/>
            <w:hideMark/>
          </w:tcPr>
          <w:p w14:paraId="47C263A8" w14:textId="77777777" w:rsidR="00F07D43" w:rsidRPr="00F07D43" w:rsidRDefault="00F07D43" w:rsidP="00F07D43">
            <w:pPr>
              <w:pStyle w:val="TableHeading"/>
            </w:pPr>
            <w:r w:rsidRPr="00F07D43">
              <w:t>Breach intervention order</w:t>
            </w:r>
          </w:p>
        </w:tc>
        <w:tc>
          <w:tcPr>
            <w:tcW w:w="1055" w:type="pct"/>
            <w:noWrap/>
            <w:hideMark/>
          </w:tcPr>
          <w:p w14:paraId="0775F9AE" w14:textId="77777777" w:rsidR="00F07D43" w:rsidRPr="00F07D43" w:rsidRDefault="00F07D43" w:rsidP="00F07D43">
            <w:pPr>
              <w:pStyle w:val="TableHeading"/>
            </w:pPr>
            <w:r w:rsidRPr="00F07D43">
              <w:t>Breach other order</w:t>
            </w:r>
          </w:p>
        </w:tc>
      </w:tr>
      <w:tr w:rsidR="00F07D43" w:rsidRPr="008915EB" w14:paraId="1CA850FF" w14:textId="77777777" w:rsidTr="00A652F6">
        <w:trPr>
          <w:trHeight w:val="288"/>
        </w:trPr>
        <w:tc>
          <w:tcPr>
            <w:tcW w:w="779" w:type="pct"/>
            <w:noWrap/>
            <w:hideMark/>
          </w:tcPr>
          <w:p w14:paraId="72E05A15" w14:textId="77777777" w:rsidR="00F07D43" w:rsidRPr="00F07D43" w:rsidRDefault="00F07D43" w:rsidP="00F07D43">
            <w:pPr>
              <w:pStyle w:val="TableBody"/>
            </w:pPr>
            <w:r w:rsidRPr="00F07D43">
              <w:t>2010-11</w:t>
            </w:r>
          </w:p>
        </w:tc>
        <w:tc>
          <w:tcPr>
            <w:tcW w:w="1055" w:type="pct"/>
            <w:noWrap/>
            <w:hideMark/>
          </w:tcPr>
          <w:p w14:paraId="50FE2E18" w14:textId="77777777" w:rsidR="00F07D43" w:rsidRPr="00F07D43" w:rsidRDefault="00F07D43" w:rsidP="00F07D43">
            <w:pPr>
              <w:pStyle w:val="TableBody"/>
            </w:pPr>
            <w:r w:rsidRPr="00F07D43">
              <w:t>9,788</w:t>
            </w:r>
          </w:p>
        </w:tc>
        <w:tc>
          <w:tcPr>
            <w:tcW w:w="1055" w:type="pct"/>
            <w:noWrap/>
            <w:hideMark/>
          </w:tcPr>
          <w:p w14:paraId="423B1DB2" w14:textId="77777777" w:rsidR="00F07D43" w:rsidRPr="00F07D43" w:rsidRDefault="00F07D43" w:rsidP="00F07D43">
            <w:pPr>
              <w:pStyle w:val="TableBody"/>
            </w:pPr>
            <w:r w:rsidRPr="00F07D43">
              <w:t>5,009</w:t>
            </w:r>
          </w:p>
        </w:tc>
        <w:tc>
          <w:tcPr>
            <w:tcW w:w="1055" w:type="pct"/>
            <w:noWrap/>
            <w:hideMark/>
          </w:tcPr>
          <w:p w14:paraId="70EEFA5F" w14:textId="77777777" w:rsidR="00F07D43" w:rsidRPr="00F07D43" w:rsidRDefault="00F07D43" w:rsidP="00F07D43">
            <w:pPr>
              <w:pStyle w:val="TableBody"/>
            </w:pPr>
            <w:r w:rsidRPr="00F07D43">
              <w:t>293</w:t>
            </w:r>
          </w:p>
        </w:tc>
        <w:tc>
          <w:tcPr>
            <w:tcW w:w="1055" w:type="pct"/>
            <w:noWrap/>
            <w:hideMark/>
          </w:tcPr>
          <w:p w14:paraId="1B07FE02" w14:textId="77777777" w:rsidR="00F07D43" w:rsidRPr="00F07D43" w:rsidRDefault="00F07D43" w:rsidP="00F07D43">
            <w:pPr>
              <w:pStyle w:val="TableBody"/>
            </w:pPr>
            <w:r w:rsidRPr="00F07D43">
              <w:t>578</w:t>
            </w:r>
          </w:p>
        </w:tc>
      </w:tr>
      <w:tr w:rsidR="00F07D43" w:rsidRPr="008915EB" w14:paraId="41756788" w14:textId="77777777" w:rsidTr="00A652F6">
        <w:trPr>
          <w:trHeight w:val="288"/>
        </w:trPr>
        <w:tc>
          <w:tcPr>
            <w:tcW w:w="779" w:type="pct"/>
            <w:noWrap/>
            <w:hideMark/>
          </w:tcPr>
          <w:p w14:paraId="0037F7F2" w14:textId="77777777" w:rsidR="00F07D43" w:rsidRPr="00F07D43" w:rsidRDefault="00F07D43" w:rsidP="00F07D43">
            <w:pPr>
              <w:pStyle w:val="TableBody"/>
            </w:pPr>
            <w:r w:rsidRPr="00F07D43">
              <w:t>2011-12</w:t>
            </w:r>
          </w:p>
        </w:tc>
        <w:tc>
          <w:tcPr>
            <w:tcW w:w="1055" w:type="pct"/>
            <w:noWrap/>
            <w:hideMark/>
          </w:tcPr>
          <w:p w14:paraId="041857D2" w14:textId="77777777" w:rsidR="00F07D43" w:rsidRPr="00F07D43" w:rsidRDefault="00F07D43" w:rsidP="00F07D43">
            <w:pPr>
              <w:pStyle w:val="TableBody"/>
            </w:pPr>
            <w:r w:rsidRPr="00F07D43">
              <w:t>11,695</w:t>
            </w:r>
          </w:p>
        </w:tc>
        <w:tc>
          <w:tcPr>
            <w:tcW w:w="1055" w:type="pct"/>
            <w:noWrap/>
            <w:hideMark/>
          </w:tcPr>
          <w:p w14:paraId="34EDBEAC" w14:textId="77777777" w:rsidR="00F07D43" w:rsidRPr="00F07D43" w:rsidRDefault="00F07D43" w:rsidP="00F07D43">
            <w:pPr>
              <w:pStyle w:val="TableBody"/>
            </w:pPr>
            <w:r w:rsidRPr="00F07D43">
              <w:t>6,860</w:t>
            </w:r>
          </w:p>
        </w:tc>
        <w:tc>
          <w:tcPr>
            <w:tcW w:w="1055" w:type="pct"/>
            <w:noWrap/>
            <w:hideMark/>
          </w:tcPr>
          <w:p w14:paraId="1FB8ACD8" w14:textId="77777777" w:rsidR="00F07D43" w:rsidRPr="00F07D43" w:rsidRDefault="00F07D43" w:rsidP="00F07D43">
            <w:pPr>
              <w:pStyle w:val="TableBody"/>
            </w:pPr>
            <w:r w:rsidRPr="00F07D43">
              <w:t>758</w:t>
            </w:r>
          </w:p>
        </w:tc>
        <w:tc>
          <w:tcPr>
            <w:tcW w:w="1055" w:type="pct"/>
            <w:noWrap/>
            <w:hideMark/>
          </w:tcPr>
          <w:p w14:paraId="0ACBA494" w14:textId="77777777" w:rsidR="00F07D43" w:rsidRPr="00F07D43" w:rsidRDefault="00F07D43" w:rsidP="00F07D43">
            <w:pPr>
              <w:pStyle w:val="TableBody"/>
            </w:pPr>
            <w:r w:rsidRPr="00F07D43">
              <w:t>714</w:t>
            </w:r>
          </w:p>
        </w:tc>
      </w:tr>
      <w:tr w:rsidR="00F07D43" w:rsidRPr="008915EB" w14:paraId="5C8C5090" w14:textId="77777777" w:rsidTr="00A652F6">
        <w:trPr>
          <w:trHeight w:val="288"/>
        </w:trPr>
        <w:tc>
          <w:tcPr>
            <w:tcW w:w="779" w:type="pct"/>
            <w:noWrap/>
            <w:hideMark/>
          </w:tcPr>
          <w:p w14:paraId="501194DC" w14:textId="77777777" w:rsidR="00F07D43" w:rsidRPr="00F07D43" w:rsidRDefault="00F07D43" w:rsidP="00F07D43">
            <w:pPr>
              <w:pStyle w:val="TableBody"/>
            </w:pPr>
            <w:r w:rsidRPr="00F07D43">
              <w:t>2012-13</w:t>
            </w:r>
          </w:p>
        </w:tc>
        <w:tc>
          <w:tcPr>
            <w:tcW w:w="1055" w:type="pct"/>
            <w:noWrap/>
            <w:hideMark/>
          </w:tcPr>
          <w:p w14:paraId="0F9DA0B5" w14:textId="77777777" w:rsidR="00F07D43" w:rsidRPr="00F07D43" w:rsidRDefault="00F07D43" w:rsidP="00F07D43">
            <w:pPr>
              <w:pStyle w:val="TableBody"/>
            </w:pPr>
            <w:r w:rsidRPr="00F07D43">
              <w:t>16,009</w:t>
            </w:r>
          </w:p>
        </w:tc>
        <w:tc>
          <w:tcPr>
            <w:tcW w:w="1055" w:type="pct"/>
            <w:noWrap/>
            <w:hideMark/>
          </w:tcPr>
          <w:p w14:paraId="2D2B03CA" w14:textId="77777777" w:rsidR="00F07D43" w:rsidRPr="00F07D43" w:rsidRDefault="00F07D43" w:rsidP="00F07D43">
            <w:pPr>
              <w:pStyle w:val="TableBody"/>
            </w:pPr>
            <w:r w:rsidRPr="00F07D43">
              <w:t>7,074</w:t>
            </w:r>
          </w:p>
        </w:tc>
        <w:tc>
          <w:tcPr>
            <w:tcW w:w="1055" w:type="pct"/>
            <w:noWrap/>
            <w:hideMark/>
          </w:tcPr>
          <w:p w14:paraId="663D3386" w14:textId="77777777" w:rsidR="00F07D43" w:rsidRPr="00F07D43" w:rsidRDefault="00F07D43" w:rsidP="00F07D43">
            <w:pPr>
              <w:pStyle w:val="TableBody"/>
            </w:pPr>
            <w:r w:rsidRPr="00F07D43">
              <w:t>1,360</w:t>
            </w:r>
          </w:p>
        </w:tc>
        <w:tc>
          <w:tcPr>
            <w:tcW w:w="1055" w:type="pct"/>
            <w:noWrap/>
            <w:hideMark/>
          </w:tcPr>
          <w:p w14:paraId="54EE7F09" w14:textId="77777777" w:rsidR="00F07D43" w:rsidRPr="00F07D43" w:rsidRDefault="00F07D43" w:rsidP="00F07D43">
            <w:pPr>
              <w:pStyle w:val="TableBody"/>
            </w:pPr>
            <w:r w:rsidRPr="00F07D43">
              <w:t>840</w:t>
            </w:r>
          </w:p>
        </w:tc>
      </w:tr>
      <w:tr w:rsidR="00F07D43" w:rsidRPr="008915EB" w14:paraId="177DE565" w14:textId="77777777" w:rsidTr="00A652F6">
        <w:trPr>
          <w:trHeight w:val="288"/>
        </w:trPr>
        <w:tc>
          <w:tcPr>
            <w:tcW w:w="779" w:type="pct"/>
            <w:noWrap/>
            <w:hideMark/>
          </w:tcPr>
          <w:p w14:paraId="0DFB8B6B" w14:textId="77777777" w:rsidR="00F07D43" w:rsidRPr="00F07D43" w:rsidRDefault="00F07D43" w:rsidP="00F07D43">
            <w:pPr>
              <w:pStyle w:val="TableBody"/>
            </w:pPr>
            <w:r w:rsidRPr="00F07D43">
              <w:t>2013-14</w:t>
            </w:r>
          </w:p>
        </w:tc>
        <w:tc>
          <w:tcPr>
            <w:tcW w:w="1055" w:type="pct"/>
            <w:noWrap/>
            <w:hideMark/>
          </w:tcPr>
          <w:p w14:paraId="1D359B25" w14:textId="77777777" w:rsidR="00F07D43" w:rsidRPr="00F07D43" w:rsidRDefault="00F07D43" w:rsidP="00F07D43">
            <w:pPr>
              <w:pStyle w:val="TableBody"/>
            </w:pPr>
            <w:r w:rsidRPr="00F07D43">
              <w:t>21,487</w:t>
            </w:r>
          </w:p>
        </w:tc>
        <w:tc>
          <w:tcPr>
            <w:tcW w:w="1055" w:type="pct"/>
            <w:noWrap/>
            <w:hideMark/>
          </w:tcPr>
          <w:p w14:paraId="2C8D9E41" w14:textId="77777777" w:rsidR="00F07D43" w:rsidRPr="00F07D43" w:rsidRDefault="00F07D43" w:rsidP="00F07D43">
            <w:pPr>
              <w:pStyle w:val="TableBody"/>
            </w:pPr>
            <w:r w:rsidRPr="00F07D43">
              <w:t>12,057</w:t>
            </w:r>
          </w:p>
        </w:tc>
        <w:tc>
          <w:tcPr>
            <w:tcW w:w="1055" w:type="pct"/>
            <w:noWrap/>
            <w:hideMark/>
          </w:tcPr>
          <w:p w14:paraId="4FFCE5D9" w14:textId="77777777" w:rsidR="00F07D43" w:rsidRPr="00F07D43" w:rsidRDefault="00F07D43" w:rsidP="00F07D43">
            <w:pPr>
              <w:pStyle w:val="TableBody"/>
            </w:pPr>
            <w:r w:rsidRPr="00F07D43">
              <w:t>2,170</w:t>
            </w:r>
          </w:p>
        </w:tc>
        <w:tc>
          <w:tcPr>
            <w:tcW w:w="1055" w:type="pct"/>
            <w:noWrap/>
            <w:hideMark/>
          </w:tcPr>
          <w:p w14:paraId="340AA58D" w14:textId="77777777" w:rsidR="00F07D43" w:rsidRPr="00F07D43" w:rsidRDefault="00F07D43" w:rsidP="00F07D43">
            <w:pPr>
              <w:pStyle w:val="TableBody"/>
            </w:pPr>
            <w:r w:rsidRPr="00F07D43">
              <w:t>784</w:t>
            </w:r>
          </w:p>
        </w:tc>
      </w:tr>
      <w:tr w:rsidR="00F07D43" w:rsidRPr="008915EB" w14:paraId="22AA5C90" w14:textId="77777777" w:rsidTr="00A652F6">
        <w:trPr>
          <w:trHeight w:val="288"/>
        </w:trPr>
        <w:tc>
          <w:tcPr>
            <w:tcW w:w="779" w:type="pct"/>
            <w:noWrap/>
            <w:hideMark/>
          </w:tcPr>
          <w:p w14:paraId="53D61EFE" w14:textId="77777777" w:rsidR="00F07D43" w:rsidRPr="00F07D43" w:rsidRDefault="00F07D43" w:rsidP="00F07D43">
            <w:pPr>
              <w:pStyle w:val="TableBody"/>
            </w:pPr>
            <w:r w:rsidRPr="00F07D43">
              <w:t>2014-15</w:t>
            </w:r>
          </w:p>
        </w:tc>
        <w:tc>
          <w:tcPr>
            <w:tcW w:w="1055" w:type="pct"/>
            <w:noWrap/>
            <w:hideMark/>
          </w:tcPr>
          <w:p w14:paraId="57B775DE" w14:textId="77777777" w:rsidR="00F07D43" w:rsidRPr="00F07D43" w:rsidRDefault="00F07D43" w:rsidP="00F07D43">
            <w:pPr>
              <w:pStyle w:val="TableBody"/>
            </w:pPr>
            <w:r w:rsidRPr="00F07D43">
              <w:t>28,218</w:t>
            </w:r>
          </w:p>
        </w:tc>
        <w:tc>
          <w:tcPr>
            <w:tcW w:w="1055" w:type="pct"/>
            <w:noWrap/>
            <w:hideMark/>
          </w:tcPr>
          <w:p w14:paraId="343197EC" w14:textId="77777777" w:rsidR="00F07D43" w:rsidRPr="00F07D43" w:rsidRDefault="00F07D43" w:rsidP="00F07D43">
            <w:pPr>
              <w:pStyle w:val="TableBody"/>
            </w:pPr>
            <w:r w:rsidRPr="00F07D43">
              <w:t>18,918</w:t>
            </w:r>
          </w:p>
        </w:tc>
        <w:tc>
          <w:tcPr>
            <w:tcW w:w="1055" w:type="pct"/>
            <w:noWrap/>
            <w:hideMark/>
          </w:tcPr>
          <w:p w14:paraId="6D9DFD24" w14:textId="77777777" w:rsidR="00F07D43" w:rsidRPr="00F07D43" w:rsidRDefault="00F07D43" w:rsidP="00F07D43">
            <w:pPr>
              <w:pStyle w:val="TableBody"/>
            </w:pPr>
            <w:r w:rsidRPr="00F07D43">
              <w:t>2,944</w:t>
            </w:r>
          </w:p>
        </w:tc>
        <w:tc>
          <w:tcPr>
            <w:tcW w:w="1055" w:type="pct"/>
            <w:noWrap/>
            <w:hideMark/>
          </w:tcPr>
          <w:p w14:paraId="6105480F" w14:textId="77777777" w:rsidR="00F07D43" w:rsidRPr="00F07D43" w:rsidRDefault="00F07D43" w:rsidP="00F07D43">
            <w:pPr>
              <w:pStyle w:val="TableBody"/>
            </w:pPr>
            <w:r w:rsidRPr="00F07D43">
              <w:t>1,133</w:t>
            </w:r>
          </w:p>
        </w:tc>
      </w:tr>
      <w:tr w:rsidR="00F07D43" w:rsidRPr="008915EB" w14:paraId="7BF815DA" w14:textId="77777777" w:rsidTr="00A652F6">
        <w:trPr>
          <w:trHeight w:val="288"/>
        </w:trPr>
        <w:tc>
          <w:tcPr>
            <w:tcW w:w="779" w:type="pct"/>
            <w:noWrap/>
            <w:hideMark/>
          </w:tcPr>
          <w:p w14:paraId="7CADD67A" w14:textId="77777777" w:rsidR="00F07D43" w:rsidRPr="00F07D43" w:rsidRDefault="00F07D43" w:rsidP="00F07D43">
            <w:pPr>
              <w:pStyle w:val="TableBody"/>
            </w:pPr>
            <w:r w:rsidRPr="00F07D43">
              <w:t>2015-16</w:t>
            </w:r>
          </w:p>
        </w:tc>
        <w:tc>
          <w:tcPr>
            <w:tcW w:w="1055" w:type="pct"/>
            <w:noWrap/>
            <w:hideMark/>
          </w:tcPr>
          <w:p w14:paraId="7F025BED" w14:textId="77777777" w:rsidR="00F07D43" w:rsidRPr="00F07D43" w:rsidRDefault="00F07D43" w:rsidP="00F07D43">
            <w:pPr>
              <w:pStyle w:val="TableBody"/>
            </w:pPr>
            <w:r w:rsidRPr="00F07D43">
              <w:t>35,603</w:t>
            </w:r>
          </w:p>
        </w:tc>
        <w:tc>
          <w:tcPr>
            <w:tcW w:w="1055" w:type="pct"/>
            <w:noWrap/>
            <w:hideMark/>
          </w:tcPr>
          <w:p w14:paraId="188D7C4D" w14:textId="77777777" w:rsidR="00F07D43" w:rsidRPr="00F07D43" w:rsidRDefault="00F07D43" w:rsidP="00F07D43">
            <w:pPr>
              <w:pStyle w:val="TableBody"/>
            </w:pPr>
            <w:r w:rsidRPr="00F07D43">
              <w:t>18,102</w:t>
            </w:r>
          </w:p>
        </w:tc>
        <w:tc>
          <w:tcPr>
            <w:tcW w:w="1055" w:type="pct"/>
            <w:noWrap/>
            <w:hideMark/>
          </w:tcPr>
          <w:p w14:paraId="06E64A5A" w14:textId="77777777" w:rsidR="00F07D43" w:rsidRPr="00F07D43" w:rsidRDefault="00F07D43" w:rsidP="00F07D43">
            <w:pPr>
              <w:pStyle w:val="TableBody"/>
            </w:pPr>
            <w:r w:rsidRPr="00F07D43">
              <w:t>2,953</w:t>
            </w:r>
          </w:p>
        </w:tc>
        <w:tc>
          <w:tcPr>
            <w:tcW w:w="1055" w:type="pct"/>
            <w:noWrap/>
            <w:hideMark/>
          </w:tcPr>
          <w:p w14:paraId="4BBF10E6" w14:textId="77777777" w:rsidR="00F07D43" w:rsidRPr="00F07D43" w:rsidRDefault="00F07D43" w:rsidP="00F07D43">
            <w:pPr>
              <w:pStyle w:val="TableBody"/>
            </w:pPr>
            <w:r w:rsidRPr="00F07D43">
              <w:t>1,051</w:t>
            </w:r>
          </w:p>
        </w:tc>
      </w:tr>
      <w:tr w:rsidR="00F07D43" w:rsidRPr="008915EB" w14:paraId="564BE6E7" w14:textId="77777777" w:rsidTr="00A652F6">
        <w:trPr>
          <w:trHeight w:val="288"/>
        </w:trPr>
        <w:tc>
          <w:tcPr>
            <w:tcW w:w="779" w:type="pct"/>
            <w:noWrap/>
            <w:hideMark/>
          </w:tcPr>
          <w:p w14:paraId="776B4547" w14:textId="77777777" w:rsidR="00F07D43" w:rsidRPr="00F07D43" w:rsidRDefault="00F07D43" w:rsidP="00F07D43">
            <w:pPr>
              <w:pStyle w:val="TableBody"/>
            </w:pPr>
            <w:r w:rsidRPr="00F07D43">
              <w:t>2016-17</w:t>
            </w:r>
          </w:p>
        </w:tc>
        <w:tc>
          <w:tcPr>
            <w:tcW w:w="1055" w:type="pct"/>
            <w:noWrap/>
            <w:hideMark/>
          </w:tcPr>
          <w:p w14:paraId="62738B6B" w14:textId="77777777" w:rsidR="00F07D43" w:rsidRPr="00F07D43" w:rsidRDefault="00F07D43" w:rsidP="00F07D43">
            <w:pPr>
              <w:pStyle w:val="TableBody"/>
            </w:pPr>
            <w:r w:rsidRPr="00F07D43">
              <w:t>38,872</w:t>
            </w:r>
          </w:p>
        </w:tc>
        <w:tc>
          <w:tcPr>
            <w:tcW w:w="1055" w:type="pct"/>
            <w:noWrap/>
            <w:hideMark/>
          </w:tcPr>
          <w:p w14:paraId="05B88634" w14:textId="77777777" w:rsidR="00F07D43" w:rsidRPr="00F07D43" w:rsidRDefault="00F07D43" w:rsidP="00F07D43">
            <w:pPr>
              <w:pStyle w:val="TableBody"/>
            </w:pPr>
            <w:r w:rsidRPr="00F07D43">
              <w:t>14,042</w:t>
            </w:r>
          </w:p>
        </w:tc>
        <w:tc>
          <w:tcPr>
            <w:tcW w:w="1055" w:type="pct"/>
            <w:noWrap/>
            <w:hideMark/>
          </w:tcPr>
          <w:p w14:paraId="130135CF" w14:textId="77777777" w:rsidR="00F07D43" w:rsidRPr="00F07D43" w:rsidRDefault="00F07D43" w:rsidP="00F07D43">
            <w:pPr>
              <w:pStyle w:val="TableBody"/>
            </w:pPr>
            <w:r w:rsidRPr="00F07D43">
              <w:t>3,187</w:t>
            </w:r>
          </w:p>
        </w:tc>
        <w:tc>
          <w:tcPr>
            <w:tcW w:w="1055" w:type="pct"/>
            <w:noWrap/>
            <w:hideMark/>
          </w:tcPr>
          <w:p w14:paraId="307A1387" w14:textId="77777777" w:rsidR="00F07D43" w:rsidRPr="00F07D43" w:rsidRDefault="00F07D43" w:rsidP="00F07D43">
            <w:pPr>
              <w:pStyle w:val="TableBody"/>
            </w:pPr>
            <w:r w:rsidRPr="00F07D43">
              <w:t>1,018</w:t>
            </w:r>
          </w:p>
        </w:tc>
      </w:tr>
      <w:tr w:rsidR="00F07D43" w:rsidRPr="008915EB" w14:paraId="5907DC84" w14:textId="77777777" w:rsidTr="00A652F6">
        <w:trPr>
          <w:trHeight w:val="288"/>
        </w:trPr>
        <w:tc>
          <w:tcPr>
            <w:tcW w:w="779" w:type="pct"/>
            <w:noWrap/>
            <w:hideMark/>
          </w:tcPr>
          <w:p w14:paraId="38E602FC" w14:textId="77777777" w:rsidR="00F07D43" w:rsidRPr="00F07D43" w:rsidRDefault="00F07D43" w:rsidP="00F07D43">
            <w:pPr>
              <w:pStyle w:val="TableBody"/>
            </w:pPr>
            <w:r w:rsidRPr="00F07D43">
              <w:t>2017-18</w:t>
            </w:r>
          </w:p>
        </w:tc>
        <w:tc>
          <w:tcPr>
            <w:tcW w:w="1055" w:type="pct"/>
            <w:noWrap/>
            <w:hideMark/>
          </w:tcPr>
          <w:p w14:paraId="7A3FFE3D" w14:textId="77777777" w:rsidR="00F07D43" w:rsidRPr="00F07D43" w:rsidRDefault="00F07D43" w:rsidP="00F07D43">
            <w:pPr>
              <w:pStyle w:val="TableBody"/>
            </w:pPr>
            <w:r w:rsidRPr="00F07D43">
              <w:t>39,622</w:t>
            </w:r>
          </w:p>
        </w:tc>
        <w:tc>
          <w:tcPr>
            <w:tcW w:w="1055" w:type="pct"/>
            <w:noWrap/>
            <w:hideMark/>
          </w:tcPr>
          <w:p w14:paraId="040950E4" w14:textId="77777777" w:rsidR="00F07D43" w:rsidRPr="00F07D43" w:rsidRDefault="00F07D43" w:rsidP="00F07D43">
            <w:pPr>
              <w:pStyle w:val="TableBody"/>
            </w:pPr>
            <w:r w:rsidRPr="00F07D43">
              <w:t>14,712</w:t>
            </w:r>
          </w:p>
        </w:tc>
        <w:tc>
          <w:tcPr>
            <w:tcW w:w="1055" w:type="pct"/>
            <w:noWrap/>
            <w:hideMark/>
          </w:tcPr>
          <w:p w14:paraId="7470EF80" w14:textId="77777777" w:rsidR="00F07D43" w:rsidRPr="00F07D43" w:rsidRDefault="00F07D43" w:rsidP="00F07D43">
            <w:pPr>
              <w:pStyle w:val="TableBody"/>
            </w:pPr>
            <w:r w:rsidRPr="00F07D43">
              <w:t>3,411</w:t>
            </w:r>
          </w:p>
        </w:tc>
        <w:tc>
          <w:tcPr>
            <w:tcW w:w="1055" w:type="pct"/>
            <w:noWrap/>
            <w:hideMark/>
          </w:tcPr>
          <w:p w14:paraId="2BA0F5F1" w14:textId="77777777" w:rsidR="00F07D43" w:rsidRPr="00F07D43" w:rsidRDefault="00F07D43" w:rsidP="00F07D43">
            <w:pPr>
              <w:pStyle w:val="TableBody"/>
            </w:pPr>
            <w:r w:rsidRPr="00F07D43">
              <w:t>1,137</w:t>
            </w:r>
          </w:p>
        </w:tc>
      </w:tr>
      <w:tr w:rsidR="00F07D43" w:rsidRPr="008915EB" w14:paraId="2EBD979C" w14:textId="77777777" w:rsidTr="00A652F6">
        <w:trPr>
          <w:trHeight w:val="288"/>
        </w:trPr>
        <w:tc>
          <w:tcPr>
            <w:tcW w:w="779" w:type="pct"/>
            <w:noWrap/>
            <w:hideMark/>
          </w:tcPr>
          <w:p w14:paraId="1DA3961D" w14:textId="77777777" w:rsidR="00F07D43" w:rsidRPr="00F07D43" w:rsidRDefault="00F07D43" w:rsidP="00F07D43">
            <w:pPr>
              <w:pStyle w:val="TableBody"/>
            </w:pPr>
            <w:r w:rsidRPr="00F07D43">
              <w:t>2018-19</w:t>
            </w:r>
          </w:p>
        </w:tc>
        <w:tc>
          <w:tcPr>
            <w:tcW w:w="1055" w:type="pct"/>
            <w:noWrap/>
            <w:hideMark/>
          </w:tcPr>
          <w:p w14:paraId="6CEAAA1F" w14:textId="77777777" w:rsidR="00F07D43" w:rsidRPr="00F07D43" w:rsidRDefault="00F07D43" w:rsidP="00F07D43">
            <w:pPr>
              <w:pStyle w:val="TableBody"/>
            </w:pPr>
            <w:r w:rsidRPr="00F07D43">
              <w:t>43,973</w:t>
            </w:r>
          </w:p>
        </w:tc>
        <w:tc>
          <w:tcPr>
            <w:tcW w:w="1055" w:type="pct"/>
            <w:noWrap/>
            <w:hideMark/>
          </w:tcPr>
          <w:p w14:paraId="018D5F14" w14:textId="77777777" w:rsidR="00F07D43" w:rsidRPr="00F07D43" w:rsidRDefault="00F07D43" w:rsidP="00F07D43">
            <w:pPr>
              <w:pStyle w:val="TableBody"/>
            </w:pPr>
            <w:r w:rsidRPr="00F07D43">
              <w:t>14,367</w:t>
            </w:r>
          </w:p>
        </w:tc>
        <w:tc>
          <w:tcPr>
            <w:tcW w:w="1055" w:type="pct"/>
            <w:noWrap/>
            <w:hideMark/>
          </w:tcPr>
          <w:p w14:paraId="27852077" w14:textId="77777777" w:rsidR="00F07D43" w:rsidRPr="00F07D43" w:rsidRDefault="00F07D43" w:rsidP="00F07D43">
            <w:pPr>
              <w:pStyle w:val="TableBody"/>
            </w:pPr>
            <w:r w:rsidRPr="00F07D43">
              <w:t>3,814</w:t>
            </w:r>
          </w:p>
        </w:tc>
        <w:tc>
          <w:tcPr>
            <w:tcW w:w="1055" w:type="pct"/>
            <w:noWrap/>
            <w:hideMark/>
          </w:tcPr>
          <w:p w14:paraId="393B306D" w14:textId="77777777" w:rsidR="00F07D43" w:rsidRPr="00F07D43" w:rsidRDefault="00F07D43" w:rsidP="00F07D43">
            <w:pPr>
              <w:pStyle w:val="TableBody"/>
            </w:pPr>
            <w:r w:rsidRPr="00F07D43">
              <w:t>1,515</w:t>
            </w:r>
          </w:p>
        </w:tc>
      </w:tr>
      <w:tr w:rsidR="00F07D43" w:rsidRPr="008915EB" w14:paraId="35561B35" w14:textId="77777777" w:rsidTr="00A652F6">
        <w:trPr>
          <w:trHeight w:val="288"/>
        </w:trPr>
        <w:tc>
          <w:tcPr>
            <w:tcW w:w="779" w:type="pct"/>
            <w:noWrap/>
            <w:hideMark/>
          </w:tcPr>
          <w:p w14:paraId="3A6DFAE9" w14:textId="77777777" w:rsidR="00F07D43" w:rsidRPr="00F07D43" w:rsidRDefault="00F07D43" w:rsidP="00F07D43">
            <w:pPr>
              <w:pStyle w:val="TableBody"/>
            </w:pPr>
            <w:r w:rsidRPr="00F07D43">
              <w:t>2019-20</w:t>
            </w:r>
          </w:p>
        </w:tc>
        <w:tc>
          <w:tcPr>
            <w:tcW w:w="1055" w:type="pct"/>
            <w:noWrap/>
            <w:hideMark/>
          </w:tcPr>
          <w:p w14:paraId="2C3D508C" w14:textId="77777777" w:rsidR="00F07D43" w:rsidRPr="00F07D43" w:rsidRDefault="00F07D43" w:rsidP="00F07D43">
            <w:pPr>
              <w:pStyle w:val="TableBody"/>
            </w:pPr>
            <w:r w:rsidRPr="00F07D43">
              <w:t>47,941</w:t>
            </w:r>
          </w:p>
        </w:tc>
        <w:tc>
          <w:tcPr>
            <w:tcW w:w="1055" w:type="pct"/>
            <w:noWrap/>
            <w:hideMark/>
          </w:tcPr>
          <w:p w14:paraId="4747C72D" w14:textId="77777777" w:rsidR="00F07D43" w:rsidRPr="00F07D43" w:rsidRDefault="00F07D43" w:rsidP="00F07D43">
            <w:pPr>
              <w:pStyle w:val="TableBody"/>
            </w:pPr>
            <w:r w:rsidRPr="00F07D43">
              <w:t>14,079</w:t>
            </w:r>
          </w:p>
        </w:tc>
        <w:tc>
          <w:tcPr>
            <w:tcW w:w="1055" w:type="pct"/>
            <w:noWrap/>
            <w:hideMark/>
          </w:tcPr>
          <w:p w14:paraId="27B0EBA8" w14:textId="77777777" w:rsidR="00F07D43" w:rsidRPr="00F07D43" w:rsidRDefault="00F07D43" w:rsidP="00F07D43">
            <w:pPr>
              <w:pStyle w:val="TableBody"/>
            </w:pPr>
            <w:r w:rsidRPr="00F07D43">
              <w:t>3,968</w:t>
            </w:r>
          </w:p>
        </w:tc>
        <w:tc>
          <w:tcPr>
            <w:tcW w:w="1055" w:type="pct"/>
            <w:noWrap/>
            <w:hideMark/>
          </w:tcPr>
          <w:p w14:paraId="494D4B7F" w14:textId="77777777" w:rsidR="00F07D43" w:rsidRPr="00F07D43" w:rsidRDefault="00F07D43" w:rsidP="00F07D43">
            <w:pPr>
              <w:pStyle w:val="TableBody"/>
            </w:pPr>
            <w:r w:rsidRPr="00F07D43">
              <w:t>1,838</w:t>
            </w:r>
          </w:p>
        </w:tc>
      </w:tr>
      <w:tr w:rsidR="00F07D43" w:rsidRPr="008915EB" w14:paraId="417704D6" w14:textId="77777777" w:rsidTr="00A652F6">
        <w:trPr>
          <w:trHeight w:val="288"/>
        </w:trPr>
        <w:tc>
          <w:tcPr>
            <w:tcW w:w="779" w:type="pct"/>
            <w:noWrap/>
            <w:hideMark/>
          </w:tcPr>
          <w:p w14:paraId="435E9273" w14:textId="77777777" w:rsidR="00F07D43" w:rsidRPr="00F07D43" w:rsidRDefault="00F07D43" w:rsidP="00F07D43">
            <w:pPr>
              <w:pStyle w:val="TableBody"/>
            </w:pPr>
            <w:r w:rsidRPr="00F07D43">
              <w:t>2020-21</w:t>
            </w:r>
          </w:p>
        </w:tc>
        <w:tc>
          <w:tcPr>
            <w:tcW w:w="1055" w:type="pct"/>
            <w:noWrap/>
            <w:hideMark/>
          </w:tcPr>
          <w:p w14:paraId="12B910DF" w14:textId="77777777" w:rsidR="00F07D43" w:rsidRPr="00F07D43" w:rsidRDefault="00F07D43" w:rsidP="00F07D43">
            <w:pPr>
              <w:pStyle w:val="TableBody"/>
            </w:pPr>
            <w:r w:rsidRPr="00F07D43">
              <w:t>54,934</w:t>
            </w:r>
          </w:p>
        </w:tc>
        <w:tc>
          <w:tcPr>
            <w:tcW w:w="1055" w:type="pct"/>
            <w:noWrap/>
            <w:hideMark/>
          </w:tcPr>
          <w:p w14:paraId="60C90963" w14:textId="77777777" w:rsidR="00F07D43" w:rsidRPr="00F07D43" w:rsidRDefault="00F07D43" w:rsidP="00F07D43">
            <w:pPr>
              <w:pStyle w:val="TableBody"/>
            </w:pPr>
            <w:r w:rsidRPr="00F07D43">
              <w:t>10,681</w:t>
            </w:r>
          </w:p>
        </w:tc>
        <w:tc>
          <w:tcPr>
            <w:tcW w:w="1055" w:type="pct"/>
            <w:noWrap/>
            <w:hideMark/>
          </w:tcPr>
          <w:p w14:paraId="1B79F4A8" w14:textId="77777777" w:rsidR="00F07D43" w:rsidRPr="00F07D43" w:rsidRDefault="00F07D43" w:rsidP="00F07D43">
            <w:pPr>
              <w:pStyle w:val="TableBody"/>
            </w:pPr>
            <w:r w:rsidRPr="00F07D43">
              <w:t>4,537</w:t>
            </w:r>
          </w:p>
        </w:tc>
        <w:tc>
          <w:tcPr>
            <w:tcW w:w="1055" w:type="pct"/>
            <w:noWrap/>
            <w:hideMark/>
          </w:tcPr>
          <w:p w14:paraId="30AB94C5" w14:textId="77777777" w:rsidR="00F07D43" w:rsidRPr="00F07D43" w:rsidRDefault="00F07D43" w:rsidP="00F07D43">
            <w:pPr>
              <w:pStyle w:val="TableBody"/>
            </w:pPr>
            <w:r w:rsidRPr="00F07D43">
              <w:t>1,269</w:t>
            </w:r>
          </w:p>
        </w:tc>
      </w:tr>
      <w:tr w:rsidR="00F07D43" w:rsidRPr="008915EB" w14:paraId="25EDFE34" w14:textId="77777777" w:rsidTr="00A652F6">
        <w:trPr>
          <w:trHeight w:val="288"/>
        </w:trPr>
        <w:tc>
          <w:tcPr>
            <w:tcW w:w="779" w:type="pct"/>
            <w:noWrap/>
            <w:hideMark/>
          </w:tcPr>
          <w:p w14:paraId="0E015339" w14:textId="77777777" w:rsidR="00F07D43" w:rsidRPr="00F07D43" w:rsidRDefault="00F07D43" w:rsidP="00F07D43">
            <w:pPr>
              <w:pStyle w:val="TableBody"/>
            </w:pPr>
            <w:r w:rsidRPr="00F07D43">
              <w:t>2021-22</w:t>
            </w:r>
          </w:p>
        </w:tc>
        <w:tc>
          <w:tcPr>
            <w:tcW w:w="1055" w:type="pct"/>
            <w:noWrap/>
            <w:hideMark/>
          </w:tcPr>
          <w:p w14:paraId="7E4259E6" w14:textId="77777777" w:rsidR="00F07D43" w:rsidRPr="00F07D43" w:rsidRDefault="00F07D43" w:rsidP="00F07D43">
            <w:pPr>
              <w:pStyle w:val="TableBody"/>
            </w:pPr>
            <w:r w:rsidRPr="00F07D43">
              <w:t>51,158</w:t>
            </w:r>
          </w:p>
        </w:tc>
        <w:tc>
          <w:tcPr>
            <w:tcW w:w="1055" w:type="pct"/>
            <w:noWrap/>
            <w:hideMark/>
          </w:tcPr>
          <w:p w14:paraId="527FD00E" w14:textId="77777777" w:rsidR="00F07D43" w:rsidRPr="00F07D43" w:rsidRDefault="00F07D43" w:rsidP="00F07D43">
            <w:pPr>
              <w:pStyle w:val="TableBody"/>
            </w:pPr>
            <w:r w:rsidRPr="00F07D43">
              <w:t>12,204</w:t>
            </w:r>
          </w:p>
        </w:tc>
        <w:tc>
          <w:tcPr>
            <w:tcW w:w="1055" w:type="pct"/>
            <w:noWrap/>
            <w:hideMark/>
          </w:tcPr>
          <w:p w14:paraId="0C5D7A89" w14:textId="77777777" w:rsidR="00F07D43" w:rsidRPr="00F07D43" w:rsidRDefault="00F07D43" w:rsidP="00F07D43">
            <w:pPr>
              <w:pStyle w:val="TableBody"/>
            </w:pPr>
            <w:r w:rsidRPr="00F07D43">
              <w:t>4,365</w:t>
            </w:r>
          </w:p>
        </w:tc>
        <w:tc>
          <w:tcPr>
            <w:tcW w:w="1055" w:type="pct"/>
            <w:noWrap/>
            <w:hideMark/>
          </w:tcPr>
          <w:p w14:paraId="79329E40" w14:textId="77777777" w:rsidR="00F07D43" w:rsidRPr="00F07D43" w:rsidRDefault="00F07D43" w:rsidP="00F07D43">
            <w:pPr>
              <w:pStyle w:val="TableBody"/>
            </w:pPr>
            <w:r w:rsidRPr="00F07D43">
              <w:t>1,299</w:t>
            </w:r>
          </w:p>
        </w:tc>
      </w:tr>
      <w:tr w:rsidR="00F07D43" w:rsidRPr="008915EB" w14:paraId="22AA9583" w14:textId="77777777" w:rsidTr="00A652F6">
        <w:trPr>
          <w:trHeight w:val="288"/>
        </w:trPr>
        <w:tc>
          <w:tcPr>
            <w:tcW w:w="779" w:type="pct"/>
            <w:noWrap/>
            <w:hideMark/>
          </w:tcPr>
          <w:p w14:paraId="363DDB98" w14:textId="77777777" w:rsidR="00F07D43" w:rsidRPr="00F07D43" w:rsidRDefault="00F07D43" w:rsidP="00F07D43">
            <w:pPr>
              <w:pStyle w:val="TableBody"/>
            </w:pPr>
            <w:r w:rsidRPr="00F07D43">
              <w:t>2022-23</w:t>
            </w:r>
          </w:p>
        </w:tc>
        <w:tc>
          <w:tcPr>
            <w:tcW w:w="1055" w:type="pct"/>
            <w:noWrap/>
            <w:hideMark/>
          </w:tcPr>
          <w:p w14:paraId="67B35AC8" w14:textId="77777777" w:rsidR="00F07D43" w:rsidRPr="00F07D43" w:rsidRDefault="00F07D43" w:rsidP="00F07D43">
            <w:pPr>
              <w:pStyle w:val="TableBody"/>
            </w:pPr>
            <w:r w:rsidRPr="00F07D43">
              <w:t>53,892</w:t>
            </w:r>
          </w:p>
        </w:tc>
        <w:tc>
          <w:tcPr>
            <w:tcW w:w="1055" w:type="pct"/>
            <w:noWrap/>
            <w:hideMark/>
          </w:tcPr>
          <w:p w14:paraId="66AEA05E" w14:textId="77777777" w:rsidR="00F07D43" w:rsidRPr="00F07D43" w:rsidRDefault="00F07D43" w:rsidP="00F07D43">
            <w:pPr>
              <w:pStyle w:val="TableBody"/>
            </w:pPr>
            <w:r w:rsidRPr="00F07D43">
              <w:t>16,725</w:t>
            </w:r>
          </w:p>
        </w:tc>
        <w:tc>
          <w:tcPr>
            <w:tcW w:w="1055" w:type="pct"/>
            <w:noWrap/>
            <w:hideMark/>
          </w:tcPr>
          <w:p w14:paraId="544B1DB3" w14:textId="77777777" w:rsidR="00F07D43" w:rsidRPr="00F07D43" w:rsidRDefault="00F07D43" w:rsidP="00F07D43">
            <w:pPr>
              <w:pStyle w:val="TableBody"/>
            </w:pPr>
            <w:r w:rsidRPr="00F07D43">
              <w:t>4,396</w:t>
            </w:r>
          </w:p>
        </w:tc>
        <w:tc>
          <w:tcPr>
            <w:tcW w:w="1055" w:type="pct"/>
            <w:noWrap/>
            <w:hideMark/>
          </w:tcPr>
          <w:p w14:paraId="60BF36EA" w14:textId="77777777" w:rsidR="00F07D43" w:rsidRPr="00F07D43" w:rsidRDefault="00F07D43" w:rsidP="00F07D43">
            <w:pPr>
              <w:pStyle w:val="TableBody"/>
            </w:pPr>
            <w:r w:rsidRPr="00F07D43">
              <w:t>1,505</w:t>
            </w:r>
          </w:p>
        </w:tc>
      </w:tr>
      <w:tr w:rsidR="00F07D43" w:rsidRPr="008915EB" w14:paraId="0D018637" w14:textId="77777777" w:rsidTr="00A652F6">
        <w:trPr>
          <w:trHeight w:val="288"/>
        </w:trPr>
        <w:tc>
          <w:tcPr>
            <w:tcW w:w="779" w:type="pct"/>
            <w:noWrap/>
            <w:hideMark/>
          </w:tcPr>
          <w:p w14:paraId="053688A7" w14:textId="77777777" w:rsidR="00F07D43" w:rsidRPr="00F07D43" w:rsidRDefault="00F07D43" w:rsidP="00F07D43">
            <w:pPr>
              <w:pStyle w:val="TableBody"/>
            </w:pPr>
            <w:r w:rsidRPr="00F07D43">
              <w:t>2023-24</w:t>
            </w:r>
          </w:p>
        </w:tc>
        <w:tc>
          <w:tcPr>
            <w:tcW w:w="1055" w:type="pct"/>
            <w:noWrap/>
            <w:hideMark/>
          </w:tcPr>
          <w:p w14:paraId="62A7621B" w14:textId="77777777" w:rsidR="00F07D43" w:rsidRPr="00F07D43" w:rsidRDefault="00F07D43" w:rsidP="00F07D43">
            <w:pPr>
              <w:pStyle w:val="TableBody"/>
            </w:pPr>
            <w:r w:rsidRPr="00F07D43">
              <w:t>55,640</w:t>
            </w:r>
          </w:p>
        </w:tc>
        <w:tc>
          <w:tcPr>
            <w:tcW w:w="1055" w:type="pct"/>
            <w:noWrap/>
            <w:hideMark/>
          </w:tcPr>
          <w:p w14:paraId="4A6B8438" w14:textId="77777777" w:rsidR="00F07D43" w:rsidRPr="00F07D43" w:rsidRDefault="00F07D43" w:rsidP="00F07D43">
            <w:pPr>
              <w:pStyle w:val="TableBody"/>
            </w:pPr>
            <w:r w:rsidRPr="00F07D43">
              <w:t>14,452</w:t>
            </w:r>
          </w:p>
        </w:tc>
        <w:tc>
          <w:tcPr>
            <w:tcW w:w="1055" w:type="pct"/>
            <w:noWrap/>
            <w:hideMark/>
          </w:tcPr>
          <w:p w14:paraId="19BC2D17" w14:textId="77777777" w:rsidR="00F07D43" w:rsidRPr="00F07D43" w:rsidRDefault="00F07D43" w:rsidP="00F07D43">
            <w:pPr>
              <w:pStyle w:val="TableBody"/>
            </w:pPr>
            <w:r w:rsidRPr="00F07D43">
              <w:t>5,376</w:t>
            </w:r>
          </w:p>
        </w:tc>
        <w:tc>
          <w:tcPr>
            <w:tcW w:w="1055" w:type="pct"/>
            <w:noWrap/>
            <w:hideMark/>
          </w:tcPr>
          <w:p w14:paraId="631A8F8A" w14:textId="77777777" w:rsidR="00F07D43" w:rsidRPr="00F07D43" w:rsidRDefault="00F07D43" w:rsidP="00F07D43">
            <w:pPr>
              <w:pStyle w:val="TableBody"/>
            </w:pPr>
            <w:r w:rsidRPr="00F07D43">
              <w:t>1,894</w:t>
            </w:r>
          </w:p>
        </w:tc>
      </w:tr>
    </w:tbl>
    <w:p w14:paraId="4C256667" w14:textId="77777777" w:rsidR="003B2797" w:rsidRPr="00157502" w:rsidRDefault="003B2797" w:rsidP="00D4532A">
      <w:r w:rsidRPr="000C258A">
        <w:rPr>
          <w:rStyle w:val="Strong"/>
        </w:rPr>
        <w:t>Source</w:t>
      </w:r>
      <w:r w:rsidRPr="008C1137">
        <w:t>: Crime Statistics Agency Victoria,</w:t>
      </w:r>
      <w:r w:rsidRPr="008C1137">
        <w:rPr>
          <w:rStyle w:val="Italic"/>
        </w:rPr>
        <w:t xml:space="preserve"> Offences Recorded: Year Ending 30 June </w:t>
      </w:r>
      <w:r w:rsidRPr="008C1137">
        <w:t>(2024) Table 01</w:t>
      </w:r>
    </w:p>
    <w:p w14:paraId="310C0469" w14:textId="77777777" w:rsidR="00A4454A" w:rsidRPr="008C1137" w:rsidRDefault="00A4454A" w:rsidP="00210207">
      <w:pPr>
        <w:pStyle w:val="Numbered"/>
      </w:pPr>
      <w:r w:rsidRPr="008C1137">
        <w:t xml:space="preserve">In the 14 years to 30 June 2024, there was a </w:t>
      </w:r>
      <w:r w:rsidRPr="003B3217">
        <w:rPr>
          <w:rStyle w:val="Italic"/>
        </w:rPr>
        <w:t>fivefold</w:t>
      </w:r>
      <w:r w:rsidRPr="008C1137">
        <w:t xml:space="preserve"> increase in the number of recorded breach of family violence order offences</w:t>
      </w:r>
      <w:r w:rsidRPr="008C1137">
        <w:rPr>
          <w:rStyle w:val="Superscript"/>
        </w:rPr>
        <w:footnoteReference w:id="57"/>
      </w:r>
      <w:r w:rsidRPr="008C1137">
        <w:t xml:space="preserve"> </w:t>
      </w:r>
      <w:r w:rsidRPr="008C1137">
        <w:lastRenderedPageBreak/>
        <w:t>(from 9,788 to 55,640), likely the result of concerted efforts from federal, state and territory governments to more proactively respond to instances of family violence offending.</w:t>
      </w:r>
      <w:r w:rsidRPr="008C1137">
        <w:rPr>
          <w:rStyle w:val="Superscript"/>
        </w:rPr>
        <w:footnoteReference w:id="58"/>
      </w:r>
      <w:r w:rsidRPr="008C1137">
        <w:t xml:space="preserve"> For example, in the 14 years since 2010–11, Victoria Police instituted a number of changes to improve the recording of family violence incidents, such as technology enabling police to complete risk assessment and risk management reports (L17 forms) and issue family violence safety notices in the field.</w:t>
      </w:r>
      <w:r w:rsidRPr="008C1137">
        <w:rPr>
          <w:rStyle w:val="Superscript"/>
        </w:rPr>
        <w:footnoteReference w:id="59"/>
      </w:r>
      <w:r w:rsidRPr="008C1137">
        <w:t xml:space="preserve"> Other contributors to the overall rise in recorded breach of family violence order offences include an increase in family violence intervention orders made in Victorian courts,</w:t>
      </w:r>
      <w:r w:rsidRPr="008C1137">
        <w:rPr>
          <w:rStyle w:val="Superscript"/>
        </w:rPr>
        <w:footnoteReference w:id="60"/>
      </w:r>
      <w:r w:rsidRPr="008C1137">
        <w:t xml:space="preserve"> and an increased willingness to report breaches of these orders.</w:t>
      </w:r>
      <w:r w:rsidRPr="008C1137">
        <w:rPr>
          <w:rStyle w:val="Superscript"/>
        </w:rPr>
        <w:footnoteReference w:id="61"/>
      </w:r>
      <w:r w:rsidRPr="008C1137">
        <w:t xml:space="preserve"> </w:t>
      </w:r>
    </w:p>
    <w:p w14:paraId="3511FD19" w14:textId="77777777" w:rsidR="00A4454A" w:rsidRPr="008C1137" w:rsidRDefault="00A4454A" w:rsidP="00210207">
      <w:pPr>
        <w:pStyle w:val="Numbered"/>
      </w:pPr>
      <w:r w:rsidRPr="008C1137">
        <w:t xml:space="preserve">In addition, a number of secondary offences (offences that arise consequential to a person’s involvement in the criminal justice </w:t>
      </w:r>
      <w:r w:rsidRPr="008C1137">
        <w:lastRenderedPageBreak/>
        <w:t>system) have been criminalised in Victoria over the past two decades, including breach of bail, breach of parole and breaches of sentencing orders.</w:t>
      </w:r>
      <w:r w:rsidRPr="008C1137">
        <w:rPr>
          <w:rStyle w:val="Superscript"/>
        </w:rPr>
        <w:footnoteReference w:id="62"/>
      </w:r>
      <w:r w:rsidRPr="008C1137">
        <w:t xml:space="preserve"> Most notably, the offences of committing an indictable offence while on bail and contravening a conduct condition of bail were introduced in 2013.</w:t>
      </w:r>
      <w:r w:rsidRPr="008C1137">
        <w:rPr>
          <w:rStyle w:val="Superscript"/>
        </w:rPr>
        <w:footnoteReference w:id="63"/>
      </w:r>
      <w:r w:rsidRPr="008C1137">
        <w:t xml:space="preserve"> This frequently resulted in additional charges for people who offended while on bail. For example, if a person committed a burglary offence while on bail, they could be charged with both burglary and committing an indictable offence while on bail; this means that, where previously they would have been charged with one offence (burglary), they could now be charged with two offences (burglary and committing an indictable offence while on bail).</w:t>
      </w:r>
      <w:r w:rsidRPr="008C1137">
        <w:rPr>
          <w:rStyle w:val="Superscript"/>
        </w:rPr>
        <w:footnoteReference w:id="64"/>
      </w:r>
      <w:r w:rsidRPr="008C1137">
        <w:t xml:space="preserve"> Largely as a result of this change, the number of recorded breach of bail offences</w:t>
      </w:r>
      <w:r w:rsidRPr="008C1137">
        <w:rPr>
          <w:rStyle w:val="Superscript"/>
        </w:rPr>
        <w:footnoteReference w:id="65"/>
      </w:r>
      <w:r w:rsidRPr="008C1137">
        <w:t xml:space="preserve"> more than doubled between 2010–11 and 2023–24, contributing to just over 179,000 recorded breach of bail offences in the 14-year period.</w:t>
      </w:r>
    </w:p>
    <w:p w14:paraId="0E277077" w14:textId="77777777" w:rsidR="00A4454A" w:rsidRPr="008C1137" w:rsidRDefault="00A4454A" w:rsidP="00210207">
      <w:pPr>
        <w:pStyle w:val="Numbered"/>
      </w:pPr>
      <w:r w:rsidRPr="008C1137">
        <w:t xml:space="preserve">Though the number of unique alleged offenders was relatively stable for drug offences, the numbers did increase over time, growing by 27% in the 20 years to 30 June 2024. Not all drug offences increased at the same rate, though. In the 14-year period between 2010–11 and 2023–24, there was very little change in the number of drug use and possession offences, which are typically the least serious drug offences. There was a slight increase in the </w:t>
      </w:r>
      <w:r w:rsidRPr="008C1137">
        <w:lastRenderedPageBreak/>
        <w:t xml:space="preserve">number of drug trafficking offences overall (though the number increased by 54% between 2010–11 and 2015–16 before slowly decreasing, sitting just 10% higher in 2023–24 than in 2010–11). In comparison, the drug offences that saw the greatest increase were cultivating or manufacturing drug offences, which grew by 95% (from 821 unique alleged offenders in 2010–11 to 1,598 unique alleged offenders in 2023–24). </w:t>
      </w:r>
    </w:p>
    <w:p w14:paraId="1A124A8B" w14:textId="77777777" w:rsidR="00A4454A" w:rsidRPr="008C1137" w:rsidRDefault="00A4454A" w:rsidP="00210207">
      <w:pPr>
        <w:pStyle w:val="Numbered"/>
      </w:pPr>
      <w:r w:rsidRPr="008C1137">
        <w:t>As mentioned above, two offence categories saw significant decreases over the period: public order offences and property offences. There seem to be distinct reasons for these changes:</w:t>
      </w:r>
    </w:p>
    <w:p w14:paraId="4AC26AA5" w14:textId="77777777" w:rsidR="00A4454A" w:rsidRPr="008C1137" w:rsidRDefault="00A4454A" w:rsidP="008C1137">
      <w:pPr>
        <w:pStyle w:val="Bullets"/>
      </w:pPr>
      <w:r w:rsidRPr="008C1137">
        <w:t>the broad category of public order offences includes weapons offences, disorderly conduct offences, public nuisance offences and public security offences. The number of unique alleged offenders for this category increased rapidly between 2004–05 and 2010–11, peaking at 15,121 unique alleged offenders. However, public order offences collectively saw a reduction of 67%, or 10,111 unique alleged offenders, in the 14 years to 30 June 2024. There was a significant increase of 42% in unique alleged offenders recorded for weapons offences between 2010–11 and 2023–24 (from 2,333 unique alleged offenders to 3,320). That increase, however, was substantially outweighed by the decrease in disorderly conduct offences (including being drunk and disorderly in public, using offensive language in public and engaging in offensive conduct in public), which fell by 89% during that period (from 12,276 unique alleged offenders to 1,318)</w:t>
      </w:r>
      <w:r w:rsidRPr="008C1137">
        <w:rPr>
          <w:rStyle w:val="Superscript"/>
        </w:rPr>
        <w:footnoteReference w:id="66"/>
      </w:r>
      <w:r w:rsidRPr="008C1137">
        <w:t xml:space="preserve"> </w:t>
      </w:r>
    </w:p>
    <w:p w14:paraId="1F8225F8" w14:textId="2F439BFE" w:rsidR="00A4454A" w:rsidRPr="008C1137" w:rsidRDefault="00A4454A" w:rsidP="008C1137">
      <w:pPr>
        <w:pStyle w:val="Bullets"/>
      </w:pPr>
      <w:r w:rsidRPr="008C1137">
        <w:lastRenderedPageBreak/>
        <w:t xml:space="preserve">the number of unique alleged offenders apprehended for property offences (which include theft offences, whether the theft be from a shop, from a person, of a bicycle or of a car, as well as property damage offences and burglary offences) also decreased (by 21%) in the 20 years to 30 June 2024. Since 2010–11, the reduction in the number of unique alleged offenders recorded for property offences was primarily driven by a reduction in the number of </w:t>
      </w:r>
      <w:r w:rsidRPr="003B3217">
        <w:rPr>
          <w:rStyle w:val="Italic"/>
        </w:rPr>
        <w:t>people</w:t>
      </w:r>
      <w:r w:rsidRPr="008C1137">
        <w:t xml:space="preserve"> apprehended for theft, which decreased by 46% from 12,609 unique alleged offenders to 6,759. However, there was concurrently an increase in the number of </w:t>
      </w:r>
      <w:r w:rsidRPr="003B3217">
        <w:rPr>
          <w:rStyle w:val="Italic"/>
        </w:rPr>
        <w:t>alleged offender</w:t>
      </w:r>
      <w:r w:rsidRPr="008C1137">
        <w:t xml:space="preserve"> </w:t>
      </w:r>
      <w:r w:rsidRPr="003B3217">
        <w:rPr>
          <w:rStyle w:val="Italic"/>
        </w:rPr>
        <w:t xml:space="preserve">incidents </w:t>
      </w:r>
      <w:r w:rsidRPr="008C1137">
        <w:t>(an incident involving one or more offences linked to an alleged offender) where the most serious offence was theft, suggesting that theft offenders are committing theft offences in higher volumes than they had previously (see Figure 11).</w:t>
      </w:r>
      <w:r w:rsidRPr="008C1137">
        <w:rPr>
          <w:rStyle w:val="Superscript"/>
        </w:rPr>
        <w:footnoteReference w:id="67"/>
      </w:r>
    </w:p>
    <w:p w14:paraId="16CB74EC" w14:textId="77777777" w:rsidR="000372B0" w:rsidRPr="008C1137" w:rsidRDefault="000372B0" w:rsidP="00BE4EDC">
      <w:pPr>
        <w:pStyle w:val="Caption"/>
      </w:pPr>
      <w:r w:rsidRPr="00157502">
        <w:t>Figure 11</w:t>
      </w:r>
      <w:r w:rsidRPr="008C1137">
        <w:t>: Number of alleged offender incidents and number of unique alleged offenders whose most serious offence type was a theft offence, 2010–11 to 2023–24</w:t>
      </w:r>
    </w:p>
    <w:tbl>
      <w:tblPr>
        <w:tblStyle w:val="Table"/>
        <w:tblW w:w="5000" w:type="pct"/>
        <w:tblLayout w:type="fixed"/>
        <w:tblLook w:val="04A0" w:firstRow="1" w:lastRow="0" w:firstColumn="1" w:lastColumn="0" w:noHBand="0" w:noVBand="1"/>
      </w:tblPr>
      <w:tblGrid>
        <w:gridCol w:w="3005"/>
        <w:gridCol w:w="3005"/>
        <w:gridCol w:w="3006"/>
      </w:tblGrid>
      <w:tr w:rsidR="00D009FD" w:rsidRPr="00D009FD" w14:paraId="05458D32" w14:textId="77777777" w:rsidTr="00331718">
        <w:trPr>
          <w:trHeight w:val="288"/>
          <w:tblHeader/>
        </w:trPr>
        <w:tc>
          <w:tcPr>
            <w:tcW w:w="1666" w:type="pct"/>
            <w:noWrap/>
            <w:hideMark/>
          </w:tcPr>
          <w:p w14:paraId="71856BE6" w14:textId="0CD49E2D" w:rsidR="00D009FD" w:rsidRPr="00E4514F" w:rsidRDefault="006B0477" w:rsidP="00E4514F">
            <w:pPr>
              <w:pStyle w:val="TableHeading"/>
            </w:pPr>
            <w:r>
              <w:t>Financial year</w:t>
            </w:r>
          </w:p>
        </w:tc>
        <w:tc>
          <w:tcPr>
            <w:tcW w:w="1666" w:type="pct"/>
            <w:noWrap/>
            <w:hideMark/>
          </w:tcPr>
          <w:p w14:paraId="26895C27" w14:textId="77777777" w:rsidR="00D009FD" w:rsidRPr="00E4514F" w:rsidRDefault="00D009FD" w:rsidP="00E4514F">
            <w:pPr>
              <w:pStyle w:val="TableHeading"/>
            </w:pPr>
            <w:r w:rsidRPr="00E4514F">
              <w:t>Unique alleged theft offenders (people)</w:t>
            </w:r>
          </w:p>
        </w:tc>
        <w:tc>
          <w:tcPr>
            <w:tcW w:w="1667" w:type="pct"/>
            <w:noWrap/>
            <w:hideMark/>
          </w:tcPr>
          <w:p w14:paraId="7EA118E9" w14:textId="77777777" w:rsidR="00D009FD" w:rsidRPr="00E4514F" w:rsidRDefault="00D009FD" w:rsidP="00E4514F">
            <w:pPr>
              <w:pStyle w:val="TableHeading"/>
            </w:pPr>
            <w:r w:rsidRPr="00E4514F">
              <w:t>Alleged offender theft incidents</w:t>
            </w:r>
          </w:p>
        </w:tc>
      </w:tr>
      <w:tr w:rsidR="00D009FD" w:rsidRPr="00D009FD" w14:paraId="1D590FA0" w14:textId="77777777" w:rsidTr="00331718">
        <w:trPr>
          <w:trHeight w:val="288"/>
        </w:trPr>
        <w:tc>
          <w:tcPr>
            <w:tcW w:w="1666" w:type="pct"/>
            <w:noWrap/>
            <w:hideMark/>
          </w:tcPr>
          <w:p w14:paraId="58467607" w14:textId="77777777" w:rsidR="00D009FD" w:rsidRPr="00E4514F" w:rsidRDefault="00D009FD" w:rsidP="00E4514F">
            <w:pPr>
              <w:pStyle w:val="TableBody"/>
            </w:pPr>
            <w:r w:rsidRPr="00E4514F">
              <w:t>2010-11</w:t>
            </w:r>
          </w:p>
        </w:tc>
        <w:tc>
          <w:tcPr>
            <w:tcW w:w="1666" w:type="pct"/>
            <w:noWrap/>
            <w:hideMark/>
          </w:tcPr>
          <w:p w14:paraId="222AD398" w14:textId="77777777" w:rsidR="00D009FD" w:rsidRPr="00E4514F" w:rsidRDefault="00D009FD" w:rsidP="00E4514F">
            <w:pPr>
              <w:pStyle w:val="TableBody"/>
            </w:pPr>
            <w:r w:rsidRPr="00E4514F">
              <w:t>12,609</w:t>
            </w:r>
          </w:p>
        </w:tc>
        <w:tc>
          <w:tcPr>
            <w:tcW w:w="1667" w:type="pct"/>
            <w:noWrap/>
            <w:hideMark/>
          </w:tcPr>
          <w:p w14:paraId="60043B05" w14:textId="77777777" w:rsidR="00D009FD" w:rsidRPr="00E4514F" w:rsidRDefault="00D009FD" w:rsidP="00E4514F">
            <w:pPr>
              <w:pStyle w:val="TableBody"/>
            </w:pPr>
            <w:r w:rsidRPr="00E4514F">
              <w:t>29,451</w:t>
            </w:r>
          </w:p>
        </w:tc>
      </w:tr>
      <w:tr w:rsidR="00D009FD" w:rsidRPr="00D009FD" w14:paraId="79F3F4E9" w14:textId="77777777" w:rsidTr="00331718">
        <w:trPr>
          <w:trHeight w:val="288"/>
        </w:trPr>
        <w:tc>
          <w:tcPr>
            <w:tcW w:w="1666" w:type="pct"/>
            <w:noWrap/>
            <w:hideMark/>
          </w:tcPr>
          <w:p w14:paraId="7CB93AAC" w14:textId="77777777" w:rsidR="00D009FD" w:rsidRPr="00E4514F" w:rsidRDefault="00D009FD" w:rsidP="00E4514F">
            <w:pPr>
              <w:pStyle w:val="TableBody"/>
            </w:pPr>
            <w:r w:rsidRPr="00E4514F">
              <w:lastRenderedPageBreak/>
              <w:t>2011-12</w:t>
            </w:r>
          </w:p>
        </w:tc>
        <w:tc>
          <w:tcPr>
            <w:tcW w:w="1666" w:type="pct"/>
            <w:noWrap/>
            <w:hideMark/>
          </w:tcPr>
          <w:p w14:paraId="690CD89C" w14:textId="77777777" w:rsidR="00D009FD" w:rsidRPr="00E4514F" w:rsidRDefault="00D009FD" w:rsidP="00E4514F">
            <w:pPr>
              <w:pStyle w:val="TableBody"/>
            </w:pPr>
            <w:r w:rsidRPr="00E4514F">
              <w:t>11,328</w:t>
            </w:r>
          </w:p>
        </w:tc>
        <w:tc>
          <w:tcPr>
            <w:tcW w:w="1667" w:type="pct"/>
            <w:noWrap/>
            <w:hideMark/>
          </w:tcPr>
          <w:p w14:paraId="2CDEC9E4" w14:textId="77777777" w:rsidR="00D009FD" w:rsidRPr="00E4514F" w:rsidRDefault="00D009FD" w:rsidP="00E4514F">
            <w:pPr>
              <w:pStyle w:val="TableBody"/>
            </w:pPr>
            <w:r w:rsidRPr="00E4514F">
              <w:t>28,158</w:t>
            </w:r>
          </w:p>
        </w:tc>
      </w:tr>
      <w:tr w:rsidR="00D009FD" w:rsidRPr="00D009FD" w14:paraId="359160FC" w14:textId="77777777" w:rsidTr="00331718">
        <w:trPr>
          <w:trHeight w:val="288"/>
        </w:trPr>
        <w:tc>
          <w:tcPr>
            <w:tcW w:w="1666" w:type="pct"/>
            <w:noWrap/>
            <w:hideMark/>
          </w:tcPr>
          <w:p w14:paraId="1F077A9E" w14:textId="77777777" w:rsidR="00D009FD" w:rsidRPr="00E4514F" w:rsidRDefault="00D009FD" w:rsidP="00E4514F">
            <w:pPr>
              <w:pStyle w:val="TableBody"/>
            </w:pPr>
            <w:r w:rsidRPr="00E4514F">
              <w:t>2012-13</w:t>
            </w:r>
          </w:p>
        </w:tc>
        <w:tc>
          <w:tcPr>
            <w:tcW w:w="1666" w:type="pct"/>
            <w:noWrap/>
            <w:hideMark/>
          </w:tcPr>
          <w:p w14:paraId="7CF7CF7E" w14:textId="77777777" w:rsidR="00D009FD" w:rsidRPr="00E4514F" w:rsidRDefault="00D009FD" w:rsidP="00E4514F">
            <w:pPr>
              <w:pStyle w:val="TableBody"/>
            </w:pPr>
            <w:r w:rsidRPr="00E4514F">
              <w:t>10,892</w:t>
            </w:r>
          </w:p>
        </w:tc>
        <w:tc>
          <w:tcPr>
            <w:tcW w:w="1667" w:type="pct"/>
            <w:noWrap/>
            <w:hideMark/>
          </w:tcPr>
          <w:p w14:paraId="49E01BA5" w14:textId="77777777" w:rsidR="00D009FD" w:rsidRPr="00E4514F" w:rsidRDefault="00D009FD" w:rsidP="00E4514F">
            <w:pPr>
              <w:pStyle w:val="TableBody"/>
            </w:pPr>
            <w:r w:rsidRPr="00E4514F">
              <w:t>29,971</w:t>
            </w:r>
          </w:p>
        </w:tc>
      </w:tr>
      <w:tr w:rsidR="00D009FD" w:rsidRPr="00D009FD" w14:paraId="38B03B20" w14:textId="77777777" w:rsidTr="00331718">
        <w:trPr>
          <w:trHeight w:val="288"/>
        </w:trPr>
        <w:tc>
          <w:tcPr>
            <w:tcW w:w="1666" w:type="pct"/>
            <w:noWrap/>
            <w:hideMark/>
          </w:tcPr>
          <w:p w14:paraId="2542676F" w14:textId="77777777" w:rsidR="00D009FD" w:rsidRPr="00E4514F" w:rsidRDefault="00D009FD" w:rsidP="00E4514F">
            <w:pPr>
              <w:pStyle w:val="TableBody"/>
            </w:pPr>
            <w:r w:rsidRPr="00E4514F">
              <w:t>2013-14</w:t>
            </w:r>
          </w:p>
        </w:tc>
        <w:tc>
          <w:tcPr>
            <w:tcW w:w="1666" w:type="pct"/>
            <w:noWrap/>
            <w:hideMark/>
          </w:tcPr>
          <w:p w14:paraId="7F86D687" w14:textId="77777777" w:rsidR="00D009FD" w:rsidRPr="00E4514F" w:rsidRDefault="00D009FD" w:rsidP="00E4514F">
            <w:pPr>
              <w:pStyle w:val="TableBody"/>
            </w:pPr>
            <w:r w:rsidRPr="00E4514F">
              <w:t>10,137</w:t>
            </w:r>
          </w:p>
        </w:tc>
        <w:tc>
          <w:tcPr>
            <w:tcW w:w="1667" w:type="pct"/>
            <w:noWrap/>
            <w:hideMark/>
          </w:tcPr>
          <w:p w14:paraId="72E0E4A3" w14:textId="77777777" w:rsidR="00D009FD" w:rsidRPr="00E4514F" w:rsidRDefault="00D009FD" w:rsidP="00E4514F">
            <w:pPr>
              <w:pStyle w:val="TableBody"/>
            </w:pPr>
            <w:r w:rsidRPr="00E4514F">
              <w:t>29,519</w:t>
            </w:r>
          </w:p>
        </w:tc>
      </w:tr>
      <w:tr w:rsidR="00D009FD" w:rsidRPr="00D009FD" w14:paraId="13F16943" w14:textId="77777777" w:rsidTr="00331718">
        <w:trPr>
          <w:trHeight w:val="288"/>
        </w:trPr>
        <w:tc>
          <w:tcPr>
            <w:tcW w:w="1666" w:type="pct"/>
            <w:noWrap/>
            <w:hideMark/>
          </w:tcPr>
          <w:p w14:paraId="5BD9027B" w14:textId="77777777" w:rsidR="00D009FD" w:rsidRPr="00E4514F" w:rsidRDefault="00D009FD" w:rsidP="00E4514F">
            <w:pPr>
              <w:pStyle w:val="TableBody"/>
            </w:pPr>
            <w:r w:rsidRPr="00E4514F">
              <w:t>2014-15</w:t>
            </w:r>
          </w:p>
        </w:tc>
        <w:tc>
          <w:tcPr>
            <w:tcW w:w="1666" w:type="pct"/>
            <w:noWrap/>
            <w:hideMark/>
          </w:tcPr>
          <w:p w14:paraId="2F4109F1" w14:textId="77777777" w:rsidR="00D009FD" w:rsidRPr="00E4514F" w:rsidRDefault="00D009FD" w:rsidP="00E4514F">
            <w:pPr>
              <w:pStyle w:val="TableBody"/>
            </w:pPr>
            <w:r w:rsidRPr="00E4514F">
              <w:t>8,005</w:t>
            </w:r>
          </w:p>
        </w:tc>
        <w:tc>
          <w:tcPr>
            <w:tcW w:w="1667" w:type="pct"/>
            <w:noWrap/>
            <w:hideMark/>
          </w:tcPr>
          <w:p w14:paraId="6D27338C" w14:textId="77777777" w:rsidR="00D009FD" w:rsidRPr="00E4514F" w:rsidRDefault="00D009FD" w:rsidP="00E4514F">
            <w:pPr>
              <w:pStyle w:val="TableBody"/>
            </w:pPr>
            <w:r w:rsidRPr="00E4514F">
              <w:t>25,245</w:t>
            </w:r>
          </w:p>
        </w:tc>
      </w:tr>
      <w:tr w:rsidR="00D009FD" w:rsidRPr="00D009FD" w14:paraId="4BDD769F" w14:textId="77777777" w:rsidTr="00331718">
        <w:trPr>
          <w:trHeight w:val="288"/>
        </w:trPr>
        <w:tc>
          <w:tcPr>
            <w:tcW w:w="1666" w:type="pct"/>
            <w:noWrap/>
            <w:hideMark/>
          </w:tcPr>
          <w:p w14:paraId="2F5FFC4B" w14:textId="77777777" w:rsidR="00D009FD" w:rsidRPr="00E4514F" w:rsidRDefault="00D009FD" w:rsidP="00E4514F">
            <w:pPr>
              <w:pStyle w:val="TableBody"/>
            </w:pPr>
            <w:r w:rsidRPr="00E4514F">
              <w:t>2015-16</w:t>
            </w:r>
          </w:p>
        </w:tc>
        <w:tc>
          <w:tcPr>
            <w:tcW w:w="1666" w:type="pct"/>
            <w:noWrap/>
            <w:hideMark/>
          </w:tcPr>
          <w:p w14:paraId="105E91A1" w14:textId="77777777" w:rsidR="00D009FD" w:rsidRPr="00E4514F" w:rsidRDefault="00D009FD" w:rsidP="00E4514F">
            <w:pPr>
              <w:pStyle w:val="TableBody"/>
            </w:pPr>
            <w:r w:rsidRPr="00E4514F">
              <w:t>7,861</w:t>
            </w:r>
          </w:p>
        </w:tc>
        <w:tc>
          <w:tcPr>
            <w:tcW w:w="1667" w:type="pct"/>
            <w:noWrap/>
            <w:hideMark/>
          </w:tcPr>
          <w:p w14:paraId="170592CD" w14:textId="77777777" w:rsidR="00D009FD" w:rsidRPr="00E4514F" w:rsidRDefault="00D009FD" w:rsidP="00E4514F">
            <w:pPr>
              <w:pStyle w:val="TableBody"/>
            </w:pPr>
            <w:r w:rsidRPr="00E4514F">
              <w:t>29,604</w:t>
            </w:r>
          </w:p>
        </w:tc>
      </w:tr>
      <w:tr w:rsidR="00D009FD" w:rsidRPr="00D009FD" w14:paraId="661DF167" w14:textId="77777777" w:rsidTr="00331718">
        <w:trPr>
          <w:trHeight w:val="288"/>
        </w:trPr>
        <w:tc>
          <w:tcPr>
            <w:tcW w:w="1666" w:type="pct"/>
            <w:noWrap/>
            <w:hideMark/>
          </w:tcPr>
          <w:p w14:paraId="0A1C9BCA" w14:textId="77777777" w:rsidR="00D009FD" w:rsidRPr="00E4514F" w:rsidRDefault="00D009FD" w:rsidP="00E4514F">
            <w:pPr>
              <w:pStyle w:val="TableBody"/>
            </w:pPr>
            <w:r w:rsidRPr="00E4514F">
              <w:t>2016-17</w:t>
            </w:r>
          </w:p>
        </w:tc>
        <w:tc>
          <w:tcPr>
            <w:tcW w:w="1666" w:type="pct"/>
            <w:noWrap/>
            <w:hideMark/>
          </w:tcPr>
          <w:p w14:paraId="069148B0" w14:textId="77777777" w:rsidR="00D009FD" w:rsidRPr="00E4514F" w:rsidRDefault="00D009FD" w:rsidP="00E4514F">
            <w:pPr>
              <w:pStyle w:val="TableBody"/>
            </w:pPr>
            <w:r w:rsidRPr="00E4514F">
              <w:t>8,170</w:t>
            </w:r>
          </w:p>
        </w:tc>
        <w:tc>
          <w:tcPr>
            <w:tcW w:w="1667" w:type="pct"/>
            <w:noWrap/>
            <w:hideMark/>
          </w:tcPr>
          <w:p w14:paraId="0E9E332D" w14:textId="77777777" w:rsidR="00D009FD" w:rsidRPr="00E4514F" w:rsidRDefault="00D009FD" w:rsidP="00E4514F">
            <w:pPr>
              <w:pStyle w:val="TableBody"/>
            </w:pPr>
            <w:r w:rsidRPr="00E4514F">
              <w:t>33,192</w:t>
            </w:r>
          </w:p>
        </w:tc>
      </w:tr>
      <w:tr w:rsidR="00D009FD" w:rsidRPr="00D009FD" w14:paraId="49960E6E" w14:textId="77777777" w:rsidTr="00331718">
        <w:trPr>
          <w:trHeight w:val="288"/>
        </w:trPr>
        <w:tc>
          <w:tcPr>
            <w:tcW w:w="1666" w:type="pct"/>
            <w:noWrap/>
            <w:hideMark/>
          </w:tcPr>
          <w:p w14:paraId="25C2F521" w14:textId="77777777" w:rsidR="00D009FD" w:rsidRPr="00E4514F" w:rsidRDefault="00D009FD" w:rsidP="00E4514F">
            <w:pPr>
              <w:pStyle w:val="TableBody"/>
            </w:pPr>
            <w:r w:rsidRPr="00E4514F">
              <w:t>2017-18</w:t>
            </w:r>
          </w:p>
        </w:tc>
        <w:tc>
          <w:tcPr>
            <w:tcW w:w="1666" w:type="pct"/>
            <w:noWrap/>
            <w:hideMark/>
          </w:tcPr>
          <w:p w14:paraId="4342BE5E" w14:textId="77777777" w:rsidR="00D009FD" w:rsidRPr="00E4514F" w:rsidRDefault="00D009FD" w:rsidP="00E4514F">
            <w:pPr>
              <w:pStyle w:val="TableBody"/>
            </w:pPr>
            <w:r w:rsidRPr="00E4514F">
              <w:t>7,628</w:t>
            </w:r>
          </w:p>
        </w:tc>
        <w:tc>
          <w:tcPr>
            <w:tcW w:w="1667" w:type="pct"/>
            <w:noWrap/>
            <w:hideMark/>
          </w:tcPr>
          <w:p w14:paraId="728DEBA5" w14:textId="77777777" w:rsidR="00D009FD" w:rsidRPr="00E4514F" w:rsidRDefault="00D009FD" w:rsidP="00E4514F">
            <w:pPr>
              <w:pStyle w:val="TableBody"/>
            </w:pPr>
            <w:r w:rsidRPr="00E4514F">
              <w:t>30,348</w:t>
            </w:r>
          </w:p>
        </w:tc>
      </w:tr>
      <w:tr w:rsidR="00D009FD" w:rsidRPr="00D009FD" w14:paraId="13446B24" w14:textId="77777777" w:rsidTr="00331718">
        <w:trPr>
          <w:trHeight w:val="288"/>
        </w:trPr>
        <w:tc>
          <w:tcPr>
            <w:tcW w:w="1666" w:type="pct"/>
            <w:noWrap/>
            <w:hideMark/>
          </w:tcPr>
          <w:p w14:paraId="1CB4649C" w14:textId="77777777" w:rsidR="00D009FD" w:rsidRPr="00E4514F" w:rsidRDefault="00D009FD" w:rsidP="00E4514F">
            <w:pPr>
              <w:pStyle w:val="TableBody"/>
            </w:pPr>
            <w:r w:rsidRPr="00E4514F">
              <w:t>2018-19</w:t>
            </w:r>
          </w:p>
        </w:tc>
        <w:tc>
          <w:tcPr>
            <w:tcW w:w="1666" w:type="pct"/>
            <w:noWrap/>
            <w:hideMark/>
          </w:tcPr>
          <w:p w14:paraId="4F84758F" w14:textId="77777777" w:rsidR="00D009FD" w:rsidRPr="00E4514F" w:rsidRDefault="00D009FD" w:rsidP="00E4514F">
            <w:pPr>
              <w:pStyle w:val="TableBody"/>
            </w:pPr>
            <w:r w:rsidRPr="00E4514F">
              <w:t>8,171</w:t>
            </w:r>
          </w:p>
        </w:tc>
        <w:tc>
          <w:tcPr>
            <w:tcW w:w="1667" w:type="pct"/>
            <w:noWrap/>
            <w:hideMark/>
          </w:tcPr>
          <w:p w14:paraId="279ED454" w14:textId="77777777" w:rsidR="00D009FD" w:rsidRPr="00E4514F" w:rsidRDefault="00D009FD" w:rsidP="00E4514F">
            <w:pPr>
              <w:pStyle w:val="TableBody"/>
            </w:pPr>
            <w:r w:rsidRPr="00E4514F">
              <w:t>31,290</w:t>
            </w:r>
          </w:p>
        </w:tc>
      </w:tr>
      <w:tr w:rsidR="00D009FD" w:rsidRPr="00D009FD" w14:paraId="77A06F9A" w14:textId="77777777" w:rsidTr="00331718">
        <w:trPr>
          <w:trHeight w:val="288"/>
        </w:trPr>
        <w:tc>
          <w:tcPr>
            <w:tcW w:w="1666" w:type="pct"/>
            <w:noWrap/>
            <w:hideMark/>
          </w:tcPr>
          <w:p w14:paraId="42CF08A3" w14:textId="77777777" w:rsidR="00D009FD" w:rsidRPr="00E4514F" w:rsidRDefault="00D009FD" w:rsidP="00E4514F">
            <w:pPr>
              <w:pStyle w:val="TableBody"/>
            </w:pPr>
            <w:r w:rsidRPr="00E4514F">
              <w:t>2019-20</w:t>
            </w:r>
          </w:p>
        </w:tc>
        <w:tc>
          <w:tcPr>
            <w:tcW w:w="1666" w:type="pct"/>
            <w:noWrap/>
            <w:hideMark/>
          </w:tcPr>
          <w:p w14:paraId="1B8B36C6" w14:textId="77777777" w:rsidR="00D009FD" w:rsidRPr="00E4514F" w:rsidRDefault="00D009FD" w:rsidP="00E4514F">
            <w:pPr>
              <w:pStyle w:val="TableBody"/>
            </w:pPr>
            <w:r w:rsidRPr="00E4514F">
              <w:t>7,958</w:t>
            </w:r>
          </w:p>
        </w:tc>
        <w:tc>
          <w:tcPr>
            <w:tcW w:w="1667" w:type="pct"/>
            <w:noWrap/>
            <w:hideMark/>
          </w:tcPr>
          <w:p w14:paraId="46C11070" w14:textId="77777777" w:rsidR="00D009FD" w:rsidRPr="00E4514F" w:rsidRDefault="00D009FD" w:rsidP="00E4514F">
            <w:pPr>
              <w:pStyle w:val="TableBody"/>
            </w:pPr>
            <w:r w:rsidRPr="00E4514F">
              <w:t>32,786</w:t>
            </w:r>
          </w:p>
        </w:tc>
      </w:tr>
      <w:tr w:rsidR="00D009FD" w:rsidRPr="00D009FD" w14:paraId="008BBA6B" w14:textId="77777777" w:rsidTr="00331718">
        <w:trPr>
          <w:trHeight w:val="288"/>
        </w:trPr>
        <w:tc>
          <w:tcPr>
            <w:tcW w:w="1666" w:type="pct"/>
            <w:noWrap/>
            <w:hideMark/>
          </w:tcPr>
          <w:p w14:paraId="60E65BC2" w14:textId="77777777" w:rsidR="00D009FD" w:rsidRPr="00E4514F" w:rsidRDefault="00D009FD" w:rsidP="00E4514F">
            <w:pPr>
              <w:pStyle w:val="TableBody"/>
            </w:pPr>
            <w:r w:rsidRPr="00E4514F">
              <w:t>2020-21</w:t>
            </w:r>
          </w:p>
        </w:tc>
        <w:tc>
          <w:tcPr>
            <w:tcW w:w="1666" w:type="pct"/>
            <w:noWrap/>
            <w:hideMark/>
          </w:tcPr>
          <w:p w14:paraId="005B0237" w14:textId="77777777" w:rsidR="00D009FD" w:rsidRPr="00E4514F" w:rsidRDefault="00D009FD" w:rsidP="00E4514F">
            <w:pPr>
              <w:pStyle w:val="TableBody"/>
            </w:pPr>
            <w:r w:rsidRPr="00E4514F">
              <w:t>5,882</w:t>
            </w:r>
          </w:p>
        </w:tc>
        <w:tc>
          <w:tcPr>
            <w:tcW w:w="1667" w:type="pct"/>
            <w:noWrap/>
            <w:hideMark/>
          </w:tcPr>
          <w:p w14:paraId="3E709833" w14:textId="77777777" w:rsidR="00D009FD" w:rsidRPr="00E4514F" w:rsidRDefault="00D009FD" w:rsidP="00E4514F">
            <w:pPr>
              <w:pStyle w:val="TableBody"/>
            </w:pPr>
            <w:r w:rsidRPr="00E4514F">
              <w:t>26,055</w:t>
            </w:r>
          </w:p>
        </w:tc>
      </w:tr>
      <w:tr w:rsidR="00D009FD" w:rsidRPr="00D009FD" w14:paraId="7466D471" w14:textId="77777777" w:rsidTr="00331718">
        <w:trPr>
          <w:trHeight w:val="288"/>
        </w:trPr>
        <w:tc>
          <w:tcPr>
            <w:tcW w:w="1666" w:type="pct"/>
            <w:noWrap/>
            <w:hideMark/>
          </w:tcPr>
          <w:p w14:paraId="0B7B4D3A" w14:textId="77777777" w:rsidR="00D009FD" w:rsidRPr="00E4514F" w:rsidRDefault="00D009FD" w:rsidP="00E4514F">
            <w:pPr>
              <w:pStyle w:val="TableBody"/>
            </w:pPr>
            <w:r w:rsidRPr="00E4514F">
              <w:t>2021-22</w:t>
            </w:r>
          </w:p>
        </w:tc>
        <w:tc>
          <w:tcPr>
            <w:tcW w:w="1666" w:type="pct"/>
            <w:noWrap/>
            <w:hideMark/>
          </w:tcPr>
          <w:p w14:paraId="144E5FF3" w14:textId="77777777" w:rsidR="00D009FD" w:rsidRPr="00E4514F" w:rsidRDefault="00D009FD" w:rsidP="00E4514F">
            <w:pPr>
              <w:pStyle w:val="TableBody"/>
            </w:pPr>
            <w:r w:rsidRPr="00E4514F">
              <w:t>5,664</w:t>
            </w:r>
          </w:p>
        </w:tc>
        <w:tc>
          <w:tcPr>
            <w:tcW w:w="1667" w:type="pct"/>
            <w:noWrap/>
            <w:hideMark/>
          </w:tcPr>
          <w:p w14:paraId="1DC39CE6" w14:textId="77777777" w:rsidR="00D009FD" w:rsidRPr="00E4514F" w:rsidRDefault="00D009FD" w:rsidP="00E4514F">
            <w:pPr>
              <w:pStyle w:val="TableBody"/>
            </w:pPr>
            <w:r w:rsidRPr="00E4514F">
              <w:t>23,086</w:t>
            </w:r>
          </w:p>
        </w:tc>
      </w:tr>
      <w:tr w:rsidR="00D009FD" w:rsidRPr="00D009FD" w14:paraId="004442F3" w14:textId="77777777" w:rsidTr="00331718">
        <w:trPr>
          <w:trHeight w:val="288"/>
        </w:trPr>
        <w:tc>
          <w:tcPr>
            <w:tcW w:w="1666" w:type="pct"/>
            <w:noWrap/>
            <w:hideMark/>
          </w:tcPr>
          <w:p w14:paraId="27F0F40B" w14:textId="77777777" w:rsidR="00D009FD" w:rsidRPr="00E4514F" w:rsidRDefault="00D009FD" w:rsidP="00E4514F">
            <w:pPr>
              <w:pStyle w:val="TableBody"/>
            </w:pPr>
            <w:r w:rsidRPr="00E4514F">
              <w:t>2022-23</w:t>
            </w:r>
          </w:p>
        </w:tc>
        <w:tc>
          <w:tcPr>
            <w:tcW w:w="1666" w:type="pct"/>
            <w:noWrap/>
            <w:hideMark/>
          </w:tcPr>
          <w:p w14:paraId="61CF04F7" w14:textId="77777777" w:rsidR="00D009FD" w:rsidRPr="00E4514F" w:rsidRDefault="00D009FD" w:rsidP="00E4514F">
            <w:pPr>
              <w:pStyle w:val="TableBody"/>
            </w:pPr>
            <w:r w:rsidRPr="00E4514F">
              <w:t>6,499</w:t>
            </w:r>
          </w:p>
        </w:tc>
        <w:tc>
          <w:tcPr>
            <w:tcW w:w="1667" w:type="pct"/>
            <w:noWrap/>
            <w:hideMark/>
          </w:tcPr>
          <w:p w14:paraId="5DFE4FB2" w14:textId="77777777" w:rsidR="00D009FD" w:rsidRPr="00E4514F" w:rsidRDefault="00D009FD" w:rsidP="00E4514F">
            <w:pPr>
              <w:pStyle w:val="TableBody"/>
            </w:pPr>
            <w:r w:rsidRPr="00E4514F">
              <w:t>28,317</w:t>
            </w:r>
          </w:p>
        </w:tc>
      </w:tr>
      <w:tr w:rsidR="00D009FD" w:rsidRPr="00D009FD" w14:paraId="191C0FAE" w14:textId="77777777" w:rsidTr="00331718">
        <w:trPr>
          <w:trHeight w:val="288"/>
        </w:trPr>
        <w:tc>
          <w:tcPr>
            <w:tcW w:w="1666" w:type="pct"/>
            <w:noWrap/>
            <w:hideMark/>
          </w:tcPr>
          <w:p w14:paraId="55C90B3D" w14:textId="77777777" w:rsidR="00D009FD" w:rsidRPr="00E4514F" w:rsidRDefault="00D009FD" w:rsidP="00E4514F">
            <w:pPr>
              <w:pStyle w:val="TableBody"/>
            </w:pPr>
            <w:r w:rsidRPr="00E4514F">
              <w:t>2023-24</w:t>
            </w:r>
          </w:p>
        </w:tc>
        <w:tc>
          <w:tcPr>
            <w:tcW w:w="1666" w:type="pct"/>
            <w:noWrap/>
            <w:hideMark/>
          </w:tcPr>
          <w:p w14:paraId="1CC10E63" w14:textId="77777777" w:rsidR="00D009FD" w:rsidRPr="00E4514F" w:rsidRDefault="00D009FD" w:rsidP="00E4514F">
            <w:pPr>
              <w:pStyle w:val="TableBody"/>
            </w:pPr>
            <w:r w:rsidRPr="00E4514F">
              <w:t>6,759</w:t>
            </w:r>
          </w:p>
        </w:tc>
        <w:tc>
          <w:tcPr>
            <w:tcW w:w="1667" w:type="pct"/>
            <w:noWrap/>
            <w:hideMark/>
          </w:tcPr>
          <w:p w14:paraId="3551AB0E" w14:textId="77777777" w:rsidR="00D009FD" w:rsidRPr="00E4514F" w:rsidRDefault="00D009FD" w:rsidP="00E4514F">
            <w:pPr>
              <w:pStyle w:val="TableBody"/>
            </w:pPr>
            <w:r w:rsidRPr="00E4514F">
              <w:t>36,005</w:t>
            </w:r>
          </w:p>
        </w:tc>
      </w:tr>
    </w:tbl>
    <w:p w14:paraId="4422ADE9" w14:textId="02689AF5" w:rsidR="000372B0" w:rsidRPr="00157502" w:rsidRDefault="000372B0" w:rsidP="00D4532A">
      <w:r w:rsidRPr="000C258A">
        <w:rPr>
          <w:rStyle w:val="Strong"/>
        </w:rPr>
        <w:t>Sources</w:t>
      </w:r>
      <w:r w:rsidRPr="008C1137">
        <w:t>:</w:t>
      </w:r>
      <w:r w:rsidR="00331718">
        <w:t xml:space="preserve"> </w:t>
      </w:r>
      <w:r w:rsidRPr="008C1137">
        <w:t>Crime Statistics Agency Victoria,</w:t>
      </w:r>
      <w:r w:rsidRPr="008C1137">
        <w:rPr>
          <w:rStyle w:val="Italic"/>
        </w:rPr>
        <w:t xml:space="preserve"> Alleged Offender Incidents: Year Ending 30 June </w:t>
      </w:r>
      <w:r w:rsidRPr="008C1137">
        <w:t>(2024) Table 01</w:t>
      </w:r>
      <w:r w:rsidRPr="008C1137">
        <w:rPr>
          <w:rStyle w:val="Italic"/>
        </w:rPr>
        <w:t xml:space="preserve">; </w:t>
      </w:r>
      <w:r w:rsidRPr="008C1137">
        <w:t>Crime Statistics Agency Victoria,</w:t>
      </w:r>
      <w:r w:rsidRPr="008C1137">
        <w:rPr>
          <w:rStyle w:val="Italic"/>
        </w:rPr>
        <w:t xml:space="preserve"> Unique Alleged Offenders: Year Ending 30 June </w:t>
      </w:r>
      <w:r w:rsidRPr="008C1137">
        <w:t>(2024) Table 02</w:t>
      </w:r>
    </w:p>
    <w:p w14:paraId="5EF74F64" w14:textId="27738B09" w:rsidR="00A4454A" w:rsidRPr="008C1137" w:rsidRDefault="00A4454A" w:rsidP="008D24FA">
      <w:pPr>
        <w:pStyle w:val="Heading1Numbered"/>
      </w:pPr>
      <w:bookmarkStart w:id="6" w:name="_Toc210672550"/>
      <w:r w:rsidRPr="008C1137">
        <w:lastRenderedPageBreak/>
        <w:t>Sentences of imprisonment in Victoria</w:t>
      </w:r>
      <w:bookmarkEnd w:id="6"/>
    </w:p>
    <w:p w14:paraId="50ADA74A" w14:textId="77777777" w:rsidR="00A4454A" w:rsidRPr="008C1137" w:rsidRDefault="00A4454A" w:rsidP="00210207">
      <w:pPr>
        <w:pStyle w:val="Numbered"/>
      </w:pPr>
      <w:r w:rsidRPr="008C1137">
        <w:t xml:space="preserve">The number of </w:t>
      </w:r>
      <w:r w:rsidRPr="003B3217">
        <w:rPr>
          <w:rStyle w:val="Italic"/>
        </w:rPr>
        <w:t>sentenced prisoners</w:t>
      </w:r>
      <w:r w:rsidRPr="008C1137">
        <w:t xml:space="preserve"> inevitably varies depending on the number of people </w:t>
      </w:r>
      <w:r w:rsidRPr="003B3217">
        <w:rPr>
          <w:rStyle w:val="Italic"/>
        </w:rPr>
        <w:t xml:space="preserve">sentenced </w:t>
      </w:r>
      <w:r w:rsidRPr="008C1137">
        <w:t xml:space="preserve">to imprisonment and how </w:t>
      </w:r>
      <w:r w:rsidRPr="003B3217">
        <w:rPr>
          <w:rStyle w:val="Italic"/>
        </w:rPr>
        <w:t>long</w:t>
      </w:r>
      <w:r w:rsidRPr="008C1137">
        <w:t xml:space="preserve"> they spend in prison. Of course, changes in offending patterns (Chapter 2) and the effect of factors external to offenders and offending also contribute to the number of people in prison. But the most direct link can be drawn between the frequency and length of prison sentences imposed by Victorian courts and the number of people in prison. This chapter therefore focuses on the sentenced prisoner population. Court data is examined for the 20 years to 30 June 2024, focusing on:</w:t>
      </w:r>
    </w:p>
    <w:p w14:paraId="30F7944E" w14:textId="77777777" w:rsidR="00A4454A" w:rsidRPr="008C1137" w:rsidRDefault="00A4454A" w:rsidP="008C1137">
      <w:pPr>
        <w:pStyle w:val="Bullets"/>
      </w:pPr>
      <w:r w:rsidRPr="008C1137">
        <w:t>the number and rate of custodial sentences</w:t>
      </w:r>
    </w:p>
    <w:p w14:paraId="250146AF" w14:textId="77777777" w:rsidR="00A4454A" w:rsidRPr="008C1137" w:rsidRDefault="00A4454A" w:rsidP="008C1137">
      <w:pPr>
        <w:pStyle w:val="Bullets"/>
      </w:pPr>
      <w:r w:rsidRPr="008C1137">
        <w:t>average prison lengths (in total and by offence type)</w:t>
      </w:r>
    </w:p>
    <w:p w14:paraId="3D0172F4" w14:textId="77777777" w:rsidR="00A4454A" w:rsidRPr="008C1137" w:rsidRDefault="00A4454A" w:rsidP="008C1137">
      <w:pPr>
        <w:pStyle w:val="Bullets"/>
      </w:pPr>
      <w:r w:rsidRPr="008C1137">
        <w:t>the offence types most commonly receiving prison sentences</w:t>
      </w:r>
    </w:p>
    <w:p w14:paraId="7BA3CA23" w14:textId="77777777" w:rsidR="00A4454A" w:rsidRPr="008C1137" w:rsidRDefault="00A4454A" w:rsidP="008C1137">
      <w:pPr>
        <w:pStyle w:val="Bullets"/>
      </w:pPr>
      <w:r w:rsidRPr="008C1137">
        <w:t>the number of time served prison sentences (between 1 July 2016 and 30 June 2024)</w:t>
      </w:r>
    </w:p>
    <w:p w14:paraId="558E9634" w14:textId="77777777" w:rsidR="00A4454A" w:rsidRPr="008C1137" w:rsidRDefault="00A4454A" w:rsidP="008C1137">
      <w:pPr>
        <w:pStyle w:val="Bullets"/>
      </w:pPr>
      <w:r w:rsidRPr="008C1137">
        <w:t>the proportion of female offenders receiving imprisonment and the offence typology of female offenders, in particular.</w:t>
      </w:r>
    </w:p>
    <w:p w14:paraId="5A251B89" w14:textId="4FBA1A48" w:rsidR="00A4454A" w:rsidRPr="008C1137" w:rsidRDefault="00A4454A" w:rsidP="00210207">
      <w:pPr>
        <w:pStyle w:val="Numbered"/>
      </w:pPr>
      <w:r w:rsidRPr="008C1137">
        <w:t xml:space="preserve">Almost all the data in this chapter focuses on sentences that involve an </w:t>
      </w:r>
      <w:r w:rsidRPr="003B3217">
        <w:rPr>
          <w:rStyle w:val="Italic"/>
        </w:rPr>
        <w:t>immediate</w:t>
      </w:r>
      <w:r w:rsidRPr="008C1137">
        <w:t xml:space="preserve"> term of imprisonment so as to not misrepresent the effect of other custodial sentence types on the prison population.</w:t>
      </w:r>
      <w:r w:rsidRPr="008C1137">
        <w:rPr>
          <w:rStyle w:val="Superscript"/>
        </w:rPr>
        <w:footnoteReference w:id="68"/>
      </w:r>
      <w:r w:rsidRPr="008C1137">
        <w:t xml:space="preserve"> However, the rates of other sentencing orders (including some non-custodial sentences) are considered in Figures 14 and 15 to examine whether changes in the </w:t>
      </w:r>
      <w:r w:rsidRPr="008C1137">
        <w:lastRenderedPageBreak/>
        <w:t>use of immediate terms of imprisonment were influenced by changes in the available sentencing orders.</w:t>
      </w:r>
    </w:p>
    <w:p w14:paraId="5C9E3E05" w14:textId="77777777" w:rsidR="00A4454A" w:rsidRPr="008C1137" w:rsidRDefault="00A4454A" w:rsidP="0002476E">
      <w:pPr>
        <w:pStyle w:val="Heading2"/>
      </w:pPr>
      <w:r w:rsidRPr="008C1137">
        <w:t>The number of custodial sentences imposed in Victoria</w:t>
      </w:r>
    </w:p>
    <w:p w14:paraId="3DBE2B32" w14:textId="7B06C86D" w:rsidR="00A4454A" w:rsidRPr="008C1137" w:rsidRDefault="00A4454A" w:rsidP="00210207">
      <w:pPr>
        <w:pStyle w:val="Numbered"/>
      </w:pPr>
      <w:r w:rsidRPr="008C1137">
        <w:t>In the 20 years to 30 June 2024, there were 147,134 custodial sentences imposed in Victorian adult courts, mostly in the Magistrates’ Court (between 77% and 87% each year). Across all jurisdictions, the total number of custodial sentences increased by 39%, from 5,317 to 7,372, peaking at 11,180 in 2018–19 (Figure 12).</w:t>
      </w:r>
    </w:p>
    <w:p w14:paraId="1025A552" w14:textId="77777777" w:rsidR="00E30E0C" w:rsidRPr="008C1137" w:rsidRDefault="00E30E0C" w:rsidP="00BE4EDC">
      <w:pPr>
        <w:pStyle w:val="Caption"/>
      </w:pPr>
      <w:r w:rsidRPr="00157502">
        <w:t>Figure 12</w:t>
      </w:r>
      <w:r w:rsidRPr="008C1137">
        <w:t>: Number of custodial sentences imposed in the Magistrates’ Court and higher courts, 2004–05 to 2023–24</w:t>
      </w:r>
    </w:p>
    <w:tbl>
      <w:tblPr>
        <w:tblStyle w:val="Table"/>
        <w:tblW w:w="5000" w:type="pct"/>
        <w:tblLook w:val="04A0" w:firstRow="1" w:lastRow="0" w:firstColumn="1" w:lastColumn="0" w:noHBand="0" w:noVBand="1"/>
      </w:tblPr>
      <w:tblGrid>
        <w:gridCol w:w="3005"/>
        <w:gridCol w:w="3005"/>
        <w:gridCol w:w="3006"/>
      </w:tblGrid>
      <w:tr w:rsidR="00C528EF" w:rsidRPr="008915EB" w14:paraId="160AC4AC" w14:textId="77777777" w:rsidTr="00AE4BAF">
        <w:trPr>
          <w:trHeight w:val="288"/>
          <w:tblHeader/>
        </w:trPr>
        <w:tc>
          <w:tcPr>
            <w:tcW w:w="1666" w:type="pct"/>
            <w:noWrap/>
            <w:hideMark/>
          </w:tcPr>
          <w:p w14:paraId="0580BEA4" w14:textId="77777777" w:rsidR="00C528EF" w:rsidRPr="00447386" w:rsidRDefault="00C528EF" w:rsidP="00447386">
            <w:pPr>
              <w:pStyle w:val="TableHeading"/>
            </w:pPr>
            <w:r w:rsidRPr="00447386">
              <w:t>Financial Year</w:t>
            </w:r>
          </w:p>
        </w:tc>
        <w:tc>
          <w:tcPr>
            <w:tcW w:w="1666" w:type="pct"/>
            <w:noWrap/>
            <w:hideMark/>
          </w:tcPr>
          <w:p w14:paraId="371E3B5F" w14:textId="77777777" w:rsidR="00C528EF" w:rsidRPr="00447386" w:rsidRDefault="00C528EF" w:rsidP="00447386">
            <w:pPr>
              <w:pStyle w:val="TableHeading"/>
            </w:pPr>
            <w:r w:rsidRPr="00447386">
              <w:t>Higher courts</w:t>
            </w:r>
          </w:p>
        </w:tc>
        <w:tc>
          <w:tcPr>
            <w:tcW w:w="1667" w:type="pct"/>
            <w:noWrap/>
            <w:hideMark/>
          </w:tcPr>
          <w:p w14:paraId="1DD88248" w14:textId="77777777" w:rsidR="00C528EF" w:rsidRPr="00447386" w:rsidRDefault="00C528EF" w:rsidP="00447386">
            <w:pPr>
              <w:pStyle w:val="TableHeading"/>
            </w:pPr>
            <w:r w:rsidRPr="00447386">
              <w:t>Magistrates' Court</w:t>
            </w:r>
          </w:p>
        </w:tc>
      </w:tr>
      <w:tr w:rsidR="00C528EF" w:rsidRPr="008915EB" w14:paraId="6588CA29" w14:textId="77777777" w:rsidTr="00AE4BAF">
        <w:trPr>
          <w:trHeight w:val="288"/>
        </w:trPr>
        <w:tc>
          <w:tcPr>
            <w:tcW w:w="1666" w:type="pct"/>
            <w:noWrap/>
            <w:hideMark/>
          </w:tcPr>
          <w:p w14:paraId="3627BD06" w14:textId="77777777" w:rsidR="00C528EF" w:rsidRPr="00447386" w:rsidRDefault="00C528EF" w:rsidP="00447386">
            <w:pPr>
              <w:pStyle w:val="TableBody"/>
            </w:pPr>
            <w:r w:rsidRPr="00447386">
              <w:t>2004-05</w:t>
            </w:r>
          </w:p>
        </w:tc>
        <w:tc>
          <w:tcPr>
            <w:tcW w:w="1666" w:type="pct"/>
            <w:noWrap/>
            <w:hideMark/>
          </w:tcPr>
          <w:p w14:paraId="2D8B4E0C" w14:textId="77777777" w:rsidR="00C528EF" w:rsidRPr="00447386" w:rsidRDefault="00C528EF" w:rsidP="00447386">
            <w:pPr>
              <w:pStyle w:val="TableBody"/>
            </w:pPr>
            <w:r w:rsidRPr="00447386">
              <w:t>1,041</w:t>
            </w:r>
          </w:p>
        </w:tc>
        <w:tc>
          <w:tcPr>
            <w:tcW w:w="1667" w:type="pct"/>
            <w:noWrap/>
            <w:hideMark/>
          </w:tcPr>
          <w:p w14:paraId="543DE50B" w14:textId="77777777" w:rsidR="00C528EF" w:rsidRPr="00447386" w:rsidRDefault="00C528EF" w:rsidP="00447386">
            <w:pPr>
              <w:pStyle w:val="TableBody"/>
            </w:pPr>
            <w:r w:rsidRPr="00447386">
              <w:t>4,276</w:t>
            </w:r>
          </w:p>
        </w:tc>
      </w:tr>
      <w:tr w:rsidR="00C528EF" w:rsidRPr="008915EB" w14:paraId="5A2F2221" w14:textId="77777777" w:rsidTr="00AE4BAF">
        <w:trPr>
          <w:trHeight w:val="288"/>
        </w:trPr>
        <w:tc>
          <w:tcPr>
            <w:tcW w:w="1666" w:type="pct"/>
            <w:noWrap/>
            <w:hideMark/>
          </w:tcPr>
          <w:p w14:paraId="4BC067B4" w14:textId="77777777" w:rsidR="00C528EF" w:rsidRPr="00447386" w:rsidRDefault="00C528EF" w:rsidP="00447386">
            <w:pPr>
              <w:pStyle w:val="TableBody"/>
            </w:pPr>
            <w:r w:rsidRPr="00447386">
              <w:t>2005-06</w:t>
            </w:r>
          </w:p>
        </w:tc>
        <w:tc>
          <w:tcPr>
            <w:tcW w:w="1666" w:type="pct"/>
            <w:noWrap/>
            <w:hideMark/>
          </w:tcPr>
          <w:p w14:paraId="2F5731F1" w14:textId="77777777" w:rsidR="00C528EF" w:rsidRPr="00447386" w:rsidRDefault="00C528EF" w:rsidP="00447386">
            <w:pPr>
              <w:pStyle w:val="TableBody"/>
            </w:pPr>
            <w:r w:rsidRPr="00447386">
              <w:t>1,054</w:t>
            </w:r>
          </w:p>
        </w:tc>
        <w:tc>
          <w:tcPr>
            <w:tcW w:w="1667" w:type="pct"/>
            <w:noWrap/>
            <w:hideMark/>
          </w:tcPr>
          <w:p w14:paraId="3F23C451" w14:textId="77777777" w:rsidR="00C528EF" w:rsidRPr="00447386" w:rsidRDefault="00C528EF" w:rsidP="00447386">
            <w:pPr>
              <w:pStyle w:val="TableBody"/>
            </w:pPr>
            <w:r w:rsidRPr="00447386">
              <w:t>4,301</w:t>
            </w:r>
          </w:p>
        </w:tc>
      </w:tr>
      <w:tr w:rsidR="00C528EF" w:rsidRPr="008915EB" w14:paraId="2D43F2AE" w14:textId="77777777" w:rsidTr="00AE4BAF">
        <w:trPr>
          <w:trHeight w:val="288"/>
        </w:trPr>
        <w:tc>
          <w:tcPr>
            <w:tcW w:w="1666" w:type="pct"/>
            <w:noWrap/>
            <w:hideMark/>
          </w:tcPr>
          <w:p w14:paraId="5D3D297F" w14:textId="77777777" w:rsidR="00C528EF" w:rsidRPr="00447386" w:rsidRDefault="00C528EF" w:rsidP="00447386">
            <w:pPr>
              <w:pStyle w:val="TableBody"/>
            </w:pPr>
            <w:r w:rsidRPr="00447386">
              <w:t>2006-07</w:t>
            </w:r>
          </w:p>
        </w:tc>
        <w:tc>
          <w:tcPr>
            <w:tcW w:w="1666" w:type="pct"/>
            <w:noWrap/>
            <w:hideMark/>
          </w:tcPr>
          <w:p w14:paraId="0E6DE15B" w14:textId="77777777" w:rsidR="00C528EF" w:rsidRPr="00447386" w:rsidRDefault="00C528EF" w:rsidP="00447386">
            <w:pPr>
              <w:pStyle w:val="TableBody"/>
            </w:pPr>
            <w:r w:rsidRPr="00447386">
              <w:t>1,120</w:t>
            </w:r>
          </w:p>
        </w:tc>
        <w:tc>
          <w:tcPr>
            <w:tcW w:w="1667" w:type="pct"/>
            <w:noWrap/>
            <w:hideMark/>
          </w:tcPr>
          <w:p w14:paraId="286B08F9" w14:textId="77777777" w:rsidR="00C528EF" w:rsidRPr="00447386" w:rsidRDefault="00C528EF" w:rsidP="00447386">
            <w:pPr>
              <w:pStyle w:val="TableBody"/>
            </w:pPr>
            <w:r w:rsidRPr="00447386">
              <w:t>4,212</w:t>
            </w:r>
          </w:p>
        </w:tc>
      </w:tr>
      <w:tr w:rsidR="00C528EF" w:rsidRPr="008915EB" w14:paraId="1AA0CD2E" w14:textId="77777777" w:rsidTr="00AE4BAF">
        <w:trPr>
          <w:trHeight w:val="288"/>
        </w:trPr>
        <w:tc>
          <w:tcPr>
            <w:tcW w:w="1666" w:type="pct"/>
            <w:noWrap/>
            <w:hideMark/>
          </w:tcPr>
          <w:p w14:paraId="22C1B5DC" w14:textId="77777777" w:rsidR="00C528EF" w:rsidRPr="00447386" w:rsidRDefault="00C528EF" w:rsidP="00447386">
            <w:pPr>
              <w:pStyle w:val="TableBody"/>
            </w:pPr>
            <w:r w:rsidRPr="00447386">
              <w:t>2007-08</w:t>
            </w:r>
          </w:p>
        </w:tc>
        <w:tc>
          <w:tcPr>
            <w:tcW w:w="1666" w:type="pct"/>
            <w:noWrap/>
            <w:hideMark/>
          </w:tcPr>
          <w:p w14:paraId="7C6A78AF" w14:textId="77777777" w:rsidR="00C528EF" w:rsidRPr="00447386" w:rsidRDefault="00C528EF" w:rsidP="00447386">
            <w:pPr>
              <w:pStyle w:val="TableBody"/>
            </w:pPr>
            <w:r w:rsidRPr="00447386">
              <w:t>1,205</w:t>
            </w:r>
          </w:p>
        </w:tc>
        <w:tc>
          <w:tcPr>
            <w:tcW w:w="1667" w:type="pct"/>
            <w:noWrap/>
            <w:hideMark/>
          </w:tcPr>
          <w:p w14:paraId="1BA4C185" w14:textId="77777777" w:rsidR="00C528EF" w:rsidRPr="00447386" w:rsidRDefault="00C528EF" w:rsidP="00447386">
            <w:pPr>
              <w:pStyle w:val="TableBody"/>
            </w:pPr>
            <w:r w:rsidRPr="00447386">
              <w:t>4,024</w:t>
            </w:r>
          </w:p>
        </w:tc>
      </w:tr>
      <w:tr w:rsidR="00C528EF" w:rsidRPr="008915EB" w14:paraId="49D54646" w14:textId="77777777" w:rsidTr="00AE4BAF">
        <w:trPr>
          <w:trHeight w:val="288"/>
        </w:trPr>
        <w:tc>
          <w:tcPr>
            <w:tcW w:w="1666" w:type="pct"/>
            <w:noWrap/>
            <w:hideMark/>
          </w:tcPr>
          <w:p w14:paraId="25EC2A97" w14:textId="77777777" w:rsidR="00C528EF" w:rsidRPr="00447386" w:rsidRDefault="00C528EF" w:rsidP="00447386">
            <w:pPr>
              <w:pStyle w:val="TableBody"/>
            </w:pPr>
            <w:r w:rsidRPr="00447386">
              <w:t>2008-09</w:t>
            </w:r>
          </w:p>
        </w:tc>
        <w:tc>
          <w:tcPr>
            <w:tcW w:w="1666" w:type="pct"/>
            <w:noWrap/>
            <w:hideMark/>
          </w:tcPr>
          <w:p w14:paraId="702AA444" w14:textId="77777777" w:rsidR="00C528EF" w:rsidRPr="00447386" w:rsidRDefault="00C528EF" w:rsidP="00447386">
            <w:pPr>
              <w:pStyle w:val="TableBody"/>
            </w:pPr>
            <w:r w:rsidRPr="00447386">
              <w:t>1,124</w:t>
            </w:r>
          </w:p>
        </w:tc>
        <w:tc>
          <w:tcPr>
            <w:tcW w:w="1667" w:type="pct"/>
            <w:noWrap/>
            <w:hideMark/>
          </w:tcPr>
          <w:p w14:paraId="2EECB47F" w14:textId="77777777" w:rsidR="00C528EF" w:rsidRPr="00447386" w:rsidRDefault="00C528EF" w:rsidP="00447386">
            <w:pPr>
              <w:pStyle w:val="TableBody"/>
            </w:pPr>
            <w:r w:rsidRPr="00447386">
              <w:t>4,297</w:t>
            </w:r>
          </w:p>
        </w:tc>
      </w:tr>
      <w:tr w:rsidR="00C528EF" w:rsidRPr="008915EB" w14:paraId="7D5D6346" w14:textId="77777777" w:rsidTr="00AE4BAF">
        <w:trPr>
          <w:trHeight w:val="288"/>
        </w:trPr>
        <w:tc>
          <w:tcPr>
            <w:tcW w:w="1666" w:type="pct"/>
            <w:noWrap/>
            <w:hideMark/>
          </w:tcPr>
          <w:p w14:paraId="15F5D8FA" w14:textId="77777777" w:rsidR="00C528EF" w:rsidRPr="00447386" w:rsidRDefault="00C528EF" w:rsidP="00447386">
            <w:pPr>
              <w:pStyle w:val="TableBody"/>
            </w:pPr>
            <w:r w:rsidRPr="00447386">
              <w:t>2009-10</w:t>
            </w:r>
          </w:p>
        </w:tc>
        <w:tc>
          <w:tcPr>
            <w:tcW w:w="1666" w:type="pct"/>
            <w:noWrap/>
            <w:hideMark/>
          </w:tcPr>
          <w:p w14:paraId="1391B7BB" w14:textId="77777777" w:rsidR="00C528EF" w:rsidRPr="00447386" w:rsidRDefault="00C528EF" w:rsidP="00447386">
            <w:pPr>
              <w:pStyle w:val="TableBody"/>
            </w:pPr>
            <w:r w:rsidRPr="00447386">
              <w:t>1,217</w:t>
            </w:r>
          </w:p>
        </w:tc>
        <w:tc>
          <w:tcPr>
            <w:tcW w:w="1667" w:type="pct"/>
            <w:noWrap/>
            <w:hideMark/>
          </w:tcPr>
          <w:p w14:paraId="58422A4B" w14:textId="77777777" w:rsidR="00C528EF" w:rsidRPr="00447386" w:rsidRDefault="00C528EF" w:rsidP="00447386">
            <w:pPr>
              <w:pStyle w:val="TableBody"/>
            </w:pPr>
            <w:r w:rsidRPr="00447386">
              <w:t>4,866</w:t>
            </w:r>
          </w:p>
        </w:tc>
      </w:tr>
      <w:tr w:rsidR="00C528EF" w:rsidRPr="008915EB" w14:paraId="282138A1" w14:textId="77777777" w:rsidTr="00AE4BAF">
        <w:trPr>
          <w:trHeight w:val="288"/>
        </w:trPr>
        <w:tc>
          <w:tcPr>
            <w:tcW w:w="1666" w:type="pct"/>
            <w:noWrap/>
            <w:hideMark/>
          </w:tcPr>
          <w:p w14:paraId="02B66114" w14:textId="77777777" w:rsidR="00C528EF" w:rsidRPr="00447386" w:rsidRDefault="00C528EF" w:rsidP="00447386">
            <w:pPr>
              <w:pStyle w:val="TableBody"/>
            </w:pPr>
            <w:r w:rsidRPr="00447386">
              <w:t>2010-11</w:t>
            </w:r>
          </w:p>
        </w:tc>
        <w:tc>
          <w:tcPr>
            <w:tcW w:w="1666" w:type="pct"/>
            <w:noWrap/>
            <w:hideMark/>
          </w:tcPr>
          <w:p w14:paraId="29B6FE6E" w14:textId="77777777" w:rsidR="00C528EF" w:rsidRPr="00447386" w:rsidRDefault="00C528EF" w:rsidP="00447386">
            <w:pPr>
              <w:pStyle w:val="TableBody"/>
            </w:pPr>
            <w:r w:rsidRPr="00447386">
              <w:t>1,240</w:t>
            </w:r>
          </w:p>
        </w:tc>
        <w:tc>
          <w:tcPr>
            <w:tcW w:w="1667" w:type="pct"/>
            <w:noWrap/>
            <w:hideMark/>
          </w:tcPr>
          <w:p w14:paraId="6C4B8459" w14:textId="77777777" w:rsidR="00C528EF" w:rsidRPr="00447386" w:rsidRDefault="00C528EF" w:rsidP="00447386">
            <w:pPr>
              <w:pStyle w:val="TableBody"/>
            </w:pPr>
            <w:r w:rsidRPr="00447386">
              <w:t>4,196</w:t>
            </w:r>
          </w:p>
        </w:tc>
      </w:tr>
      <w:tr w:rsidR="00C528EF" w:rsidRPr="008915EB" w14:paraId="05F6365C" w14:textId="77777777" w:rsidTr="00AE4BAF">
        <w:trPr>
          <w:trHeight w:val="288"/>
        </w:trPr>
        <w:tc>
          <w:tcPr>
            <w:tcW w:w="1666" w:type="pct"/>
            <w:noWrap/>
            <w:hideMark/>
          </w:tcPr>
          <w:p w14:paraId="1D863A5A" w14:textId="77777777" w:rsidR="00C528EF" w:rsidRPr="00447386" w:rsidRDefault="00C528EF" w:rsidP="00447386">
            <w:pPr>
              <w:pStyle w:val="TableBody"/>
            </w:pPr>
            <w:r w:rsidRPr="00447386">
              <w:t>2011-12</w:t>
            </w:r>
          </w:p>
        </w:tc>
        <w:tc>
          <w:tcPr>
            <w:tcW w:w="1666" w:type="pct"/>
            <w:noWrap/>
            <w:hideMark/>
          </w:tcPr>
          <w:p w14:paraId="41795B92" w14:textId="77777777" w:rsidR="00C528EF" w:rsidRPr="00447386" w:rsidRDefault="00C528EF" w:rsidP="00447386">
            <w:pPr>
              <w:pStyle w:val="TableBody"/>
            </w:pPr>
            <w:r w:rsidRPr="00447386">
              <w:t>1,209</w:t>
            </w:r>
          </w:p>
        </w:tc>
        <w:tc>
          <w:tcPr>
            <w:tcW w:w="1667" w:type="pct"/>
            <w:noWrap/>
            <w:hideMark/>
          </w:tcPr>
          <w:p w14:paraId="67BAD7D0" w14:textId="77777777" w:rsidR="00C528EF" w:rsidRPr="00447386" w:rsidRDefault="00C528EF" w:rsidP="00447386">
            <w:pPr>
              <w:pStyle w:val="TableBody"/>
            </w:pPr>
            <w:r w:rsidRPr="00447386">
              <w:t>4,459</w:t>
            </w:r>
          </w:p>
        </w:tc>
      </w:tr>
      <w:tr w:rsidR="00C528EF" w:rsidRPr="008915EB" w14:paraId="03C4B2E8" w14:textId="77777777" w:rsidTr="00AE4BAF">
        <w:trPr>
          <w:trHeight w:val="288"/>
        </w:trPr>
        <w:tc>
          <w:tcPr>
            <w:tcW w:w="1666" w:type="pct"/>
            <w:noWrap/>
            <w:hideMark/>
          </w:tcPr>
          <w:p w14:paraId="51901B32" w14:textId="77777777" w:rsidR="00C528EF" w:rsidRPr="00447386" w:rsidRDefault="00C528EF" w:rsidP="00447386">
            <w:pPr>
              <w:pStyle w:val="TableBody"/>
            </w:pPr>
            <w:r w:rsidRPr="00447386">
              <w:t>2012-13</w:t>
            </w:r>
          </w:p>
        </w:tc>
        <w:tc>
          <w:tcPr>
            <w:tcW w:w="1666" w:type="pct"/>
            <w:noWrap/>
            <w:hideMark/>
          </w:tcPr>
          <w:p w14:paraId="20703AB6" w14:textId="77777777" w:rsidR="00C528EF" w:rsidRPr="00447386" w:rsidRDefault="00C528EF" w:rsidP="00447386">
            <w:pPr>
              <w:pStyle w:val="TableBody"/>
            </w:pPr>
            <w:r w:rsidRPr="00447386">
              <w:t>1,306</w:t>
            </w:r>
          </w:p>
        </w:tc>
        <w:tc>
          <w:tcPr>
            <w:tcW w:w="1667" w:type="pct"/>
            <w:noWrap/>
            <w:hideMark/>
          </w:tcPr>
          <w:p w14:paraId="0C892107" w14:textId="77777777" w:rsidR="00C528EF" w:rsidRPr="00447386" w:rsidRDefault="00C528EF" w:rsidP="00447386">
            <w:pPr>
              <w:pStyle w:val="TableBody"/>
            </w:pPr>
            <w:r w:rsidRPr="00447386">
              <w:t>5,299</w:t>
            </w:r>
          </w:p>
        </w:tc>
      </w:tr>
      <w:tr w:rsidR="00C528EF" w:rsidRPr="008915EB" w14:paraId="784E0FF6" w14:textId="77777777" w:rsidTr="00AE4BAF">
        <w:trPr>
          <w:trHeight w:val="288"/>
        </w:trPr>
        <w:tc>
          <w:tcPr>
            <w:tcW w:w="1666" w:type="pct"/>
            <w:noWrap/>
            <w:hideMark/>
          </w:tcPr>
          <w:p w14:paraId="2C102BF3" w14:textId="77777777" w:rsidR="00C528EF" w:rsidRPr="00447386" w:rsidRDefault="00C528EF" w:rsidP="00447386">
            <w:pPr>
              <w:pStyle w:val="TableBody"/>
            </w:pPr>
            <w:r w:rsidRPr="00447386">
              <w:t>2013-14</w:t>
            </w:r>
          </w:p>
        </w:tc>
        <w:tc>
          <w:tcPr>
            <w:tcW w:w="1666" w:type="pct"/>
            <w:noWrap/>
            <w:hideMark/>
          </w:tcPr>
          <w:p w14:paraId="0372CF90" w14:textId="77777777" w:rsidR="00C528EF" w:rsidRPr="00447386" w:rsidRDefault="00C528EF" w:rsidP="00447386">
            <w:pPr>
              <w:pStyle w:val="TableBody"/>
            </w:pPr>
            <w:r w:rsidRPr="00447386">
              <w:t>1,279</w:t>
            </w:r>
          </w:p>
        </w:tc>
        <w:tc>
          <w:tcPr>
            <w:tcW w:w="1667" w:type="pct"/>
            <w:noWrap/>
            <w:hideMark/>
          </w:tcPr>
          <w:p w14:paraId="66918953" w14:textId="77777777" w:rsidR="00C528EF" w:rsidRPr="00447386" w:rsidRDefault="00C528EF" w:rsidP="00447386">
            <w:pPr>
              <w:pStyle w:val="TableBody"/>
            </w:pPr>
            <w:r w:rsidRPr="00447386">
              <w:t>5,531</w:t>
            </w:r>
          </w:p>
        </w:tc>
      </w:tr>
      <w:tr w:rsidR="00C528EF" w:rsidRPr="008915EB" w14:paraId="334817C1" w14:textId="77777777" w:rsidTr="00AE4BAF">
        <w:trPr>
          <w:trHeight w:val="288"/>
        </w:trPr>
        <w:tc>
          <w:tcPr>
            <w:tcW w:w="1666" w:type="pct"/>
            <w:noWrap/>
            <w:hideMark/>
          </w:tcPr>
          <w:p w14:paraId="65C75643" w14:textId="77777777" w:rsidR="00C528EF" w:rsidRPr="00447386" w:rsidRDefault="00C528EF" w:rsidP="00447386">
            <w:pPr>
              <w:pStyle w:val="TableBody"/>
            </w:pPr>
            <w:r w:rsidRPr="00447386">
              <w:t>2014-15</w:t>
            </w:r>
          </w:p>
        </w:tc>
        <w:tc>
          <w:tcPr>
            <w:tcW w:w="1666" w:type="pct"/>
            <w:noWrap/>
            <w:hideMark/>
          </w:tcPr>
          <w:p w14:paraId="2B4538F5" w14:textId="77777777" w:rsidR="00C528EF" w:rsidRPr="00447386" w:rsidRDefault="00C528EF" w:rsidP="00447386">
            <w:pPr>
              <w:pStyle w:val="TableBody"/>
            </w:pPr>
            <w:r w:rsidRPr="00447386">
              <w:t>1,169</w:t>
            </w:r>
          </w:p>
        </w:tc>
        <w:tc>
          <w:tcPr>
            <w:tcW w:w="1667" w:type="pct"/>
            <w:noWrap/>
            <w:hideMark/>
          </w:tcPr>
          <w:p w14:paraId="19A6E912" w14:textId="77777777" w:rsidR="00C528EF" w:rsidRPr="00447386" w:rsidRDefault="00C528EF" w:rsidP="00447386">
            <w:pPr>
              <w:pStyle w:val="TableBody"/>
            </w:pPr>
            <w:r w:rsidRPr="00447386">
              <w:t>5,993</w:t>
            </w:r>
          </w:p>
        </w:tc>
      </w:tr>
      <w:tr w:rsidR="00C528EF" w:rsidRPr="008915EB" w14:paraId="23E5CD91" w14:textId="77777777" w:rsidTr="00AE4BAF">
        <w:trPr>
          <w:trHeight w:val="288"/>
        </w:trPr>
        <w:tc>
          <w:tcPr>
            <w:tcW w:w="1666" w:type="pct"/>
            <w:noWrap/>
            <w:hideMark/>
          </w:tcPr>
          <w:p w14:paraId="6FC41423" w14:textId="77777777" w:rsidR="00C528EF" w:rsidRPr="00447386" w:rsidRDefault="00C528EF" w:rsidP="00447386">
            <w:pPr>
              <w:pStyle w:val="TableBody"/>
            </w:pPr>
            <w:r w:rsidRPr="00447386">
              <w:t>2015-16</w:t>
            </w:r>
          </w:p>
        </w:tc>
        <w:tc>
          <w:tcPr>
            <w:tcW w:w="1666" w:type="pct"/>
            <w:noWrap/>
            <w:hideMark/>
          </w:tcPr>
          <w:p w14:paraId="5045786D" w14:textId="77777777" w:rsidR="00C528EF" w:rsidRPr="00447386" w:rsidRDefault="00C528EF" w:rsidP="00447386">
            <w:pPr>
              <w:pStyle w:val="TableBody"/>
            </w:pPr>
            <w:r w:rsidRPr="00447386">
              <w:t>1,204</w:t>
            </w:r>
          </w:p>
        </w:tc>
        <w:tc>
          <w:tcPr>
            <w:tcW w:w="1667" w:type="pct"/>
            <w:noWrap/>
            <w:hideMark/>
          </w:tcPr>
          <w:p w14:paraId="1429D53A" w14:textId="77777777" w:rsidR="00C528EF" w:rsidRPr="00447386" w:rsidRDefault="00C528EF" w:rsidP="00447386">
            <w:pPr>
              <w:pStyle w:val="TableBody"/>
            </w:pPr>
            <w:r w:rsidRPr="00447386">
              <w:t>6,921</w:t>
            </w:r>
          </w:p>
        </w:tc>
      </w:tr>
      <w:tr w:rsidR="00C528EF" w:rsidRPr="008915EB" w14:paraId="3E1FEE7A" w14:textId="77777777" w:rsidTr="00AE4BAF">
        <w:trPr>
          <w:trHeight w:val="288"/>
        </w:trPr>
        <w:tc>
          <w:tcPr>
            <w:tcW w:w="1666" w:type="pct"/>
            <w:noWrap/>
            <w:hideMark/>
          </w:tcPr>
          <w:p w14:paraId="420BEFB2" w14:textId="77777777" w:rsidR="00C528EF" w:rsidRPr="00447386" w:rsidRDefault="00C528EF" w:rsidP="00447386">
            <w:pPr>
              <w:pStyle w:val="TableBody"/>
            </w:pPr>
            <w:r w:rsidRPr="00447386">
              <w:t>2016-17</w:t>
            </w:r>
          </w:p>
        </w:tc>
        <w:tc>
          <w:tcPr>
            <w:tcW w:w="1666" w:type="pct"/>
            <w:noWrap/>
            <w:hideMark/>
          </w:tcPr>
          <w:p w14:paraId="5EF74618" w14:textId="77777777" w:rsidR="00C528EF" w:rsidRPr="00447386" w:rsidRDefault="00C528EF" w:rsidP="00447386">
            <w:pPr>
              <w:pStyle w:val="TableBody"/>
            </w:pPr>
            <w:r w:rsidRPr="00447386">
              <w:t>1,315</w:t>
            </w:r>
          </w:p>
        </w:tc>
        <w:tc>
          <w:tcPr>
            <w:tcW w:w="1667" w:type="pct"/>
            <w:noWrap/>
            <w:hideMark/>
          </w:tcPr>
          <w:p w14:paraId="4F48FD08" w14:textId="77777777" w:rsidR="00C528EF" w:rsidRPr="00447386" w:rsidRDefault="00C528EF" w:rsidP="00447386">
            <w:pPr>
              <w:pStyle w:val="TableBody"/>
            </w:pPr>
            <w:r w:rsidRPr="00447386">
              <w:t>7,818</w:t>
            </w:r>
          </w:p>
        </w:tc>
      </w:tr>
      <w:tr w:rsidR="00C528EF" w:rsidRPr="008915EB" w14:paraId="30BA2DD7" w14:textId="77777777" w:rsidTr="00AE4BAF">
        <w:trPr>
          <w:trHeight w:val="288"/>
        </w:trPr>
        <w:tc>
          <w:tcPr>
            <w:tcW w:w="1666" w:type="pct"/>
            <w:noWrap/>
            <w:hideMark/>
          </w:tcPr>
          <w:p w14:paraId="6A0C9E9A" w14:textId="77777777" w:rsidR="00C528EF" w:rsidRPr="00447386" w:rsidRDefault="00C528EF" w:rsidP="00447386">
            <w:pPr>
              <w:pStyle w:val="TableBody"/>
            </w:pPr>
            <w:r w:rsidRPr="00447386">
              <w:t>2017-18</w:t>
            </w:r>
          </w:p>
        </w:tc>
        <w:tc>
          <w:tcPr>
            <w:tcW w:w="1666" w:type="pct"/>
            <w:noWrap/>
            <w:hideMark/>
          </w:tcPr>
          <w:p w14:paraId="012D6373" w14:textId="77777777" w:rsidR="00C528EF" w:rsidRPr="00447386" w:rsidRDefault="00C528EF" w:rsidP="00447386">
            <w:pPr>
              <w:pStyle w:val="TableBody"/>
            </w:pPr>
            <w:r w:rsidRPr="00447386">
              <w:t>1,301</w:t>
            </w:r>
          </w:p>
        </w:tc>
        <w:tc>
          <w:tcPr>
            <w:tcW w:w="1667" w:type="pct"/>
            <w:noWrap/>
            <w:hideMark/>
          </w:tcPr>
          <w:p w14:paraId="454CDCAA" w14:textId="77777777" w:rsidR="00C528EF" w:rsidRPr="00447386" w:rsidRDefault="00C528EF" w:rsidP="00447386">
            <w:pPr>
              <w:pStyle w:val="TableBody"/>
            </w:pPr>
            <w:r w:rsidRPr="00447386">
              <w:t>8,133</w:t>
            </w:r>
          </w:p>
        </w:tc>
      </w:tr>
      <w:tr w:rsidR="00C528EF" w:rsidRPr="008915EB" w14:paraId="45503620" w14:textId="77777777" w:rsidTr="00AE4BAF">
        <w:trPr>
          <w:trHeight w:val="288"/>
        </w:trPr>
        <w:tc>
          <w:tcPr>
            <w:tcW w:w="1666" w:type="pct"/>
            <w:noWrap/>
            <w:hideMark/>
          </w:tcPr>
          <w:p w14:paraId="717D6C5E" w14:textId="77777777" w:rsidR="00C528EF" w:rsidRPr="00447386" w:rsidRDefault="00C528EF" w:rsidP="00447386">
            <w:pPr>
              <w:pStyle w:val="TableBody"/>
            </w:pPr>
            <w:r w:rsidRPr="00447386">
              <w:t>2018-19</w:t>
            </w:r>
          </w:p>
        </w:tc>
        <w:tc>
          <w:tcPr>
            <w:tcW w:w="1666" w:type="pct"/>
            <w:noWrap/>
            <w:hideMark/>
          </w:tcPr>
          <w:p w14:paraId="73B33520" w14:textId="77777777" w:rsidR="00C528EF" w:rsidRPr="00447386" w:rsidRDefault="00C528EF" w:rsidP="00447386">
            <w:pPr>
              <w:pStyle w:val="TableBody"/>
            </w:pPr>
            <w:r w:rsidRPr="00447386">
              <w:t>1,457</w:t>
            </w:r>
          </w:p>
        </w:tc>
        <w:tc>
          <w:tcPr>
            <w:tcW w:w="1667" w:type="pct"/>
            <w:noWrap/>
            <w:hideMark/>
          </w:tcPr>
          <w:p w14:paraId="3D0A0AE1" w14:textId="77777777" w:rsidR="00C528EF" w:rsidRPr="00447386" w:rsidRDefault="00C528EF" w:rsidP="00447386">
            <w:pPr>
              <w:pStyle w:val="TableBody"/>
            </w:pPr>
            <w:r w:rsidRPr="00447386">
              <w:t>9,723</w:t>
            </w:r>
          </w:p>
        </w:tc>
      </w:tr>
      <w:tr w:rsidR="00C528EF" w:rsidRPr="008915EB" w14:paraId="796B9138" w14:textId="77777777" w:rsidTr="00AE4BAF">
        <w:trPr>
          <w:trHeight w:val="288"/>
        </w:trPr>
        <w:tc>
          <w:tcPr>
            <w:tcW w:w="1666" w:type="pct"/>
            <w:noWrap/>
            <w:hideMark/>
          </w:tcPr>
          <w:p w14:paraId="3139420B" w14:textId="77777777" w:rsidR="00C528EF" w:rsidRPr="00447386" w:rsidRDefault="00C528EF" w:rsidP="00447386">
            <w:pPr>
              <w:pStyle w:val="TableBody"/>
            </w:pPr>
            <w:r w:rsidRPr="00447386">
              <w:t>2019-20</w:t>
            </w:r>
          </w:p>
        </w:tc>
        <w:tc>
          <w:tcPr>
            <w:tcW w:w="1666" w:type="pct"/>
            <w:noWrap/>
            <w:hideMark/>
          </w:tcPr>
          <w:p w14:paraId="7CA7605B" w14:textId="77777777" w:rsidR="00C528EF" w:rsidRPr="00447386" w:rsidRDefault="00C528EF" w:rsidP="00447386">
            <w:pPr>
              <w:pStyle w:val="TableBody"/>
            </w:pPr>
            <w:r w:rsidRPr="00447386">
              <w:t>1,362</w:t>
            </w:r>
          </w:p>
        </w:tc>
        <w:tc>
          <w:tcPr>
            <w:tcW w:w="1667" w:type="pct"/>
            <w:noWrap/>
            <w:hideMark/>
          </w:tcPr>
          <w:p w14:paraId="3C288463" w14:textId="77777777" w:rsidR="00C528EF" w:rsidRPr="00447386" w:rsidRDefault="00C528EF" w:rsidP="00447386">
            <w:pPr>
              <w:pStyle w:val="TableBody"/>
            </w:pPr>
            <w:r w:rsidRPr="00447386">
              <w:t>9,479</w:t>
            </w:r>
          </w:p>
        </w:tc>
      </w:tr>
      <w:tr w:rsidR="00C528EF" w:rsidRPr="008915EB" w14:paraId="31991C26" w14:textId="77777777" w:rsidTr="00AE4BAF">
        <w:trPr>
          <w:trHeight w:val="288"/>
        </w:trPr>
        <w:tc>
          <w:tcPr>
            <w:tcW w:w="1666" w:type="pct"/>
            <w:noWrap/>
            <w:hideMark/>
          </w:tcPr>
          <w:p w14:paraId="2EAF0795" w14:textId="77777777" w:rsidR="00C528EF" w:rsidRPr="00447386" w:rsidRDefault="00C528EF" w:rsidP="00447386">
            <w:pPr>
              <w:pStyle w:val="TableBody"/>
            </w:pPr>
            <w:r w:rsidRPr="00447386">
              <w:t>2020-21</w:t>
            </w:r>
          </w:p>
        </w:tc>
        <w:tc>
          <w:tcPr>
            <w:tcW w:w="1666" w:type="pct"/>
            <w:noWrap/>
            <w:hideMark/>
          </w:tcPr>
          <w:p w14:paraId="0BC2AAE3" w14:textId="77777777" w:rsidR="00C528EF" w:rsidRPr="00447386" w:rsidRDefault="00C528EF" w:rsidP="00447386">
            <w:pPr>
              <w:pStyle w:val="TableBody"/>
            </w:pPr>
            <w:r w:rsidRPr="00447386">
              <w:t>1,073</w:t>
            </w:r>
          </w:p>
        </w:tc>
        <w:tc>
          <w:tcPr>
            <w:tcW w:w="1667" w:type="pct"/>
            <w:noWrap/>
            <w:hideMark/>
          </w:tcPr>
          <w:p w14:paraId="46226C14" w14:textId="77777777" w:rsidR="00C528EF" w:rsidRPr="00447386" w:rsidRDefault="00C528EF" w:rsidP="00447386">
            <w:pPr>
              <w:pStyle w:val="TableBody"/>
            </w:pPr>
            <w:r w:rsidRPr="00447386">
              <w:t>7,963</w:t>
            </w:r>
          </w:p>
        </w:tc>
      </w:tr>
      <w:tr w:rsidR="00C528EF" w:rsidRPr="008915EB" w14:paraId="5DBB7B6D" w14:textId="77777777" w:rsidTr="00AE4BAF">
        <w:trPr>
          <w:trHeight w:val="288"/>
        </w:trPr>
        <w:tc>
          <w:tcPr>
            <w:tcW w:w="1666" w:type="pct"/>
            <w:noWrap/>
            <w:hideMark/>
          </w:tcPr>
          <w:p w14:paraId="59D9B253" w14:textId="77777777" w:rsidR="00C528EF" w:rsidRPr="00447386" w:rsidRDefault="00C528EF" w:rsidP="00447386">
            <w:pPr>
              <w:pStyle w:val="TableBody"/>
            </w:pPr>
            <w:r w:rsidRPr="00447386">
              <w:t>2021-22</w:t>
            </w:r>
          </w:p>
        </w:tc>
        <w:tc>
          <w:tcPr>
            <w:tcW w:w="1666" w:type="pct"/>
            <w:noWrap/>
            <w:hideMark/>
          </w:tcPr>
          <w:p w14:paraId="0F9AEFCC" w14:textId="77777777" w:rsidR="00C528EF" w:rsidRPr="00447386" w:rsidRDefault="00C528EF" w:rsidP="00447386">
            <w:pPr>
              <w:pStyle w:val="TableBody"/>
            </w:pPr>
            <w:r w:rsidRPr="00447386">
              <w:t>1,245</w:t>
            </w:r>
          </w:p>
        </w:tc>
        <w:tc>
          <w:tcPr>
            <w:tcW w:w="1667" w:type="pct"/>
            <w:noWrap/>
            <w:hideMark/>
          </w:tcPr>
          <w:p w14:paraId="45EE3030" w14:textId="77777777" w:rsidR="00C528EF" w:rsidRPr="00447386" w:rsidRDefault="00C528EF" w:rsidP="00447386">
            <w:pPr>
              <w:pStyle w:val="TableBody"/>
            </w:pPr>
            <w:r w:rsidRPr="00447386">
              <w:t>7,495</w:t>
            </w:r>
          </w:p>
        </w:tc>
      </w:tr>
      <w:tr w:rsidR="00C528EF" w:rsidRPr="008915EB" w14:paraId="56A21345" w14:textId="77777777" w:rsidTr="00AE4BAF">
        <w:trPr>
          <w:trHeight w:val="288"/>
        </w:trPr>
        <w:tc>
          <w:tcPr>
            <w:tcW w:w="1666" w:type="pct"/>
            <w:noWrap/>
            <w:hideMark/>
          </w:tcPr>
          <w:p w14:paraId="7C7AE434" w14:textId="77777777" w:rsidR="00C528EF" w:rsidRPr="00447386" w:rsidRDefault="00C528EF" w:rsidP="00447386">
            <w:pPr>
              <w:pStyle w:val="TableBody"/>
            </w:pPr>
            <w:r w:rsidRPr="00447386">
              <w:t>2022-23</w:t>
            </w:r>
          </w:p>
        </w:tc>
        <w:tc>
          <w:tcPr>
            <w:tcW w:w="1666" w:type="pct"/>
            <w:noWrap/>
            <w:hideMark/>
          </w:tcPr>
          <w:p w14:paraId="11919668" w14:textId="77777777" w:rsidR="00C528EF" w:rsidRPr="00447386" w:rsidRDefault="00C528EF" w:rsidP="00447386">
            <w:pPr>
              <w:pStyle w:val="TableBody"/>
            </w:pPr>
            <w:r w:rsidRPr="00447386">
              <w:t>1,412</w:t>
            </w:r>
          </w:p>
        </w:tc>
        <w:tc>
          <w:tcPr>
            <w:tcW w:w="1667" w:type="pct"/>
            <w:noWrap/>
            <w:hideMark/>
          </w:tcPr>
          <w:p w14:paraId="1943BC78" w14:textId="77777777" w:rsidR="00C528EF" w:rsidRPr="00447386" w:rsidRDefault="00C528EF" w:rsidP="00447386">
            <w:pPr>
              <w:pStyle w:val="TableBody"/>
            </w:pPr>
            <w:r w:rsidRPr="00447386">
              <w:t>7,443</w:t>
            </w:r>
          </w:p>
        </w:tc>
      </w:tr>
      <w:tr w:rsidR="00C528EF" w:rsidRPr="008915EB" w14:paraId="7EC64293" w14:textId="77777777" w:rsidTr="00AE4BAF">
        <w:trPr>
          <w:trHeight w:val="288"/>
        </w:trPr>
        <w:tc>
          <w:tcPr>
            <w:tcW w:w="1666" w:type="pct"/>
            <w:noWrap/>
            <w:hideMark/>
          </w:tcPr>
          <w:p w14:paraId="22CA2971" w14:textId="77777777" w:rsidR="00C528EF" w:rsidRPr="00447386" w:rsidRDefault="00C528EF" w:rsidP="00447386">
            <w:pPr>
              <w:pStyle w:val="TableBody"/>
            </w:pPr>
            <w:r w:rsidRPr="00447386">
              <w:t>2023-24</w:t>
            </w:r>
          </w:p>
        </w:tc>
        <w:tc>
          <w:tcPr>
            <w:tcW w:w="1666" w:type="pct"/>
            <w:noWrap/>
            <w:hideMark/>
          </w:tcPr>
          <w:p w14:paraId="40A492B1" w14:textId="77777777" w:rsidR="00C528EF" w:rsidRPr="00447386" w:rsidRDefault="00C528EF" w:rsidP="00447386">
            <w:pPr>
              <w:pStyle w:val="TableBody"/>
            </w:pPr>
            <w:r w:rsidRPr="00447386">
              <w:t>1,246</w:t>
            </w:r>
          </w:p>
        </w:tc>
        <w:tc>
          <w:tcPr>
            <w:tcW w:w="1667" w:type="pct"/>
            <w:noWrap/>
            <w:hideMark/>
          </w:tcPr>
          <w:p w14:paraId="049C6473" w14:textId="77777777" w:rsidR="00C528EF" w:rsidRPr="00447386" w:rsidRDefault="00C528EF" w:rsidP="00447386">
            <w:pPr>
              <w:pStyle w:val="TableBody"/>
            </w:pPr>
            <w:r w:rsidRPr="00447386">
              <w:t>6,126</w:t>
            </w:r>
          </w:p>
        </w:tc>
      </w:tr>
    </w:tbl>
    <w:p w14:paraId="3B7D3F5C" w14:textId="77777777" w:rsidR="00E30E0C" w:rsidRPr="008C1137" w:rsidRDefault="00E30E0C" w:rsidP="00D4532A">
      <w:r w:rsidRPr="000C258A">
        <w:rPr>
          <w:rStyle w:val="Strong"/>
        </w:rPr>
        <w:t>Source</w:t>
      </w:r>
      <w:r w:rsidRPr="008C1137">
        <w:t>: Court Services Victoria, unpublished data</w:t>
      </w:r>
    </w:p>
    <w:p w14:paraId="438BEDC9" w14:textId="77777777" w:rsidR="00A4454A" w:rsidRPr="008C1137" w:rsidRDefault="00A4454A" w:rsidP="00210207">
      <w:pPr>
        <w:pStyle w:val="Numbered"/>
      </w:pPr>
      <w:r w:rsidRPr="008C1137">
        <w:t xml:space="preserve">In the Magistrates’ Court, the number of custodial sentences more than doubled between 2010–11 and 2018–19 (from 4,196 to 9,723), though since 2019–20, there has been a steady downward </w:t>
      </w:r>
      <w:r w:rsidRPr="008C1137">
        <w:lastRenderedPageBreak/>
        <w:t>trend, even while pandemic-related effects on the court system continued.</w:t>
      </w:r>
      <w:r w:rsidRPr="008C1137">
        <w:rPr>
          <w:rStyle w:val="Superscript"/>
        </w:rPr>
        <w:footnoteReference w:id="69"/>
      </w:r>
      <w:r w:rsidRPr="008C1137">
        <w:t xml:space="preserve"> By comparison, in the higher courts, the number of custodial sentences fluctuated relatively steadily between 1,041 in 2004–05 and 1,457 in 2018–19. While there was a slight decrease in custodial sentences in the higher courts in the 2 years to 2020–21, it was not especially significant and was most likely due to the courts prioritising more serious offences during court backlogs associated with COVID-19. </w:t>
      </w:r>
    </w:p>
    <w:p w14:paraId="6A2E22F1" w14:textId="77777777" w:rsidR="00A4454A" w:rsidRPr="008C1137" w:rsidRDefault="00A4454A" w:rsidP="0002476E">
      <w:pPr>
        <w:pStyle w:val="Heading2"/>
      </w:pPr>
      <w:r w:rsidRPr="008C1137">
        <w:t>What proportion of all sentences were custodial sentences?</w:t>
      </w:r>
    </w:p>
    <w:p w14:paraId="06FF591C" w14:textId="4E43F841" w:rsidR="00A4454A" w:rsidRPr="008C1137" w:rsidRDefault="00A4454A" w:rsidP="00210207">
      <w:pPr>
        <w:pStyle w:val="Numbered"/>
      </w:pPr>
      <w:r w:rsidRPr="008C1137">
        <w:t xml:space="preserve">In addition to the increasing </w:t>
      </w:r>
      <w:r w:rsidRPr="003B3217">
        <w:rPr>
          <w:rStyle w:val="Italic"/>
        </w:rPr>
        <w:t>number</w:t>
      </w:r>
      <w:r w:rsidRPr="008C1137">
        <w:t xml:space="preserve"> of people receiving a prison sentence, there has been an increase in the </w:t>
      </w:r>
      <w:r w:rsidRPr="003B3217">
        <w:rPr>
          <w:rStyle w:val="Italic"/>
        </w:rPr>
        <w:t>proportion</w:t>
      </w:r>
      <w:r w:rsidRPr="008C1137">
        <w:t xml:space="preserve"> of all sentenced offenders receiving a custodial sentence (Figure 13). In theory, if a higher proportion of offenders are sentenced to imprisonment but offending rates are stable, the prison population would still increase.</w:t>
      </w:r>
    </w:p>
    <w:p w14:paraId="0C87D048" w14:textId="77777777" w:rsidR="00253084" w:rsidRPr="008C1137" w:rsidRDefault="00253084" w:rsidP="00BE4EDC">
      <w:pPr>
        <w:pStyle w:val="Caption"/>
      </w:pPr>
      <w:r w:rsidRPr="00157502">
        <w:t>Figure 13</w:t>
      </w:r>
      <w:r w:rsidRPr="008C1137">
        <w:t>: Proportion of immediate custodial sentences in the Magistrates’ Court and higher courts, 2004–05 to 2023–24</w:t>
      </w:r>
    </w:p>
    <w:tbl>
      <w:tblPr>
        <w:tblStyle w:val="Table"/>
        <w:tblW w:w="5000" w:type="pct"/>
        <w:tblLook w:val="04A0" w:firstRow="1" w:lastRow="0" w:firstColumn="1" w:lastColumn="0" w:noHBand="0" w:noVBand="1"/>
      </w:tblPr>
      <w:tblGrid>
        <w:gridCol w:w="2086"/>
        <w:gridCol w:w="4196"/>
        <w:gridCol w:w="2734"/>
      </w:tblGrid>
      <w:tr w:rsidR="00D34676" w:rsidRPr="00D34676" w14:paraId="40E07DDB" w14:textId="77777777" w:rsidTr="0037449B">
        <w:trPr>
          <w:trHeight w:val="288"/>
          <w:tblHeader/>
        </w:trPr>
        <w:tc>
          <w:tcPr>
            <w:tcW w:w="1157" w:type="pct"/>
            <w:noWrap/>
            <w:hideMark/>
          </w:tcPr>
          <w:p w14:paraId="2C1DCBC5" w14:textId="77777777" w:rsidR="00D34676" w:rsidRPr="00D34676" w:rsidRDefault="00D34676" w:rsidP="002054FC">
            <w:pPr>
              <w:pStyle w:val="TableHeading"/>
            </w:pPr>
            <w:r w:rsidRPr="00D34676">
              <w:t>Financial year</w:t>
            </w:r>
          </w:p>
        </w:tc>
        <w:tc>
          <w:tcPr>
            <w:tcW w:w="2327" w:type="pct"/>
            <w:noWrap/>
            <w:hideMark/>
          </w:tcPr>
          <w:p w14:paraId="0E1F1963" w14:textId="77777777" w:rsidR="00D34676" w:rsidRPr="00D34676" w:rsidRDefault="00D34676" w:rsidP="002054FC">
            <w:pPr>
              <w:pStyle w:val="TableHeading"/>
            </w:pPr>
            <w:r w:rsidRPr="00D34676">
              <w:t>Higher courts</w:t>
            </w:r>
          </w:p>
        </w:tc>
        <w:tc>
          <w:tcPr>
            <w:tcW w:w="1516" w:type="pct"/>
            <w:noWrap/>
            <w:hideMark/>
          </w:tcPr>
          <w:p w14:paraId="5A1DB61E" w14:textId="77777777" w:rsidR="00D34676" w:rsidRPr="00D34676" w:rsidRDefault="00D34676" w:rsidP="002054FC">
            <w:pPr>
              <w:pStyle w:val="TableHeading"/>
            </w:pPr>
            <w:r w:rsidRPr="00D34676">
              <w:t>Magistrates' Court</w:t>
            </w:r>
          </w:p>
        </w:tc>
      </w:tr>
      <w:tr w:rsidR="00D34676" w:rsidRPr="00111142" w14:paraId="4B2B360E" w14:textId="77777777" w:rsidTr="0037449B">
        <w:trPr>
          <w:trHeight w:val="288"/>
        </w:trPr>
        <w:tc>
          <w:tcPr>
            <w:tcW w:w="1157" w:type="pct"/>
            <w:noWrap/>
            <w:hideMark/>
          </w:tcPr>
          <w:p w14:paraId="7F49160B" w14:textId="77777777" w:rsidR="00D34676" w:rsidRPr="00111142" w:rsidRDefault="00D34676" w:rsidP="00111142">
            <w:pPr>
              <w:pStyle w:val="TableBody"/>
            </w:pPr>
            <w:r w:rsidRPr="00111142">
              <w:t>2004-05</w:t>
            </w:r>
          </w:p>
        </w:tc>
        <w:tc>
          <w:tcPr>
            <w:tcW w:w="2327" w:type="pct"/>
            <w:noWrap/>
            <w:hideMark/>
          </w:tcPr>
          <w:p w14:paraId="31DF9BE2" w14:textId="77777777" w:rsidR="00D34676" w:rsidRPr="00111142" w:rsidRDefault="00D34676" w:rsidP="00111142">
            <w:pPr>
              <w:pStyle w:val="TableBody"/>
            </w:pPr>
            <w:r w:rsidRPr="00111142">
              <w:t>50.6</w:t>
            </w:r>
          </w:p>
        </w:tc>
        <w:tc>
          <w:tcPr>
            <w:tcW w:w="1516" w:type="pct"/>
            <w:noWrap/>
            <w:hideMark/>
          </w:tcPr>
          <w:p w14:paraId="6A6BF88D" w14:textId="77777777" w:rsidR="00D34676" w:rsidRPr="00111142" w:rsidRDefault="00D34676" w:rsidP="00111142">
            <w:pPr>
              <w:pStyle w:val="TableBody"/>
            </w:pPr>
            <w:r w:rsidRPr="00111142">
              <w:t>5.9</w:t>
            </w:r>
          </w:p>
        </w:tc>
      </w:tr>
      <w:tr w:rsidR="00D34676" w:rsidRPr="00111142" w14:paraId="54933015" w14:textId="77777777" w:rsidTr="0037449B">
        <w:trPr>
          <w:trHeight w:val="288"/>
        </w:trPr>
        <w:tc>
          <w:tcPr>
            <w:tcW w:w="1157" w:type="pct"/>
            <w:noWrap/>
            <w:hideMark/>
          </w:tcPr>
          <w:p w14:paraId="53C58217" w14:textId="77777777" w:rsidR="00D34676" w:rsidRPr="00111142" w:rsidRDefault="00D34676" w:rsidP="00111142">
            <w:pPr>
              <w:pStyle w:val="TableBody"/>
            </w:pPr>
            <w:r w:rsidRPr="00111142">
              <w:t>2005-06</w:t>
            </w:r>
          </w:p>
        </w:tc>
        <w:tc>
          <w:tcPr>
            <w:tcW w:w="2327" w:type="pct"/>
            <w:noWrap/>
            <w:hideMark/>
          </w:tcPr>
          <w:p w14:paraId="5B1C7F60" w14:textId="77777777" w:rsidR="00D34676" w:rsidRPr="00111142" w:rsidRDefault="00D34676" w:rsidP="00111142">
            <w:pPr>
              <w:pStyle w:val="TableBody"/>
            </w:pPr>
            <w:r w:rsidRPr="00111142">
              <w:t>52.2</w:t>
            </w:r>
          </w:p>
        </w:tc>
        <w:tc>
          <w:tcPr>
            <w:tcW w:w="1516" w:type="pct"/>
            <w:noWrap/>
            <w:hideMark/>
          </w:tcPr>
          <w:p w14:paraId="6F4F699A" w14:textId="77777777" w:rsidR="00D34676" w:rsidRPr="00111142" w:rsidRDefault="00D34676" w:rsidP="00111142">
            <w:pPr>
              <w:pStyle w:val="TableBody"/>
            </w:pPr>
            <w:r w:rsidRPr="00111142">
              <w:t>6.1</w:t>
            </w:r>
          </w:p>
        </w:tc>
      </w:tr>
      <w:tr w:rsidR="00D34676" w:rsidRPr="00111142" w14:paraId="14D7157B" w14:textId="77777777" w:rsidTr="0037449B">
        <w:trPr>
          <w:trHeight w:val="288"/>
        </w:trPr>
        <w:tc>
          <w:tcPr>
            <w:tcW w:w="1157" w:type="pct"/>
            <w:noWrap/>
            <w:hideMark/>
          </w:tcPr>
          <w:p w14:paraId="2DA86847" w14:textId="77777777" w:rsidR="00D34676" w:rsidRPr="00111142" w:rsidRDefault="00D34676" w:rsidP="00111142">
            <w:pPr>
              <w:pStyle w:val="TableBody"/>
            </w:pPr>
            <w:r w:rsidRPr="00111142">
              <w:t>2006-07</w:t>
            </w:r>
          </w:p>
        </w:tc>
        <w:tc>
          <w:tcPr>
            <w:tcW w:w="2327" w:type="pct"/>
            <w:noWrap/>
            <w:hideMark/>
          </w:tcPr>
          <w:p w14:paraId="30B52CAF" w14:textId="77777777" w:rsidR="00D34676" w:rsidRPr="00111142" w:rsidRDefault="00D34676" w:rsidP="00111142">
            <w:pPr>
              <w:pStyle w:val="TableBody"/>
            </w:pPr>
            <w:r w:rsidRPr="00111142">
              <w:t>53.5</w:t>
            </w:r>
          </w:p>
        </w:tc>
        <w:tc>
          <w:tcPr>
            <w:tcW w:w="1516" w:type="pct"/>
            <w:noWrap/>
            <w:hideMark/>
          </w:tcPr>
          <w:p w14:paraId="317FF497" w14:textId="77777777" w:rsidR="00D34676" w:rsidRPr="00111142" w:rsidRDefault="00D34676" w:rsidP="00111142">
            <w:pPr>
              <w:pStyle w:val="TableBody"/>
            </w:pPr>
            <w:r w:rsidRPr="00111142">
              <w:t>5.9</w:t>
            </w:r>
          </w:p>
        </w:tc>
      </w:tr>
      <w:tr w:rsidR="00D34676" w:rsidRPr="00111142" w14:paraId="614681A1" w14:textId="77777777" w:rsidTr="0037449B">
        <w:trPr>
          <w:trHeight w:val="288"/>
        </w:trPr>
        <w:tc>
          <w:tcPr>
            <w:tcW w:w="1157" w:type="pct"/>
            <w:noWrap/>
            <w:hideMark/>
          </w:tcPr>
          <w:p w14:paraId="1A5FD43F" w14:textId="77777777" w:rsidR="00D34676" w:rsidRPr="00111142" w:rsidRDefault="00D34676" w:rsidP="00111142">
            <w:pPr>
              <w:pStyle w:val="TableBody"/>
            </w:pPr>
            <w:r w:rsidRPr="00111142">
              <w:t>2007-08</w:t>
            </w:r>
          </w:p>
        </w:tc>
        <w:tc>
          <w:tcPr>
            <w:tcW w:w="2327" w:type="pct"/>
            <w:noWrap/>
            <w:hideMark/>
          </w:tcPr>
          <w:p w14:paraId="695E3014" w14:textId="77777777" w:rsidR="00D34676" w:rsidRPr="00111142" w:rsidRDefault="00D34676" w:rsidP="00111142">
            <w:pPr>
              <w:pStyle w:val="TableBody"/>
            </w:pPr>
            <w:r w:rsidRPr="00111142">
              <w:t>54.8</w:t>
            </w:r>
          </w:p>
        </w:tc>
        <w:tc>
          <w:tcPr>
            <w:tcW w:w="1516" w:type="pct"/>
            <w:noWrap/>
            <w:hideMark/>
          </w:tcPr>
          <w:p w14:paraId="5D675C23" w14:textId="77777777" w:rsidR="00D34676" w:rsidRPr="00111142" w:rsidRDefault="00D34676" w:rsidP="00111142">
            <w:pPr>
              <w:pStyle w:val="TableBody"/>
            </w:pPr>
            <w:r w:rsidRPr="00111142">
              <w:t>5.0</w:t>
            </w:r>
          </w:p>
        </w:tc>
      </w:tr>
      <w:tr w:rsidR="00D34676" w:rsidRPr="00111142" w14:paraId="107AD93D" w14:textId="77777777" w:rsidTr="0037449B">
        <w:trPr>
          <w:trHeight w:val="288"/>
        </w:trPr>
        <w:tc>
          <w:tcPr>
            <w:tcW w:w="1157" w:type="pct"/>
            <w:noWrap/>
            <w:hideMark/>
          </w:tcPr>
          <w:p w14:paraId="68E7F24D" w14:textId="77777777" w:rsidR="00D34676" w:rsidRPr="00111142" w:rsidRDefault="00D34676" w:rsidP="00111142">
            <w:pPr>
              <w:pStyle w:val="TableBody"/>
            </w:pPr>
            <w:r w:rsidRPr="00111142">
              <w:t>2008-09</w:t>
            </w:r>
          </w:p>
        </w:tc>
        <w:tc>
          <w:tcPr>
            <w:tcW w:w="2327" w:type="pct"/>
            <w:noWrap/>
            <w:hideMark/>
          </w:tcPr>
          <w:p w14:paraId="254754A2" w14:textId="77777777" w:rsidR="00D34676" w:rsidRPr="00111142" w:rsidRDefault="00D34676" w:rsidP="00111142">
            <w:pPr>
              <w:pStyle w:val="TableBody"/>
            </w:pPr>
            <w:r w:rsidRPr="00111142">
              <w:t>57.4</w:t>
            </w:r>
          </w:p>
        </w:tc>
        <w:tc>
          <w:tcPr>
            <w:tcW w:w="1516" w:type="pct"/>
            <w:noWrap/>
            <w:hideMark/>
          </w:tcPr>
          <w:p w14:paraId="3C868A77" w14:textId="77777777" w:rsidR="00D34676" w:rsidRPr="00111142" w:rsidRDefault="00D34676" w:rsidP="00111142">
            <w:pPr>
              <w:pStyle w:val="TableBody"/>
            </w:pPr>
            <w:r w:rsidRPr="00111142">
              <w:t>5.2</w:t>
            </w:r>
          </w:p>
        </w:tc>
      </w:tr>
      <w:tr w:rsidR="00D34676" w:rsidRPr="00111142" w14:paraId="2C72EF9D" w14:textId="77777777" w:rsidTr="0037449B">
        <w:trPr>
          <w:trHeight w:val="288"/>
        </w:trPr>
        <w:tc>
          <w:tcPr>
            <w:tcW w:w="1157" w:type="pct"/>
            <w:noWrap/>
            <w:hideMark/>
          </w:tcPr>
          <w:p w14:paraId="53ECC31D" w14:textId="77777777" w:rsidR="00D34676" w:rsidRPr="00111142" w:rsidRDefault="00D34676" w:rsidP="00111142">
            <w:pPr>
              <w:pStyle w:val="TableBody"/>
            </w:pPr>
            <w:r w:rsidRPr="00111142">
              <w:t>2009-10</w:t>
            </w:r>
          </w:p>
        </w:tc>
        <w:tc>
          <w:tcPr>
            <w:tcW w:w="2327" w:type="pct"/>
            <w:noWrap/>
            <w:hideMark/>
          </w:tcPr>
          <w:p w14:paraId="3D061417" w14:textId="77777777" w:rsidR="00D34676" w:rsidRPr="00111142" w:rsidRDefault="00D34676" w:rsidP="00111142">
            <w:pPr>
              <w:pStyle w:val="TableBody"/>
            </w:pPr>
            <w:r w:rsidRPr="00111142">
              <w:t>64.0</w:t>
            </w:r>
          </w:p>
        </w:tc>
        <w:tc>
          <w:tcPr>
            <w:tcW w:w="1516" w:type="pct"/>
            <w:noWrap/>
            <w:hideMark/>
          </w:tcPr>
          <w:p w14:paraId="2D3D870E" w14:textId="77777777" w:rsidR="00D34676" w:rsidRPr="00111142" w:rsidRDefault="00D34676" w:rsidP="00111142">
            <w:pPr>
              <w:pStyle w:val="TableBody"/>
            </w:pPr>
            <w:r w:rsidRPr="00111142">
              <w:t>5.9</w:t>
            </w:r>
          </w:p>
        </w:tc>
      </w:tr>
      <w:tr w:rsidR="00D34676" w:rsidRPr="00111142" w14:paraId="287F48C9" w14:textId="77777777" w:rsidTr="0037449B">
        <w:trPr>
          <w:trHeight w:val="288"/>
        </w:trPr>
        <w:tc>
          <w:tcPr>
            <w:tcW w:w="1157" w:type="pct"/>
            <w:noWrap/>
            <w:hideMark/>
          </w:tcPr>
          <w:p w14:paraId="505F3778" w14:textId="77777777" w:rsidR="00D34676" w:rsidRPr="00111142" w:rsidRDefault="00D34676" w:rsidP="00111142">
            <w:pPr>
              <w:pStyle w:val="TableBody"/>
            </w:pPr>
            <w:r w:rsidRPr="00111142">
              <w:t>2010-11</w:t>
            </w:r>
          </w:p>
        </w:tc>
        <w:tc>
          <w:tcPr>
            <w:tcW w:w="2327" w:type="pct"/>
            <w:noWrap/>
            <w:hideMark/>
          </w:tcPr>
          <w:p w14:paraId="6FDFE3D6" w14:textId="77777777" w:rsidR="00D34676" w:rsidRPr="00111142" w:rsidRDefault="00D34676" w:rsidP="00111142">
            <w:pPr>
              <w:pStyle w:val="TableBody"/>
            </w:pPr>
            <w:r w:rsidRPr="00111142">
              <w:t>62.5</w:t>
            </w:r>
          </w:p>
        </w:tc>
        <w:tc>
          <w:tcPr>
            <w:tcW w:w="1516" w:type="pct"/>
            <w:noWrap/>
            <w:hideMark/>
          </w:tcPr>
          <w:p w14:paraId="7B34827F" w14:textId="77777777" w:rsidR="00D34676" w:rsidRPr="00111142" w:rsidRDefault="00D34676" w:rsidP="00111142">
            <w:pPr>
              <w:pStyle w:val="TableBody"/>
            </w:pPr>
            <w:r w:rsidRPr="00111142">
              <w:t>5.4</w:t>
            </w:r>
          </w:p>
        </w:tc>
      </w:tr>
      <w:tr w:rsidR="00D34676" w:rsidRPr="00111142" w14:paraId="3F9F22A9" w14:textId="77777777" w:rsidTr="0037449B">
        <w:trPr>
          <w:trHeight w:val="288"/>
        </w:trPr>
        <w:tc>
          <w:tcPr>
            <w:tcW w:w="1157" w:type="pct"/>
            <w:noWrap/>
            <w:hideMark/>
          </w:tcPr>
          <w:p w14:paraId="36180A3B" w14:textId="77777777" w:rsidR="00D34676" w:rsidRPr="00111142" w:rsidRDefault="00D34676" w:rsidP="00111142">
            <w:pPr>
              <w:pStyle w:val="TableBody"/>
            </w:pPr>
            <w:r w:rsidRPr="00111142">
              <w:t>2011-12</w:t>
            </w:r>
          </w:p>
        </w:tc>
        <w:tc>
          <w:tcPr>
            <w:tcW w:w="2327" w:type="pct"/>
            <w:noWrap/>
            <w:hideMark/>
          </w:tcPr>
          <w:p w14:paraId="534D50A6" w14:textId="77777777" w:rsidR="00D34676" w:rsidRPr="00111142" w:rsidRDefault="00D34676" w:rsidP="00111142">
            <w:pPr>
              <w:pStyle w:val="TableBody"/>
            </w:pPr>
            <w:r w:rsidRPr="00111142">
              <w:t>62.0</w:t>
            </w:r>
          </w:p>
        </w:tc>
        <w:tc>
          <w:tcPr>
            <w:tcW w:w="1516" w:type="pct"/>
            <w:noWrap/>
            <w:hideMark/>
          </w:tcPr>
          <w:p w14:paraId="581BDAA0" w14:textId="77777777" w:rsidR="00D34676" w:rsidRPr="00111142" w:rsidRDefault="00D34676" w:rsidP="00111142">
            <w:pPr>
              <w:pStyle w:val="TableBody"/>
            </w:pPr>
            <w:r w:rsidRPr="00111142">
              <w:t>5.5</w:t>
            </w:r>
          </w:p>
        </w:tc>
      </w:tr>
      <w:tr w:rsidR="00D34676" w:rsidRPr="00111142" w14:paraId="5990C4C0" w14:textId="77777777" w:rsidTr="0037449B">
        <w:trPr>
          <w:trHeight w:val="288"/>
        </w:trPr>
        <w:tc>
          <w:tcPr>
            <w:tcW w:w="1157" w:type="pct"/>
            <w:noWrap/>
            <w:hideMark/>
          </w:tcPr>
          <w:p w14:paraId="570194DF" w14:textId="77777777" w:rsidR="00D34676" w:rsidRPr="00111142" w:rsidRDefault="00D34676" w:rsidP="00111142">
            <w:pPr>
              <w:pStyle w:val="TableBody"/>
            </w:pPr>
            <w:r w:rsidRPr="00111142">
              <w:t>2012-13</w:t>
            </w:r>
          </w:p>
        </w:tc>
        <w:tc>
          <w:tcPr>
            <w:tcW w:w="2327" w:type="pct"/>
            <w:noWrap/>
            <w:hideMark/>
          </w:tcPr>
          <w:p w14:paraId="72B902EE" w14:textId="77777777" w:rsidR="00D34676" w:rsidRPr="00111142" w:rsidRDefault="00D34676" w:rsidP="00111142">
            <w:pPr>
              <w:pStyle w:val="TableBody"/>
            </w:pPr>
            <w:r w:rsidRPr="00111142">
              <w:t>68.3</w:t>
            </w:r>
          </w:p>
        </w:tc>
        <w:tc>
          <w:tcPr>
            <w:tcW w:w="1516" w:type="pct"/>
            <w:noWrap/>
            <w:hideMark/>
          </w:tcPr>
          <w:p w14:paraId="3EB24F16" w14:textId="77777777" w:rsidR="00D34676" w:rsidRPr="00111142" w:rsidRDefault="00D34676" w:rsidP="00111142">
            <w:pPr>
              <w:pStyle w:val="TableBody"/>
            </w:pPr>
            <w:r w:rsidRPr="00111142">
              <w:t>6.3</w:t>
            </w:r>
          </w:p>
        </w:tc>
      </w:tr>
      <w:tr w:rsidR="00D34676" w:rsidRPr="00111142" w14:paraId="139190B4" w14:textId="77777777" w:rsidTr="0037449B">
        <w:trPr>
          <w:trHeight w:val="288"/>
        </w:trPr>
        <w:tc>
          <w:tcPr>
            <w:tcW w:w="1157" w:type="pct"/>
            <w:noWrap/>
            <w:hideMark/>
          </w:tcPr>
          <w:p w14:paraId="21D8D7B6" w14:textId="77777777" w:rsidR="00D34676" w:rsidRPr="00111142" w:rsidRDefault="00D34676" w:rsidP="00111142">
            <w:pPr>
              <w:pStyle w:val="TableBody"/>
            </w:pPr>
            <w:r w:rsidRPr="00111142">
              <w:t>2013-14</w:t>
            </w:r>
          </w:p>
        </w:tc>
        <w:tc>
          <w:tcPr>
            <w:tcW w:w="2327" w:type="pct"/>
            <w:noWrap/>
            <w:hideMark/>
          </w:tcPr>
          <w:p w14:paraId="16D8326B" w14:textId="77777777" w:rsidR="00D34676" w:rsidRPr="00111142" w:rsidRDefault="00D34676" w:rsidP="00111142">
            <w:pPr>
              <w:pStyle w:val="TableBody"/>
            </w:pPr>
            <w:r w:rsidRPr="00111142">
              <w:t>66.1</w:t>
            </w:r>
          </w:p>
        </w:tc>
        <w:tc>
          <w:tcPr>
            <w:tcW w:w="1516" w:type="pct"/>
            <w:noWrap/>
            <w:hideMark/>
          </w:tcPr>
          <w:p w14:paraId="7F12E96A" w14:textId="77777777" w:rsidR="00D34676" w:rsidRPr="00111142" w:rsidRDefault="00D34676" w:rsidP="00111142">
            <w:pPr>
              <w:pStyle w:val="TableBody"/>
            </w:pPr>
            <w:r w:rsidRPr="00111142">
              <w:t>6.1</w:t>
            </w:r>
          </w:p>
        </w:tc>
      </w:tr>
      <w:tr w:rsidR="00D34676" w:rsidRPr="00111142" w14:paraId="282F98C5" w14:textId="77777777" w:rsidTr="0037449B">
        <w:trPr>
          <w:trHeight w:val="288"/>
        </w:trPr>
        <w:tc>
          <w:tcPr>
            <w:tcW w:w="1157" w:type="pct"/>
            <w:noWrap/>
            <w:hideMark/>
          </w:tcPr>
          <w:p w14:paraId="52691358" w14:textId="77777777" w:rsidR="00D34676" w:rsidRPr="00111142" w:rsidRDefault="00D34676" w:rsidP="00111142">
            <w:pPr>
              <w:pStyle w:val="TableBody"/>
            </w:pPr>
            <w:r w:rsidRPr="00111142">
              <w:t>2014-15</w:t>
            </w:r>
          </w:p>
        </w:tc>
        <w:tc>
          <w:tcPr>
            <w:tcW w:w="2327" w:type="pct"/>
            <w:noWrap/>
            <w:hideMark/>
          </w:tcPr>
          <w:p w14:paraId="2417FB86" w14:textId="77777777" w:rsidR="00D34676" w:rsidRPr="00111142" w:rsidRDefault="00D34676" w:rsidP="00111142">
            <w:pPr>
              <w:pStyle w:val="TableBody"/>
            </w:pPr>
            <w:r w:rsidRPr="00111142">
              <w:t>65.0</w:t>
            </w:r>
          </w:p>
        </w:tc>
        <w:tc>
          <w:tcPr>
            <w:tcW w:w="1516" w:type="pct"/>
            <w:noWrap/>
            <w:hideMark/>
          </w:tcPr>
          <w:p w14:paraId="47191461" w14:textId="77777777" w:rsidR="00D34676" w:rsidRPr="00111142" w:rsidRDefault="00D34676" w:rsidP="00111142">
            <w:pPr>
              <w:pStyle w:val="TableBody"/>
            </w:pPr>
            <w:r w:rsidRPr="00111142">
              <w:t>6.3</w:t>
            </w:r>
          </w:p>
        </w:tc>
      </w:tr>
      <w:tr w:rsidR="00D34676" w:rsidRPr="00111142" w14:paraId="75F4128B" w14:textId="77777777" w:rsidTr="0037449B">
        <w:trPr>
          <w:trHeight w:val="288"/>
        </w:trPr>
        <w:tc>
          <w:tcPr>
            <w:tcW w:w="1157" w:type="pct"/>
            <w:noWrap/>
            <w:hideMark/>
          </w:tcPr>
          <w:p w14:paraId="450474A4" w14:textId="77777777" w:rsidR="00D34676" w:rsidRPr="00111142" w:rsidRDefault="00D34676" w:rsidP="00111142">
            <w:pPr>
              <w:pStyle w:val="TableBody"/>
            </w:pPr>
            <w:r w:rsidRPr="00111142">
              <w:t>2015-16</w:t>
            </w:r>
          </w:p>
        </w:tc>
        <w:tc>
          <w:tcPr>
            <w:tcW w:w="2327" w:type="pct"/>
            <w:noWrap/>
            <w:hideMark/>
          </w:tcPr>
          <w:p w14:paraId="56FB7E76" w14:textId="77777777" w:rsidR="00D34676" w:rsidRPr="00111142" w:rsidRDefault="00D34676" w:rsidP="00111142">
            <w:pPr>
              <w:pStyle w:val="TableBody"/>
            </w:pPr>
            <w:r w:rsidRPr="00111142">
              <w:t>68.1</w:t>
            </w:r>
          </w:p>
        </w:tc>
        <w:tc>
          <w:tcPr>
            <w:tcW w:w="1516" w:type="pct"/>
            <w:noWrap/>
            <w:hideMark/>
          </w:tcPr>
          <w:p w14:paraId="092F4844" w14:textId="77777777" w:rsidR="00D34676" w:rsidRPr="00111142" w:rsidRDefault="00D34676" w:rsidP="00111142">
            <w:pPr>
              <w:pStyle w:val="TableBody"/>
            </w:pPr>
            <w:r w:rsidRPr="00111142">
              <w:t>6.9</w:t>
            </w:r>
          </w:p>
        </w:tc>
      </w:tr>
      <w:tr w:rsidR="00D34676" w:rsidRPr="00111142" w14:paraId="2BE6AE82" w14:textId="77777777" w:rsidTr="0037449B">
        <w:trPr>
          <w:trHeight w:val="288"/>
        </w:trPr>
        <w:tc>
          <w:tcPr>
            <w:tcW w:w="1157" w:type="pct"/>
            <w:noWrap/>
            <w:hideMark/>
          </w:tcPr>
          <w:p w14:paraId="2F786764" w14:textId="77777777" w:rsidR="00D34676" w:rsidRPr="00111142" w:rsidRDefault="00D34676" w:rsidP="00111142">
            <w:pPr>
              <w:pStyle w:val="TableBody"/>
            </w:pPr>
            <w:r w:rsidRPr="00111142">
              <w:t>2016-17</w:t>
            </w:r>
          </w:p>
        </w:tc>
        <w:tc>
          <w:tcPr>
            <w:tcW w:w="2327" w:type="pct"/>
            <w:noWrap/>
            <w:hideMark/>
          </w:tcPr>
          <w:p w14:paraId="39233BC6" w14:textId="77777777" w:rsidR="00D34676" w:rsidRPr="00111142" w:rsidRDefault="00D34676" w:rsidP="00111142">
            <w:pPr>
              <w:pStyle w:val="TableBody"/>
            </w:pPr>
            <w:r w:rsidRPr="00111142">
              <w:t>76.4</w:t>
            </w:r>
          </w:p>
        </w:tc>
        <w:tc>
          <w:tcPr>
            <w:tcW w:w="1516" w:type="pct"/>
            <w:noWrap/>
            <w:hideMark/>
          </w:tcPr>
          <w:p w14:paraId="17B8E99B" w14:textId="77777777" w:rsidR="00D34676" w:rsidRPr="00111142" w:rsidRDefault="00D34676" w:rsidP="00111142">
            <w:pPr>
              <w:pStyle w:val="TableBody"/>
            </w:pPr>
            <w:r w:rsidRPr="00111142">
              <w:t>8.1</w:t>
            </w:r>
          </w:p>
        </w:tc>
      </w:tr>
      <w:tr w:rsidR="00D34676" w:rsidRPr="00111142" w14:paraId="66B84A52" w14:textId="77777777" w:rsidTr="0037449B">
        <w:trPr>
          <w:trHeight w:val="288"/>
        </w:trPr>
        <w:tc>
          <w:tcPr>
            <w:tcW w:w="1157" w:type="pct"/>
            <w:noWrap/>
            <w:hideMark/>
          </w:tcPr>
          <w:p w14:paraId="4BC18AD7" w14:textId="77777777" w:rsidR="00D34676" w:rsidRPr="00111142" w:rsidRDefault="00D34676" w:rsidP="00111142">
            <w:pPr>
              <w:pStyle w:val="TableBody"/>
            </w:pPr>
            <w:r w:rsidRPr="00111142">
              <w:t>2017-18</w:t>
            </w:r>
          </w:p>
        </w:tc>
        <w:tc>
          <w:tcPr>
            <w:tcW w:w="2327" w:type="pct"/>
            <w:noWrap/>
            <w:hideMark/>
          </w:tcPr>
          <w:p w14:paraId="5AF83D3C" w14:textId="77777777" w:rsidR="00D34676" w:rsidRPr="00111142" w:rsidRDefault="00D34676" w:rsidP="00111142">
            <w:pPr>
              <w:pStyle w:val="TableBody"/>
            </w:pPr>
            <w:r w:rsidRPr="00111142">
              <w:t>75.3</w:t>
            </w:r>
          </w:p>
        </w:tc>
        <w:tc>
          <w:tcPr>
            <w:tcW w:w="1516" w:type="pct"/>
            <w:noWrap/>
            <w:hideMark/>
          </w:tcPr>
          <w:p w14:paraId="00520C8E" w14:textId="77777777" w:rsidR="00D34676" w:rsidRPr="00111142" w:rsidRDefault="00D34676" w:rsidP="00111142">
            <w:pPr>
              <w:pStyle w:val="TableBody"/>
            </w:pPr>
            <w:r w:rsidRPr="00111142">
              <w:t>8.4</w:t>
            </w:r>
          </w:p>
        </w:tc>
      </w:tr>
      <w:tr w:rsidR="00D34676" w:rsidRPr="00111142" w14:paraId="5FDB3909" w14:textId="77777777" w:rsidTr="0037449B">
        <w:trPr>
          <w:trHeight w:val="288"/>
        </w:trPr>
        <w:tc>
          <w:tcPr>
            <w:tcW w:w="1157" w:type="pct"/>
            <w:noWrap/>
            <w:hideMark/>
          </w:tcPr>
          <w:p w14:paraId="47082879" w14:textId="77777777" w:rsidR="00D34676" w:rsidRPr="00111142" w:rsidRDefault="00D34676" w:rsidP="00111142">
            <w:pPr>
              <w:pStyle w:val="TableBody"/>
            </w:pPr>
            <w:r w:rsidRPr="00111142">
              <w:t>2018-19</w:t>
            </w:r>
          </w:p>
        </w:tc>
        <w:tc>
          <w:tcPr>
            <w:tcW w:w="2327" w:type="pct"/>
            <w:noWrap/>
            <w:hideMark/>
          </w:tcPr>
          <w:p w14:paraId="1F05756A" w14:textId="77777777" w:rsidR="00D34676" w:rsidRPr="00111142" w:rsidRDefault="00D34676" w:rsidP="00111142">
            <w:pPr>
              <w:pStyle w:val="TableBody"/>
            </w:pPr>
            <w:r w:rsidRPr="00111142">
              <w:t>77.1</w:t>
            </w:r>
          </w:p>
        </w:tc>
        <w:tc>
          <w:tcPr>
            <w:tcW w:w="1516" w:type="pct"/>
            <w:noWrap/>
            <w:hideMark/>
          </w:tcPr>
          <w:p w14:paraId="2F76139D" w14:textId="77777777" w:rsidR="00D34676" w:rsidRPr="00111142" w:rsidRDefault="00D34676" w:rsidP="00111142">
            <w:pPr>
              <w:pStyle w:val="TableBody"/>
            </w:pPr>
            <w:r w:rsidRPr="00111142">
              <w:t>10.6</w:t>
            </w:r>
          </w:p>
        </w:tc>
      </w:tr>
      <w:tr w:rsidR="00D34676" w:rsidRPr="00111142" w14:paraId="67E16961" w14:textId="77777777" w:rsidTr="0037449B">
        <w:trPr>
          <w:trHeight w:val="288"/>
        </w:trPr>
        <w:tc>
          <w:tcPr>
            <w:tcW w:w="1157" w:type="pct"/>
            <w:noWrap/>
            <w:hideMark/>
          </w:tcPr>
          <w:p w14:paraId="782807A6" w14:textId="77777777" w:rsidR="00D34676" w:rsidRPr="00111142" w:rsidRDefault="00D34676" w:rsidP="00111142">
            <w:pPr>
              <w:pStyle w:val="TableBody"/>
            </w:pPr>
            <w:r w:rsidRPr="00111142">
              <w:lastRenderedPageBreak/>
              <w:t>2019-20</w:t>
            </w:r>
          </w:p>
        </w:tc>
        <w:tc>
          <w:tcPr>
            <w:tcW w:w="2327" w:type="pct"/>
            <w:noWrap/>
            <w:hideMark/>
          </w:tcPr>
          <w:p w14:paraId="32BA7566" w14:textId="77777777" w:rsidR="00D34676" w:rsidRPr="00111142" w:rsidRDefault="00D34676" w:rsidP="00111142">
            <w:pPr>
              <w:pStyle w:val="TableBody"/>
            </w:pPr>
            <w:r w:rsidRPr="00111142">
              <w:t>77.3</w:t>
            </w:r>
          </w:p>
        </w:tc>
        <w:tc>
          <w:tcPr>
            <w:tcW w:w="1516" w:type="pct"/>
            <w:noWrap/>
            <w:hideMark/>
          </w:tcPr>
          <w:p w14:paraId="36369AE7" w14:textId="77777777" w:rsidR="00D34676" w:rsidRPr="00111142" w:rsidRDefault="00D34676" w:rsidP="00111142">
            <w:pPr>
              <w:pStyle w:val="TableBody"/>
            </w:pPr>
            <w:r w:rsidRPr="00111142">
              <w:t>12.8</w:t>
            </w:r>
          </w:p>
        </w:tc>
      </w:tr>
      <w:tr w:rsidR="00D34676" w:rsidRPr="00111142" w14:paraId="49047F3C" w14:textId="77777777" w:rsidTr="0037449B">
        <w:trPr>
          <w:trHeight w:val="288"/>
        </w:trPr>
        <w:tc>
          <w:tcPr>
            <w:tcW w:w="1157" w:type="pct"/>
            <w:noWrap/>
            <w:hideMark/>
          </w:tcPr>
          <w:p w14:paraId="4D94A9CB" w14:textId="77777777" w:rsidR="00D34676" w:rsidRPr="00111142" w:rsidRDefault="00D34676" w:rsidP="00111142">
            <w:pPr>
              <w:pStyle w:val="TableBody"/>
            </w:pPr>
            <w:r w:rsidRPr="00111142">
              <w:t>2020-21</w:t>
            </w:r>
          </w:p>
        </w:tc>
        <w:tc>
          <w:tcPr>
            <w:tcW w:w="2327" w:type="pct"/>
            <w:noWrap/>
            <w:hideMark/>
          </w:tcPr>
          <w:p w14:paraId="5B42BEBD" w14:textId="77777777" w:rsidR="00D34676" w:rsidRPr="00111142" w:rsidRDefault="00D34676" w:rsidP="00111142">
            <w:pPr>
              <w:pStyle w:val="TableBody"/>
            </w:pPr>
            <w:r w:rsidRPr="00111142">
              <w:t>77.6</w:t>
            </w:r>
          </w:p>
        </w:tc>
        <w:tc>
          <w:tcPr>
            <w:tcW w:w="1516" w:type="pct"/>
            <w:noWrap/>
            <w:hideMark/>
          </w:tcPr>
          <w:p w14:paraId="2A9C4B61" w14:textId="77777777" w:rsidR="00D34676" w:rsidRPr="00111142" w:rsidRDefault="00D34676" w:rsidP="00111142">
            <w:pPr>
              <w:pStyle w:val="TableBody"/>
            </w:pPr>
            <w:r w:rsidRPr="00111142">
              <w:t>12.3</w:t>
            </w:r>
          </w:p>
        </w:tc>
      </w:tr>
      <w:tr w:rsidR="00D34676" w:rsidRPr="00111142" w14:paraId="3CAB7A72" w14:textId="77777777" w:rsidTr="0037449B">
        <w:trPr>
          <w:trHeight w:val="288"/>
        </w:trPr>
        <w:tc>
          <w:tcPr>
            <w:tcW w:w="1157" w:type="pct"/>
            <w:noWrap/>
            <w:hideMark/>
          </w:tcPr>
          <w:p w14:paraId="4C920713" w14:textId="77777777" w:rsidR="00D34676" w:rsidRPr="00111142" w:rsidRDefault="00D34676" w:rsidP="00111142">
            <w:pPr>
              <w:pStyle w:val="TableBody"/>
            </w:pPr>
            <w:r w:rsidRPr="00111142">
              <w:t>2021-22</w:t>
            </w:r>
          </w:p>
        </w:tc>
        <w:tc>
          <w:tcPr>
            <w:tcW w:w="2327" w:type="pct"/>
            <w:noWrap/>
            <w:hideMark/>
          </w:tcPr>
          <w:p w14:paraId="19263B6C" w14:textId="77777777" w:rsidR="00D34676" w:rsidRPr="00111142" w:rsidRDefault="00D34676" w:rsidP="00111142">
            <w:pPr>
              <w:pStyle w:val="TableBody"/>
            </w:pPr>
            <w:r w:rsidRPr="00111142">
              <w:t>74.6</w:t>
            </w:r>
          </w:p>
        </w:tc>
        <w:tc>
          <w:tcPr>
            <w:tcW w:w="1516" w:type="pct"/>
            <w:noWrap/>
            <w:hideMark/>
          </w:tcPr>
          <w:p w14:paraId="6AC257B4" w14:textId="77777777" w:rsidR="00D34676" w:rsidRPr="00111142" w:rsidRDefault="00D34676" w:rsidP="00111142">
            <w:pPr>
              <w:pStyle w:val="TableBody"/>
            </w:pPr>
            <w:r w:rsidRPr="00111142">
              <w:t>9.3</w:t>
            </w:r>
          </w:p>
        </w:tc>
      </w:tr>
      <w:tr w:rsidR="00D34676" w:rsidRPr="00111142" w14:paraId="46EC2B03" w14:textId="77777777" w:rsidTr="0037449B">
        <w:trPr>
          <w:trHeight w:val="288"/>
        </w:trPr>
        <w:tc>
          <w:tcPr>
            <w:tcW w:w="1157" w:type="pct"/>
            <w:noWrap/>
            <w:hideMark/>
          </w:tcPr>
          <w:p w14:paraId="19852A07" w14:textId="77777777" w:rsidR="00D34676" w:rsidRPr="00111142" w:rsidRDefault="00D34676" w:rsidP="00111142">
            <w:pPr>
              <w:pStyle w:val="TableBody"/>
            </w:pPr>
            <w:r w:rsidRPr="00111142">
              <w:t>2022-23</w:t>
            </w:r>
          </w:p>
        </w:tc>
        <w:tc>
          <w:tcPr>
            <w:tcW w:w="2327" w:type="pct"/>
            <w:noWrap/>
            <w:hideMark/>
          </w:tcPr>
          <w:p w14:paraId="24AA1461" w14:textId="77777777" w:rsidR="00D34676" w:rsidRPr="00111142" w:rsidRDefault="00D34676" w:rsidP="00111142">
            <w:pPr>
              <w:pStyle w:val="TableBody"/>
            </w:pPr>
            <w:r w:rsidRPr="00111142">
              <w:t>75.9</w:t>
            </w:r>
          </w:p>
        </w:tc>
        <w:tc>
          <w:tcPr>
            <w:tcW w:w="1516" w:type="pct"/>
            <w:noWrap/>
            <w:hideMark/>
          </w:tcPr>
          <w:p w14:paraId="2BDC8BCE" w14:textId="77777777" w:rsidR="00D34676" w:rsidRPr="00111142" w:rsidRDefault="00D34676" w:rsidP="00111142">
            <w:pPr>
              <w:pStyle w:val="TableBody"/>
            </w:pPr>
            <w:r w:rsidRPr="00111142">
              <w:t>7.9</w:t>
            </w:r>
          </w:p>
        </w:tc>
      </w:tr>
      <w:tr w:rsidR="00D34676" w:rsidRPr="00111142" w14:paraId="35863094" w14:textId="77777777" w:rsidTr="0037449B">
        <w:trPr>
          <w:trHeight w:val="288"/>
        </w:trPr>
        <w:tc>
          <w:tcPr>
            <w:tcW w:w="1157" w:type="pct"/>
            <w:noWrap/>
            <w:hideMark/>
          </w:tcPr>
          <w:p w14:paraId="6D3AEF60" w14:textId="77777777" w:rsidR="00D34676" w:rsidRPr="00111142" w:rsidRDefault="00D34676" w:rsidP="00111142">
            <w:pPr>
              <w:pStyle w:val="TableBody"/>
            </w:pPr>
            <w:r w:rsidRPr="00111142">
              <w:t>2023-24</w:t>
            </w:r>
          </w:p>
        </w:tc>
        <w:tc>
          <w:tcPr>
            <w:tcW w:w="2327" w:type="pct"/>
            <w:noWrap/>
            <w:hideMark/>
          </w:tcPr>
          <w:p w14:paraId="08FE1530" w14:textId="77777777" w:rsidR="00D34676" w:rsidRPr="00111142" w:rsidRDefault="00D34676" w:rsidP="00111142">
            <w:pPr>
              <w:pStyle w:val="TableBody"/>
            </w:pPr>
            <w:r w:rsidRPr="00111142">
              <w:t>77.2</w:t>
            </w:r>
          </w:p>
        </w:tc>
        <w:tc>
          <w:tcPr>
            <w:tcW w:w="1516" w:type="pct"/>
            <w:noWrap/>
            <w:hideMark/>
          </w:tcPr>
          <w:p w14:paraId="167F87B7" w14:textId="77777777" w:rsidR="00D34676" w:rsidRPr="00111142" w:rsidRDefault="00D34676" w:rsidP="00111142">
            <w:pPr>
              <w:pStyle w:val="TableBody"/>
            </w:pPr>
            <w:r w:rsidRPr="00111142">
              <w:t>7.2</w:t>
            </w:r>
          </w:p>
        </w:tc>
      </w:tr>
    </w:tbl>
    <w:p w14:paraId="3B1D29A3" w14:textId="77777777" w:rsidR="00253084" w:rsidRPr="00157502" w:rsidRDefault="00253084" w:rsidP="00D4532A">
      <w:r w:rsidRPr="000C258A">
        <w:rPr>
          <w:rStyle w:val="Strong"/>
        </w:rPr>
        <w:t>Source</w:t>
      </w:r>
      <w:r w:rsidRPr="008C1137">
        <w:t>: Court Services Victoria, unpublished data</w:t>
      </w:r>
    </w:p>
    <w:p w14:paraId="0D0A4DAF" w14:textId="77777777" w:rsidR="00A4454A" w:rsidRPr="008C1137" w:rsidRDefault="00A4454A" w:rsidP="00210207">
      <w:pPr>
        <w:pStyle w:val="Numbered"/>
      </w:pPr>
      <w:r w:rsidRPr="008C1137">
        <w:t>In the Magistrates’ Court, the proportion of people receiving a custodial sentence stayed relatively stable in the decade to 2015–16, ranging between 5% and 7% each year. But that rate then almost doubled over the next 4 years, peaking at 12.8% in 2019–20 (though the unusually high peak in 2019–20 and 2020–21 is likely because the Magistrates’ Court had to prioritise more serious cases and cases where the accused was held on remand during COVID-19).</w:t>
      </w:r>
      <w:r w:rsidRPr="008C1137">
        <w:rPr>
          <w:rStyle w:val="Superscript"/>
        </w:rPr>
        <w:footnoteReference w:id="70"/>
      </w:r>
      <w:r w:rsidRPr="008C1137">
        <w:t xml:space="preserve"> Since then, the rate of custodial sentences in the Magistrates’ Court declined, returning to around 7% by 2023–24, the lowest rate since 2015–16.</w:t>
      </w:r>
    </w:p>
    <w:p w14:paraId="5F52E320" w14:textId="77777777" w:rsidR="00A4454A" w:rsidRPr="008C1137" w:rsidRDefault="00A4454A" w:rsidP="00210207">
      <w:pPr>
        <w:pStyle w:val="Numbered"/>
      </w:pPr>
      <w:r w:rsidRPr="008C1137">
        <w:t>In the higher courts, the proportion of people receiving a custodial sentence is, as would be expected, significantly higher than in the Magistrates’ Court. The rate also increased substantially over the period, from 50.6% in 2004–05 to 77.2% in 2023–24, but was largely stable since 2016–17 at between 74% and 78% each year. As we observed in 2022, this increased proportion of cases receiving imprisonment in the higher courts is likely due to more cases (especially less serious ones) now being heard in the summary jurisdiction than were heard previously.</w:t>
      </w:r>
      <w:r w:rsidRPr="008C1137">
        <w:rPr>
          <w:rStyle w:val="Superscript"/>
        </w:rPr>
        <w:footnoteReference w:id="71"/>
      </w:r>
    </w:p>
    <w:p w14:paraId="09E03771" w14:textId="77777777" w:rsidR="00A4454A" w:rsidRPr="008C1137" w:rsidRDefault="00A4454A" w:rsidP="0002476E">
      <w:pPr>
        <w:pStyle w:val="Heading2"/>
      </w:pPr>
      <w:r w:rsidRPr="008C1137">
        <w:lastRenderedPageBreak/>
        <w:t>Rates of common sentence types</w:t>
      </w:r>
    </w:p>
    <w:p w14:paraId="79BBA458" w14:textId="4E90D8E9" w:rsidR="00A4454A" w:rsidRPr="008C1137" w:rsidRDefault="00A4454A" w:rsidP="00210207">
      <w:pPr>
        <w:pStyle w:val="Numbered"/>
      </w:pPr>
      <w:r w:rsidRPr="008C1137">
        <w:t>Importantly, there were significant changes in the sentence types available in Victoria in the 20-year period examined. These changes would be expected to affect the sentence types imposed, and as such, the rate (proportion) of each sentence type is considered below. The sentence types measured in Figures 14</w:t>
      </w:r>
      <w:r w:rsidR="009E33A5">
        <w:t xml:space="preserve"> </w:t>
      </w:r>
      <w:r w:rsidRPr="008C1137">
        <w:t>and 15</w:t>
      </w:r>
      <w:r w:rsidR="009E33A5">
        <w:t xml:space="preserve"> </w:t>
      </w:r>
      <w:r w:rsidRPr="008C1137">
        <w:t>are:</w:t>
      </w:r>
    </w:p>
    <w:p w14:paraId="2E9CA9F3" w14:textId="77777777" w:rsidR="00A4454A" w:rsidRPr="008C1137" w:rsidRDefault="00A4454A" w:rsidP="008C1137">
      <w:pPr>
        <w:pStyle w:val="Bullets"/>
      </w:pPr>
      <w:r w:rsidRPr="008C1137">
        <w:t>imprisonment only</w:t>
      </w:r>
    </w:p>
    <w:p w14:paraId="4B308AFF" w14:textId="77777777" w:rsidR="00A4454A" w:rsidRPr="008C1137" w:rsidRDefault="00A4454A" w:rsidP="008C1137">
      <w:pPr>
        <w:pStyle w:val="Bullets"/>
      </w:pPr>
      <w:r w:rsidRPr="008C1137">
        <w:t>imprisonment combined with a community order (‘combined orders’)</w:t>
      </w:r>
      <w:r w:rsidRPr="008C1137">
        <w:rPr>
          <w:rStyle w:val="Superscript"/>
        </w:rPr>
        <w:footnoteReference w:id="72"/>
      </w:r>
    </w:p>
    <w:p w14:paraId="20512990" w14:textId="77777777" w:rsidR="00A4454A" w:rsidRPr="008C1137" w:rsidRDefault="00A4454A" w:rsidP="008C1137">
      <w:pPr>
        <w:pStyle w:val="Bullets"/>
      </w:pPr>
      <w:r w:rsidRPr="008C1137">
        <w:t>community orders only (‘community orders’)</w:t>
      </w:r>
      <w:r w:rsidRPr="008C1137">
        <w:rPr>
          <w:rStyle w:val="Superscript"/>
        </w:rPr>
        <w:footnoteReference w:id="73"/>
      </w:r>
    </w:p>
    <w:p w14:paraId="64B43361" w14:textId="77777777" w:rsidR="00A4454A" w:rsidRPr="008C1137" w:rsidRDefault="00A4454A" w:rsidP="008C1137">
      <w:pPr>
        <w:pStyle w:val="Bullets"/>
      </w:pPr>
      <w:r w:rsidRPr="008C1137">
        <w:t>partially suspended sentences</w:t>
      </w:r>
      <w:r w:rsidRPr="008C1137">
        <w:rPr>
          <w:rStyle w:val="Superscript"/>
        </w:rPr>
        <w:footnoteReference w:id="74"/>
      </w:r>
      <w:r w:rsidRPr="008C1137">
        <w:t xml:space="preserve"> and</w:t>
      </w:r>
    </w:p>
    <w:p w14:paraId="702407AC" w14:textId="77777777" w:rsidR="00A4454A" w:rsidRPr="008C1137" w:rsidRDefault="00A4454A" w:rsidP="008C1137">
      <w:pPr>
        <w:pStyle w:val="Bullets"/>
      </w:pPr>
      <w:r w:rsidRPr="008C1137">
        <w:t>wholly suspended sentences.</w:t>
      </w:r>
      <w:r w:rsidRPr="008C1137">
        <w:rPr>
          <w:rStyle w:val="Superscript"/>
        </w:rPr>
        <w:footnoteReference w:id="75"/>
      </w:r>
    </w:p>
    <w:p w14:paraId="31473FDB" w14:textId="77777777" w:rsidR="00A4454A" w:rsidRPr="008C1137" w:rsidRDefault="00A4454A" w:rsidP="00210207">
      <w:pPr>
        <w:pStyle w:val="Numbered"/>
      </w:pPr>
      <w:r w:rsidRPr="008C1137">
        <w:t>While wholly suspended sentences and community orders do not involve an immediate term of imprisonment, they have been included as their prevalence seems to have had an inverse relationship with immediate custodial sentences.</w:t>
      </w:r>
    </w:p>
    <w:p w14:paraId="15697D77" w14:textId="77777777" w:rsidR="00A4454A" w:rsidRPr="008C1137" w:rsidRDefault="00A4454A" w:rsidP="0002476E">
      <w:pPr>
        <w:pStyle w:val="Heading3"/>
      </w:pPr>
      <w:r w:rsidRPr="008C1137">
        <w:lastRenderedPageBreak/>
        <w:t>Magistrates’ Court</w:t>
      </w:r>
    </w:p>
    <w:p w14:paraId="0AFF0DF5" w14:textId="58129638" w:rsidR="00A4454A" w:rsidRPr="008C1137" w:rsidRDefault="00A4454A" w:rsidP="00210207">
      <w:pPr>
        <w:pStyle w:val="Numbered"/>
      </w:pPr>
      <w:r w:rsidRPr="008C1137">
        <w:t>Noting that fines are the most common sentencing order imposed in the Magistrates’ Court,</w:t>
      </w:r>
      <w:r w:rsidRPr="008C1137">
        <w:rPr>
          <w:rStyle w:val="Superscript"/>
        </w:rPr>
        <w:footnoteReference w:id="76"/>
      </w:r>
      <w:r w:rsidRPr="008C1137">
        <w:t xml:space="preserve"> none of the sentence types presented in Figure 14</w:t>
      </w:r>
      <w:r w:rsidR="009E33A5">
        <w:t xml:space="preserve"> </w:t>
      </w:r>
      <w:r w:rsidRPr="008C1137">
        <w:t xml:space="preserve">exceeded 11% of </w:t>
      </w:r>
      <w:r w:rsidRPr="003B3217">
        <w:rPr>
          <w:rStyle w:val="Italic"/>
        </w:rPr>
        <w:t>all</w:t>
      </w:r>
      <w:r w:rsidRPr="008C1137">
        <w:t xml:space="preserve"> sentencing orders imposed in a given year. There was, however, significant changes in the composition of sentencing orders in the Magistrates’ Court:</w:t>
      </w:r>
    </w:p>
    <w:p w14:paraId="75C72DAB" w14:textId="77777777" w:rsidR="00A4454A" w:rsidRPr="008C1137" w:rsidRDefault="00A4454A" w:rsidP="008C1137">
      <w:pPr>
        <w:pStyle w:val="Bullets"/>
      </w:pPr>
      <w:r w:rsidRPr="008C1137">
        <w:t xml:space="preserve">there was a marked stability in </w:t>
      </w:r>
      <w:r w:rsidRPr="003B3217">
        <w:rPr>
          <w:rStyle w:val="Italic"/>
        </w:rPr>
        <w:t>imprisonment-only</w:t>
      </w:r>
      <w:r w:rsidRPr="008C1137">
        <w:t xml:space="preserve"> sentences in the 12 years to 30 June 2016 (about 5% each year), before a rapid increase over the next 4 years (to 9%) coinciding with a decrease in the proportion of community orders. By 2023–24, imprisonment-only sentences had returned to 2004–05 levels (5% of all outcomes)</w:t>
      </w:r>
    </w:p>
    <w:p w14:paraId="752FE5C4" w14:textId="77777777" w:rsidR="00A4454A" w:rsidRPr="008C1137" w:rsidRDefault="00A4454A" w:rsidP="008C1137">
      <w:pPr>
        <w:pStyle w:val="Bullets"/>
      </w:pPr>
      <w:r w:rsidRPr="008C1137">
        <w:t xml:space="preserve">both </w:t>
      </w:r>
      <w:r w:rsidRPr="003B3217">
        <w:rPr>
          <w:rStyle w:val="Italic"/>
        </w:rPr>
        <w:t>wholly suspended sentences</w:t>
      </w:r>
      <w:r w:rsidRPr="008C1137">
        <w:t xml:space="preserve"> and</w:t>
      </w:r>
      <w:r w:rsidRPr="003B3217">
        <w:rPr>
          <w:rStyle w:val="Italic"/>
        </w:rPr>
        <w:t xml:space="preserve"> partially suspended sentences</w:t>
      </w:r>
      <w:r w:rsidRPr="008C1137">
        <w:t xml:space="preserve"> decreased significantly after their abolition in 2014</w:t>
      </w:r>
      <w:r w:rsidRPr="008C1137">
        <w:rPr>
          <w:rStyle w:val="Superscript"/>
        </w:rPr>
        <w:footnoteReference w:id="77"/>
      </w:r>
      <w:r w:rsidRPr="008C1137">
        <w:t xml:space="preserve"> (falling from a combined 8% of outcomes to 0% each year since 2018–19)</w:t>
      </w:r>
    </w:p>
    <w:p w14:paraId="498E78BA" w14:textId="77777777" w:rsidR="00A4454A" w:rsidRPr="008C1137" w:rsidRDefault="00A4454A" w:rsidP="008C1137">
      <w:pPr>
        <w:pStyle w:val="Bullets"/>
      </w:pPr>
      <w:r w:rsidRPr="003B3217">
        <w:rPr>
          <w:rStyle w:val="Italic"/>
        </w:rPr>
        <w:t xml:space="preserve">community orders </w:t>
      </w:r>
      <w:r w:rsidRPr="008C1137">
        <w:t>and</w:t>
      </w:r>
      <w:r w:rsidRPr="003B3217">
        <w:rPr>
          <w:rStyle w:val="Italic"/>
        </w:rPr>
        <w:t xml:space="preserve"> combined orders</w:t>
      </w:r>
      <w:r w:rsidRPr="008C1137">
        <w:t xml:space="preserve"> increased steadily between 2013–14 and 2016–17, likely the result of a number of factors, including: </w:t>
      </w:r>
    </w:p>
    <w:p w14:paraId="79BA6064" w14:textId="77777777" w:rsidR="00A4454A" w:rsidRPr="004335FD" w:rsidRDefault="00A4454A" w:rsidP="004335FD">
      <w:pPr>
        <w:pStyle w:val="ListParagraph"/>
        <w:numPr>
          <w:ilvl w:val="2"/>
          <w:numId w:val="14"/>
        </w:numPr>
      </w:pPr>
      <w:r w:rsidRPr="004335FD">
        <w:t>the introduction of community correction orders (CCOs) in 2012, replacing a raft of other community orders</w:t>
      </w:r>
      <w:r w:rsidRPr="004335FD">
        <w:footnoteReference w:id="78"/>
      </w:r>
      <w:r w:rsidRPr="004335FD">
        <w:t xml:space="preserve"> </w:t>
      </w:r>
    </w:p>
    <w:p w14:paraId="7E10E0F3" w14:textId="77777777" w:rsidR="00A4454A" w:rsidRPr="004335FD" w:rsidRDefault="00A4454A" w:rsidP="004335FD">
      <w:pPr>
        <w:pStyle w:val="ListParagraph"/>
        <w:numPr>
          <w:ilvl w:val="2"/>
          <w:numId w:val="14"/>
        </w:numPr>
      </w:pPr>
      <w:r w:rsidRPr="004335FD">
        <w:t>the abolition of suspended sentences</w:t>
      </w:r>
      <w:r w:rsidRPr="004335FD">
        <w:footnoteReference w:id="79"/>
      </w:r>
      <w:r w:rsidRPr="004335FD">
        <w:t xml:space="preserve"> </w:t>
      </w:r>
    </w:p>
    <w:p w14:paraId="6892B798" w14:textId="77777777" w:rsidR="00A4454A" w:rsidRPr="004335FD" w:rsidRDefault="00A4454A" w:rsidP="004335FD">
      <w:pPr>
        <w:pStyle w:val="ListParagraph"/>
        <w:numPr>
          <w:ilvl w:val="2"/>
          <w:numId w:val="14"/>
        </w:numPr>
      </w:pPr>
      <w:r w:rsidRPr="004335FD">
        <w:t>a 2014 guideline judgment from the Court of Appeal on the use of CCOs</w:t>
      </w:r>
      <w:r w:rsidRPr="004335FD">
        <w:footnoteReference w:id="80"/>
      </w:r>
      <w:r w:rsidRPr="004335FD">
        <w:t xml:space="preserve"> and</w:t>
      </w:r>
    </w:p>
    <w:p w14:paraId="5F9A4305" w14:textId="77777777" w:rsidR="00A4454A" w:rsidRPr="008C1137" w:rsidRDefault="00A4454A" w:rsidP="004335FD">
      <w:pPr>
        <w:pStyle w:val="ListParagraph"/>
        <w:numPr>
          <w:ilvl w:val="2"/>
          <w:numId w:val="14"/>
        </w:numPr>
      </w:pPr>
      <w:r w:rsidRPr="008C1137">
        <w:lastRenderedPageBreak/>
        <w:t xml:space="preserve">a </w:t>
      </w:r>
      <w:r w:rsidRPr="004335FD">
        <w:t>2014</w:t>
      </w:r>
      <w:r w:rsidRPr="008C1137">
        <w:t xml:space="preserve"> increase in the maximum period of imprisonment that could be combined with a CCO from 3 months to 2 years</w:t>
      </w:r>
      <w:r w:rsidRPr="008C1137">
        <w:rPr>
          <w:rStyle w:val="Superscript"/>
        </w:rPr>
        <w:footnoteReference w:id="81"/>
      </w:r>
      <w:r w:rsidRPr="008C1137">
        <w:t xml:space="preserve"> (albeit dropping back to 1 year in 2017</w:t>
      </w:r>
      <w:r w:rsidRPr="008C1137">
        <w:rPr>
          <w:rStyle w:val="Superscript"/>
        </w:rPr>
        <w:footnoteReference w:id="82"/>
      </w:r>
      <w:r w:rsidRPr="008C1137">
        <w:t>).</w:t>
      </w:r>
    </w:p>
    <w:p w14:paraId="3C09F9DF" w14:textId="77777777" w:rsidR="00A4454A" w:rsidRPr="008C1137" w:rsidRDefault="00A4454A" w:rsidP="00BE4EDC">
      <w:pPr>
        <w:pStyle w:val="Caption"/>
      </w:pPr>
      <w:r w:rsidRPr="00157502">
        <w:t>Figure 14</w:t>
      </w:r>
      <w:r w:rsidRPr="008C1137">
        <w:t>: Rates of custodial sentence types (imprisonment only, imprisonment combined with community orders, partially suspended sentences and wholly suspended sentences) and community orders imposed in the Magistrates’ Court, 2004–05 to 2023–24</w:t>
      </w:r>
      <w:r w:rsidRPr="008C1137">
        <w:rPr>
          <w:rStyle w:val="Superscript"/>
        </w:rPr>
        <w:footnoteReference w:id="83"/>
      </w:r>
      <w:r w:rsidRPr="008C1137">
        <w:t xml:space="preserve"> </w:t>
      </w:r>
    </w:p>
    <w:tbl>
      <w:tblPr>
        <w:tblStyle w:val="Table"/>
        <w:tblW w:w="5441" w:type="pct"/>
        <w:tblLayout w:type="fixed"/>
        <w:tblLook w:val="04A0" w:firstRow="1" w:lastRow="0" w:firstColumn="1" w:lastColumn="0" w:noHBand="0" w:noVBand="1"/>
      </w:tblPr>
      <w:tblGrid>
        <w:gridCol w:w="1501"/>
        <w:gridCol w:w="1509"/>
        <w:gridCol w:w="1927"/>
        <w:gridCol w:w="1872"/>
        <w:gridCol w:w="1507"/>
        <w:gridCol w:w="1495"/>
      </w:tblGrid>
      <w:tr w:rsidR="000E6D55" w:rsidRPr="00E20B73" w14:paraId="0CA0410F" w14:textId="77777777" w:rsidTr="000E6D55">
        <w:trPr>
          <w:trHeight w:val="288"/>
        </w:trPr>
        <w:tc>
          <w:tcPr>
            <w:tcW w:w="765" w:type="pct"/>
            <w:noWrap/>
            <w:hideMark/>
          </w:tcPr>
          <w:p w14:paraId="47F26925" w14:textId="43B2CD9C" w:rsidR="00A3365B" w:rsidRPr="00E20B73" w:rsidRDefault="00A3365B" w:rsidP="00A9679B">
            <w:pPr>
              <w:pStyle w:val="TableHeading"/>
            </w:pPr>
            <w:r>
              <w:t>Financial year</w:t>
            </w:r>
          </w:p>
        </w:tc>
        <w:tc>
          <w:tcPr>
            <w:tcW w:w="769" w:type="pct"/>
            <w:noWrap/>
            <w:hideMark/>
          </w:tcPr>
          <w:p w14:paraId="39B895BF" w14:textId="77777777" w:rsidR="00A3365B" w:rsidRPr="00E20B73" w:rsidRDefault="00A3365B" w:rsidP="00A9679B">
            <w:pPr>
              <w:pStyle w:val="TableHeading"/>
            </w:pPr>
            <w:r w:rsidRPr="00E20B73">
              <w:t>Community orders only</w:t>
            </w:r>
          </w:p>
        </w:tc>
        <w:tc>
          <w:tcPr>
            <w:tcW w:w="982" w:type="pct"/>
            <w:noWrap/>
            <w:hideMark/>
          </w:tcPr>
          <w:p w14:paraId="79558A0A" w14:textId="77777777" w:rsidR="00A3365B" w:rsidRPr="00E20B73" w:rsidRDefault="00A3365B" w:rsidP="00A9679B">
            <w:pPr>
              <w:pStyle w:val="TableHeading"/>
            </w:pPr>
            <w:r w:rsidRPr="00E20B73">
              <w:t>Imprisonment only</w:t>
            </w:r>
          </w:p>
        </w:tc>
        <w:tc>
          <w:tcPr>
            <w:tcW w:w="954" w:type="pct"/>
            <w:noWrap/>
            <w:hideMark/>
          </w:tcPr>
          <w:p w14:paraId="619D90AD" w14:textId="77777777" w:rsidR="00A3365B" w:rsidRPr="00E20B73" w:rsidRDefault="00A3365B" w:rsidP="00A9679B">
            <w:pPr>
              <w:pStyle w:val="TableHeading"/>
            </w:pPr>
            <w:r w:rsidRPr="00E20B73">
              <w:t>Imprisonment combined with community orders</w:t>
            </w:r>
          </w:p>
        </w:tc>
        <w:tc>
          <w:tcPr>
            <w:tcW w:w="768" w:type="pct"/>
            <w:noWrap/>
            <w:hideMark/>
          </w:tcPr>
          <w:p w14:paraId="74C41E2D" w14:textId="77777777" w:rsidR="00A3365B" w:rsidRPr="00E20B73" w:rsidRDefault="00A3365B" w:rsidP="00A9679B">
            <w:pPr>
              <w:pStyle w:val="TableHeading"/>
            </w:pPr>
            <w:r w:rsidRPr="00E20B73">
              <w:t>Wholly suspended sentences</w:t>
            </w:r>
          </w:p>
        </w:tc>
        <w:tc>
          <w:tcPr>
            <w:tcW w:w="763" w:type="pct"/>
            <w:noWrap/>
            <w:hideMark/>
          </w:tcPr>
          <w:p w14:paraId="22C6A2AE" w14:textId="77777777" w:rsidR="00A3365B" w:rsidRPr="00E20B73" w:rsidRDefault="00A3365B" w:rsidP="00A9679B">
            <w:pPr>
              <w:pStyle w:val="TableHeading"/>
            </w:pPr>
            <w:r w:rsidRPr="00E20B73">
              <w:t>Partially suspended sentences</w:t>
            </w:r>
          </w:p>
        </w:tc>
      </w:tr>
      <w:tr w:rsidR="000E6D55" w:rsidRPr="00E20B73" w14:paraId="20BA8778" w14:textId="77777777" w:rsidTr="000E6D55">
        <w:trPr>
          <w:trHeight w:val="288"/>
        </w:trPr>
        <w:tc>
          <w:tcPr>
            <w:tcW w:w="765" w:type="pct"/>
            <w:noWrap/>
            <w:hideMark/>
          </w:tcPr>
          <w:p w14:paraId="7AEC9910" w14:textId="77777777" w:rsidR="00A3365B" w:rsidRPr="00E20B73" w:rsidRDefault="00A3365B" w:rsidP="00A9679B">
            <w:pPr>
              <w:pStyle w:val="TableBody"/>
            </w:pPr>
            <w:r w:rsidRPr="00E20B73">
              <w:t>2004-05</w:t>
            </w:r>
          </w:p>
        </w:tc>
        <w:tc>
          <w:tcPr>
            <w:tcW w:w="769" w:type="pct"/>
            <w:noWrap/>
            <w:hideMark/>
          </w:tcPr>
          <w:p w14:paraId="61B8F8FD" w14:textId="77777777" w:rsidR="00A3365B" w:rsidRPr="00E20B73" w:rsidRDefault="00A3365B" w:rsidP="00A9679B">
            <w:pPr>
              <w:pStyle w:val="TableBody"/>
            </w:pPr>
            <w:r w:rsidRPr="00E20B73">
              <w:t>8.3</w:t>
            </w:r>
          </w:p>
        </w:tc>
        <w:tc>
          <w:tcPr>
            <w:tcW w:w="982" w:type="pct"/>
            <w:noWrap/>
            <w:hideMark/>
          </w:tcPr>
          <w:p w14:paraId="1034FD9F" w14:textId="77777777" w:rsidR="00A3365B" w:rsidRPr="00E20B73" w:rsidRDefault="00A3365B" w:rsidP="00A9679B">
            <w:pPr>
              <w:pStyle w:val="TableBody"/>
            </w:pPr>
            <w:r w:rsidRPr="00E20B73">
              <w:t>4.8</w:t>
            </w:r>
          </w:p>
        </w:tc>
        <w:tc>
          <w:tcPr>
            <w:tcW w:w="954" w:type="pct"/>
            <w:noWrap/>
            <w:hideMark/>
          </w:tcPr>
          <w:p w14:paraId="5BF26BF7" w14:textId="77777777" w:rsidR="00A3365B" w:rsidRPr="00E20B73" w:rsidRDefault="00A3365B" w:rsidP="00A9679B">
            <w:pPr>
              <w:pStyle w:val="TableBody"/>
            </w:pPr>
            <w:r w:rsidRPr="00E20B73">
              <w:t>0.1</w:t>
            </w:r>
          </w:p>
        </w:tc>
        <w:tc>
          <w:tcPr>
            <w:tcW w:w="768" w:type="pct"/>
            <w:noWrap/>
            <w:hideMark/>
          </w:tcPr>
          <w:p w14:paraId="7E24CD33" w14:textId="77777777" w:rsidR="00A3365B" w:rsidRPr="00E20B73" w:rsidRDefault="00A3365B" w:rsidP="00A9679B">
            <w:pPr>
              <w:pStyle w:val="TableBody"/>
            </w:pPr>
            <w:r w:rsidRPr="00E20B73">
              <w:t>7.1</w:t>
            </w:r>
          </w:p>
        </w:tc>
        <w:tc>
          <w:tcPr>
            <w:tcW w:w="763" w:type="pct"/>
            <w:noWrap/>
            <w:hideMark/>
          </w:tcPr>
          <w:p w14:paraId="64E12200" w14:textId="77777777" w:rsidR="00A3365B" w:rsidRPr="00E20B73" w:rsidRDefault="00A3365B" w:rsidP="00A9679B">
            <w:pPr>
              <w:pStyle w:val="TableBody"/>
            </w:pPr>
            <w:r w:rsidRPr="00E20B73">
              <w:t>0.9</w:t>
            </w:r>
          </w:p>
        </w:tc>
      </w:tr>
      <w:tr w:rsidR="000E6D55" w:rsidRPr="00E20B73" w14:paraId="7AA7CEE2" w14:textId="77777777" w:rsidTr="000E6D55">
        <w:trPr>
          <w:trHeight w:val="288"/>
        </w:trPr>
        <w:tc>
          <w:tcPr>
            <w:tcW w:w="765" w:type="pct"/>
            <w:noWrap/>
            <w:hideMark/>
          </w:tcPr>
          <w:p w14:paraId="2EEBC3D0" w14:textId="77777777" w:rsidR="00A3365B" w:rsidRPr="00E20B73" w:rsidRDefault="00A3365B" w:rsidP="00A9679B">
            <w:pPr>
              <w:pStyle w:val="TableBody"/>
            </w:pPr>
            <w:r w:rsidRPr="00E20B73">
              <w:t>2005-06</w:t>
            </w:r>
          </w:p>
        </w:tc>
        <w:tc>
          <w:tcPr>
            <w:tcW w:w="769" w:type="pct"/>
            <w:noWrap/>
            <w:hideMark/>
          </w:tcPr>
          <w:p w14:paraId="25C3C567" w14:textId="77777777" w:rsidR="00A3365B" w:rsidRPr="00E20B73" w:rsidRDefault="00A3365B" w:rsidP="00A9679B">
            <w:pPr>
              <w:pStyle w:val="TableBody"/>
            </w:pPr>
            <w:r w:rsidRPr="00E20B73">
              <w:t>8.3</w:t>
            </w:r>
          </w:p>
        </w:tc>
        <w:tc>
          <w:tcPr>
            <w:tcW w:w="982" w:type="pct"/>
            <w:noWrap/>
            <w:hideMark/>
          </w:tcPr>
          <w:p w14:paraId="6278B4CB" w14:textId="77777777" w:rsidR="00A3365B" w:rsidRPr="00E20B73" w:rsidRDefault="00A3365B" w:rsidP="00A9679B">
            <w:pPr>
              <w:pStyle w:val="TableBody"/>
            </w:pPr>
            <w:r w:rsidRPr="00E20B73">
              <w:t>5.0</w:t>
            </w:r>
          </w:p>
        </w:tc>
        <w:tc>
          <w:tcPr>
            <w:tcW w:w="954" w:type="pct"/>
            <w:noWrap/>
            <w:hideMark/>
          </w:tcPr>
          <w:p w14:paraId="4BBCA850" w14:textId="77777777" w:rsidR="00A3365B" w:rsidRPr="00E20B73" w:rsidRDefault="00A3365B" w:rsidP="00A9679B">
            <w:pPr>
              <w:pStyle w:val="TableBody"/>
            </w:pPr>
            <w:r w:rsidRPr="00E20B73">
              <w:t>0.2</w:t>
            </w:r>
          </w:p>
        </w:tc>
        <w:tc>
          <w:tcPr>
            <w:tcW w:w="768" w:type="pct"/>
            <w:noWrap/>
            <w:hideMark/>
          </w:tcPr>
          <w:p w14:paraId="1F91D35D" w14:textId="77777777" w:rsidR="00A3365B" w:rsidRPr="00E20B73" w:rsidRDefault="00A3365B" w:rsidP="00A9679B">
            <w:pPr>
              <w:pStyle w:val="TableBody"/>
            </w:pPr>
            <w:r w:rsidRPr="00E20B73">
              <w:t>6.9</w:t>
            </w:r>
          </w:p>
        </w:tc>
        <w:tc>
          <w:tcPr>
            <w:tcW w:w="763" w:type="pct"/>
            <w:noWrap/>
            <w:hideMark/>
          </w:tcPr>
          <w:p w14:paraId="38666982" w14:textId="77777777" w:rsidR="00A3365B" w:rsidRPr="00E20B73" w:rsidRDefault="00A3365B" w:rsidP="00A9679B">
            <w:pPr>
              <w:pStyle w:val="TableBody"/>
            </w:pPr>
            <w:r w:rsidRPr="00E20B73">
              <w:t>0.9</w:t>
            </w:r>
          </w:p>
        </w:tc>
      </w:tr>
      <w:tr w:rsidR="000E6D55" w:rsidRPr="00E20B73" w14:paraId="69961508" w14:textId="77777777" w:rsidTr="000E6D55">
        <w:trPr>
          <w:trHeight w:val="288"/>
        </w:trPr>
        <w:tc>
          <w:tcPr>
            <w:tcW w:w="765" w:type="pct"/>
            <w:noWrap/>
            <w:hideMark/>
          </w:tcPr>
          <w:p w14:paraId="12B8AB77" w14:textId="77777777" w:rsidR="00A3365B" w:rsidRPr="00E20B73" w:rsidRDefault="00A3365B" w:rsidP="00A9679B">
            <w:pPr>
              <w:pStyle w:val="TableBody"/>
            </w:pPr>
            <w:r w:rsidRPr="00E20B73">
              <w:t>2006-07</w:t>
            </w:r>
          </w:p>
        </w:tc>
        <w:tc>
          <w:tcPr>
            <w:tcW w:w="769" w:type="pct"/>
            <w:noWrap/>
            <w:hideMark/>
          </w:tcPr>
          <w:p w14:paraId="5196B558" w14:textId="77777777" w:rsidR="00A3365B" w:rsidRPr="00E20B73" w:rsidRDefault="00A3365B" w:rsidP="00A9679B">
            <w:pPr>
              <w:pStyle w:val="TableBody"/>
            </w:pPr>
            <w:r w:rsidRPr="00E20B73">
              <w:t>8.1</w:t>
            </w:r>
          </w:p>
        </w:tc>
        <w:tc>
          <w:tcPr>
            <w:tcW w:w="982" w:type="pct"/>
            <w:noWrap/>
            <w:hideMark/>
          </w:tcPr>
          <w:p w14:paraId="1DB7C4E4" w14:textId="77777777" w:rsidR="00A3365B" w:rsidRPr="00E20B73" w:rsidRDefault="00A3365B" w:rsidP="00A9679B">
            <w:pPr>
              <w:pStyle w:val="TableBody"/>
            </w:pPr>
            <w:r w:rsidRPr="00E20B73">
              <w:t>4.8</w:t>
            </w:r>
          </w:p>
        </w:tc>
        <w:tc>
          <w:tcPr>
            <w:tcW w:w="954" w:type="pct"/>
            <w:noWrap/>
            <w:hideMark/>
          </w:tcPr>
          <w:p w14:paraId="2E092317" w14:textId="77777777" w:rsidR="00A3365B" w:rsidRPr="00E20B73" w:rsidRDefault="00A3365B" w:rsidP="00A9679B">
            <w:pPr>
              <w:pStyle w:val="TableBody"/>
            </w:pPr>
            <w:r w:rsidRPr="00E20B73">
              <w:t>0.1</w:t>
            </w:r>
          </w:p>
        </w:tc>
        <w:tc>
          <w:tcPr>
            <w:tcW w:w="768" w:type="pct"/>
            <w:noWrap/>
            <w:hideMark/>
          </w:tcPr>
          <w:p w14:paraId="2F93EF0A" w14:textId="77777777" w:rsidR="00A3365B" w:rsidRPr="00E20B73" w:rsidRDefault="00A3365B" w:rsidP="00A9679B">
            <w:pPr>
              <w:pStyle w:val="TableBody"/>
            </w:pPr>
            <w:r w:rsidRPr="00E20B73">
              <w:t>6.7</w:t>
            </w:r>
          </w:p>
        </w:tc>
        <w:tc>
          <w:tcPr>
            <w:tcW w:w="763" w:type="pct"/>
            <w:noWrap/>
            <w:hideMark/>
          </w:tcPr>
          <w:p w14:paraId="594629A0" w14:textId="77777777" w:rsidR="00A3365B" w:rsidRPr="00E20B73" w:rsidRDefault="00A3365B" w:rsidP="00A9679B">
            <w:pPr>
              <w:pStyle w:val="TableBody"/>
            </w:pPr>
            <w:r w:rsidRPr="00E20B73">
              <w:t>0.9</w:t>
            </w:r>
          </w:p>
        </w:tc>
      </w:tr>
      <w:tr w:rsidR="000E6D55" w:rsidRPr="00E20B73" w14:paraId="76EADA27" w14:textId="77777777" w:rsidTr="000E6D55">
        <w:trPr>
          <w:trHeight w:val="288"/>
        </w:trPr>
        <w:tc>
          <w:tcPr>
            <w:tcW w:w="765" w:type="pct"/>
            <w:noWrap/>
            <w:hideMark/>
          </w:tcPr>
          <w:p w14:paraId="3DB1BA55" w14:textId="77777777" w:rsidR="00A3365B" w:rsidRPr="00E20B73" w:rsidRDefault="00A3365B" w:rsidP="00A9679B">
            <w:pPr>
              <w:pStyle w:val="TableBody"/>
            </w:pPr>
            <w:r w:rsidRPr="00E20B73">
              <w:t>2007-08</w:t>
            </w:r>
          </w:p>
        </w:tc>
        <w:tc>
          <w:tcPr>
            <w:tcW w:w="769" w:type="pct"/>
            <w:noWrap/>
            <w:hideMark/>
          </w:tcPr>
          <w:p w14:paraId="66463454" w14:textId="77777777" w:rsidR="00A3365B" w:rsidRPr="00E20B73" w:rsidRDefault="00A3365B" w:rsidP="00A9679B">
            <w:pPr>
              <w:pStyle w:val="TableBody"/>
            </w:pPr>
            <w:r w:rsidRPr="00E20B73">
              <w:t>7.2</w:t>
            </w:r>
          </w:p>
        </w:tc>
        <w:tc>
          <w:tcPr>
            <w:tcW w:w="982" w:type="pct"/>
            <w:noWrap/>
            <w:hideMark/>
          </w:tcPr>
          <w:p w14:paraId="2E527879" w14:textId="77777777" w:rsidR="00A3365B" w:rsidRPr="00E20B73" w:rsidRDefault="00A3365B" w:rsidP="00A9679B">
            <w:pPr>
              <w:pStyle w:val="TableBody"/>
            </w:pPr>
            <w:r w:rsidRPr="00E20B73">
              <w:t>4.1</w:t>
            </w:r>
          </w:p>
        </w:tc>
        <w:tc>
          <w:tcPr>
            <w:tcW w:w="954" w:type="pct"/>
            <w:noWrap/>
            <w:hideMark/>
          </w:tcPr>
          <w:p w14:paraId="2CE47A66" w14:textId="77777777" w:rsidR="00A3365B" w:rsidRPr="00E20B73" w:rsidRDefault="00A3365B" w:rsidP="00A9679B">
            <w:pPr>
              <w:pStyle w:val="TableBody"/>
            </w:pPr>
            <w:r w:rsidRPr="00E20B73">
              <w:t>0.1</w:t>
            </w:r>
          </w:p>
        </w:tc>
        <w:tc>
          <w:tcPr>
            <w:tcW w:w="768" w:type="pct"/>
            <w:noWrap/>
            <w:hideMark/>
          </w:tcPr>
          <w:p w14:paraId="5438569F" w14:textId="77777777" w:rsidR="00A3365B" w:rsidRPr="00E20B73" w:rsidRDefault="00A3365B" w:rsidP="00A9679B">
            <w:pPr>
              <w:pStyle w:val="TableBody"/>
            </w:pPr>
            <w:r w:rsidRPr="00E20B73">
              <w:t>6.9</w:t>
            </w:r>
          </w:p>
        </w:tc>
        <w:tc>
          <w:tcPr>
            <w:tcW w:w="763" w:type="pct"/>
            <w:noWrap/>
            <w:hideMark/>
          </w:tcPr>
          <w:p w14:paraId="105FFB1D" w14:textId="77777777" w:rsidR="00A3365B" w:rsidRPr="00E20B73" w:rsidRDefault="00A3365B" w:rsidP="00A9679B">
            <w:pPr>
              <w:pStyle w:val="TableBody"/>
            </w:pPr>
            <w:r w:rsidRPr="00E20B73">
              <w:t>0.7</w:t>
            </w:r>
          </w:p>
        </w:tc>
      </w:tr>
      <w:tr w:rsidR="000E6D55" w:rsidRPr="00E20B73" w14:paraId="47AAB35F" w14:textId="77777777" w:rsidTr="000E6D55">
        <w:trPr>
          <w:trHeight w:val="288"/>
        </w:trPr>
        <w:tc>
          <w:tcPr>
            <w:tcW w:w="765" w:type="pct"/>
            <w:noWrap/>
            <w:hideMark/>
          </w:tcPr>
          <w:p w14:paraId="2ABFFF95" w14:textId="77777777" w:rsidR="00A3365B" w:rsidRPr="00E20B73" w:rsidRDefault="00A3365B" w:rsidP="00A9679B">
            <w:pPr>
              <w:pStyle w:val="TableBody"/>
            </w:pPr>
            <w:r w:rsidRPr="00E20B73">
              <w:t>2008-09</w:t>
            </w:r>
          </w:p>
        </w:tc>
        <w:tc>
          <w:tcPr>
            <w:tcW w:w="769" w:type="pct"/>
            <w:noWrap/>
            <w:hideMark/>
          </w:tcPr>
          <w:p w14:paraId="22BCC2E2" w14:textId="77777777" w:rsidR="00A3365B" w:rsidRPr="00E20B73" w:rsidRDefault="00A3365B" w:rsidP="00A9679B">
            <w:pPr>
              <w:pStyle w:val="TableBody"/>
            </w:pPr>
            <w:r w:rsidRPr="00E20B73">
              <w:t>7.7</w:t>
            </w:r>
          </w:p>
        </w:tc>
        <w:tc>
          <w:tcPr>
            <w:tcW w:w="982" w:type="pct"/>
            <w:noWrap/>
            <w:hideMark/>
          </w:tcPr>
          <w:p w14:paraId="3E8D2414" w14:textId="77777777" w:rsidR="00A3365B" w:rsidRPr="00E20B73" w:rsidRDefault="00A3365B" w:rsidP="00A9679B">
            <w:pPr>
              <w:pStyle w:val="TableBody"/>
            </w:pPr>
            <w:r w:rsidRPr="00E20B73">
              <w:t>4.2</w:t>
            </w:r>
          </w:p>
        </w:tc>
        <w:tc>
          <w:tcPr>
            <w:tcW w:w="954" w:type="pct"/>
            <w:noWrap/>
            <w:hideMark/>
          </w:tcPr>
          <w:p w14:paraId="47ADF426" w14:textId="77777777" w:rsidR="00A3365B" w:rsidRPr="00E20B73" w:rsidRDefault="00A3365B" w:rsidP="00A9679B">
            <w:pPr>
              <w:pStyle w:val="TableBody"/>
            </w:pPr>
            <w:r w:rsidRPr="00E20B73">
              <w:t>0.2</w:t>
            </w:r>
          </w:p>
        </w:tc>
        <w:tc>
          <w:tcPr>
            <w:tcW w:w="768" w:type="pct"/>
            <w:noWrap/>
            <w:hideMark/>
          </w:tcPr>
          <w:p w14:paraId="777C2A52" w14:textId="77777777" w:rsidR="00A3365B" w:rsidRPr="00E20B73" w:rsidRDefault="00A3365B" w:rsidP="00A9679B">
            <w:pPr>
              <w:pStyle w:val="TableBody"/>
            </w:pPr>
            <w:r w:rsidRPr="00E20B73">
              <w:t>7.8</w:t>
            </w:r>
          </w:p>
        </w:tc>
        <w:tc>
          <w:tcPr>
            <w:tcW w:w="763" w:type="pct"/>
            <w:noWrap/>
            <w:hideMark/>
          </w:tcPr>
          <w:p w14:paraId="717087CB" w14:textId="77777777" w:rsidR="00A3365B" w:rsidRPr="00E20B73" w:rsidRDefault="00A3365B" w:rsidP="00A9679B">
            <w:pPr>
              <w:pStyle w:val="TableBody"/>
            </w:pPr>
            <w:r w:rsidRPr="00E20B73">
              <w:t>0.9</w:t>
            </w:r>
          </w:p>
        </w:tc>
      </w:tr>
      <w:tr w:rsidR="000E6D55" w:rsidRPr="00E20B73" w14:paraId="5AE24CDA" w14:textId="77777777" w:rsidTr="000E6D55">
        <w:trPr>
          <w:trHeight w:val="288"/>
        </w:trPr>
        <w:tc>
          <w:tcPr>
            <w:tcW w:w="765" w:type="pct"/>
            <w:noWrap/>
            <w:hideMark/>
          </w:tcPr>
          <w:p w14:paraId="7AB025F7" w14:textId="77777777" w:rsidR="00A3365B" w:rsidRPr="00E20B73" w:rsidRDefault="00A3365B" w:rsidP="00A9679B">
            <w:pPr>
              <w:pStyle w:val="TableBody"/>
            </w:pPr>
            <w:r w:rsidRPr="00E20B73">
              <w:t>2009-10</w:t>
            </w:r>
          </w:p>
        </w:tc>
        <w:tc>
          <w:tcPr>
            <w:tcW w:w="769" w:type="pct"/>
            <w:noWrap/>
            <w:hideMark/>
          </w:tcPr>
          <w:p w14:paraId="52AD687E" w14:textId="77777777" w:rsidR="00A3365B" w:rsidRPr="00E20B73" w:rsidRDefault="00A3365B" w:rsidP="00A9679B">
            <w:pPr>
              <w:pStyle w:val="TableBody"/>
            </w:pPr>
            <w:r w:rsidRPr="00E20B73">
              <w:t>8.1</w:t>
            </w:r>
          </w:p>
        </w:tc>
        <w:tc>
          <w:tcPr>
            <w:tcW w:w="982" w:type="pct"/>
            <w:noWrap/>
            <w:hideMark/>
          </w:tcPr>
          <w:p w14:paraId="618E9C0A" w14:textId="77777777" w:rsidR="00A3365B" w:rsidRPr="00E20B73" w:rsidRDefault="00A3365B" w:rsidP="00A9679B">
            <w:pPr>
              <w:pStyle w:val="TableBody"/>
            </w:pPr>
            <w:r w:rsidRPr="00E20B73">
              <w:t>4.7</w:t>
            </w:r>
          </w:p>
        </w:tc>
        <w:tc>
          <w:tcPr>
            <w:tcW w:w="954" w:type="pct"/>
            <w:noWrap/>
            <w:hideMark/>
          </w:tcPr>
          <w:p w14:paraId="3705058C" w14:textId="77777777" w:rsidR="00A3365B" w:rsidRPr="00E20B73" w:rsidRDefault="00A3365B" w:rsidP="00A9679B">
            <w:pPr>
              <w:pStyle w:val="TableBody"/>
            </w:pPr>
            <w:r w:rsidRPr="00E20B73">
              <w:t>0.2</w:t>
            </w:r>
          </w:p>
        </w:tc>
        <w:tc>
          <w:tcPr>
            <w:tcW w:w="768" w:type="pct"/>
            <w:noWrap/>
            <w:hideMark/>
          </w:tcPr>
          <w:p w14:paraId="56B2A480" w14:textId="77777777" w:rsidR="00A3365B" w:rsidRPr="00E20B73" w:rsidRDefault="00A3365B" w:rsidP="00A9679B">
            <w:pPr>
              <w:pStyle w:val="TableBody"/>
            </w:pPr>
            <w:r w:rsidRPr="00E20B73">
              <w:t>8.3</w:t>
            </w:r>
          </w:p>
        </w:tc>
        <w:tc>
          <w:tcPr>
            <w:tcW w:w="763" w:type="pct"/>
            <w:noWrap/>
            <w:hideMark/>
          </w:tcPr>
          <w:p w14:paraId="1E5D97C5" w14:textId="77777777" w:rsidR="00A3365B" w:rsidRPr="00E20B73" w:rsidRDefault="00A3365B" w:rsidP="00A9679B">
            <w:pPr>
              <w:pStyle w:val="TableBody"/>
            </w:pPr>
            <w:r w:rsidRPr="00E20B73">
              <w:t>1.0</w:t>
            </w:r>
          </w:p>
        </w:tc>
      </w:tr>
      <w:tr w:rsidR="000E6D55" w:rsidRPr="00E20B73" w14:paraId="482413E8" w14:textId="77777777" w:rsidTr="000E6D55">
        <w:trPr>
          <w:trHeight w:val="288"/>
        </w:trPr>
        <w:tc>
          <w:tcPr>
            <w:tcW w:w="765" w:type="pct"/>
            <w:noWrap/>
            <w:hideMark/>
          </w:tcPr>
          <w:p w14:paraId="36AB24EE" w14:textId="77777777" w:rsidR="00A3365B" w:rsidRPr="00E20B73" w:rsidRDefault="00A3365B" w:rsidP="00A9679B">
            <w:pPr>
              <w:pStyle w:val="TableBody"/>
            </w:pPr>
            <w:r w:rsidRPr="00E20B73">
              <w:t>2010-11</w:t>
            </w:r>
          </w:p>
        </w:tc>
        <w:tc>
          <w:tcPr>
            <w:tcW w:w="769" w:type="pct"/>
            <w:noWrap/>
            <w:hideMark/>
          </w:tcPr>
          <w:p w14:paraId="5EB4A137" w14:textId="77777777" w:rsidR="00A3365B" w:rsidRPr="00E20B73" w:rsidRDefault="00A3365B" w:rsidP="00A9679B">
            <w:pPr>
              <w:pStyle w:val="TableBody"/>
            </w:pPr>
            <w:r w:rsidRPr="00E20B73">
              <w:t>8.1</w:t>
            </w:r>
          </w:p>
        </w:tc>
        <w:tc>
          <w:tcPr>
            <w:tcW w:w="982" w:type="pct"/>
            <w:noWrap/>
            <w:hideMark/>
          </w:tcPr>
          <w:p w14:paraId="5299A441" w14:textId="77777777" w:rsidR="00A3365B" w:rsidRPr="00E20B73" w:rsidRDefault="00A3365B" w:rsidP="00A9679B">
            <w:pPr>
              <w:pStyle w:val="TableBody"/>
            </w:pPr>
            <w:r w:rsidRPr="00E20B73">
              <w:t>4.4</w:t>
            </w:r>
          </w:p>
        </w:tc>
        <w:tc>
          <w:tcPr>
            <w:tcW w:w="954" w:type="pct"/>
            <w:noWrap/>
            <w:hideMark/>
          </w:tcPr>
          <w:p w14:paraId="6B3F3351" w14:textId="77777777" w:rsidR="00A3365B" w:rsidRPr="00E20B73" w:rsidRDefault="00A3365B" w:rsidP="00A9679B">
            <w:pPr>
              <w:pStyle w:val="TableBody"/>
            </w:pPr>
            <w:r w:rsidRPr="00E20B73">
              <w:t>0.2</w:t>
            </w:r>
          </w:p>
        </w:tc>
        <w:tc>
          <w:tcPr>
            <w:tcW w:w="768" w:type="pct"/>
            <w:noWrap/>
            <w:hideMark/>
          </w:tcPr>
          <w:p w14:paraId="72A0A53B" w14:textId="77777777" w:rsidR="00A3365B" w:rsidRPr="00E20B73" w:rsidRDefault="00A3365B" w:rsidP="00A9679B">
            <w:pPr>
              <w:pStyle w:val="TableBody"/>
            </w:pPr>
            <w:r w:rsidRPr="00E20B73">
              <w:t>7.9</w:t>
            </w:r>
          </w:p>
        </w:tc>
        <w:tc>
          <w:tcPr>
            <w:tcW w:w="763" w:type="pct"/>
            <w:noWrap/>
            <w:hideMark/>
          </w:tcPr>
          <w:p w14:paraId="17EFBD8D" w14:textId="77777777" w:rsidR="00A3365B" w:rsidRPr="00E20B73" w:rsidRDefault="00A3365B" w:rsidP="00A9679B">
            <w:pPr>
              <w:pStyle w:val="TableBody"/>
            </w:pPr>
            <w:r w:rsidRPr="00E20B73">
              <w:t>0.9</w:t>
            </w:r>
          </w:p>
        </w:tc>
      </w:tr>
      <w:tr w:rsidR="000E6D55" w:rsidRPr="00E20B73" w14:paraId="23A44D74" w14:textId="77777777" w:rsidTr="000E6D55">
        <w:trPr>
          <w:trHeight w:val="288"/>
        </w:trPr>
        <w:tc>
          <w:tcPr>
            <w:tcW w:w="765" w:type="pct"/>
            <w:noWrap/>
            <w:hideMark/>
          </w:tcPr>
          <w:p w14:paraId="2B1C8AAB" w14:textId="77777777" w:rsidR="00A3365B" w:rsidRPr="00E20B73" w:rsidRDefault="00A3365B" w:rsidP="00A9679B">
            <w:pPr>
              <w:pStyle w:val="TableBody"/>
            </w:pPr>
            <w:r w:rsidRPr="00E20B73">
              <w:t>2011-12</w:t>
            </w:r>
          </w:p>
        </w:tc>
        <w:tc>
          <w:tcPr>
            <w:tcW w:w="769" w:type="pct"/>
            <w:noWrap/>
            <w:hideMark/>
          </w:tcPr>
          <w:p w14:paraId="01007E5E" w14:textId="77777777" w:rsidR="00A3365B" w:rsidRPr="00E20B73" w:rsidRDefault="00A3365B" w:rsidP="00A9679B">
            <w:pPr>
              <w:pStyle w:val="TableBody"/>
            </w:pPr>
            <w:r w:rsidRPr="00E20B73">
              <w:t>7.6</w:t>
            </w:r>
          </w:p>
        </w:tc>
        <w:tc>
          <w:tcPr>
            <w:tcW w:w="982" w:type="pct"/>
            <w:noWrap/>
            <w:hideMark/>
          </w:tcPr>
          <w:p w14:paraId="0AFC9120" w14:textId="77777777" w:rsidR="00A3365B" w:rsidRPr="00E20B73" w:rsidRDefault="00A3365B" w:rsidP="00A9679B">
            <w:pPr>
              <w:pStyle w:val="TableBody"/>
            </w:pPr>
            <w:r w:rsidRPr="00E20B73">
              <w:t>4.4</w:t>
            </w:r>
          </w:p>
        </w:tc>
        <w:tc>
          <w:tcPr>
            <w:tcW w:w="954" w:type="pct"/>
            <w:noWrap/>
            <w:hideMark/>
          </w:tcPr>
          <w:p w14:paraId="16583C37" w14:textId="77777777" w:rsidR="00A3365B" w:rsidRPr="00E20B73" w:rsidRDefault="00A3365B" w:rsidP="00A9679B">
            <w:pPr>
              <w:pStyle w:val="TableBody"/>
            </w:pPr>
            <w:r w:rsidRPr="00E20B73">
              <w:t>0.3</w:t>
            </w:r>
          </w:p>
        </w:tc>
        <w:tc>
          <w:tcPr>
            <w:tcW w:w="768" w:type="pct"/>
            <w:noWrap/>
            <w:hideMark/>
          </w:tcPr>
          <w:p w14:paraId="520AC2D0" w14:textId="77777777" w:rsidR="00A3365B" w:rsidRPr="00E20B73" w:rsidRDefault="00A3365B" w:rsidP="00A9679B">
            <w:pPr>
              <w:pStyle w:val="TableBody"/>
            </w:pPr>
            <w:r w:rsidRPr="00E20B73">
              <w:t>5.8</w:t>
            </w:r>
          </w:p>
        </w:tc>
        <w:tc>
          <w:tcPr>
            <w:tcW w:w="763" w:type="pct"/>
            <w:noWrap/>
            <w:hideMark/>
          </w:tcPr>
          <w:p w14:paraId="01E089EF" w14:textId="77777777" w:rsidR="00A3365B" w:rsidRPr="00E20B73" w:rsidRDefault="00A3365B" w:rsidP="00A9679B">
            <w:pPr>
              <w:pStyle w:val="TableBody"/>
            </w:pPr>
            <w:r w:rsidRPr="00E20B73">
              <w:t>0.8</w:t>
            </w:r>
          </w:p>
        </w:tc>
      </w:tr>
      <w:tr w:rsidR="000E6D55" w:rsidRPr="00E20B73" w14:paraId="365B239A" w14:textId="77777777" w:rsidTr="000E6D55">
        <w:trPr>
          <w:trHeight w:val="288"/>
        </w:trPr>
        <w:tc>
          <w:tcPr>
            <w:tcW w:w="765" w:type="pct"/>
            <w:noWrap/>
            <w:hideMark/>
          </w:tcPr>
          <w:p w14:paraId="713C1728" w14:textId="77777777" w:rsidR="00A3365B" w:rsidRPr="00E20B73" w:rsidRDefault="00A3365B" w:rsidP="00A9679B">
            <w:pPr>
              <w:pStyle w:val="TableBody"/>
            </w:pPr>
            <w:r w:rsidRPr="00E20B73">
              <w:t>2012-13</w:t>
            </w:r>
          </w:p>
        </w:tc>
        <w:tc>
          <w:tcPr>
            <w:tcW w:w="769" w:type="pct"/>
            <w:noWrap/>
            <w:hideMark/>
          </w:tcPr>
          <w:p w14:paraId="29514654" w14:textId="77777777" w:rsidR="00A3365B" w:rsidRPr="00E20B73" w:rsidRDefault="00A3365B" w:rsidP="00A9679B">
            <w:pPr>
              <w:pStyle w:val="TableBody"/>
            </w:pPr>
            <w:r w:rsidRPr="00E20B73">
              <w:t>7.9</w:t>
            </w:r>
          </w:p>
        </w:tc>
        <w:tc>
          <w:tcPr>
            <w:tcW w:w="982" w:type="pct"/>
            <w:noWrap/>
            <w:hideMark/>
          </w:tcPr>
          <w:p w14:paraId="2E03D477" w14:textId="77777777" w:rsidR="00A3365B" w:rsidRPr="00E20B73" w:rsidRDefault="00A3365B" w:rsidP="00A9679B">
            <w:pPr>
              <w:pStyle w:val="TableBody"/>
            </w:pPr>
            <w:r w:rsidRPr="00E20B73">
              <w:t>4.8</w:t>
            </w:r>
          </w:p>
        </w:tc>
        <w:tc>
          <w:tcPr>
            <w:tcW w:w="954" w:type="pct"/>
            <w:noWrap/>
            <w:hideMark/>
          </w:tcPr>
          <w:p w14:paraId="63FAABCD" w14:textId="77777777" w:rsidR="00A3365B" w:rsidRPr="00E20B73" w:rsidRDefault="00A3365B" w:rsidP="00A9679B">
            <w:pPr>
              <w:pStyle w:val="TableBody"/>
            </w:pPr>
            <w:r w:rsidRPr="00E20B73">
              <w:t>0.6</w:t>
            </w:r>
          </w:p>
        </w:tc>
        <w:tc>
          <w:tcPr>
            <w:tcW w:w="768" w:type="pct"/>
            <w:noWrap/>
            <w:hideMark/>
          </w:tcPr>
          <w:p w14:paraId="229DB7C2" w14:textId="77777777" w:rsidR="00A3365B" w:rsidRPr="00E20B73" w:rsidRDefault="00A3365B" w:rsidP="00A9679B">
            <w:pPr>
              <w:pStyle w:val="TableBody"/>
            </w:pPr>
            <w:r w:rsidRPr="00E20B73">
              <w:t>5.5</w:t>
            </w:r>
          </w:p>
        </w:tc>
        <w:tc>
          <w:tcPr>
            <w:tcW w:w="763" w:type="pct"/>
            <w:noWrap/>
            <w:hideMark/>
          </w:tcPr>
          <w:p w14:paraId="179F509D" w14:textId="77777777" w:rsidR="00A3365B" w:rsidRPr="00E20B73" w:rsidRDefault="00A3365B" w:rsidP="00A9679B">
            <w:pPr>
              <w:pStyle w:val="TableBody"/>
            </w:pPr>
            <w:r w:rsidRPr="00E20B73">
              <w:t>0.8</w:t>
            </w:r>
          </w:p>
        </w:tc>
      </w:tr>
      <w:tr w:rsidR="000E6D55" w:rsidRPr="00E20B73" w14:paraId="35683533" w14:textId="77777777" w:rsidTr="000E6D55">
        <w:trPr>
          <w:trHeight w:val="288"/>
        </w:trPr>
        <w:tc>
          <w:tcPr>
            <w:tcW w:w="765" w:type="pct"/>
            <w:noWrap/>
            <w:hideMark/>
          </w:tcPr>
          <w:p w14:paraId="61719ABE" w14:textId="77777777" w:rsidR="00A3365B" w:rsidRPr="00E20B73" w:rsidRDefault="00A3365B" w:rsidP="00A9679B">
            <w:pPr>
              <w:pStyle w:val="TableBody"/>
            </w:pPr>
            <w:r w:rsidRPr="00E20B73">
              <w:t>2013-14</w:t>
            </w:r>
          </w:p>
        </w:tc>
        <w:tc>
          <w:tcPr>
            <w:tcW w:w="769" w:type="pct"/>
            <w:noWrap/>
            <w:hideMark/>
          </w:tcPr>
          <w:p w14:paraId="5E4A5605" w14:textId="77777777" w:rsidR="00A3365B" w:rsidRPr="00E20B73" w:rsidRDefault="00A3365B" w:rsidP="00A9679B">
            <w:pPr>
              <w:pStyle w:val="TableBody"/>
            </w:pPr>
            <w:r w:rsidRPr="00E20B73">
              <w:t>8.0</w:t>
            </w:r>
          </w:p>
        </w:tc>
        <w:tc>
          <w:tcPr>
            <w:tcW w:w="982" w:type="pct"/>
            <w:noWrap/>
            <w:hideMark/>
          </w:tcPr>
          <w:p w14:paraId="64D2E657" w14:textId="77777777" w:rsidR="00A3365B" w:rsidRPr="00E20B73" w:rsidRDefault="00A3365B" w:rsidP="00A9679B">
            <w:pPr>
              <w:pStyle w:val="TableBody"/>
            </w:pPr>
            <w:r w:rsidRPr="00E20B73">
              <w:t>4.4</w:t>
            </w:r>
          </w:p>
        </w:tc>
        <w:tc>
          <w:tcPr>
            <w:tcW w:w="954" w:type="pct"/>
            <w:noWrap/>
            <w:hideMark/>
          </w:tcPr>
          <w:p w14:paraId="09DB805C" w14:textId="77777777" w:rsidR="00A3365B" w:rsidRPr="00E20B73" w:rsidRDefault="00A3365B" w:rsidP="00A9679B">
            <w:pPr>
              <w:pStyle w:val="TableBody"/>
            </w:pPr>
            <w:r w:rsidRPr="00E20B73">
              <w:t>0.8</w:t>
            </w:r>
          </w:p>
        </w:tc>
        <w:tc>
          <w:tcPr>
            <w:tcW w:w="768" w:type="pct"/>
            <w:noWrap/>
            <w:hideMark/>
          </w:tcPr>
          <w:p w14:paraId="44D7FA5A" w14:textId="77777777" w:rsidR="00A3365B" w:rsidRPr="00E20B73" w:rsidRDefault="00A3365B" w:rsidP="00A9679B">
            <w:pPr>
              <w:pStyle w:val="TableBody"/>
            </w:pPr>
            <w:r w:rsidRPr="00E20B73">
              <w:t>5.0</w:t>
            </w:r>
          </w:p>
        </w:tc>
        <w:tc>
          <w:tcPr>
            <w:tcW w:w="763" w:type="pct"/>
            <w:noWrap/>
            <w:hideMark/>
          </w:tcPr>
          <w:p w14:paraId="2CAC19A0" w14:textId="77777777" w:rsidR="00A3365B" w:rsidRPr="00E20B73" w:rsidRDefault="00A3365B" w:rsidP="00A9679B">
            <w:pPr>
              <w:pStyle w:val="TableBody"/>
            </w:pPr>
            <w:r w:rsidRPr="00E20B73">
              <w:t>0.8</w:t>
            </w:r>
          </w:p>
        </w:tc>
      </w:tr>
      <w:tr w:rsidR="000E6D55" w:rsidRPr="00E20B73" w14:paraId="0F6E3B34" w14:textId="77777777" w:rsidTr="000E6D55">
        <w:trPr>
          <w:trHeight w:val="288"/>
        </w:trPr>
        <w:tc>
          <w:tcPr>
            <w:tcW w:w="765" w:type="pct"/>
            <w:noWrap/>
            <w:hideMark/>
          </w:tcPr>
          <w:p w14:paraId="79CDB5EC" w14:textId="77777777" w:rsidR="00A3365B" w:rsidRPr="00E20B73" w:rsidRDefault="00A3365B" w:rsidP="00A9679B">
            <w:pPr>
              <w:pStyle w:val="TableBody"/>
            </w:pPr>
            <w:r w:rsidRPr="00E20B73">
              <w:t>2014-15</w:t>
            </w:r>
          </w:p>
        </w:tc>
        <w:tc>
          <w:tcPr>
            <w:tcW w:w="769" w:type="pct"/>
            <w:noWrap/>
            <w:hideMark/>
          </w:tcPr>
          <w:p w14:paraId="63C91B1D" w14:textId="77777777" w:rsidR="00A3365B" w:rsidRPr="00E20B73" w:rsidRDefault="00A3365B" w:rsidP="00A9679B">
            <w:pPr>
              <w:pStyle w:val="TableBody"/>
            </w:pPr>
            <w:r w:rsidRPr="00E20B73">
              <w:t>9.7</w:t>
            </w:r>
          </w:p>
        </w:tc>
        <w:tc>
          <w:tcPr>
            <w:tcW w:w="982" w:type="pct"/>
            <w:noWrap/>
            <w:hideMark/>
          </w:tcPr>
          <w:p w14:paraId="35221575" w14:textId="77777777" w:rsidR="00A3365B" w:rsidRPr="00E20B73" w:rsidRDefault="00A3365B" w:rsidP="00A9679B">
            <w:pPr>
              <w:pStyle w:val="TableBody"/>
            </w:pPr>
            <w:r w:rsidRPr="00E20B73">
              <w:t>4.4</w:t>
            </w:r>
          </w:p>
        </w:tc>
        <w:tc>
          <w:tcPr>
            <w:tcW w:w="954" w:type="pct"/>
            <w:noWrap/>
            <w:hideMark/>
          </w:tcPr>
          <w:p w14:paraId="779DEEE2" w14:textId="77777777" w:rsidR="00A3365B" w:rsidRPr="00E20B73" w:rsidRDefault="00A3365B" w:rsidP="00A9679B">
            <w:pPr>
              <w:pStyle w:val="TableBody"/>
            </w:pPr>
            <w:r w:rsidRPr="00E20B73">
              <w:t>1.7</w:t>
            </w:r>
          </w:p>
        </w:tc>
        <w:tc>
          <w:tcPr>
            <w:tcW w:w="768" w:type="pct"/>
            <w:noWrap/>
            <w:hideMark/>
          </w:tcPr>
          <w:p w14:paraId="00E25BF3" w14:textId="77777777" w:rsidR="00A3365B" w:rsidRPr="00E20B73" w:rsidRDefault="00A3365B" w:rsidP="00A9679B">
            <w:pPr>
              <w:pStyle w:val="TableBody"/>
            </w:pPr>
            <w:r w:rsidRPr="00E20B73">
              <w:t>2.8</w:t>
            </w:r>
          </w:p>
        </w:tc>
        <w:tc>
          <w:tcPr>
            <w:tcW w:w="763" w:type="pct"/>
            <w:noWrap/>
            <w:hideMark/>
          </w:tcPr>
          <w:p w14:paraId="06EE38E5" w14:textId="77777777" w:rsidR="00A3365B" w:rsidRPr="00E20B73" w:rsidRDefault="00A3365B" w:rsidP="00A9679B">
            <w:pPr>
              <w:pStyle w:val="TableBody"/>
            </w:pPr>
            <w:r w:rsidRPr="00E20B73">
              <w:t>0.3</w:t>
            </w:r>
          </w:p>
        </w:tc>
      </w:tr>
      <w:tr w:rsidR="000E6D55" w:rsidRPr="00E20B73" w14:paraId="73D150B6" w14:textId="77777777" w:rsidTr="000E6D55">
        <w:trPr>
          <w:trHeight w:val="288"/>
        </w:trPr>
        <w:tc>
          <w:tcPr>
            <w:tcW w:w="765" w:type="pct"/>
            <w:noWrap/>
            <w:hideMark/>
          </w:tcPr>
          <w:p w14:paraId="12E1E07B" w14:textId="77777777" w:rsidR="00A3365B" w:rsidRPr="00E20B73" w:rsidRDefault="00A3365B" w:rsidP="00A9679B">
            <w:pPr>
              <w:pStyle w:val="TableBody"/>
            </w:pPr>
            <w:r w:rsidRPr="00E20B73">
              <w:t>2015-16</w:t>
            </w:r>
          </w:p>
        </w:tc>
        <w:tc>
          <w:tcPr>
            <w:tcW w:w="769" w:type="pct"/>
            <w:noWrap/>
            <w:hideMark/>
          </w:tcPr>
          <w:p w14:paraId="7E6D9710" w14:textId="77777777" w:rsidR="00A3365B" w:rsidRPr="00E20B73" w:rsidRDefault="00A3365B" w:rsidP="00A9679B">
            <w:pPr>
              <w:pStyle w:val="TableBody"/>
            </w:pPr>
            <w:r w:rsidRPr="00E20B73">
              <w:t>10.5</w:t>
            </w:r>
          </w:p>
        </w:tc>
        <w:tc>
          <w:tcPr>
            <w:tcW w:w="982" w:type="pct"/>
            <w:noWrap/>
            <w:hideMark/>
          </w:tcPr>
          <w:p w14:paraId="4D492C7C" w14:textId="77777777" w:rsidR="00A3365B" w:rsidRPr="00E20B73" w:rsidRDefault="00A3365B" w:rsidP="00A9679B">
            <w:pPr>
              <w:pStyle w:val="TableBody"/>
            </w:pPr>
            <w:r w:rsidRPr="00E20B73">
              <w:t>4.6</w:t>
            </w:r>
          </w:p>
        </w:tc>
        <w:tc>
          <w:tcPr>
            <w:tcW w:w="954" w:type="pct"/>
            <w:noWrap/>
            <w:hideMark/>
          </w:tcPr>
          <w:p w14:paraId="0B3C6BA4" w14:textId="77777777" w:rsidR="00A3365B" w:rsidRPr="00E20B73" w:rsidRDefault="00A3365B" w:rsidP="00A9679B">
            <w:pPr>
              <w:pStyle w:val="TableBody"/>
            </w:pPr>
            <w:r w:rsidRPr="00E20B73">
              <w:t>2.3</w:t>
            </w:r>
          </w:p>
        </w:tc>
        <w:tc>
          <w:tcPr>
            <w:tcW w:w="768" w:type="pct"/>
            <w:noWrap/>
            <w:hideMark/>
          </w:tcPr>
          <w:p w14:paraId="27FA16D8" w14:textId="77777777" w:rsidR="00A3365B" w:rsidRPr="00E20B73" w:rsidRDefault="00A3365B" w:rsidP="00A9679B">
            <w:pPr>
              <w:pStyle w:val="TableBody"/>
            </w:pPr>
            <w:r w:rsidRPr="00E20B73">
              <w:t>0.5</w:t>
            </w:r>
          </w:p>
        </w:tc>
        <w:tc>
          <w:tcPr>
            <w:tcW w:w="763" w:type="pct"/>
            <w:noWrap/>
            <w:hideMark/>
          </w:tcPr>
          <w:p w14:paraId="404B3303" w14:textId="77777777" w:rsidR="00A3365B" w:rsidRPr="00E20B73" w:rsidRDefault="00A3365B" w:rsidP="00A9679B">
            <w:pPr>
              <w:pStyle w:val="TableBody"/>
            </w:pPr>
            <w:r w:rsidRPr="00E20B73">
              <w:t>0.0</w:t>
            </w:r>
          </w:p>
        </w:tc>
      </w:tr>
      <w:tr w:rsidR="000E6D55" w:rsidRPr="00E20B73" w14:paraId="1B1E41F9" w14:textId="77777777" w:rsidTr="000E6D55">
        <w:trPr>
          <w:trHeight w:val="288"/>
        </w:trPr>
        <w:tc>
          <w:tcPr>
            <w:tcW w:w="765" w:type="pct"/>
            <w:noWrap/>
            <w:hideMark/>
          </w:tcPr>
          <w:p w14:paraId="40123A39" w14:textId="77777777" w:rsidR="00A3365B" w:rsidRPr="00E20B73" w:rsidRDefault="00A3365B" w:rsidP="00A9679B">
            <w:pPr>
              <w:pStyle w:val="TableBody"/>
            </w:pPr>
            <w:r w:rsidRPr="00E20B73">
              <w:t>2016-17</w:t>
            </w:r>
          </w:p>
        </w:tc>
        <w:tc>
          <w:tcPr>
            <w:tcW w:w="769" w:type="pct"/>
            <w:noWrap/>
            <w:hideMark/>
          </w:tcPr>
          <w:p w14:paraId="165069F6" w14:textId="77777777" w:rsidR="00A3365B" w:rsidRPr="00E20B73" w:rsidRDefault="00A3365B" w:rsidP="00A9679B">
            <w:pPr>
              <w:pStyle w:val="TableBody"/>
            </w:pPr>
            <w:r w:rsidRPr="00E20B73">
              <w:t>10.5</w:t>
            </w:r>
          </w:p>
        </w:tc>
        <w:tc>
          <w:tcPr>
            <w:tcW w:w="982" w:type="pct"/>
            <w:noWrap/>
            <w:hideMark/>
          </w:tcPr>
          <w:p w14:paraId="25FDC043" w14:textId="77777777" w:rsidR="00A3365B" w:rsidRPr="00E20B73" w:rsidRDefault="00A3365B" w:rsidP="00A9679B">
            <w:pPr>
              <w:pStyle w:val="TableBody"/>
            </w:pPr>
            <w:r w:rsidRPr="00E20B73">
              <w:t>5.6</w:t>
            </w:r>
          </w:p>
        </w:tc>
        <w:tc>
          <w:tcPr>
            <w:tcW w:w="954" w:type="pct"/>
            <w:noWrap/>
            <w:hideMark/>
          </w:tcPr>
          <w:p w14:paraId="12C57F2B" w14:textId="77777777" w:rsidR="00A3365B" w:rsidRPr="00E20B73" w:rsidRDefault="00A3365B" w:rsidP="00A9679B">
            <w:pPr>
              <w:pStyle w:val="TableBody"/>
            </w:pPr>
            <w:r w:rsidRPr="00E20B73">
              <w:t>2.5</w:t>
            </w:r>
          </w:p>
        </w:tc>
        <w:tc>
          <w:tcPr>
            <w:tcW w:w="768" w:type="pct"/>
            <w:noWrap/>
            <w:hideMark/>
          </w:tcPr>
          <w:p w14:paraId="3DAC4A45" w14:textId="77777777" w:rsidR="00A3365B" w:rsidRPr="00E20B73" w:rsidRDefault="00A3365B" w:rsidP="00A9679B">
            <w:pPr>
              <w:pStyle w:val="TableBody"/>
            </w:pPr>
            <w:r w:rsidRPr="00E20B73">
              <w:t>0.1</w:t>
            </w:r>
          </w:p>
        </w:tc>
        <w:tc>
          <w:tcPr>
            <w:tcW w:w="763" w:type="pct"/>
            <w:noWrap/>
            <w:hideMark/>
          </w:tcPr>
          <w:p w14:paraId="15AA1502" w14:textId="77777777" w:rsidR="00A3365B" w:rsidRPr="00E20B73" w:rsidRDefault="00A3365B" w:rsidP="00A9679B">
            <w:pPr>
              <w:pStyle w:val="TableBody"/>
            </w:pPr>
            <w:r w:rsidRPr="00E20B73">
              <w:t>0.0</w:t>
            </w:r>
          </w:p>
        </w:tc>
      </w:tr>
      <w:tr w:rsidR="000E6D55" w:rsidRPr="00E20B73" w14:paraId="59B3E37A" w14:textId="77777777" w:rsidTr="000E6D55">
        <w:trPr>
          <w:trHeight w:val="288"/>
        </w:trPr>
        <w:tc>
          <w:tcPr>
            <w:tcW w:w="765" w:type="pct"/>
            <w:noWrap/>
            <w:hideMark/>
          </w:tcPr>
          <w:p w14:paraId="72D59FCE" w14:textId="77777777" w:rsidR="00A3365B" w:rsidRPr="00E20B73" w:rsidRDefault="00A3365B" w:rsidP="00A9679B">
            <w:pPr>
              <w:pStyle w:val="TableBody"/>
            </w:pPr>
            <w:r w:rsidRPr="00E20B73">
              <w:t>2017-18</w:t>
            </w:r>
          </w:p>
        </w:tc>
        <w:tc>
          <w:tcPr>
            <w:tcW w:w="769" w:type="pct"/>
            <w:noWrap/>
            <w:hideMark/>
          </w:tcPr>
          <w:p w14:paraId="0860A471" w14:textId="77777777" w:rsidR="00A3365B" w:rsidRPr="00E20B73" w:rsidRDefault="00A3365B" w:rsidP="00A9679B">
            <w:pPr>
              <w:pStyle w:val="TableBody"/>
            </w:pPr>
            <w:r w:rsidRPr="00E20B73">
              <w:t>10.2</w:t>
            </w:r>
          </w:p>
        </w:tc>
        <w:tc>
          <w:tcPr>
            <w:tcW w:w="982" w:type="pct"/>
            <w:noWrap/>
            <w:hideMark/>
          </w:tcPr>
          <w:p w14:paraId="7E91273D" w14:textId="77777777" w:rsidR="00A3365B" w:rsidRPr="00E20B73" w:rsidRDefault="00A3365B" w:rsidP="00A9679B">
            <w:pPr>
              <w:pStyle w:val="TableBody"/>
            </w:pPr>
            <w:r w:rsidRPr="00E20B73">
              <w:t>6.0</w:t>
            </w:r>
          </w:p>
        </w:tc>
        <w:tc>
          <w:tcPr>
            <w:tcW w:w="954" w:type="pct"/>
            <w:noWrap/>
            <w:hideMark/>
          </w:tcPr>
          <w:p w14:paraId="219B4519" w14:textId="77777777" w:rsidR="00A3365B" w:rsidRPr="00E20B73" w:rsidRDefault="00A3365B" w:rsidP="00A9679B">
            <w:pPr>
              <w:pStyle w:val="TableBody"/>
            </w:pPr>
            <w:r w:rsidRPr="00E20B73">
              <w:t>2.3</w:t>
            </w:r>
          </w:p>
        </w:tc>
        <w:tc>
          <w:tcPr>
            <w:tcW w:w="768" w:type="pct"/>
            <w:noWrap/>
            <w:hideMark/>
          </w:tcPr>
          <w:p w14:paraId="5CB6A653" w14:textId="77777777" w:rsidR="00A3365B" w:rsidRPr="00E20B73" w:rsidRDefault="00A3365B" w:rsidP="00A9679B">
            <w:pPr>
              <w:pStyle w:val="TableBody"/>
            </w:pPr>
            <w:r w:rsidRPr="00E20B73">
              <w:t>0.1</w:t>
            </w:r>
          </w:p>
        </w:tc>
        <w:tc>
          <w:tcPr>
            <w:tcW w:w="763" w:type="pct"/>
            <w:noWrap/>
            <w:hideMark/>
          </w:tcPr>
          <w:p w14:paraId="66179A9D" w14:textId="77777777" w:rsidR="00A3365B" w:rsidRPr="00E20B73" w:rsidRDefault="00A3365B" w:rsidP="00A9679B">
            <w:pPr>
              <w:pStyle w:val="TableBody"/>
            </w:pPr>
            <w:r w:rsidRPr="00E20B73">
              <w:t>0.0</w:t>
            </w:r>
          </w:p>
        </w:tc>
      </w:tr>
      <w:tr w:rsidR="000E6D55" w:rsidRPr="00E20B73" w14:paraId="51E13F79" w14:textId="77777777" w:rsidTr="000E6D55">
        <w:trPr>
          <w:trHeight w:val="288"/>
        </w:trPr>
        <w:tc>
          <w:tcPr>
            <w:tcW w:w="765" w:type="pct"/>
            <w:noWrap/>
            <w:hideMark/>
          </w:tcPr>
          <w:p w14:paraId="652A9AA8" w14:textId="77777777" w:rsidR="00A3365B" w:rsidRPr="00E20B73" w:rsidRDefault="00A3365B" w:rsidP="00A9679B">
            <w:pPr>
              <w:pStyle w:val="TableBody"/>
            </w:pPr>
            <w:r w:rsidRPr="00E20B73">
              <w:t>2018-19</w:t>
            </w:r>
          </w:p>
        </w:tc>
        <w:tc>
          <w:tcPr>
            <w:tcW w:w="769" w:type="pct"/>
            <w:noWrap/>
            <w:hideMark/>
          </w:tcPr>
          <w:p w14:paraId="2E7C08FB" w14:textId="77777777" w:rsidR="00A3365B" w:rsidRPr="00E20B73" w:rsidRDefault="00A3365B" w:rsidP="00A9679B">
            <w:pPr>
              <w:pStyle w:val="TableBody"/>
            </w:pPr>
            <w:r w:rsidRPr="00E20B73">
              <w:t>9.6</w:t>
            </w:r>
          </w:p>
        </w:tc>
        <w:tc>
          <w:tcPr>
            <w:tcW w:w="982" w:type="pct"/>
            <w:noWrap/>
            <w:hideMark/>
          </w:tcPr>
          <w:p w14:paraId="677158E0" w14:textId="77777777" w:rsidR="00A3365B" w:rsidRPr="00E20B73" w:rsidRDefault="00A3365B" w:rsidP="00A9679B">
            <w:pPr>
              <w:pStyle w:val="TableBody"/>
            </w:pPr>
            <w:r w:rsidRPr="00E20B73">
              <w:t>7.6</w:t>
            </w:r>
          </w:p>
        </w:tc>
        <w:tc>
          <w:tcPr>
            <w:tcW w:w="954" w:type="pct"/>
            <w:noWrap/>
            <w:hideMark/>
          </w:tcPr>
          <w:p w14:paraId="026B8576" w14:textId="77777777" w:rsidR="00A3365B" w:rsidRPr="00E20B73" w:rsidRDefault="00A3365B" w:rsidP="00A9679B">
            <w:pPr>
              <w:pStyle w:val="TableBody"/>
            </w:pPr>
            <w:r w:rsidRPr="00E20B73">
              <w:t>3.0</w:t>
            </w:r>
          </w:p>
        </w:tc>
        <w:tc>
          <w:tcPr>
            <w:tcW w:w="768" w:type="pct"/>
            <w:noWrap/>
            <w:hideMark/>
          </w:tcPr>
          <w:p w14:paraId="71EBAB8C" w14:textId="77777777" w:rsidR="00A3365B" w:rsidRPr="00E20B73" w:rsidRDefault="00A3365B" w:rsidP="00A9679B">
            <w:pPr>
              <w:pStyle w:val="TableBody"/>
            </w:pPr>
            <w:r w:rsidRPr="00E20B73">
              <w:t>0.0</w:t>
            </w:r>
          </w:p>
        </w:tc>
        <w:tc>
          <w:tcPr>
            <w:tcW w:w="763" w:type="pct"/>
            <w:noWrap/>
            <w:hideMark/>
          </w:tcPr>
          <w:p w14:paraId="79211617" w14:textId="77777777" w:rsidR="00A3365B" w:rsidRPr="00E20B73" w:rsidRDefault="00A3365B" w:rsidP="00A9679B">
            <w:pPr>
              <w:pStyle w:val="TableBody"/>
            </w:pPr>
            <w:r w:rsidRPr="00E20B73">
              <w:t>0.0</w:t>
            </w:r>
          </w:p>
        </w:tc>
      </w:tr>
      <w:tr w:rsidR="000E6D55" w:rsidRPr="00E20B73" w14:paraId="7FA4862A" w14:textId="77777777" w:rsidTr="000E6D55">
        <w:trPr>
          <w:trHeight w:val="288"/>
        </w:trPr>
        <w:tc>
          <w:tcPr>
            <w:tcW w:w="765" w:type="pct"/>
            <w:noWrap/>
            <w:hideMark/>
          </w:tcPr>
          <w:p w14:paraId="494CE95C" w14:textId="77777777" w:rsidR="00A3365B" w:rsidRPr="00E20B73" w:rsidRDefault="00A3365B" w:rsidP="00A9679B">
            <w:pPr>
              <w:pStyle w:val="TableBody"/>
            </w:pPr>
            <w:r w:rsidRPr="00E20B73">
              <w:t>2019-20</w:t>
            </w:r>
          </w:p>
        </w:tc>
        <w:tc>
          <w:tcPr>
            <w:tcW w:w="769" w:type="pct"/>
            <w:noWrap/>
            <w:hideMark/>
          </w:tcPr>
          <w:p w14:paraId="26A1578C" w14:textId="77777777" w:rsidR="00A3365B" w:rsidRPr="00E20B73" w:rsidRDefault="00A3365B" w:rsidP="00A9679B">
            <w:pPr>
              <w:pStyle w:val="TableBody"/>
            </w:pPr>
            <w:r w:rsidRPr="00E20B73">
              <w:t>8.9</w:t>
            </w:r>
          </w:p>
        </w:tc>
        <w:tc>
          <w:tcPr>
            <w:tcW w:w="982" w:type="pct"/>
            <w:noWrap/>
            <w:hideMark/>
          </w:tcPr>
          <w:p w14:paraId="16A869A2" w14:textId="77777777" w:rsidR="00A3365B" w:rsidRPr="00E20B73" w:rsidRDefault="00A3365B" w:rsidP="00A9679B">
            <w:pPr>
              <w:pStyle w:val="TableBody"/>
            </w:pPr>
            <w:r w:rsidRPr="00E20B73">
              <w:t>9.4</w:t>
            </w:r>
          </w:p>
        </w:tc>
        <w:tc>
          <w:tcPr>
            <w:tcW w:w="954" w:type="pct"/>
            <w:noWrap/>
            <w:hideMark/>
          </w:tcPr>
          <w:p w14:paraId="55E9222C" w14:textId="77777777" w:rsidR="00A3365B" w:rsidRPr="00E20B73" w:rsidRDefault="00A3365B" w:rsidP="00A9679B">
            <w:pPr>
              <w:pStyle w:val="TableBody"/>
            </w:pPr>
            <w:r w:rsidRPr="00E20B73">
              <w:t>3.4</w:t>
            </w:r>
          </w:p>
        </w:tc>
        <w:tc>
          <w:tcPr>
            <w:tcW w:w="768" w:type="pct"/>
            <w:noWrap/>
            <w:hideMark/>
          </w:tcPr>
          <w:p w14:paraId="6BD0E645" w14:textId="77777777" w:rsidR="00A3365B" w:rsidRPr="00E20B73" w:rsidRDefault="00A3365B" w:rsidP="00A9679B">
            <w:pPr>
              <w:pStyle w:val="TableBody"/>
            </w:pPr>
            <w:r w:rsidRPr="00E20B73">
              <w:t>0.0</w:t>
            </w:r>
          </w:p>
        </w:tc>
        <w:tc>
          <w:tcPr>
            <w:tcW w:w="763" w:type="pct"/>
            <w:noWrap/>
            <w:hideMark/>
          </w:tcPr>
          <w:p w14:paraId="481EE1AC" w14:textId="77777777" w:rsidR="00A3365B" w:rsidRPr="00E20B73" w:rsidRDefault="00A3365B" w:rsidP="00A9679B">
            <w:pPr>
              <w:pStyle w:val="TableBody"/>
            </w:pPr>
            <w:r w:rsidRPr="00E20B73">
              <w:t>0.0</w:t>
            </w:r>
          </w:p>
        </w:tc>
      </w:tr>
      <w:tr w:rsidR="000E6D55" w:rsidRPr="00E20B73" w14:paraId="7E37AF78" w14:textId="77777777" w:rsidTr="000E6D55">
        <w:trPr>
          <w:trHeight w:val="288"/>
        </w:trPr>
        <w:tc>
          <w:tcPr>
            <w:tcW w:w="765" w:type="pct"/>
            <w:noWrap/>
            <w:hideMark/>
          </w:tcPr>
          <w:p w14:paraId="65BBFE1B" w14:textId="77777777" w:rsidR="00A3365B" w:rsidRPr="00E20B73" w:rsidRDefault="00A3365B" w:rsidP="00A9679B">
            <w:pPr>
              <w:pStyle w:val="TableBody"/>
            </w:pPr>
            <w:r w:rsidRPr="00E20B73">
              <w:t>2020-21</w:t>
            </w:r>
          </w:p>
        </w:tc>
        <w:tc>
          <w:tcPr>
            <w:tcW w:w="769" w:type="pct"/>
            <w:noWrap/>
            <w:hideMark/>
          </w:tcPr>
          <w:p w14:paraId="78102D98" w14:textId="77777777" w:rsidR="00A3365B" w:rsidRPr="00E20B73" w:rsidRDefault="00A3365B" w:rsidP="00A9679B">
            <w:pPr>
              <w:pStyle w:val="TableBody"/>
            </w:pPr>
            <w:r w:rsidRPr="00E20B73">
              <w:t>6.2</w:t>
            </w:r>
          </w:p>
        </w:tc>
        <w:tc>
          <w:tcPr>
            <w:tcW w:w="982" w:type="pct"/>
            <w:noWrap/>
            <w:hideMark/>
          </w:tcPr>
          <w:p w14:paraId="1FB20D9E" w14:textId="77777777" w:rsidR="00A3365B" w:rsidRPr="00E20B73" w:rsidRDefault="00A3365B" w:rsidP="00A9679B">
            <w:pPr>
              <w:pStyle w:val="TableBody"/>
            </w:pPr>
            <w:r w:rsidRPr="00E20B73">
              <w:t>8.8</w:t>
            </w:r>
          </w:p>
        </w:tc>
        <w:tc>
          <w:tcPr>
            <w:tcW w:w="954" w:type="pct"/>
            <w:noWrap/>
            <w:hideMark/>
          </w:tcPr>
          <w:p w14:paraId="0CC1215F" w14:textId="77777777" w:rsidR="00A3365B" w:rsidRPr="00E20B73" w:rsidRDefault="00A3365B" w:rsidP="00A9679B">
            <w:pPr>
              <w:pStyle w:val="TableBody"/>
            </w:pPr>
            <w:r w:rsidRPr="00E20B73">
              <w:t>3.5</w:t>
            </w:r>
          </w:p>
        </w:tc>
        <w:tc>
          <w:tcPr>
            <w:tcW w:w="768" w:type="pct"/>
            <w:noWrap/>
            <w:hideMark/>
          </w:tcPr>
          <w:p w14:paraId="6829EB1D" w14:textId="77777777" w:rsidR="00A3365B" w:rsidRPr="00E20B73" w:rsidRDefault="00A3365B" w:rsidP="00A9679B">
            <w:pPr>
              <w:pStyle w:val="TableBody"/>
            </w:pPr>
            <w:r w:rsidRPr="00E20B73">
              <w:t>0.0</w:t>
            </w:r>
          </w:p>
        </w:tc>
        <w:tc>
          <w:tcPr>
            <w:tcW w:w="763" w:type="pct"/>
            <w:noWrap/>
            <w:hideMark/>
          </w:tcPr>
          <w:p w14:paraId="2B2D9AD1" w14:textId="77777777" w:rsidR="00A3365B" w:rsidRPr="00E20B73" w:rsidRDefault="00A3365B" w:rsidP="00A9679B">
            <w:pPr>
              <w:pStyle w:val="TableBody"/>
            </w:pPr>
            <w:r w:rsidRPr="00E20B73">
              <w:t>0.0</w:t>
            </w:r>
          </w:p>
        </w:tc>
      </w:tr>
      <w:tr w:rsidR="000E6D55" w:rsidRPr="00E20B73" w14:paraId="05C43A2B" w14:textId="77777777" w:rsidTr="000E6D55">
        <w:trPr>
          <w:trHeight w:val="288"/>
        </w:trPr>
        <w:tc>
          <w:tcPr>
            <w:tcW w:w="765" w:type="pct"/>
            <w:noWrap/>
            <w:hideMark/>
          </w:tcPr>
          <w:p w14:paraId="39538C06" w14:textId="77777777" w:rsidR="00A3365B" w:rsidRPr="00E20B73" w:rsidRDefault="00A3365B" w:rsidP="00A9679B">
            <w:pPr>
              <w:pStyle w:val="TableBody"/>
            </w:pPr>
            <w:r w:rsidRPr="00E20B73">
              <w:t>2021-22</w:t>
            </w:r>
          </w:p>
        </w:tc>
        <w:tc>
          <w:tcPr>
            <w:tcW w:w="769" w:type="pct"/>
            <w:noWrap/>
            <w:hideMark/>
          </w:tcPr>
          <w:p w14:paraId="552F9EB7" w14:textId="77777777" w:rsidR="00A3365B" w:rsidRPr="00E20B73" w:rsidRDefault="00A3365B" w:rsidP="00A9679B">
            <w:pPr>
              <w:pStyle w:val="TableBody"/>
            </w:pPr>
            <w:r w:rsidRPr="00E20B73">
              <w:t>6.7</w:t>
            </w:r>
          </w:p>
        </w:tc>
        <w:tc>
          <w:tcPr>
            <w:tcW w:w="982" w:type="pct"/>
            <w:noWrap/>
            <w:hideMark/>
          </w:tcPr>
          <w:p w14:paraId="1EE8B8D6" w14:textId="77777777" w:rsidR="00A3365B" w:rsidRPr="00E20B73" w:rsidRDefault="00A3365B" w:rsidP="00A9679B">
            <w:pPr>
              <w:pStyle w:val="TableBody"/>
            </w:pPr>
            <w:r w:rsidRPr="00E20B73">
              <w:t>6.5</w:t>
            </w:r>
          </w:p>
        </w:tc>
        <w:tc>
          <w:tcPr>
            <w:tcW w:w="954" w:type="pct"/>
            <w:noWrap/>
            <w:hideMark/>
          </w:tcPr>
          <w:p w14:paraId="6107A1DD" w14:textId="77777777" w:rsidR="00A3365B" w:rsidRPr="00E20B73" w:rsidRDefault="00A3365B" w:rsidP="00A9679B">
            <w:pPr>
              <w:pStyle w:val="TableBody"/>
            </w:pPr>
            <w:r w:rsidRPr="00E20B73">
              <w:t>2.8</w:t>
            </w:r>
          </w:p>
        </w:tc>
        <w:tc>
          <w:tcPr>
            <w:tcW w:w="768" w:type="pct"/>
            <w:noWrap/>
            <w:hideMark/>
          </w:tcPr>
          <w:p w14:paraId="7CD976FE" w14:textId="77777777" w:rsidR="00A3365B" w:rsidRPr="00E20B73" w:rsidRDefault="00A3365B" w:rsidP="00A9679B">
            <w:pPr>
              <w:pStyle w:val="TableBody"/>
            </w:pPr>
            <w:r w:rsidRPr="00E20B73">
              <w:t>0.0</w:t>
            </w:r>
          </w:p>
        </w:tc>
        <w:tc>
          <w:tcPr>
            <w:tcW w:w="763" w:type="pct"/>
            <w:noWrap/>
            <w:hideMark/>
          </w:tcPr>
          <w:p w14:paraId="3DB6FB10" w14:textId="77777777" w:rsidR="00A3365B" w:rsidRPr="00E20B73" w:rsidRDefault="00A3365B" w:rsidP="00A9679B">
            <w:pPr>
              <w:pStyle w:val="TableBody"/>
            </w:pPr>
            <w:r w:rsidRPr="00E20B73">
              <w:t>0.0</w:t>
            </w:r>
          </w:p>
        </w:tc>
      </w:tr>
      <w:tr w:rsidR="000E6D55" w:rsidRPr="00E20B73" w14:paraId="753AAFFE" w14:textId="77777777" w:rsidTr="000E6D55">
        <w:trPr>
          <w:trHeight w:val="288"/>
        </w:trPr>
        <w:tc>
          <w:tcPr>
            <w:tcW w:w="765" w:type="pct"/>
            <w:noWrap/>
            <w:hideMark/>
          </w:tcPr>
          <w:p w14:paraId="53F83FF0" w14:textId="77777777" w:rsidR="00A3365B" w:rsidRPr="00E20B73" w:rsidRDefault="00A3365B" w:rsidP="00A9679B">
            <w:pPr>
              <w:pStyle w:val="TableBody"/>
            </w:pPr>
            <w:r w:rsidRPr="00E20B73">
              <w:t>2022-23</w:t>
            </w:r>
          </w:p>
        </w:tc>
        <w:tc>
          <w:tcPr>
            <w:tcW w:w="769" w:type="pct"/>
            <w:noWrap/>
            <w:hideMark/>
          </w:tcPr>
          <w:p w14:paraId="75B9BC7E" w14:textId="77777777" w:rsidR="00A3365B" w:rsidRPr="00E20B73" w:rsidRDefault="00A3365B" w:rsidP="00A9679B">
            <w:pPr>
              <w:pStyle w:val="TableBody"/>
            </w:pPr>
            <w:r w:rsidRPr="00E20B73">
              <w:t>6.9</w:t>
            </w:r>
          </w:p>
        </w:tc>
        <w:tc>
          <w:tcPr>
            <w:tcW w:w="982" w:type="pct"/>
            <w:noWrap/>
            <w:hideMark/>
          </w:tcPr>
          <w:p w14:paraId="71811399" w14:textId="77777777" w:rsidR="00A3365B" w:rsidRPr="00E20B73" w:rsidRDefault="00A3365B" w:rsidP="00A9679B">
            <w:pPr>
              <w:pStyle w:val="TableBody"/>
            </w:pPr>
            <w:r w:rsidRPr="00E20B73">
              <w:t>5.8</w:t>
            </w:r>
          </w:p>
        </w:tc>
        <w:tc>
          <w:tcPr>
            <w:tcW w:w="954" w:type="pct"/>
            <w:noWrap/>
            <w:hideMark/>
          </w:tcPr>
          <w:p w14:paraId="7FD9CF16" w14:textId="77777777" w:rsidR="00A3365B" w:rsidRPr="00E20B73" w:rsidRDefault="00A3365B" w:rsidP="00A9679B">
            <w:pPr>
              <w:pStyle w:val="TableBody"/>
            </w:pPr>
            <w:r w:rsidRPr="00E20B73">
              <w:t>2.1</w:t>
            </w:r>
          </w:p>
        </w:tc>
        <w:tc>
          <w:tcPr>
            <w:tcW w:w="768" w:type="pct"/>
            <w:noWrap/>
            <w:hideMark/>
          </w:tcPr>
          <w:p w14:paraId="61EA7E98" w14:textId="77777777" w:rsidR="00A3365B" w:rsidRPr="00E20B73" w:rsidRDefault="00A3365B" w:rsidP="00A9679B">
            <w:pPr>
              <w:pStyle w:val="TableBody"/>
            </w:pPr>
            <w:r w:rsidRPr="00E20B73">
              <w:t>0.0</w:t>
            </w:r>
          </w:p>
        </w:tc>
        <w:tc>
          <w:tcPr>
            <w:tcW w:w="763" w:type="pct"/>
            <w:noWrap/>
            <w:hideMark/>
          </w:tcPr>
          <w:p w14:paraId="7C0773F1" w14:textId="77777777" w:rsidR="00A3365B" w:rsidRPr="00E20B73" w:rsidRDefault="00A3365B" w:rsidP="00A9679B">
            <w:pPr>
              <w:pStyle w:val="TableBody"/>
            </w:pPr>
            <w:r w:rsidRPr="00E20B73">
              <w:t>0.0</w:t>
            </w:r>
          </w:p>
        </w:tc>
      </w:tr>
      <w:tr w:rsidR="000E6D55" w:rsidRPr="00E20B73" w14:paraId="370C94B0" w14:textId="77777777" w:rsidTr="000E6D55">
        <w:trPr>
          <w:trHeight w:val="288"/>
        </w:trPr>
        <w:tc>
          <w:tcPr>
            <w:tcW w:w="765" w:type="pct"/>
            <w:noWrap/>
            <w:hideMark/>
          </w:tcPr>
          <w:p w14:paraId="677E9982" w14:textId="77777777" w:rsidR="00A3365B" w:rsidRPr="00E20B73" w:rsidRDefault="00A3365B" w:rsidP="00A9679B">
            <w:pPr>
              <w:pStyle w:val="TableBody"/>
            </w:pPr>
            <w:r w:rsidRPr="00E20B73">
              <w:t>2023-24</w:t>
            </w:r>
          </w:p>
        </w:tc>
        <w:tc>
          <w:tcPr>
            <w:tcW w:w="769" w:type="pct"/>
            <w:noWrap/>
            <w:hideMark/>
          </w:tcPr>
          <w:p w14:paraId="7ED40257" w14:textId="77777777" w:rsidR="00A3365B" w:rsidRPr="00E20B73" w:rsidRDefault="00A3365B" w:rsidP="00A9679B">
            <w:pPr>
              <w:pStyle w:val="TableBody"/>
            </w:pPr>
            <w:r w:rsidRPr="00E20B73">
              <w:t>6.5</w:t>
            </w:r>
          </w:p>
        </w:tc>
        <w:tc>
          <w:tcPr>
            <w:tcW w:w="982" w:type="pct"/>
            <w:noWrap/>
            <w:hideMark/>
          </w:tcPr>
          <w:p w14:paraId="266AB5F3" w14:textId="77777777" w:rsidR="00A3365B" w:rsidRPr="00E20B73" w:rsidRDefault="00A3365B" w:rsidP="00A9679B">
            <w:pPr>
              <w:pStyle w:val="TableBody"/>
            </w:pPr>
            <w:r w:rsidRPr="00E20B73">
              <w:t>5.2</w:t>
            </w:r>
          </w:p>
        </w:tc>
        <w:tc>
          <w:tcPr>
            <w:tcW w:w="954" w:type="pct"/>
            <w:noWrap/>
            <w:hideMark/>
          </w:tcPr>
          <w:p w14:paraId="66D2E5F2" w14:textId="77777777" w:rsidR="00A3365B" w:rsidRPr="00E20B73" w:rsidRDefault="00A3365B" w:rsidP="00A9679B">
            <w:pPr>
              <w:pStyle w:val="TableBody"/>
            </w:pPr>
            <w:r w:rsidRPr="00E20B73">
              <w:t>2.0</w:t>
            </w:r>
          </w:p>
        </w:tc>
        <w:tc>
          <w:tcPr>
            <w:tcW w:w="768" w:type="pct"/>
            <w:noWrap/>
            <w:hideMark/>
          </w:tcPr>
          <w:p w14:paraId="43CC575F" w14:textId="77777777" w:rsidR="00A3365B" w:rsidRPr="00E20B73" w:rsidRDefault="00A3365B" w:rsidP="00A9679B">
            <w:pPr>
              <w:pStyle w:val="TableBody"/>
            </w:pPr>
            <w:r w:rsidRPr="00E20B73">
              <w:t>0.0</w:t>
            </w:r>
          </w:p>
        </w:tc>
        <w:tc>
          <w:tcPr>
            <w:tcW w:w="763" w:type="pct"/>
            <w:noWrap/>
            <w:hideMark/>
          </w:tcPr>
          <w:p w14:paraId="1140A4EA" w14:textId="77777777" w:rsidR="00A3365B" w:rsidRPr="00E20B73" w:rsidRDefault="00A3365B" w:rsidP="00A9679B">
            <w:pPr>
              <w:pStyle w:val="TableBody"/>
            </w:pPr>
            <w:r w:rsidRPr="00E20B73">
              <w:t>0.0</w:t>
            </w:r>
          </w:p>
        </w:tc>
      </w:tr>
    </w:tbl>
    <w:p w14:paraId="217B6955" w14:textId="77777777" w:rsidR="00A4454A" w:rsidRPr="008C1137" w:rsidRDefault="00A4454A" w:rsidP="00D4532A">
      <w:r w:rsidRPr="000C258A">
        <w:rPr>
          <w:rStyle w:val="Strong"/>
        </w:rPr>
        <w:t>Source</w:t>
      </w:r>
      <w:r w:rsidRPr="008C1137">
        <w:t>: Court Services Victoria, unpublished data</w:t>
      </w:r>
    </w:p>
    <w:p w14:paraId="1684B7D3" w14:textId="77777777" w:rsidR="00A4454A" w:rsidRPr="008C1137" w:rsidRDefault="00A4454A" w:rsidP="0002476E">
      <w:pPr>
        <w:pStyle w:val="Heading3"/>
      </w:pPr>
      <w:r w:rsidRPr="008C1137">
        <w:lastRenderedPageBreak/>
        <w:t>Higher courts</w:t>
      </w:r>
    </w:p>
    <w:p w14:paraId="7C8CDA3D" w14:textId="2097BCCB" w:rsidR="00A4454A" w:rsidRPr="008C1137" w:rsidRDefault="00A4454A" w:rsidP="00210207">
      <w:pPr>
        <w:pStyle w:val="Numbered"/>
      </w:pPr>
      <w:r w:rsidRPr="008C1137">
        <w:t>In the higher courts, imprisonment-only sentences comprised the majority of all sentences each year, increasing from 39.4% to 58.2% in the 20-year period. That rate did, though, vary (Figure 15). Imprisonment-only sentences increased steadily from 2004–05 to 2013–14, dropped markedly in the next 2 years, spiked to a high of 61.1% of all outcomes in 2017–18, and declined thereafter. The low rate of imprisonment-only sentences in 2014–15 and 2015–16 coincided with a significant increase in the use of combined orders in those 2 years. The most likely drivers of these changes over time include:</w:t>
      </w:r>
    </w:p>
    <w:p w14:paraId="429D4607" w14:textId="77777777" w:rsidR="00A4454A" w:rsidRPr="008C1137" w:rsidRDefault="00A4454A" w:rsidP="008C1137">
      <w:pPr>
        <w:pStyle w:val="Bullets"/>
      </w:pPr>
      <w:r w:rsidRPr="008C1137">
        <w:t>the introduction of CCOs in 2012,</w:t>
      </w:r>
      <w:r w:rsidRPr="008C1137">
        <w:rPr>
          <w:rStyle w:val="Superscript"/>
        </w:rPr>
        <w:footnoteReference w:id="84"/>
      </w:r>
      <w:r w:rsidRPr="008C1137">
        <w:t xml:space="preserve"> replacing a number of other community orders</w:t>
      </w:r>
    </w:p>
    <w:p w14:paraId="26945BBA" w14:textId="77777777" w:rsidR="00A4454A" w:rsidRPr="008C1137" w:rsidRDefault="00A4454A" w:rsidP="008C1137">
      <w:pPr>
        <w:pStyle w:val="Bullets"/>
      </w:pPr>
      <w:r w:rsidRPr="008C1137">
        <w:t>the abolition of suspended sentences for offences committed after 2014,</w:t>
      </w:r>
      <w:r w:rsidRPr="008C1137">
        <w:rPr>
          <w:rStyle w:val="Superscript"/>
        </w:rPr>
        <w:footnoteReference w:id="85"/>
      </w:r>
      <w:r w:rsidRPr="008C1137">
        <w:t xml:space="preserve"> requiring courts to use alternative sentencing orders </w:t>
      </w:r>
    </w:p>
    <w:p w14:paraId="248FB89A" w14:textId="77777777" w:rsidR="00A4454A" w:rsidRPr="008C1137" w:rsidRDefault="00A4454A" w:rsidP="008C1137">
      <w:pPr>
        <w:pStyle w:val="Bullets"/>
      </w:pPr>
      <w:r w:rsidRPr="008C1137">
        <w:t>the Court of Appeal’s 2014 guideline judgment on the use of CCOs following their introduction in early 2012, increasing their use (both on their own and in combined orders)</w:t>
      </w:r>
      <w:r w:rsidRPr="008C1137">
        <w:rPr>
          <w:rStyle w:val="Superscript"/>
        </w:rPr>
        <w:footnoteReference w:id="86"/>
      </w:r>
      <w:r w:rsidRPr="008C1137">
        <w:t xml:space="preserve"> </w:t>
      </w:r>
    </w:p>
    <w:p w14:paraId="38A9B11B" w14:textId="77777777" w:rsidR="00A4454A" w:rsidRPr="008C1137" w:rsidRDefault="00A4454A" w:rsidP="008C1137">
      <w:pPr>
        <w:pStyle w:val="Bullets"/>
      </w:pPr>
      <w:r w:rsidRPr="008C1137">
        <w:t>a 2014 increase in the maximum period of imprisonment that could be combined with a CCO from 3 months to 2 years, expanding the availability of combined orders</w:t>
      </w:r>
      <w:r w:rsidRPr="008C1137">
        <w:rPr>
          <w:rStyle w:val="Superscript"/>
        </w:rPr>
        <w:footnoteReference w:id="87"/>
      </w:r>
      <w:r w:rsidRPr="008C1137">
        <w:t xml:space="preserve"> </w:t>
      </w:r>
    </w:p>
    <w:p w14:paraId="60FC2562" w14:textId="77777777" w:rsidR="00A4454A" w:rsidRPr="008C1137" w:rsidRDefault="00A4454A" w:rsidP="008C1137">
      <w:pPr>
        <w:pStyle w:val="Bullets"/>
      </w:pPr>
      <w:r w:rsidRPr="008C1137">
        <w:t>a 2017 decrease in the maximum period of imprisonment that could be combined with a CCO from 2 years to 1 year,</w:t>
      </w:r>
      <w:r w:rsidRPr="008C1137">
        <w:rPr>
          <w:rStyle w:val="Superscript"/>
        </w:rPr>
        <w:footnoteReference w:id="88"/>
      </w:r>
      <w:r w:rsidRPr="008C1137">
        <w:t xml:space="preserve"> reducing the number of combined orders (given that most </w:t>
      </w:r>
      <w:r w:rsidRPr="008C1137">
        <w:lastRenderedPageBreak/>
        <w:t>prison sentences in the higher courts are longer than 12 months)</w:t>
      </w:r>
      <w:r w:rsidRPr="008C1137">
        <w:rPr>
          <w:rStyle w:val="Superscript"/>
        </w:rPr>
        <w:footnoteReference w:id="89"/>
      </w:r>
      <w:r w:rsidRPr="008C1137">
        <w:t xml:space="preserve"> and</w:t>
      </w:r>
    </w:p>
    <w:p w14:paraId="443312DE" w14:textId="77777777" w:rsidR="00A4454A" w:rsidRPr="008C1137" w:rsidRDefault="00A4454A" w:rsidP="008C1137">
      <w:pPr>
        <w:pStyle w:val="Bullets"/>
      </w:pPr>
      <w:r w:rsidRPr="008C1137">
        <w:t>the introduction of category 1 and 2 offences in 2017, for which a term of imprisonment is mandatory (unless there are exceptional circumstances</w:t>
      </w:r>
      <w:r w:rsidRPr="008C1137">
        <w:rPr>
          <w:rStyle w:val="Superscript"/>
        </w:rPr>
        <w:footnoteReference w:id="90"/>
      </w:r>
      <w:r w:rsidRPr="008C1137">
        <w:t>), and combined orders are not permitted (thereby further reducing their availability).</w:t>
      </w:r>
      <w:r w:rsidRPr="008C1137">
        <w:rPr>
          <w:rStyle w:val="Superscript"/>
        </w:rPr>
        <w:footnoteReference w:id="91"/>
      </w:r>
    </w:p>
    <w:p w14:paraId="7667A88F" w14:textId="77777777" w:rsidR="00A4454A" w:rsidRPr="008C1137" w:rsidRDefault="00A4454A" w:rsidP="00BE4EDC">
      <w:pPr>
        <w:pStyle w:val="Caption"/>
      </w:pPr>
      <w:r w:rsidRPr="00157502">
        <w:t>Figure 15</w:t>
      </w:r>
      <w:r w:rsidRPr="008C1137">
        <w:t>: Rates of custodial sentence types (imprisonment only, imprisonment combined with community orders, partially suspended sentences and wholly suspended sentences) and community orders imposed in the higher courts, 2004–05 to 2023–24</w:t>
      </w:r>
      <w:r w:rsidRPr="008C1137">
        <w:rPr>
          <w:rStyle w:val="Superscript"/>
        </w:rPr>
        <w:footnoteReference w:id="92"/>
      </w:r>
    </w:p>
    <w:tbl>
      <w:tblPr>
        <w:tblStyle w:val="Table"/>
        <w:tblW w:w="5405" w:type="pct"/>
        <w:tblLayout w:type="fixed"/>
        <w:tblLook w:val="04A0" w:firstRow="1" w:lastRow="0" w:firstColumn="1" w:lastColumn="0" w:noHBand="0" w:noVBand="1"/>
      </w:tblPr>
      <w:tblGrid>
        <w:gridCol w:w="1501"/>
        <w:gridCol w:w="1869"/>
        <w:gridCol w:w="1871"/>
        <w:gridCol w:w="1503"/>
        <w:gridCol w:w="1505"/>
        <w:gridCol w:w="1497"/>
      </w:tblGrid>
      <w:tr w:rsidR="00853EAD" w:rsidRPr="002553CE" w14:paraId="5FF4F96E" w14:textId="77777777" w:rsidTr="00853EAD">
        <w:trPr>
          <w:trHeight w:val="288"/>
          <w:tblHeader/>
        </w:trPr>
        <w:tc>
          <w:tcPr>
            <w:tcW w:w="770" w:type="pct"/>
            <w:noWrap/>
            <w:hideMark/>
          </w:tcPr>
          <w:p w14:paraId="6F2906F7" w14:textId="6097225F" w:rsidR="00A361E0" w:rsidRPr="002553CE" w:rsidRDefault="002553CE" w:rsidP="002553CE">
            <w:pPr>
              <w:pStyle w:val="TableHeading"/>
            </w:pPr>
            <w:r w:rsidRPr="002553CE">
              <w:t>Financial year</w:t>
            </w:r>
          </w:p>
        </w:tc>
        <w:tc>
          <w:tcPr>
            <w:tcW w:w="959" w:type="pct"/>
            <w:noWrap/>
            <w:hideMark/>
          </w:tcPr>
          <w:p w14:paraId="13FD2AE4" w14:textId="77777777" w:rsidR="00A361E0" w:rsidRPr="002553CE" w:rsidRDefault="00A361E0" w:rsidP="002553CE">
            <w:pPr>
              <w:pStyle w:val="TableHeading"/>
            </w:pPr>
            <w:r w:rsidRPr="002553CE">
              <w:t>Imprisonment only</w:t>
            </w:r>
          </w:p>
        </w:tc>
        <w:tc>
          <w:tcPr>
            <w:tcW w:w="960" w:type="pct"/>
            <w:noWrap/>
            <w:hideMark/>
          </w:tcPr>
          <w:p w14:paraId="72633BBA" w14:textId="77777777" w:rsidR="00A361E0" w:rsidRPr="002553CE" w:rsidRDefault="00A361E0" w:rsidP="002553CE">
            <w:pPr>
              <w:pStyle w:val="TableHeading"/>
            </w:pPr>
            <w:r w:rsidRPr="002553CE">
              <w:t>Imprisonment combined with community orders</w:t>
            </w:r>
          </w:p>
        </w:tc>
        <w:tc>
          <w:tcPr>
            <w:tcW w:w="771" w:type="pct"/>
            <w:noWrap/>
            <w:hideMark/>
          </w:tcPr>
          <w:p w14:paraId="63F732AC" w14:textId="77777777" w:rsidR="00A361E0" w:rsidRPr="002553CE" w:rsidRDefault="00A361E0" w:rsidP="002553CE">
            <w:pPr>
              <w:pStyle w:val="TableHeading"/>
            </w:pPr>
            <w:r w:rsidRPr="002553CE">
              <w:t>Community orders only</w:t>
            </w:r>
          </w:p>
        </w:tc>
        <w:tc>
          <w:tcPr>
            <w:tcW w:w="772" w:type="pct"/>
            <w:noWrap/>
            <w:hideMark/>
          </w:tcPr>
          <w:p w14:paraId="1D5FE41A" w14:textId="77777777" w:rsidR="00A361E0" w:rsidRPr="002553CE" w:rsidRDefault="00A361E0" w:rsidP="002553CE">
            <w:pPr>
              <w:pStyle w:val="TableHeading"/>
            </w:pPr>
            <w:r w:rsidRPr="002553CE">
              <w:t>Partially suspended sentences</w:t>
            </w:r>
          </w:p>
        </w:tc>
        <w:tc>
          <w:tcPr>
            <w:tcW w:w="769" w:type="pct"/>
            <w:noWrap/>
            <w:hideMark/>
          </w:tcPr>
          <w:p w14:paraId="02BE7757" w14:textId="77777777" w:rsidR="00A361E0" w:rsidRPr="002553CE" w:rsidRDefault="00A361E0" w:rsidP="002553CE">
            <w:pPr>
              <w:pStyle w:val="TableHeading"/>
            </w:pPr>
            <w:r w:rsidRPr="002553CE">
              <w:t>Wholly suspended sentences</w:t>
            </w:r>
          </w:p>
        </w:tc>
      </w:tr>
      <w:tr w:rsidR="00853EAD" w:rsidRPr="002553CE" w14:paraId="52D36705" w14:textId="77777777" w:rsidTr="00853EAD">
        <w:trPr>
          <w:trHeight w:val="288"/>
        </w:trPr>
        <w:tc>
          <w:tcPr>
            <w:tcW w:w="770" w:type="pct"/>
            <w:noWrap/>
            <w:hideMark/>
          </w:tcPr>
          <w:p w14:paraId="5411CCF9" w14:textId="77777777" w:rsidR="00A361E0" w:rsidRPr="002553CE" w:rsidRDefault="00A361E0" w:rsidP="002553CE">
            <w:pPr>
              <w:pStyle w:val="TableBody"/>
            </w:pPr>
            <w:r w:rsidRPr="002553CE">
              <w:t>2004-05</w:t>
            </w:r>
          </w:p>
        </w:tc>
        <w:tc>
          <w:tcPr>
            <w:tcW w:w="959" w:type="pct"/>
            <w:noWrap/>
            <w:hideMark/>
          </w:tcPr>
          <w:p w14:paraId="49F15F66" w14:textId="77777777" w:rsidR="00A361E0" w:rsidRPr="002553CE" w:rsidRDefault="00A361E0" w:rsidP="002553CE">
            <w:pPr>
              <w:pStyle w:val="TableBody"/>
            </w:pPr>
            <w:r w:rsidRPr="002553CE">
              <w:t>39.4</w:t>
            </w:r>
          </w:p>
        </w:tc>
        <w:tc>
          <w:tcPr>
            <w:tcW w:w="960" w:type="pct"/>
            <w:noWrap/>
            <w:hideMark/>
          </w:tcPr>
          <w:p w14:paraId="4BE597F5" w14:textId="77777777" w:rsidR="00A361E0" w:rsidRPr="002553CE" w:rsidRDefault="00A361E0" w:rsidP="002553CE">
            <w:pPr>
              <w:pStyle w:val="TableBody"/>
            </w:pPr>
            <w:r w:rsidRPr="002553CE">
              <w:t>0.2</w:t>
            </w:r>
          </w:p>
        </w:tc>
        <w:tc>
          <w:tcPr>
            <w:tcW w:w="771" w:type="pct"/>
            <w:noWrap/>
            <w:hideMark/>
          </w:tcPr>
          <w:p w14:paraId="42036BEB" w14:textId="77777777" w:rsidR="00A361E0" w:rsidRPr="002553CE" w:rsidRDefault="00A361E0" w:rsidP="002553CE">
            <w:pPr>
              <w:pStyle w:val="TableBody"/>
            </w:pPr>
            <w:r w:rsidRPr="002553CE">
              <w:t>12.7</w:t>
            </w:r>
          </w:p>
        </w:tc>
        <w:tc>
          <w:tcPr>
            <w:tcW w:w="772" w:type="pct"/>
            <w:noWrap/>
            <w:hideMark/>
          </w:tcPr>
          <w:p w14:paraId="184FEF04" w14:textId="77777777" w:rsidR="00A361E0" w:rsidRPr="002553CE" w:rsidRDefault="00A361E0" w:rsidP="002553CE">
            <w:pPr>
              <w:pStyle w:val="TableBody"/>
            </w:pPr>
            <w:r w:rsidRPr="002553CE">
              <w:t>10.9</w:t>
            </w:r>
          </w:p>
        </w:tc>
        <w:tc>
          <w:tcPr>
            <w:tcW w:w="769" w:type="pct"/>
            <w:noWrap/>
            <w:hideMark/>
          </w:tcPr>
          <w:p w14:paraId="4D911B5C" w14:textId="77777777" w:rsidR="00A361E0" w:rsidRPr="002553CE" w:rsidRDefault="00A361E0" w:rsidP="002553CE">
            <w:pPr>
              <w:pStyle w:val="TableBody"/>
            </w:pPr>
            <w:r w:rsidRPr="002553CE">
              <w:t>26.2</w:t>
            </w:r>
          </w:p>
        </w:tc>
      </w:tr>
      <w:tr w:rsidR="00853EAD" w:rsidRPr="002553CE" w14:paraId="4D7487D7" w14:textId="77777777" w:rsidTr="00853EAD">
        <w:trPr>
          <w:trHeight w:val="288"/>
        </w:trPr>
        <w:tc>
          <w:tcPr>
            <w:tcW w:w="770" w:type="pct"/>
            <w:noWrap/>
            <w:hideMark/>
          </w:tcPr>
          <w:p w14:paraId="1324196A" w14:textId="77777777" w:rsidR="00A361E0" w:rsidRPr="002553CE" w:rsidRDefault="00A361E0" w:rsidP="002553CE">
            <w:pPr>
              <w:pStyle w:val="TableBody"/>
            </w:pPr>
            <w:r w:rsidRPr="002553CE">
              <w:t>2005-06</w:t>
            </w:r>
          </w:p>
        </w:tc>
        <w:tc>
          <w:tcPr>
            <w:tcW w:w="959" w:type="pct"/>
            <w:noWrap/>
            <w:hideMark/>
          </w:tcPr>
          <w:p w14:paraId="6AEFAEE1" w14:textId="77777777" w:rsidR="00A361E0" w:rsidRPr="002553CE" w:rsidRDefault="00A361E0" w:rsidP="002553CE">
            <w:pPr>
              <w:pStyle w:val="TableBody"/>
            </w:pPr>
            <w:r w:rsidRPr="002553CE">
              <w:t>43.5</w:t>
            </w:r>
          </w:p>
        </w:tc>
        <w:tc>
          <w:tcPr>
            <w:tcW w:w="960" w:type="pct"/>
            <w:noWrap/>
            <w:hideMark/>
          </w:tcPr>
          <w:p w14:paraId="0814D07F" w14:textId="77777777" w:rsidR="00A361E0" w:rsidRPr="002553CE" w:rsidRDefault="00A361E0" w:rsidP="002553CE">
            <w:pPr>
              <w:pStyle w:val="TableBody"/>
            </w:pPr>
            <w:r w:rsidRPr="002553CE">
              <w:t>0.0</w:t>
            </w:r>
          </w:p>
        </w:tc>
        <w:tc>
          <w:tcPr>
            <w:tcW w:w="771" w:type="pct"/>
            <w:noWrap/>
            <w:hideMark/>
          </w:tcPr>
          <w:p w14:paraId="218F5B33" w14:textId="77777777" w:rsidR="00A361E0" w:rsidRPr="002553CE" w:rsidRDefault="00A361E0" w:rsidP="002553CE">
            <w:pPr>
              <w:pStyle w:val="TableBody"/>
            </w:pPr>
            <w:r w:rsidRPr="002553CE">
              <w:t>11.3</w:t>
            </w:r>
          </w:p>
        </w:tc>
        <w:tc>
          <w:tcPr>
            <w:tcW w:w="772" w:type="pct"/>
            <w:noWrap/>
            <w:hideMark/>
          </w:tcPr>
          <w:p w14:paraId="13AA7CCF" w14:textId="77777777" w:rsidR="00A361E0" w:rsidRPr="002553CE" w:rsidRDefault="00A361E0" w:rsidP="002553CE">
            <w:pPr>
              <w:pStyle w:val="TableBody"/>
            </w:pPr>
            <w:r w:rsidRPr="002553CE">
              <w:t>8.3</w:t>
            </w:r>
          </w:p>
        </w:tc>
        <w:tc>
          <w:tcPr>
            <w:tcW w:w="769" w:type="pct"/>
            <w:noWrap/>
            <w:hideMark/>
          </w:tcPr>
          <w:p w14:paraId="0E82DD68" w14:textId="77777777" w:rsidR="00A361E0" w:rsidRPr="002553CE" w:rsidRDefault="00A361E0" w:rsidP="002553CE">
            <w:pPr>
              <w:pStyle w:val="TableBody"/>
            </w:pPr>
            <w:r w:rsidRPr="002553CE">
              <w:t>24.5</w:t>
            </w:r>
          </w:p>
        </w:tc>
      </w:tr>
      <w:tr w:rsidR="00853EAD" w:rsidRPr="002553CE" w14:paraId="1F1FA683" w14:textId="77777777" w:rsidTr="00853EAD">
        <w:trPr>
          <w:trHeight w:val="288"/>
        </w:trPr>
        <w:tc>
          <w:tcPr>
            <w:tcW w:w="770" w:type="pct"/>
            <w:noWrap/>
            <w:hideMark/>
          </w:tcPr>
          <w:p w14:paraId="0A8C31A1" w14:textId="77777777" w:rsidR="00A361E0" w:rsidRPr="002553CE" w:rsidRDefault="00A361E0" w:rsidP="002553CE">
            <w:pPr>
              <w:pStyle w:val="TableBody"/>
            </w:pPr>
            <w:r w:rsidRPr="002553CE">
              <w:t>2006-07</w:t>
            </w:r>
          </w:p>
        </w:tc>
        <w:tc>
          <w:tcPr>
            <w:tcW w:w="959" w:type="pct"/>
            <w:noWrap/>
            <w:hideMark/>
          </w:tcPr>
          <w:p w14:paraId="3F589DE4" w14:textId="77777777" w:rsidR="00A361E0" w:rsidRPr="002553CE" w:rsidRDefault="00A361E0" w:rsidP="002553CE">
            <w:pPr>
              <w:pStyle w:val="TableBody"/>
            </w:pPr>
            <w:r w:rsidRPr="002553CE">
              <w:t>45.7</w:t>
            </w:r>
          </w:p>
        </w:tc>
        <w:tc>
          <w:tcPr>
            <w:tcW w:w="960" w:type="pct"/>
            <w:noWrap/>
            <w:hideMark/>
          </w:tcPr>
          <w:p w14:paraId="45AE1AB4" w14:textId="77777777" w:rsidR="00A361E0" w:rsidRPr="002553CE" w:rsidRDefault="00A361E0" w:rsidP="002553CE">
            <w:pPr>
              <w:pStyle w:val="TableBody"/>
            </w:pPr>
            <w:r w:rsidRPr="002553CE">
              <w:t>0.0</w:t>
            </w:r>
          </w:p>
        </w:tc>
        <w:tc>
          <w:tcPr>
            <w:tcW w:w="771" w:type="pct"/>
            <w:noWrap/>
            <w:hideMark/>
          </w:tcPr>
          <w:p w14:paraId="4343544A" w14:textId="77777777" w:rsidR="00A361E0" w:rsidRPr="002553CE" w:rsidRDefault="00A361E0" w:rsidP="002553CE">
            <w:pPr>
              <w:pStyle w:val="TableBody"/>
            </w:pPr>
            <w:r w:rsidRPr="002553CE">
              <w:t>13.2</w:t>
            </w:r>
          </w:p>
        </w:tc>
        <w:tc>
          <w:tcPr>
            <w:tcW w:w="772" w:type="pct"/>
            <w:noWrap/>
            <w:hideMark/>
          </w:tcPr>
          <w:p w14:paraId="0905801D" w14:textId="77777777" w:rsidR="00A361E0" w:rsidRPr="002553CE" w:rsidRDefault="00A361E0" w:rsidP="002553CE">
            <w:pPr>
              <w:pStyle w:val="TableBody"/>
            </w:pPr>
            <w:r w:rsidRPr="002553CE">
              <w:t>7.6</w:t>
            </w:r>
          </w:p>
        </w:tc>
        <w:tc>
          <w:tcPr>
            <w:tcW w:w="769" w:type="pct"/>
            <w:noWrap/>
            <w:hideMark/>
          </w:tcPr>
          <w:p w14:paraId="33109B39" w14:textId="77777777" w:rsidR="00A361E0" w:rsidRPr="002553CE" w:rsidRDefault="00A361E0" w:rsidP="002553CE">
            <w:pPr>
              <w:pStyle w:val="TableBody"/>
            </w:pPr>
            <w:r w:rsidRPr="002553CE">
              <w:t>22.2</w:t>
            </w:r>
          </w:p>
        </w:tc>
      </w:tr>
      <w:tr w:rsidR="00853EAD" w:rsidRPr="002553CE" w14:paraId="63E333AD" w14:textId="77777777" w:rsidTr="00853EAD">
        <w:trPr>
          <w:trHeight w:val="288"/>
        </w:trPr>
        <w:tc>
          <w:tcPr>
            <w:tcW w:w="770" w:type="pct"/>
            <w:noWrap/>
            <w:hideMark/>
          </w:tcPr>
          <w:p w14:paraId="1C43AA09" w14:textId="77777777" w:rsidR="00A361E0" w:rsidRPr="002553CE" w:rsidRDefault="00A361E0" w:rsidP="002553CE">
            <w:pPr>
              <w:pStyle w:val="TableBody"/>
            </w:pPr>
            <w:r w:rsidRPr="002553CE">
              <w:t>2007-08</w:t>
            </w:r>
          </w:p>
        </w:tc>
        <w:tc>
          <w:tcPr>
            <w:tcW w:w="959" w:type="pct"/>
            <w:noWrap/>
            <w:hideMark/>
          </w:tcPr>
          <w:p w14:paraId="6ADEE8D1" w14:textId="77777777" w:rsidR="00A361E0" w:rsidRPr="002553CE" w:rsidRDefault="00A361E0" w:rsidP="002553CE">
            <w:pPr>
              <w:pStyle w:val="TableBody"/>
            </w:pPr>
            <w:r w:rsidRPr="002553CE">
              <w:t>45.2</w:t>
            </w:r>
          </w:p>
        </w:tc>
        <w:tc>
          <w:tcPr>
            <w:tcW w:w="960" w:type="pct"/>
            <w:noWrap/>
            <w:hideMark/>
          </w:tcPr>
          <w:p w14:paraId="04969A0F" w14:textId="77777777" w:rsidR="00A361E0" w:rsidRPr="002553CE" w:rsidRDefault="00A361E0" w:rsidP="002553CE">
            <w:pPr>
              <w:pStyle w:val="TableBody"/>
            </w:pPr>
            <w:r w:rsidRPr="002553CE">
              <w:t>0.1</w:t>
            </w:r>
          </w:p>
        </w:tc>
        <w:tc>
          <w:tcPr>
            <w:tcW w:w="771" w:type="pct"/>
            <w:noWrap/>
            <w:hideMark/>
          </w:tcPr>
          <w:p w14:paraId="20A0D5F1" w14:textId="77777777" w:rsidR="00A361E0" w:rsidRPr="002553CE" w:rsidRDefault="00A361E0" w:rsidP="002553CE">
            <w:pPr>
              <w:pStyle w:val="TableBody"/>
            </w:pPr>
            <w:r w:rsidRPr="002553CE">
              <w:t>12.5</w:t>
            </w:r>
          </w:p>
        </w:tc>
        <w:tc>
          <w:tcPr>
            <w:tcW w:w="772" w:type="pct"/>
            <w:noWrap/>
            <w:hideMark/>
          </w:tcPr>
          <w:p w14:paraId="553C43A2" w14:textId="77777777" w:rsidR="00A361E0" w:rsidRPr="002553CE" w:rsidRDefault="00A361E0" w:rsidP="002553CE">
            <w:pPr>
              <w:pStyle w:val="TableBody"/>
            </w:pPr>
            <w:r w:rsidRPr="002553CE">
              <w:t>9.2</w:t>
            </w:r>
          </w:p>
        </w:tc>
        <w:tc>
          <w:tcPr>
            <w:tcW w:w="769" w:type="pct"/>
            <w:noWrap/>
            <w:hideMark/>
          </w:tcPr>
          <w:p w14:paraId="03FB89D4" w14:textId="77777777" w:rsidR="00A361E0" w:rsidRPr="002553CE" w:rsidRDefault="00A361E0" w:rsidP="002553CE">
            <w:pPr>
              <w:pStyle w:val="TableBody"/>
            </w:pPr>
            <w:r w:rsidRPr="002553CE">
              <w:t>22.6</w:t>
            </w:r>
          </w:p>
        </w:tc>
      </w:tr>
      <w:tr w:rsidR="00853EAD" w:rsidRPr="002553CE" w14:paraId="32D4EE18" w14:textId="77777777" w:rsidTr="00853EAD">
        <w:trPr>
          <w:trHeight w:val="288"/>
        </w:trPr>
        <w:tc>
          <w:tcPr>
            <w:tcW w:w="770" w:type="pct"/>
            <w:noWrap/>
            <w:hideMark/>
          </w:tcPr>
          <w:p w14:paraId="1E424D64" w14:textId="77777777" w:rsidR="00A361E0" w:rsidRPr="002553CE" w:rsidRDefault="00A361E0" w:rsidP="002553CE">
            <w:pPr>
              <w:pStyle w:val="TableBody"/>
            </w:pPr>
            <w:r w:rsidRPr="002553CE">
              <w:t>2008-09</w:t>
            </w:r>
          </w:p>
        </w:tc>
        <w:tc>
          <w:tcPr>
            <w:tcW w:w="959" w:type="pct"/>
            <w:noWrap/>
            <w:hideMark/>
          </w:tcPr>
          <w:p w14:paraId="709FAB20" w14:textId="77777777" w:rsidR="00A361E0" w:rsidRPr="002553CE" w:rsidRDefault="00A361E0" w:rsidP="002553CE">
            <w:pPr>
              <w:pStyle w:val="TableBody"/>
            </w:pPr>
            <w:r w:rsidRPr="002553CE">
              <w:t>47.7</w:t>
            </w:r>
          </w:p>
        </w:tc>
        <w:tc>
          <w:tcPr>
            <w:tcW w:w="960" w:type="pct"/>
            <w:noWrap/>
            <w:hideMark/>
          </w:tcPr>
          <w:p w14:paraId="3874D480" w14:textId="77777777" w:rsidR="00A361E0" w:rsidRPr="002553CE" w:rsidRDefault="00A361E0" w:rsidP="002553CE">
            <w:pPr>
              <w:pStyle w:val="TableBody"/>
            </w:pPr>
            <w:r w:rsidRPr="002553CE">
              <w:t>0.2</w:t>
            </w:r>
          </w:p>
        </w:tc>
        <w:tc>
          <w:tcPr>
            <w:tcW w:w="771" w:type="pct"/>
            <w:noWrap/>
            <w:hideMark/>
          </w:tcPr>
          <w:p w14:paraId="7508FF4C" w14:textId="77777777" w:rsidR="00A361E0" w:rsidRPr="002553CE" w:rsidRDefault="00A361E0" w:rsidP="002553CE">
            <w:pPr>
              <w:pStyle w:val="TableBody"/>
            </w:pPr>
            <w:r w:rsidRPr="002553CE">
              <w:t>8.2</w:t>
            </w:r>
          </w:p>
        </w:tc>
        <w:tc>
          <w:tcPr>
            <w:tcW w:w="772" w:type="pct"/>
            <w:noWrap/>
            <w:hideMark/>
          </w:tcPr>
          <w:p w14:paraId="75370DC7" w14:textId="77777777" w:rsidR="00A361E0" w:rsidRPr="002553CE" w:rsidRDefault="00A361E0" w:rsidP="002553CE">
            <w:pPr>
              <w:pStyle w:val="TableBody"/>
            </w:pPr>
            <w:r w:rsidRPr="002553CE">
              <w:t>9.4</w:t>
            </w:r>
          </w:p>
        </w:tc>
        <w:tc>
          <w:tcPr>
            <w:tcW w:w="769" w:type="pct"/>
            <w:noWrap/>
            <w:hideMark/>
          </w:tcPr>
          <w:p w14:paraId="5C187F35" w14:textId="77777777" w:rsidR="00A361E0" w:rsidRPr="002553CE" w:rsidRDefault="00A361E0" w:rsidP="002553CE">
            <w:pPr>
              <w:pStyle w:val="TableBody"/>
            </w:pPr>
            <w:r w:rsidRPr="002553CE">
              <w:t>25.7</w:t>
            </w:r>
          </w:p>
        </w:tc>
      </w:tr>
      <w:tr w:rsidR="00853EAD" w:rsidRPr="002553CE" w14:paraId="1EE11D60" w14:textId="77777777" w:rsidTr="00853EAD">
        <w:trPr>
          <w:trHeight w:val="288"/>
        </w:trPr>
        <w:tc>
          <w:tcPr>
            <w:tcW w:w="770" w:type="pct"/>
            <w:noWrap/>
            <w:hideMark/>
          </w:tcPr>
          <w:p w14:paraId="2DBEE064" w14:textId="77777777" w:rsidR="00A361E0" w:rsidRPr="002553CE" w:rsidRDefault="00A361E0" w:rsidP="002553CE">
            <w:pPr>
              <w:pStyle w:val="TableBody"/>
            </w:pPr>
            <w:r w:rsidRPr="002553CE">
              <w:t>2009-10</w:t>
            </w:r>
          </w:p>
        </w:tc>
        <w:tc>
          <w:tcPr>
            <w:tcW w:w="959" w:type="pct"/>
            <w:noWrap/>
            <w:hideMark/>
          </w:tcPr>
          <w:p w14:paraId="0EB335B9" w14:textId="77777777" w:rsidR="00A361E0" w:rsidRPr="002553CE" w:rsidRDefault="00A361E0" w:rsidP="002553CE">
            <w:pPr>
              <w:pStyle w:val="TableBody"/>
            </w:pPr>
            <w:r w:rsidRPr="002553CE">
              <w:t>53.0</w:t>
            </w:r>
          </w:p>
        </w:tc>
        <w:tc>
          <w:tcPr>
            <w:tcW w:w="960" w:type="pct"/>
            <w:noWrap/>
            <w:hideMark/>
          </w:tcPr>
          <w:p w14:paraId="0C20A213" w14:textId="77777777" w:rsidR="00A361E0" w:rsidRPr="002553CE" w:rsidRDefault="00A361E0" w:rsidP="002553CE">
            <w:pPr>
              <w:pStyle w:val="TableBody"/>
            </w:pPr>
            <w:r w:rsidRPr="002553CE">
              <w:t>0.2</w:t>
            </w:r>
          </w:p>
        </w:tc>
        <w:tc>
          <w:tcPr>
            <w:tcW w:w="771" w:type="pct"/>
            <w:noWrap/>
            <w:hideMark/>
          </w:tcPr>
          <w:p w14:paraId="5AF6584A" w14:textId="77777777" w:rsidR="00A361E0" w:rsidRPr="002553CE" w:rsidRDefault="00A361E0" w:rsidP="002553CE">
            <w:pPr>
              <w:pStyle w:val="TableBody"/>
            </w:pPr>
            <w:r w:rsidRPr="002553CE">
              <w:t>6.3</w:t>
            </w:r>
          </w:p>
        </w:tc>
        <w:tc>
          <w:tcPr>
            <w:tcW w:w="772" w:type="pct"/>
            <w:noWrap/>
            <w:hideMark/>
          </w:tcPr>
          <w:p w14:paraId="37A60139" w14:textId="77777777" w:rsidR="00A361E0" w:rsidRPr="002553CE" w:rsidRDefault="00A361E0" w:rsidP="002553CE">
            <w:pPr>
              <w:pStyle w:val="TableBody"/>
            </w:pPr>
            <w:r w:rsidRPr="002553CE">
              <w:t>10.8</w:t>
            </w:r>
          </w:p>
        </w:tc>
        <w:tc>
          <w:tcPr>
            <w:tcW w:w="769" w:type="pct"/>
            <w:noWrap/>
            <w:hideMark/>
          </w:tcPr>
          <w:p w14:paraId="7689C896" w14:textId="77777777" w:rsidR="00A361E0" w:rsidRPr="002553CE" w:rsidRDefault="00A361E0" w:rsidP="002553CE">
            <w:pPr>
              <w:pStyle w:val="TableBody"/>
            </w:pPr>
            <w:r w:rsidRPr="002553CE">
              <w:t>21.6</w:t>
            </w:r>
          </w:p>
        </w:tc>
      </w:tr>
      <w:tr w:rsidR="00853EAD" w:rsidRPr="002553CE" w14:paraId="65C6DE69" w14:textId="77777777" w:rsidTr="00853EAD">
        <w:trPr>
          <w:trHeight w:val="288"/>
        </w:trPr>
        <w:tc>
          <w:tcPr>
            <w:tcW w:w="770" w:type="pct"/>
            <w:noWrap/>
            <w:hideMark/>
          </w:tcPr>
          <w:p w14:paraId="3D30C185" w14:textId="77777777" w:rsidR="00A361E0" w:rsidRPr="002553CE" w:rsidRDefault="00A361E0" w:rsidP="002553CE">
            <w:pPr>
              <w:pStyle w:val="TableBody"/>
            </w:pPr>
            <w:r w:rsidRPr="002553CE">
              <w:t>2010-11</w:t>
            </w:r>
          </w:p>
        </w:tc>
        <w:tc>
          <w:tcPr>
            <w:tcW w:w="959" w:type="pct"/>
            <w:noWrap/>
            <w:hideMark/>
          </w:tcPr>
          <w:p w14:paraId="127CD666" w14:textId="77777777" w:rsidR="00A361E0" w:rsidRPr="002553CE" w:rsidRDefault="00A361E0" w:rsidP="002553CE">
            <w:pPr>
              <w:pStyle w:val="TableBody"/>
            </w:pPr>
            <w:r w:rsidRPr="002553CE">
              <w:t>52.4</w:t>
            </w:r>
          </w:p>
        </w:tc>
        <w:tc>
          <w:tcPr>
            <w:tcW w:w="960" w:type="pct"/>
            <w:noWrap/>
            <w:hideMark/>
          </w:tcPr>
          <w:p w14:paraId="5A39BAAE" w14:textId="77777777" w:rsidR="00A361E0" w:rsidRPr="002553CE" w:rsidRDefault="00A361E0" w:rsidP="002553CE">
            <w:pPr>
              <w:pStyle w:val="TableBody"/>
            </w:pPr>
            <w:r w:rsidRPr="002553CE">
              <w:t>0.2</w:t>
            </w:r>
          </w:p>
        </w:tc>
        <w:tc>
          <w:tcPr>
            <w:tcW w:w="771" w:type="pct"/>
            <w:noWrap/>
            <w:hideMark/>
          </w:tcPr>
          <w:p w14:paraId="73BB84D1" w14:textId="77777777" w:rsidR="00A361E0" w:rsidRPr="002553CE" w:rsidRDefault="00A361E0" w:rsidP="002553CE">
            <w:pPr>
              <w:pStyle w:val="TableBody"/>
            </w:pPr>
            <w:r w:rsidRPr="002553CE">
              <w:t>7.8</w:t>
            </w:r>
          </w:p>
        </w:tc>
        <w:tc>
          <w:tcPr>
            <w:tcW w:w="772" w:type="pct"/>
            <w:noWrap/>
            <w:hideMark/>
          </w:tcPr>
          <w:p w14:paraId="7BE33D6F" w14:textId="77777777" w:rsidR="00A361E0" w:rsidRPr="002553CE" w:rsidRDefault="00A361E0" w:rsidP="002553CE">
            <w:pPr>
              <w:pStyle w:val="TableBody"/>
            </w:pPr>
            <w:r w:rsidRPr="002553CE">
              <w:t>9.9</w:t>
            </w:r>
          </w:p>
        </w:tc>
        <w:tc>
          <w:tcPr>
            <w:tcW w:w="769" w:type="pct"/>
            <w:noWrap/>
            <w:hideMark/>
          </w:tcPr>
          <w:p w14:paraId="57B8C0BC" w14:textId="77777777" w:rsidR="00A361E0" w:rsidRPr="002553CE" w:rsidRDefault="00A361E0" w:rsidP="002553CE">
            <w:pPr>
              <w:pStyle w:val="TableBody"/>
            </w:pPr>
            <w:r w:rsidRPr="002553CE">
              <w:t>21.7</w:t>
            </w:r>
          </w:p>
        </w:tc>
      </w:tr>
      <w:tr w:rsidR="00853EAD" w:rsidRPr="002553CE" w14:paraId="36BA165D" w14:textId="77777777" w:rsidTr="00853EAD">
        <w:trPr>
          <w:trHeight w:val="288"/>
        </w:trPr>
        <w:tc>
          <w:tcPr>
            <w:tcW w:w="770" w:type="pct"/>
            <w:noWrap/>
            <w:hideMark/>
          </w:tcPr>
          <w:p w14:paraId="194F547D" w14:textId="77777777" w:rsidR="00A361E0" w:rsidRPr="002553CE" w:rsidRDefault="00A361E0" w:rsidP="002553CE">
            <w:pPr>
              <w:pStyle w:val="TableBody"/>
            </w:pPr>
            <w:r w:rsidRPr="002553CE">
              <w:t>2011-12</w:t>
            </w:r>
          </w:p>
        </w:tc>
        <w:tc>
          <w:tcPr>
            <w:tcW w:w="959" w:type="pct"/>
            <w:noWrap/>
            <w:hideMark/>
          </w:tcPr>
          <w:p w14:paraId="1368F9EF" w14:textId="77777777" w:rsidR="00A361E0" w:rsidRPr="002553CE" w:rsidRDefault="00A361E0" w:rsidP="002553CE">
            <w:pPr>
              <w:pStyle w:val="TableBody"/>
            </w:pPr>
            <w:r w:rsidRPr="002553CE">
              <w:t>52.7</w:t>
            </w:r>
          </w:p>
        </w:tc>
        <w:tc>
          <w:tcPr>
            <w:tcW w:w="960" w:type="pct"/>
            <w:noWrap/>
            <w:hideMark/>
          </w:tcPr>
          <w:p w14:paraId="3D48F3FB" w14:textId="77777777" w:rsidR="00A361E0" w:rsidRPr="002553CE" w:rsidRDefault="00A361E0" w:rsidP="002553CE">
            <w:pPr>
              <w:pStyle w:val="TableBody"/>
            </w:pPr>
            <w:r w:rsidRPr="002553CE">
              <w:t>0.4</w:t>
            </w:r>
          </w:p>
        </w:tc>
        <w:tc>
          <w:tcPr>
            <w:tcW w:w="771" w:type="pct"/>
            <w:noWrap/>
            <w:hideMark/>
          </w:tcPr>
          <w:p w14:paraId="32C4B9D4" w14:textId="77777777" w:rsidR="00A361E0" w:rsidRPr="002553CE" w:rsidRDefault="00A361E0" w:rsidP="002553CE">
            <w:pPr>
              <w:pStyle w:val="TableBody"/>
            </w:pPr>
            <w:r w:rsidRPr="002553CE">
              <w:t>10.5</w:t>
            </w:r>
          </w:p>
        </w:tc>
        <w:tc>
          <w:tcPr>
            <w:tcW w:w="772" w:type="pct"/>
            <w:noWrap/>
            <w:hideMark/>
          </w:tcPr>
          <w:p w14:paraId="4019C518" w14:textId="77777777" w:rsidR="00A361E0" w:rsidRPr="002553CE" w:rsidRDefault="00A361E0" w:rsidP="002553CE">
            <w:pPr>
              <w:pStyle w:val="TableBody"/>
            </w:pPr>
            <w:r w:rsidRPr="002553CE">
              <w:t>8.8</w:t>
            </w:r>
          </w:p>
        </w:tc>
        <w:tc>
          <w:tcPr>
            <w:tcW w:w="769" w:type="pct"/>
            <w:noWrap/>
            <w:hideMark/>
          </w:tcPr>
          <w:p w14:paraId="37AB03B5" w14:textId="77777777" w:rsidR="00A361E0" w:rsidRPr="002553CE" w:rsidRDefault="00A361E0" w:rsidP="002553CE">
            <w:pPr>
              <w:pStyle w:val="TableBody"/>
            </w:pPr>
            <w:r w:rsidRPr="002553CE">
              <w:t>19.0</w:t>
            </w:r>
          </w:p>
        </w:tc>
      </w:tr>
      <w:tr w:rsidR="00853EAD" w:rsidRPr="002553CE" w14:paraId="7A0974F3" w14:textId="77777777" w:rsidTr="00853EAD">
        <w:trPr>
          <w:trHeight w:val="288"/>
        </w:trPr>
        <w:tc>
          <w:tcPr>
            <w:tcW w:w="770" w:type="pct"/>
            <w:noWrap/>
            <w:hideMark/>
          </w:tcPr>
          <w:p w14:paraId="1BF8BEEF" w14:textId="77777777" w:rsidR="00A361E0" w:rsidRPr="002553CE" w:rsidRDefault="00A361E0" w:rsidP="002553CE">
            <w:pPr>
              <w:pStyle w:val="TableBody"/>
            </w:pPr>
            <w:r w:rsidRPr="002553CE">
              <w:t>2012-13</w:t>
            </w:r>
          </w:p>
        </w:tc>
        <w:tc>
          <w:tcPr>
            <w:tcW w:w="959" w:type="pct"/>
            <w:noWrap/>
            <w:hideMark/>
          </w:tcPr>
          <w:p w14:paraId="30C1A5CD" w14:textId="77777777" w:rsidR="00A361E0" w:rsidRPr="002553CE" w:rsidRDefault="00A361E0" w:rsidP="002553CE">
            <w:pPr>
              <w:pStyle w:val="TableBody"/>
            </w:pPr>
            <w:r w:rsidRPr="002553CE">
              <w:t>57.7</w:t>
            </w:r>
          </w:p>
        </w:tc>
        <w:tc>
          <w:tcPr>
            <w:tcW w:w="960" w:type="pct"/>
            <w:noWrap/>
            <w:hideMark/>
          </w:tcPr>
          <w:p w14:paraId="10026E2F" w14:textId="77777777" w:rsidR="00A361E0" w:rsidRPr="002553CE" w:rsidRDefault="00A361E0" w:rsidP="002553CE">
            <w:pPr>
              <w:pStyle w:val="TableBody"/>
            </w:pPr>
            <w:r w:rsidRPr="002553CE">
              <w:t>2.2</w:t>
            </w:r>
          </w:p>
        </w:tc>
        <w:tc>
          <w:tcPr>
            <w:tcW w:w="771" w:type="pct"/>
            <w:noWrap/>
            <w:hideMark/>
          </w:tcPr>
          <w:p w14:paraId="4849CA34" w14:textId="77777777" w:rsidR="00A361E0" w:rsidRPr="002553CE" w:rsidRDefault="00A361E0" w:rsidP="002553CE">
            <w:pPr>
              <w:pStyle w:val="TableBody"/>
            </w:pPr>
            <w:r w:rsidRPr="002553CE">
              <w:t>13.1</w:t>
            </w:r>
          </w:p>
        </w:tc>
        <w:tc>
          <w:tcPr>
            <w:tcW w:w="772" w:type="pct"/>
            <w:noWrap/>
            <w:hideMark/>
          </w:tcPr>
          <w:p w14:paraId="51DF1185" w14:textId="77777777" w:rsidR="00A361E0" w:rsidRPr="002553CE" w:rsidRDefault="00A361E0" w:rsidP="002553CE">
            <w:pPr>
              <w:pStyle w:val="TableBody"/>
            </w:pPr>
            <w:r w:rsidRPr="002553CE">
              <w:t>8.3</w:t>
            </w:r>
          </w:p>
        </w:tc>
        <w:tc>
          <w:tcPr>
            <w:tcW w:w="769" w:type="pct"/>
            <w:noWrap/>
            <w:hideMark/>
          </w:tcPr>
          <w:p w14:paraId="75AFF2FB" w14:textId="77777777" w:rsidR="00A361E0" w:rsidRPr="002553CE" w:rsidRDefault="00A361E0" w:rsidP="002553CE">
            <w:pPr>
              <w:pStyle w:val="TableBody"/>
            </w:pPr>
            <w:r w:rsidRPr="002553CE">
              <w:t>10.5</w:t>
            </w:r>
          </w:p>
        </w:tc>
      </w:tr>
      <w:tr w:rsidR="00853EAD" w:rsidRPr="002553CE" w14:paraId="7C6AAD93" w14:textId="77777777" w:rsidTr="00853EAD">
        <w:trPr>
          <w:trHeight w:val="288"/>
        </w:trPr>
        <w:tc>
          <w:tcPr>
            <w:tcW w:w="770" w:type="pct"/>
            <w:noWrap/>
            <w:hideMark/>
          </w:tcPr>
          <w:p w14:paraId="57D89286" w14:textId="77777777" w:rsidR="00A361E0" w:rsidRPr="002553CE" w:rsidRDefault="00A361E0" w:rsidP="002553CE">
            <w:pPr>
              <w:pStyle w:val="TableBody"/>
            </w:pPr>
            <w:r w:rsidRPr="002553CE">
              <w:t>2013-14</w:t>
            </w:r>
          </w:p>
        </w:tc>
        <w:tc>
          <w:tcPr>
            <w:tcW w:w="959" w:type="pct"/>
            <w:noWrap/>
            <w:hideMark/>
          </w:tcPr>
          <w:p w14:paraId="2A7A0F73" w14:textId="77777777" w:rsidR="00A361E0" w:rsidRPr="002553CE" w:rsidRDefault="00A361E0" w:rsidP="002553CE">
            <w:pPr>
              <w:pStyle w:val="TableBody"/>
            </w:pPr>
            <w:r w:rsidRPr="002553CE">
              <w:t>57.8</w:t>
            </w:r>
          </w:p>
        </w:tc>
        <w:tc>
          <w:tcPr>
            <w:tcW w:w="960" w:type="pct"/>
            <w:noWrap/>
            <w:hideMark/>
          </w:tcPr>
          <w:p w14:paraId="27AF706B" w14:textId="77777777" w:rsidR="00A361E0" w:rsidRPr="002553CE" w:rsidRDefault="00A361E0" w:rsidP="002553CE">
            <w:pPr>
              <w:pStyle w:val="TableBody"/>
            </w:pPr>
            <w:r w:rsidRPr="002553CE">
              <w:t>2.1</w:t>
            </w:r>
          </w:p>
        </w:tc>
        <w:tc>
          <w:tcPr>
            <w:tcW w:w="771" w:type="pct"/>
            <w:noWrap/>
            <w:hideMark/>
          </w:tcPr>
          <w:p w14:paraId="107870D9" w14:textId="77777777" w:rsidR="00A361E0" w:rsidRPr="002553CE" w:rsidRDefault="00A361E0" w:rsidP="002553CE">
            <w:pPr>
              <w:pStyle w:val="TableBody"/>
            </w:pPr>
            <w:r w:rsidRPr="002553CE">
              <w:t>15.6</w:t>
            </w:r>
          </w:p>
        </w:tc>
        <w:tc>
          <w:tcPr>
            <w:tcW w:w="772" w:type="pct"/>
            <w:noWrap/>
            <w:hideMark/>
          </w:tcPr>
          <w:p w14:paraId="778DDC3E" w14:textId="77777777" w:rsidR="00A361E0" w:rsidRPr="002553CE" w:rsidRDefault="00A361E0" w:rsidP="002553CE">
            <w:pPr>
              <w:pStyle w:val="TableBody"/>
            </w:pPr>
            <w:r w:rsidRPr="002553CE">
              <w:t>6.3</w:t>
            </w:r>
          </w:p>
        </w:tc>
        <w:tc>
          <w:tcPr>
            <w:tcW w:w="769" w:type="pct"/>
            <w:noWrap/>
            <w:hideMark/>
          </w:tcPr>
          <w:p w14:paraId="18472532" w14:textId="77777777" w:rsidR="00A361E0" w:rsidRPr="002553CE" w:rsidRDefault="00A361E0" w:rsidP="002553CE">
            <w:pPr>
              <w:pStyle w:val="TableBody"/>
            </w:pPr>
            <w:r w:rsidRPr="002553CE">
              <w:t>10.5</w:t>
            </w:r>
          </w:p>
        </w:tc>
      </w:tr>
      <w:tr w:rsidR="00853EAD" w:rsidRPr="002553CE" w14:paraId="5BD0BFA1" w14:textId="77777777" w:rsidTr="00853EAD">
        <w:trPr>
          <w:trHeight w:val="288"/>
        </w:trPr>
        <w:tc>
          <w:tcPr>
            <w:tcW w:w="770" w:type="pct"/>
            <w:noWrap/>
            <w:hideMark/>
          </w:tcPr>
          <w:p w14:paraId="2391EC5F" w14:textId="77777777" w:rsidR="00A361E0" w:rsidRPr="002553CE" w:rsidRDefault="00A361E0" w:rsidP="002553CE">
            <w:pPr>
              <w:pStyle w:val="TableBody"/>
            </w:pPr>
            <w:r w:rsidRPr="002553CE">
              <w:t>2014-15</w:t>
            </w:r>
          </w:p>
        </w:tc>
        <w:tc>
          <w:tcPr>
            <w:tcW w:w="959" w:type="pct"/>
            <w:noWrap/>
            <w:hideMark/>
          </w:tcPr>
          <w:p w14:paraId="3025B7AD" w14:textId="77777777" w:rsidR="00A361E0" w:rsidRPr="002553CE" w:rsidRDefault="00A361E0" w:rsidP="002553CE">
            <w:pPr>
              <w:pStyle w:val="TableBody"/>
            </w:pPr>
            <w:r w:rsidRPr="002553CE">
              <w:t>46.8</w:t>
            </w:r>
          </w:p>
        </w:tc>
        <w:tc>
          <w:tcPr>
            <w:tcW w:w="960" w:type="pct"/>
            <w:noWrap/>
            <w:hideMark/>
          </w:tcPr>
          <w:p w14:paraId="32044669" w14:textId="77777777" w:rsidR="00A361E0" w:rsidRPr="002553CE" w:rsidRDefault="00A361E0" w:rsidP="002553CE">
            <w:pPr>
              <w:pStyle w:val="TableBody"/>
            </w:pPr>
            <w:r w:rsidRPr="002553CE">
              <w:t>13.8</w:t>
            </w:r>
          </w:p>
        </w:tc>
        <w:tc>
          <w:tcPr>
            <w:tcW w:w="771" w:type="pct"/>
            <w:noWrap/>
            <w:hideMark/>
          </w:tcPr>
          <w:p w14:paraId="690DE676" w14:textId="77777777" w:rsidR="00A361E0" w:rsidRPr="002553CE" w:rsidRDefault="00A361E0" w:rsidP="002553CE">
            <w:pPr>
              <w:pStyle w:val="TableBody"/>
            </w:pPr>
            <w:r w:rsidRPr="002553CE">
              <w:t>20.7</w:t>
            </w:r>
          </w:p>
        </w:tc>
        <w:tc>
          <w:tcPr>
            <w:tcW w:w="772" w:type="pct"/>
            <w:noWrap/>
            <w:hideMark/>
          </w:tcPr>
          <w:p w14:paraId="554F1F2C" w14:textId="77777777" w:rsidR="00A361E0" w:rsidRPr="002553CE" w:rsidRDefault="00A361E0" w:rsidP="002553CE">
            <w:pPr>
              <w:pStyle w:val="TableBody"/>
            </w:pPr>
            <w:r w:rsidRPr="002553CE">
              <w:t>4.4</w:t>
            </w:r>
          </w:p>
        </w:tc>
        <w:tc>
          <w:tcPr>
            <w:tcW w:w="769" w:type="pct"/>
            <w:noWrap/>
            <w:hideMark/>
          </w:tcPr>
          <w:p w14:paraId="576BC0D0" w14:textId="77777777" w:rsidR="00A361E0" w:rsidRPr="002553CE" w:rsidRDefault="00A361E0" w:rsidP="002553CE">
            <w:pPr>
              <w:pStyle w:val="TableBody"/>
            </w:pPr>
            <w:r w:rsidRPr="002553CE">
              <w:t>7.0</w:t>
            </w:r>
          </w:p>
        </w:tc>
      </w:tr>
      <w:tr w:rsidR="00853EAD" w:rsidRPr="002553CE" w14:paraId="6DC424C6" w14:textId="77777777" w:rsidTr="00853EAD">
        <w:trPr>
          <w:trHeight w:val="288"/>
        </w:trPr>
        <w:tc>
          <w:tcPr>
            <w:tcW w:w="770" w:type="pct"/>
            <w:noWrap/>
            <w:hideMark/>
          </w:tcPr>
          <w:p w14:paraId="72547C0C" w14:textId="77777777" w:rsidR="00A361E0" w:rsidRPr="002553CE" w:rsidRDefault="00A361E0" w:rsidP="002553CE">
            <w:pPr>
              <w:pStyle w:val="TableBody"/>
            </w:pPr>
            <w:r w:rsidRPr="002553CE">
              <w:t>2015-16</w:t>
            </w:r>
          </w:p>
        </w:tc>
        <w:tc>
          <w:tcPr>
            <w:tcW w:w="959" w:type="pct"/>
            <w:noWrap/>
            <w:hideMark/>
          </w:tcPr>
          <w:p w14:paraId="2E27BC2A" w14:textId="77777777" w:rsidR="00A361E0" w:rsidRPr="002553CE" w:rsidRDefault="00A361E0" w:rsidP="002553CE">
            <w:pPr>
              <w:pStyle w:val="TableBody"/>
            </w:pPr>
            <w:r w:rsidRPr="002553CE">
              <w:t>43.0</w:t>
            </w:r>
          </w:p>
        </w:tc>
        <w:tc>
          <w:tcPr>
            <w:tcW w:w="960" w:type="pct"/>
            <w:noWrap/>
            <w:hideMark/>
          </w:tcPr>
          <w:p w14:paraId="456A6F00" w14:textId="77777777" w:rsidR="00A361E0" w:rsidRPr="002553CE" w:rsidRDefault="00A361E0" w:rsidP="002553CE">
            <w:pPr>
              <w:pStyle w:val="TableBody"/>
            </w:pPr>
            <w:r w:rsidRPr="002553CE">
              <w:t>21.8</w:t>
            </w:r>
          </w:p>
        </w:tc>
        <w:tc>
          <w:tcPr>
            <w:tcW w:w="771" w:type="pct"/>
            <w:noWrap/>
            <w:hideMark/>
          </w:tcPr>
          <w:p w14:paraId="1F312161" w14:textId="77777777" w:rsidR="00A361E0" w:rsidRPr="002553CE" w:rsidRDefault="00A361E0" w:rsidP="002553CE">
            <w:pPr>
              <w:pStyle w:val="TableBody"/>
            </w:pPr>
            <w:r w:rsidRPr="002553CE">
              <w:t>20.9</w:t>
            </w:r>
          </w:p>
        </w:tc>
        <w:tc>
          <w:tcPr>
            <w:tcW w:w="772" w:type="pct"/>
            <w:noWrap/>
            <w:hideMark/>
          </w:tcPr>
          <w:p w14:paraId="3ADA3991" w14:textId="77777777" w:rsidR="00A361E0" w:rsidRPr="002553CE" w:rsidRDefault="00A361E0" w:rsidP="002553CE">
            <w:pPr>
              <w:pStyle w:val="TableBody"/>
            </w:pPr>
            <w:r w:rsidRPr="002553CE">
              <w:t>3.3</w:t>
            </w:r>
          </w:p>
        </w:tc>
        <w:tc>
          <w:tcPr>
            <w:tcW w:w="769" w:type="pct"/>
            <w:noWrap/>
            <w:hideMark/>
          </w:tcPr>
          <w:p w14:paraId="60DF3369" w14:textId="77777777" w:rsidR="00A361E0" w:rsidRPr="002553CE" w:rsidRDefault="00A361E0" w:rsidP="002553CE">
            <w:pPr>
              <w:pStyle w:val="TableBody"/>
            </w:pPr>
            <w:r w:rsidRPr="002553CE">
              <w:t>3.7</w:t>
            </w:r>
          </w:p>
        </w:tc>
      </w:tr>
      <w:tr w:rsidR="00853EAD" w:rsidRPr="002553CE" w14:paraId="492317E5" w14:textId="77777777" w:rsidTr="00853EAD">
        <w:trPr>
          <w:trHeight w:val="288"/>
        </w:trPr>
        <w:tc>
          <w:tcPr>
            <w:tcW w:w="770" w:type="pct"/>
            <w:noWrap/>
            <w:hideMark/>
          </w:tcPr>
          <w:p w14:paraId="18C3B3C6" w14:textId="77777777" w:rsidR="00A361E0" w:rsidRPr="002553CE" w:rsidRDefault="00A361E0" w:rsidP="002553CE">
            <w:pPr>
              <w:pStyle w:val="TableBody"/>
            </w:pPr>
            <w:r w:rsidRPr="002553CE">
              <w:t>2016-17</w:t>
            </w:r>
          </w:p>
        </w:tc>
        <w:tc>
          <w:tcPr>
            <w:tcW w:w="959" w:type="pct"/>
            <w:noWrap/>
            <w:hideMark/>
          </w:tcPr>
          <w:p w14:paraId="26D45F84" w14:textId="77777777" w:rsidR="00A361E0" w:rsidRPr="002553CE" w:rsidRDefault="00A361E0" w:rsidP="002553CE">
            <w:pPr>
              <w:pStyle w:val="TableBody"/>
            </w:pPr>
            <w:r w:rsidRPr="002553CE">
              <w:t>58.4</w:t>
            </w:r>
          </w:p>
        </w:tc>
        <w:tc>
          <w:tcPr>
            <w:tcW w:w="960" w:type="pct"/>
            <w:noWrap/>
            <w:hideMark/>
          </w:tcPr>
          <w:p w14:paraId="3C61015A" w14:textId="77777777" w:rsidR="00A361E0" w:rsidRPr="002553CE" w:rsidRDefault="00A361E0" w:rsidP="002553CE">
            <w:pPr>
              <w:pStyle w:val="TableBody"/>
            </w:pPr>
            <w:r w:rsidRPr="002553CE">
              <w:t>14.9</w:t>
            </w:r>
          </w:p>
        </w:tc>
        <w:tc>
          <w:tcPr>
            <w:tcW w:w="771" w:type="pct"/>
            <w:noWrap/>
            <w:hideMark/>
          </w:tcPr>
          <w:p w14:paraId="707DAE96" w14:textId="77777777" w:rsidR="00A361E0" w:rsidRPr="002553CE" w:rsidRDefault="00A361E0" w:rsidP="002553CE">
            <w:pPr>
              <w:pStyle w:val="TableBody"/>
            </w:pPr>
            <w:r w:rsidRPr="002553CE">
              <w:t>13.8</w:t>
            </w:r>
          </w:p>
        </w:tc>
        <w:tc>
          <w:tcPr>
            <w:tcW w:w="772" w:type="pct"/>
            <w:noWrap/>
            <w:hideMark/>
          </w:tcPr>
          <w:p w14:paraId="209FA8FB" w14:textId="77777777" w:rsidR="00A361E0" w:rsidRPr="002553CE" w:rsidRDefault="00A361E0" w:rsidP="002553CE">
            <w:pPr>
              <w:pStyle w:val="TableBody"/>
            </w:pPr>
            <w:r w:rsidRPr="002553CE">
              <w:t>3.0</w:t>
            </w:r>
          </w:p>
        </w:tc>
        <w:tc>
          <w:tcPr>
            <w:tcW w:w="769" w:type="pct"/>
            <w:noWrap/>
            <w:hideMark/>
          </w:tcPr>
          <w:p w14:paraId="28225BA9" w14:textId="77777777" w:rsidR="00A361E0" w:rsidRPr="002553CE" w:rsidRDefault="00A361E0" w:rsidP="002553CE">
            <w:pPr>
              <w:pStyle w:val="TableBody"/>
            </w:pPr>
            <w:r w:rsidRPr="002553CE">
              <w:t>3.0</w:t>
            </w:r>
          </w:p>
        </w:tc>
      </w:tr>
      <w:tr w:rsidR="00853EAD" w:rsidRPr="002553CE" w14:paraId="43BC2330" w14:textId="77777777" w:rsidTr="00853EAD">
        <w:trPr>
          <w:trHeight w:val="288"/>
        </w:trPr>
        <w:tc>
          <w:tcPr>
            <w:tcW w:w="770" w:type="pct"/>
            <w:noWrap/>
            <w:hideMark/>
          </w:tcPr>
          <w:p w14:paraId="62587A31" w14:textId="77777777" w:rsidR="00A361E0" w:rsidRPr="002553CE" w:rsidRDefault="00A361E0" w:rsidP="002553CE">
            <w:pPr>
              <w:pStyle w:val="TableBody"/>
            </w:pPr>
            <w:r w:rsidRPr="002553CE">
              <w:t>2017-18</w:t>
            </w:r>
          </w:p>
        </w:tc>
        <w:tc>
          <w:tcPr>
            <w:tcW w:w="959" w:type="pct"/>
            <w:noWrap/>
            <w:hideMark/>
          </w:tcPr>
          <w:p w14:paraId="77548702" w14:textId="77777777" w:rsidR="00A361E0" w:rsidRPr="002553CE" w:rsidRDefault="00A361E0" w:rsidP="002553CE">
            <w:pPr>
              <w:pStyle w:val="TableBody"/>
            </w:pPr>
            <w:r w:rsidRPr="002553CE">
              <w:t>61.1</w:t>
            </w:r>
          </w:p>
        </w:tc>
        <w:tc>
          <w:tcPr>
            <w:tcW w:w="960" w:type="pct"/>
            <w:noWrap/>
            <w:hideMark/>
          </w:tcPr>
          <w:p w14:paraId="00CC566F" w14:textId="77777777" w:rsidR="00A361E0" w:rsidRPr="002553CE" w:rsidRDefault="00A361E0" w:rsidP="002553CE">
            <w:pPr>
              <w:pStyle w:val="TableBody"/>
            </w:pPr>
            <w:r w:rsidRPr="002553CE">
              <w:t>11.2</w:t>
            </w:r>
          </w:p>
        </w:tc>
        <w:tc>
          <w:tcPr>
            <w:tcW w:w="771" w:type="pct"/>
            <w:noWrap/>
            <w:hideMark/>
          </w:tcPr>
          <w:p w14:paraId="3A1C99CB" w14:textId="77777777" w:rsidR="00A361E0" w:rsidRPr="002553CE" w:rsidRDefault="00A361E0" w:rsidP="002553CE">
            <w:pPr>
              <w:pStyle w:val="TableBody"/>
            </w:pPr>
            <w:r w:rsidRPr="002553CE">
              <w:t>13.7</w:t>
            </w:r>
          </w:p>
        </w:tc>
        <w:tc>
          <w:tcPr>
            <w:tcW w:w="772" w:type="pct"/>
            <w:noWrap/>
            <w:hideMark/>
          </w:tcPr>
          <w:p w14:paraId="7644E6CC" w14:textId="77777777" w:rsidR="00A361E0" w:rsidRPr="002553CE" w:rsidRDefault="00A361E0" w:rsidP="002553CE">
            <w:pPr>
              <w:pStyle w:val="TableBody"/>
            </w:pPr>
            <w:r w:rsidRPr="002553CE">
              <w:t>3.1</w:t>
            </w:r>
          </w:p>
        </w:tc>
        <w:tc>
          <w:tcPr>
            <w:tcW w:w="769" w:type="pct"/>
            <w:noWrap/>
            <w:hideMark/>
          </w:tcPr>
          <w:p w14:paraId="4C57148C" w14:textId="77777777" w:rsidR="00A361E0" w:rsidRPr="002553CE" w:rsidRDefault="00A361E0" w:rsidP="002553CE">
            <w:pPr>
              <w:pStyle w:val="TableBody"/>
            </w:pPr>
            <w:r w:rsidRPr="002553CE">
              <w:t>3.4</w:t>
            </w:r>
          </w:p>
        </w:tc>
      </w:tr>
      <w:tr w:rsidR="00853EAD" w:rsidRPr="002553CE" w14:paraId="0515C212" w14:textId="77777777" w:rsidTr="00853EAD">
        <w:trPr>
          <w:trHeight w:val="288"/>
        </w:trPr>
        <w:tc>
          <w:tcPr>
            <w:tcW w:w="770" w:type="pct"/>
            <w:noWrap/>
            <w:hideMark/>
          </w:tcPr>
          <w:p w14:paraId="239ECA98" w14:textId="77777777" w:rsidR="00A361E0" w:rsidRPr="002553CE" w:rsidRDefault="00A361E0" w:rsidP="002553CE">
            <w:pPr>
              <w:pStyle w:val="TableBody"/>
            </w:pPr>
            <w:r w:rsidRPr="002553CE">
              <w:t>2018-19</w:t>
            </w:r>
          </w:p>
        </w:tc>
        <w:tc>
          <w:tcPr>
            <w:tcW w:w="959" w:type="pct"/>
            <w:noWrap/>
            <w:hideMark/>
          </w:tcPr>
          <w:p w14:paraId="1DCF011D" w14:textId="77777777" w:rsidR="00A361E0" w:rsidRPr="002553CE" w:rsidRDefault="00A361E0" w:rsidP="002553CE">
            <w:pPr>
              <w:pStyle w:val="TableBody"/>
            </w:pPr>
            <w:r w:rsidRPr="002553CE">
              <w:t>60.1</w:t>
            </w:r>
          </w:p>
        </w:tc>
        <w:tc>
          <w:tcPr>
            <w:tcW w:w="960" w:type="pct"/>
            <w:noWrap/>
            <w:hideMark/>
          </w:tcPr>
          <w:p w14:paraId="296A6B7C" w14:textId="77777777" w:rsidR="00A361E0" w:rsidRPr="002553CE" w:rsidRDefault="00A361E0" w:rsidP="002553CE">
            <w:pPr>
              <w:pStyle w:val="TableBody"/>
            </w:pPr>
            <w:r w:rsidRPr="002553CE">
              <w:t>14.3</w:t>
            </w:r>
          </w:p>
        </w:tc>
        <w:tc>
          <w:tcPr>
            <w:tcW w:w="771" w:type="pct"/>
            <w:noWrap/>
            <w:hideMark/>
          </w:tcPr>
          <w:p w14:paraId="72AA457E" w14:textId="77777777" w:rsidR="00A361E0" w:rsidRPr="002553CE" w:rsidRDefault="00A361E0" w:rsidP="002553CE">
            <w:pPr>
              <w:pStyle w:val="TableBody"/>
            </w:pPr>
            <w:r w:rsidRPr="002553CE">
              <w:t>13.0</w:t>
            </w:r>
          </w:p>
        </w:tc>
        <w:tc>
          <w:tcPr>
            <w:tcW w:w="772" w:type="pct"/>
            <w:noWrap/>
            <w:hideMark/>
          </w:tcPr>
          <w:p w14:paraId="0938DDA0" w14:textId="77777777" w:rsidR="00A361E0" w:rsidRPr="002553CE" w:rsidRDefault="00A361E0" w:rsidP="002553CE">
            <w:pPr>
              <w:pStyle w:val="TableBody"/>
            </w:pPr>
            <w:r w:rsidRPr="002553CE">
              <w:t>2.7</w:t>
            </w:r>
          </w:p>
        </w:tc>
        <w:tc>
          <w:tcPr>
            <w:tcW w:w="769" w:type="pct"/>
            <w:noWrap/>
            <w:hideMark/>
          </w:tcPr>
          <w:p w14:paraId="659AF77F" w14:textId="77777777" w:rsidR="00A361E0" w:rsidRPr="002553CE" w:rsidRDefault="00A361E0" w:rsidP="002553CE">
            <w:pPr>
              <w:pStyle w:val="TableBody"/>
            </w:pPr>
            <w:r w:rsidRPr="002553CE">
              <w:t>3.0</w:t>
            </w:r>
          </w:p>
        </w:tc>
      </w:tr>
      <w:tr w:rsidR="00853EAD" w:rsidRPr="002553CE" w14:paraId="1A7690DA" w14:textId="77777777" w:rsidTr="00853EAD">
        <w:trPr>
          <w:trHeight w:val="288"/>
        </w:trPr>
        <w:tc>
          <w:tcPr>
            <w:tcW w:w="770" w:type="pct"/>
            <w:noWrap/>
            <w:hideMark/>
          </w:tcPr>
          <w:p w14:paraId="2EC2D47A" w14:textId="77777777" w:rsidR="00A361E0" w:rsidRPr="002553CE" w:rsidRDefault="00A361E0" w:rsidP="002553CE">
            <w:pPr>
              <w:pStyle w:val="TableBody"/>
            </w:pPr>
            <w:r w:rsidRPr="002553CE">
              <w:t>2019-20</w:t>
            </w:r>
          </w:p>
        </w:tc>
        <w:tc>
          <w:tcPr>
            <w:tcW w:w="959" w:type="pct"/>
            <w:noWrap/>
            <w:hideMark/>
          </w:tcPr>
          <w:p w14:paraId="035E1F0C" w14:textId="77777777" w:rsidR="00A361E0" w:rsidRPr="002553CE" w:rsidRDefault="00A361E0" w:rsidP="002553CE">
            <w:pPr>
              <w:pStyle w:val="TableBody"/>
            </w:pPr>
            <w:r w:rsidRPr="002553CE">
              <w:t>58.8</w:t>
            </w:r>
          </w:p>
        </w:tc>
        <w:tc>
          <w:tcPr>
            <w:tcW w:w="960" w:type="pct"/>
            <w:noWrap/>
            <w:hideMark/>
          </w:tcPr>
          <w:p w14:paraId="4CD9B0DA" w14:textId="77777777" w:rsidR="00A361E0" w:rsidRPr="002553CE" w:rsidRDefault="00A361E0" w:rsidP="002553CE">
            <w:pPr>
              <w:pStyle w:val="TableBody"/>
            </w:pPr>
            <w:r w:rsidRPr="002553CE">
              <w:t>16.6</w:t>
            </w:r>
          </w:p>
        </w:tc>
        <w:tc>
          <w:tcPr>
            <w:tcW w:w="771" w:type="pct"/>
            <w:noWrap/>
            <w:hideMark/>
          </w:tcPr>
          <w:p w14:paraId="56627C74" w14:textId="77777777" w:rsidR="00A361E0" w:rsidRPr="002553CE" w:rsidRDefault="00A361E0" w:rsidP="002553CE">
            <w:pPr>
              <w:pStyle w:val="TableBody"/>
            </w:pPr>
            <w:r w:rsidRPr="002553CE">
              <w:t>12.0</w:t>
            </w:r>
          </w:p>
        </w:tc>
        <w:tc>
          <w:tcPr>
            <w:tcW w:w="772" w:type="pct"/>
            <w:noWrap/>
            <w:hideMark/>
          </w:tcPr>
          <w:p w14:paraId="1B4D3F24" w14:textId="77777777" w:rsidR="00A361E0" w:rsidRPr="002553CE" w:rsidRDefault="00A361E0" w:rsidP="002553CE">
            <w:pPr>
              <w:pStyle w:val="TableBody"/>
            </w:pPr>
            <w:r w:rsidRPr="002553CE">
              <w:t>1.9</w:t>
            </w:r>
          </w:p>
        </w:tc>
        <w:tc>
          <w:tcPr>
            <w:tcW w:w="769" w:type="pct"/>
            <w:noWrap/>
            <w:hideMark/>
          </w:tcPr>
          <w:p w14:paraId="7D7C091D" w14:textId="77777777" w:rsidR="00A361E0" w:rsidRPr="002553CE" w:rsidRDefault="00A361E0" w:rsidP="002553CE">
            <w:pPr>
              <w:pStyle w:val="TableBody"/>
            </w:pPr>
            <w:r w:rsidRPr="002553CE">
              <w:t>2.6</w:t>
            </w:r>
          </w:p>
        </w:tc>
      </w:tr>
      <w:tr w:rsidR="00853EAD" w:rsidRPr="002553CE" w14:paraId="53B1527E" w14:textId="77777777" w:rsidTr="00853EAD">
        <w:trPr>
          <w:trHeight w:val="288"/>
        </w:trPr>
        <w:tc>
          <w:tcPr>
            <w:tcW w:w="770" w:type="pct"/>
            <w:noWrap/>
            <w:hideMark/>
          </w:tcPr>
          <w:p w14:paraId="519FC3A6" w14:textId="77777777" w:rsidR="00A361E0" w:rsidRPr="002553CE" w:rsidRDefault="00A361E0" w:rsidP="002553CE">
            <w:pPr>
              <w:pStyle w:val="TableBody"/>
            </w:pPr>
            <w:r w:rsidRPr="002553CE">
              <w:lastRenderedPageBreak/>
              <w:t>2020-21</w:t>
            </w:r>
          </w:p>
        </w:tc>
        <w:tc>
          <w:tcPr>
            <w:tcW w:w="959" w:type="pct"/>
            <w:noWrap/>
            <w:hideMark/>
          </w:tcPr>
          <w:p w14:paraId="7921A9F1" w14:textId="77777777" w:rsidR="00A361E0" w:rsidRPr="002553CE" w:rsidRDefault="00A361E0" w:rsidP="002553CE">
            <w:pPr>
              <w:pStyle w:val="TableBody"/>
            </w:pPr>
            <w:r w:rsidRPr="002553CE">
              <w:t>57.8</w:t>
            </w:r>
          </w:p>
        </w:tc>
        <w:tc>
          <w:tcPr>
            <w:tcW w:w="960" w:type="pct"/>
            <w:noWrap/>
            <w:hideMark/>
          </w:tcPr>
          <w:p w14:paraId="1B817F4F" w14:textId="77777777" w:rsidR="00A361E0" w:rsidRPr="002553CE" w:rsidRDefault="00A361E0" w:rsidP="002553CE">
            <w:pPr>
              <w:pStyle w:val="TableBody"/>
            </w:pPr>
            <w:r w:rsidRPr="002553CE">
              <w:t>16.3</w:t>
            </w:r>
          </w:p>
        </w:tc>
        <w:tc>
          <w:tcPr>
            <w:tcW w:w="771" w:type="pct"/>
            <w:noWrap/>
            <w:hideMark/>
          </w:tcPr>
          <w:p w14:paraId="51FDBDCF" w14:textId="77777777" w:rsidR="00A361E0" w:rsidRPr="002553CE" w:rsidRDefault="00A361E0" w:rsidP="002553CE">
            <w:pPr>
              <w:pStyle w:val="TableBody"/>
            </w:pPr>
            <w:r w:rsidRPr="002553CE">
              <w:t>11.9</w:t>
            </w:r>
          </w:p>
        </w:tc>
        <w:tc>
          <w:tcPr>
            <w:tcW w:w="772" w:type="pct"/>
            <w:noWrap/>
            <w:hideMark/>
          </w:tcPr>
          <w:p w14:paraId="0E678C50" w14:textId="77777777" w:rsidR="00A361E0" w:rsidRPr="002553CE" w:rsidRDefault="00A361E0" w:rsidP="002553CE">
            <w:pPr>
              <w:pStyle w:val="TableBody"/>
            </w:pPr>
            <w:r w:rsidRPr="002553CE">
              <w:t>3.5</w:t>
            </w:r>
          </w:p>
        </w:tc>
        <w:tc>
          <w:tcPr>
            <w:tcW w:w="769" w:type="pct"/>
            <w:noWrap/>
            <w:hideMark/>
          </w:tcPr>
          <w:p w14:paraId="357E91EF" w14:textId="77777777" w:rsidR="00A361E0" w:rsidRPr="002553CE" w:rsidRDefault="00A361E0" w:rsidP="002553CE">
            <w:pPr>
              <w:pStyle w:val="TableBody"/>
            </w:pPr>
            <w:r w:rsidRPr="002553CE">
              <w:t>3.8</w:t>
            </w:r>
          </w:p>
        </w:tc>
      </w:tr>
      <w:tr w:rsidR="00853EAD" w:rsidRPr="002553CE" w14:paraId="489C88DC" w14:textId="77777777" w:rsidTr="00853EAD">
        <w:trPr>
          <w:trHeight w:val="288"/>
        </w:trPr>
        <w:tc>
          <w:tcPr>
            <w:tcW w:w="770" w:type="pct"/>
            <w:noWrap/>
            <w:hideMark/>
          </w:tcPr>
          <w:p w14:paraId="54B68F5A" w14:textId="77777777" w:rsidR="00A361E0" w:rsidRPr="002553CE" w:rsidRDefault="00A361E0" w:rsidP="002553CE">
            <w:pPr>
              <w:pStyle w:val="TableBody"/>
            </w:pPr>
            <w:r w:rsidRPr="002553CE">
              <w:t>2021-22</w:t>
            </w:r>
          </w:p>
        </w:tc>
        <w:tc>
          <w:tcPr>
            <w:tcW w:w="959" w:type="pct"/>
            <w:noWrap/>
            <w:hideMark/>
          </w:tcPr>
          <w:p w14:paraId="7AA658E4" w14:textId="77777777" w:rsidR="00A361E0" w:rsidRPr="002553CE" w:rsidRDefault="00A361E0" w:rsidP="002553CE">
            <w:pPr>
              <w:pStyle w:val="TableBody"/>
            </w:pPr>
            <w:r w:rsidRPr="002553CE">
              <w:t>54.2</w:t>
            </w:r>
          </w:p>
        </w:tc>
        <w:tc>
          <w:tcPr>
            <w:tcW w:w="960" w:type="pct"/>
            <w:noWrap/>
            <w:hideMark/>
          </w:tcPr>
          <w:p w14:paraId="5AAD23EE" w14:textId="77777777" w:rsidR="00A361E0" w:rsidRPr="002553CE" w:rsidRDefault="00A361E0" w:rsidP="002553CE">
            <w:pPr>
              <w:pStyle w:val="TableBody"/>
            </w:pPr>
            <w:r w:rsidRPr="002553CE">
              <w:t>18.0</w:t>
            </w:r>
          </w:p>
        </w:tc>
        <w:tc>
          <w:tcPr>
            <w:tcW w:w="771" w:type="pct"/>
            <w:noWrap/>
            <w:hideMark/>
          </w:tcPr>
          <w:p w14:paraId="3F483A1A" w14:textId="77777777" w:rsidR="00A361E0" w:rsidRPr="002553CE" w:rsidRDefault="00A361E0" w:rsidP="002553CE">
            <w:pPr>
              <w:pStyle w:val="TableBody"/>
            </w:pPr>
            <w:r w:rsidRPr="002553CE">
              <w:t>15.8</w:t>
            </w:r>
          </w:p>
        </w:tc>
        <w:tc>
          <w:tcPr>
            <w:tcW w:w="772" w:type="pct"/>
            <w:noWrap/>
            <w:hideMark/>
          </w:tcPr>
          <w:p w14:paraId="50E9CCB7" w14:textId="77777777" w:rsidR="00A361E0" w:rsidRPr="002553CE" w:rsidRDefault="00A361E0" w:rsidP="002553CE">
            <w:pPr>
              <w:pStyle w:val="TableBody"/>
            </w:pPr>
            <w:r w:rsidRPr="002553CE">
              <w:t>2.4</w:t>
            </w:r>
          </w:p>
        </w:tc>
        <w:tc>
          <w:tcPr>
            <w:tcW w:w="769" w:type="pct"/>
            <w:noWrap/>
            <w:hideMark/>
          </w:tcPr>
          <w:p w14:paraId="345F5715" w14:textId="77777777" w:rsidR="00A361E0" w:rsidRPr="002553CE" w:rsidRDefault="00A361E0" w:rsidP="002553CE">
            <w:pPr>
              <w:pStyle w:val="TableBody"/>
            </w:pPr>
            <w:r w:rsidRPr="002553CE">
              <w:t>2.9</w:t>
            </w:r>
          </w:p>
        </w:tc>
      </w:tr>
      <w:tr w:rsidR="00853EAD" w:rsidRPr="002553CE" w14:paraId="2F102452" w14:textId="77777777" w:rsidTr="00853EAD">
        <w:trPr>
          <w:trHeight w:val="288"/>
        </w:trPr>
        <w:tc>
          <w:tcPr>
            <w:tcW w:w="770" w:type="pct"/>
            <w:noWrap/>
            <w:hideMark/>
          </w:tcPr>
          <w:p w14:paraId="383B3DA8" w14:textId="77777777" w:rsidR="00A361E0" w:rsidRPr="002553CE" w:rsidRDefault="00A361E0" w:rsidP="002553CE">
            <w:pPr>
              <w:pStyle w:val="TableBody"/>
            </w:pPr>
            <w:r w:rsidRPr="002553CE">
              <w:t>2022-23</w:t>
            </w:r>
          </w:p>
        </w:tc>
        <w:tc>
          <w:tcPr>
            <w:tcW w:w="959" w:type="pct"/>
            <w:noWrap/>
            <w:hideMark/>
          </w:tcPr>
          <w:p w14:paraId="53B938C9" w14:textId="77777777" w:rsidR="00A361E0" w:rsidRPr="002553CE" w:rsidRDefault="00A361E0" w:rsidP="002553CE">
            <w:pPr>
              <w:pStyle w:val="TableBody"/>
            </w:pPr>
            <w:r w:rsidRPr="002553CE">
              <w:t>54.2</w:t>
            </w:r>
          </w:p>
        </w:tc>
        <w:tc>
          <w:tcPr>
            <w:tcW w:w="960" w:type="pct"/>
            <w:noWrap/>
            <w:hideMark/>
          </w:tcPr>
          <w:p w14:paraId="03C4604C" w14:textId="77777777" w:rsidR="00A361E0" w:rsidRPr="002553CE" w:rsidRDefault="00A361E0" w:rsidP="002553CE">
            <w:pPr>
              <w:pStyle w:val="TableBody"/>
            </w:pPr>
            <w:r w:rsidRPr="002553CE">
              <w:t>19.5</w:t>
            </w:r>
          </w:p>
        </w:tc>
        <w:tc>
          <w:tcPr>
            <w:tcW w:w="771" w:type="pct"/>
            <w:noWrap/>
            <w:hideMark/>
          </w:tcPr>
          <w:p w14:paraId="1FAEFEF4" w14:textId="77777777" w:rsidR="00A361E0" w:rsidRPr="002553CE" w:rsidRDefault="00A361E0" w:rsidP="002553CE">
            <w:pPr>
              <w:pStyle w:val="TableBody"/>
            </w:pPr>
            <w:r w:rsidRPr="002553CE">
              <w:t>14.1</w:t>
            </w:r>
          </w:p>
        </w:tc>
        <w:tc>
          <w:tcPr>
            <w:tcW w:w="772" w:type="pct"/>
            <w:noWrap/>
            <w:hideMark/>
          </w:tcPr>
          <w:p w14:paraId="1777AB16" w14:textId="77777777" w:rsidR="00A361E0" w:rsidRPr="002553CE" w:rsidRDefault="00A361E0" w:rsidP="002553CE">
            <w:pPr>
              <w:pStyle w:val="TableBody"/>
            </w:pPr>
            <w:r w:rsidRPr="002553CE">
              <w:t>2.2</w:t>
            </w:r>
          </w:p>
        </w:tc>
        <w:tc>
          <w:tcPr>
            <w:tcW w:w="769" w:type="pct"/>
            <w:noWrap/>
            <w:hideMark/>
          </w:tcPr>
          <w:p w14:paraId="64EB39AA" w14:textId="77777777" w:rsidR="00A361E0" w:rsidRPr="002553CE" w:rsidRDefault="00A361E0" w:rsidP="002553CE">
            <w:pPr>
              <w:pStyle w:val="TableBody"/>
            </w:pPr>
            <w:r w:rsidRPr="002553CE">
              <w:t>3.0</w:t>
            </w:r>
          </w:p>
        </w:tc>
      </w:tr>
      <w:tr w:rsidR="00853EAD" w:rsidRPr="002553CE" w14:paraId="73100681" w14:textId="77777777" w:rsidTr="00853EAD">
        <w:trPr>
          <w:trHeight w:val="288"/>
        </w:trPr>
        <w:tc>
          <w:tcPr>
            <w:tcW w:w="770" w:type="pct"/>
            <w:noWrap/>
            <w:hideMark/>
          </w:tcPr>
          <w:p w14:paraId="194E3768" w14:textId="77777777" w:rsidR="00A361E0" w:rsidRPr="002553CE" w:rsidRDefault="00A361E0" w:rsidP="002553CE">
            <w:pPr>
              <w:pStyle w:val="TableBody"/>
            </w:pPr>
            <w:r w:rsidRPr="002553CE">
              <w:t>2023-24</w:t>
            </w:r>
          </w:p>
        </w:tc>
        <w:tc>
          <w:tcPr>
            <w:tcW w:w="959" w:type="pct"/>
            <w:noWrap/>
            <w:hideMark/>
          </w:tcPr>
          <w:p w14:paraId="68B04D8C" w14:textId="77777777" w:rsidR="00A361E0" w:rsidRPr="002553CE" w:rsidRDefault="00A361E0" w:rsidP="002553CE">
            <w:pPr>
              <w:pStyle w:val="TableBody"/>
            </w:pPr>
            <w:r w:rsidRPr="002553CE">
              <w:t>58.2</w:t>
            </w:r>
          </w:p>
        </w:tc>
        <w:tc>
          <w:tcPr>
            <w:tcW w:w="960" w:type="pct"/>
            <w:noWrap/>
            <w:hideMark/>
          </w:tcPr>
          <w:p w14:paraId="4E9BD99D" w14:textId="77777777" w:rsidR="00A361E0" w:rsidRPr="002553CE" w:rsidRDefault="00A361E0" w:rsidP="002553CE">
            <w:pPr>
              <w:pStyle w:val="TableBody"/>
            </w:pPr>
            <w:r w:rsidRPr="002553CE">
              <w:t>16.2</w:t>
            </w:r>
          </w:p>
        </w:tc>
        <w:tc>
          <w:tcPr>
            <w:tcW w:w="771" w:type="pct"/>
            <w:noWrap/>
            <w:hideMark/>
          </w:tcPr>
          <w:p w14:paraId="4BF82923" w14:textId="77777777" w:rsidR="00A361E0" w:rsidRPr="002553CE" w:rsidRDefault="00A361E0" w:rsidP="002553CE">
            <w:pPr>
              <w:pStyle w:val="TableBody"/>
            </w:pPr>
            <w:r w:rsidRPr="002553CE">
              <w:t>12.9</w:t>
            </w:r>
          </w:p>
        </w:tc>
        <w:tc>
          <w:tcPr>
            <w:tcW w:w="772" w:type="pct"/>
            <w:noWrap/>
            <w:hideMark/>
          </w:tcPr>
          <w:p w14:paraId="0A4EFA09" w14:textId="77777777" w:rsidR="00A361E0" w:rsidRPr="002553CE" w:rsidRDefault="00A361E0" w:rsidP="002553CE">
            <w:pPr>
              <w:pStyle w:val="TableBody"/>
            </w:pPr>
            <w:r w:rsidRPr="002553CE">
              <w:t>2.9</w:t>
            </w:r>
          </w:p>
        </w:tc>
        <w:tc>
          <w:tcPr>
            <w:tcW w:w="769" w:type="pct"/>
            <w:noWrap/>
            <w:hideMark/>
          </w:tcPr>
          <w:p w14:paraId="12DAE857" w14:textId="77777777" w:rsidR="00A361E0" w:rsidRPr="002553CE" w:rsidRDefault="00A361E0" w:rsidP="002553CE">
            <w:pPr>
              <w:pStyle w:val="TableBody"/>
            </w:pPr>
            <w:r w:rsidRPr="002553CE">
              <w:t>3.1</w:t>
            </w:r>
          </w:p>
        </w:tc>
      </w:tr>
    </w:tbl>
    <w:p w14:paraId="692589FB" w14:textId="77777777" w:rsidR="00A4454A" w:rsidRPr="008C1137" w:rsidRDefault="00A4454A" w:rsidP="00D4532A">
      <w:r w:rsidRPr="000C258A">
        <w:rPr>
          <w:rStyle w:val="Strong"/>
        </w:rPr>
        <w:t>Source</w:t>
      </w:r>
      <w:r w:rsidRPr="008C1137">
        <w:t>: Court Services Victoria, unpublished data</w:t>
      </w:r>
    </w:p>
    <w:p w14:paraId="602B5E1E" w14:textId="77777777" w:rsidR="00A4454A" w:rsidRPr="008C1137" w:rsidRDefault="00A4454A" w:rsidP="0002476E">
      <w:pPr>
        <w:pStyle w:val="Heading2"/>
      </w:pPr>
      <w:r w:rsidRPr="008C1137">
        <w:t>Imprisonment lengths</w:t>
      </w:r>
    </w:p>
    <w:p w14:paraId="7AC68002" w14:textId="78326FCA" w:rsidR="00A4454A" w:rsidRPr="008C1137" w:rsidRDefault="00A4454A" w:rsidP="00210207">
      <w:pPr>
        <w:pStyle w:val="Numbered"/>
      </w:pPr>
      <w:r w:rsidRPr="008C1137">
        <w:t xml:space="preserve">Although there was a 39% increase in the number of custodial sentences imposed in the 20 years to 30 June 2024 (Figure 12), it is difficult to estimate the effect of those additional custodial sentences on the prison population without accounting for their </w:t>
      </w:r>
      <w:r w:rsidRPr="003B3217">
        <w:rPr>
          <w:rStyle w:val="Italic"/>
        </w:rPr>
        <w:t>length</w:t>
      </w:r>
      <w:r w:rsidRPr="008C1137">
        <w:t>. For example, if the average imprisonment length imposed increased, then the collective effect of offenders spending longer in prison would cause the prison population to grow, independent of any increase in the number of custodial sentences imposed. Court data on average (mean) custodial sentence lengths and the distribution of custodial sentence lengths is presented below.</w:t>
      </w:r>
    </w:p>
    <w:p w14:paraId="2C29C823" w14:textId="77777777" w:rsidR="00A4454A" w:rsidRPr="008C1137" w:rsidRDefault="00A4454A" w:rsidP="0002476E">
      <w:pPr>
        <w:pStyle w:val="Heading3"/>
      </w:pPr>
      <w:r w:rsidRPr="008C1137">
        <w:t>Average imprisonment lengths</w:t>
      </w:r>
    </w:p>
    <w:p w14:paraId="59EFA07C" w14:textId="63BF5873" w:rsidR="00A4454A" w:rsidRPr="008C1137" w:rsidRDefault="00A4454A" w:rsidP="00210207">
      <w:pPr>
        <w:pStyle w:val="Numbered"/>
      </w:pPr>
      <w:r w:rsidRPr="008C1137">
        <w:t>Figure 16</w:t>
      </w:r>
      <w:r w:rsidR="009E33A5">
        <w:t xml:space="preserve"> </w:t>
      </w:r>
      <w:r w:rsidRPr="008C1137">
        <w:t>shows the average custodial sentence lengths imposed since 1 July 2006</w:t>
      </w:r>
      <w:r w:rsidRPr="008C1137">
        <w:rPr>
          <w:rStyle w:val="Superscript"/>
        </w:rPr>
        <w:footnoteReference w:id="93"/>
      </w:r>
      <w:r w:rsidRPr="008C1137">
        <w:t xml:space="preserve"> in the Magistrates’ Court, higher courts, and all courts combined. The data is premised on total effective sentence lengths (that is, the total sentence imposed for all charges in a case as a whole). Suspended portions of partially suspended sentences and the CCO components of combined orders are excluded here so as to not obscure the total time spent in custody. The data only represents </w:t>
      </w:r>
      <w:r w:rsidRPr="003B3217">
        <w:rPr>
          <w:rStyle w:val="Italic"/>
        </w:rPr>
        <w:t>active</w:t>
      </w:r>
      <w:r w:rsidRPr="008C1137">
        <w:t xml:space="preserve"> custodial sentences. It is </w:t>
      </w:r>
      <w:r w:rsidRPr="008C1137">
        <w:lastRenderedPageBreak/>
        <w:t>important to note, though, that some offenders (those sentenced to a combined order or a partially suspended sentence) serve some of their sentence in the community after their release from prison, and other offenders may be released on parole before the conclusion of their total effective sentence.</w:t>
      </w:r>
      <w:r w:rsidRPr="008C1137">
        <w:rPr>
          <w:rStyle w:val="Superscript"/>
        </w:rPr>
        <w:footnoteReference w:id="94"/>
      </w:r>
    </w:p>
    <w:p w14:paraId="053D6FBC" w14:textId="77777777" w:rsidR="00622D75" w:rsidRPr="008C1137" w:rsidRDefault="00622D75" w:rsidP="00BE4EDC">
      <w:pPr>
        <w:pStyle w:val="Caption"/>
      </w:pPr>
      <w:r w:rsidRPr="00157502">
        <w:t>Figure 16</w:t>
      </w:r>
      <w:r w:rsidRPr="008C1137">
        <w:t>: Average total effective sentence lengths (months) of immediate custodial sentences, by court level, 2006–07 to 2023–24</w:t>
      </w:r>
    </w:p>
    <w:tbl>
      <w:tblPr>
        <w:tblStyle w:val="Table"/>
        <w:tblW w:w="5000" w:type="pct"/>
        <w:tblLook w:val="04A0" w:firstRow="1" w:lastRow="0" w:firstColumn="1" w:lastColumn="0" w:noHBand="0" w:noVBand="1"/>
      </w:tblPr>
      <w:tblGrid>
        <w:gridCol w:w="2463"/>
        <w:gridCol w:w="2541"/>
        <w:gridCol w:w="1641"/>
        <w:gridCol w:w="2371"/>
      </w:tblGrid>
      <w:tr w:rsidR="004D30BC" w:rsidRPr="004D30BC" w14:paraId="1CBDCBB4" w14:textId="77777777" w:rsidTr="00124740">
        <w:trPr>
          <w:trHeight w:val="288"/>
          <w:tblHeader/>
        </w:trPr>
        <w:tc>
          <w:tcPr>
            <w:tcW w:w="1366" w:type="pct"/>
            <w:noWrap/>
            <w:hideMark/>
          </w:tcPr>
          <w:p w14:paraId="60B923A7" w14:textId="77777777" w:rsidR="004D30BC" w:rsidRPr="004D30BC" w:rsidRDefault="004D30BC" w:rsidP="002054FC">
            <w:pPr>
              <w:pStyle w:val="TableHeading"/>
            </w:pPr>
            <w:r w:rsidRPr="004D30BC">
              <w:t>Financial year</w:t>
            </w:r>
          </w:p>
        </w:tc>
        <w:tc>
          <w:tcPr>
            <w:tcW w:w="1409" w:type="pct"/>
            <w:noWrap/>
            <w:hideMark/>
          </w:tcPr>
          <w:p w14:paraId="3999A153" w14:textId="77777777" w:rsidR="004D30BC" w:rsidRPr="004D30BC" w:rsidRDefault="004D30BC" w:rsidP="002054FC">
            <w:pPr>
              <w:pStyle w:val="TableHeading"/>
            </w:pPr>
            <w:r w:rsidRPr="004D30BC">
              <w:t>Higher courts</w:t>
            </w:r>
          </w:p>
        </w:tc>
        <w:tc>
          <w:tcPr>
            <w:tcW w:w="910" w:type="pct"/>
            <w:noWrap/>
            <w:hideMark/>
          </w:tcPr>
          <w:p w14:paraId="55CEB6F5" w14:textId="77777777" w:rsidR="004D30BC" w:rsidRPr="004D30BC" w:rsidRDefault="004D30BC" w:rsidP="002054FC">
            <w:pPr>
              <w:pStyle w:val="TableHeading"/>
            </w:pPr>
            <w:r w:rsidRPr="004D30BC">
              <w:t>All courts</w:t>
            </w:r>
          </w:p>
        </w:tc>
        <w:tc>
          <w:tcPr>
            <w:tcW w:w="1315" w:type="pct"/>
            <w:noWrap/>
            <w:hideMark/>
          </w:tcPr>
          <w:p w14:paraId="764DAB9E" w14:textId="77777777" w:rsidR="004D30BC" w:rsidRPr="004D30BC" w:rsidRDefault="004D30BC" w:rsidP="002054FC">
            <w:pPr>
              <w:pStyle w:val="TableHeading"/>
            </w:pPr>
            <w:r w:rsidRPr="004D30BC">
              <w:t>Magistrates court</w:t>
            </w:r>
          </w:p>
        </w:tc>
      </w:tr>
      <w:tr w:rsidR="004D30BC" w:rsidRPr="004D30BC" w14:paraId="27D52C12" w14:textId="77777777" w:rsidTr="00D31299">
        <w:trPr>
          <w:trHeight w:val="288"/>
        </w:trPr>
        <w:tc>
          <w:tcPr>
            <w:tcW w:w="1366" w:type="pct"/>
            <w:noWrap/>
            <w:hideMark/>
          </w:tcPr>
          <w:p w14:paraId="383C833F" w14:textId="77777777" w:rsidR="004D30BC" w:rsidRPr="004D30BC" w:rsidRDefault="004D30BC" w:rsidP="00D31299">
            <w:pPr>
              <w:pStyle w:val="TableBody"/>
            </w:pPr>
            <w:r w:rsidRPr="004D30BC">
              <w:t>2006-07</w:t>
            </w:r>
          </w:p>
        </w:tc>
        <w:tc>
          <w:tcPr>
            <w:tcW w:w="1409" w:type="pct"/>
            <w:noWrap/>
            <w:hideMark/>
          </w:tcPr>
          <w:p w14:paraId="0483CCF9" w14:textId="77777777" w:rsidR="004D30BC" w:rsidRPr="00412073" w:rsidRDefault="004D30BC" w:rsidP="00412073">
            <w:pPr>
              <w:pStyle w:val="TableBody"/>
            </w:pPr>
            <w:r w:rsidRPr="00412073">
              <w:t>45.4</w:t>
            </w:r>
          </w:p>
        </w:tc>
        <w:tc>
          <w:tcPr>
            <w:tcW w:w="910" w:type="pct"/>
            <w:noWrap/>
            <w:hideMark/>
          </w:tcPr>
          <w:p w14:paraId="4F5B3211" w14:textId="77777777" w:rsidR="004D30BC" w:rsidRPr="00412073" w:rsidRDefault="004D30BC" w:rsidP="00412073">
            <w:pPr>
              <w:pStyle w:val="TableBody"/>
            </w:pPr>
            <w:r w:rsidRPr="00412073">
              <w:t>13.8</w:t>
            </w:r>
          </w:p>
        </w:tc>
        <w:tc>
          <w:tcPr>
            <w:tcW w:w="1315" w:type="pct"/>
            <w:noWrap/>
            <w:hideMark/>
          </w:tcPr>
          <w:p w14:paraId="789C8632" w14:textId="77777777" w:rsidR="004D30BC" w:rsidRPr="00412073" w:rsidRDefault="004D30BC" w:rsidP="00412073">
            <w:pPr>
              <w:pStyle w:val="TableBody"/>
            </w:pPr>
            <w:r w:rsidRPr="00412073">
              <w:t>5.2</w:t>
            </w:r>
          </w:p>
        </w:tc>
      </w:tr>
      <w:tr w:rsidR="004D30BC" w:rsidRPr="004D30BC" w14:paraId="3536DBC6" w14:textId="77777777" w:rsidTr="00D31299">
        <w:trPr>
          <w:trHeight w:val="288"/>
        </w:trPr>
        <w:tc>
          <w:tcPr>
            <w:tcW w:w="1366" w:type="pct"/>
            <w:noWrap/>
            <w:hideMark/>
          </w:tcPr>
          <w:p w14:paraId="3808646A" w14:textId="77777777" w:rsidR="004D30BC" w:rsidRPr="004D30BC" w:rsidRDefault="004D30BC" w:rsidP="00D31299">
            <w:pPr>
              <w:pStyle w:val="TableBody"/>
            </w:pPr>
            <w:r w:rsidRPr="004D30BC">
              <w:t>2007-08</w:t>
            </w:r>
          </w:p>
        </w:tc>
        <w:tc>
          <w:tcPr>
            <w:tcW w:w="1409" w:type="pct"/>
            <w:noWrap/>
            <w:hideMark/>
          </w:tcPr>
          <w:p w14:paraId="350100FD" w14:textId="77777777" w:rsidR="004D30BC" w:rsidRPr="00412073" w:rsidRDefault="004D30BC" w:rsidP="00412073">
            <w:pPr>
              <w:pStyle w:val="TableBody"/>
            </w:pPr>
            <w:r w:rsidRPr="00412073">
              <w:t>43.7</w:t>
            </w:r>
          </w:p>
        </w:tc>
        <w:tc>
          <w:tcPr>
            <w:tcW w:w="910" w:type="pct"/>
            <w:noWrap/>
            <w:hideMark/>
          </w:tcPr>
          <w:p w14:paraId="028FB285" w14:textId="77777777" w:rsidR="004D30BC" w:rsidRPr="00412073" w:rsidRDefault="004D30BC" w:rsidP="00412073">
            <w:pPr>
              <w:pStyle w:val="TableBody"/>
            </w:pPr>
            <w:r w:rsidRPr="00412073">
              <w:t>14.5</w:t>
            </w:r>
          </w:p>
        </w:tc>
        <w:tc>
          <w:tcPr>
            <w:tcW w:w="1315" w:type="pct"/>
            <w:noWrap/>
            <w:hideMark/>
          </w:tcPr>
          <w:p w14:paraId="5DC04C2A" w14:textId="77777777" w:rsidR="004D30BC" w:rsidRPr="00412073" w:rsidRDefault="004D30BC" w:rsidP="00412073">
            <w:pPr>
              <w:pStyle w:val="TableBody"/>
            </w:pPr>
            <w:r w:rsidRPr="00412073">
              <w:t>5.5</w:t>
            </w:r>
          </w:p>
        </w:tc>
      </w:tr>
      <w:tr w:rsidR="004D30BC" w:rsidRPr="004D30BC" w14:paraId="0FF345FF" w14:textId="77777777" w:rsidTr="00D31299">
        <w:trPr>
          <w:trHeight w:val="288"/>
        </w:trPr>
        <w:tc>
          <w:tcPr>
            <w:tcW w:w="1366" w:type="pct"/>
            <w:noWrap/>
            <w:hideMark/>
          </w:tcPr>
          <w:p w14:paraId="149A16B8" w14:textId="77777777" w:rsidR="004D30BC" w:rsidRPr="004D30BC" w:rsidRDefault="004D30BC" w:rsidP="00D31299">
            <w:pPr>
              <w:pStyle w:val="TableBody"/>
            </w:pPr>
            <w:r w:rsidRPr="004D30BC">
              <w:t>2008-09</w:t>
            </w:r>
          </w:p>
        </w:tc>
        <w:tc>
          <w:tcPr>
            <w:tcW w:w="1409" w:type="pct"/>
            <w:noWrap/>
            <w:hideMark/>
          </w:tcPr>
          <w:p w14:paraId="766657DF" w14:textId="77777777" w:rsidR="004D30BC" w:rsidRPr="00412073" w:rsidRDefault="004D30BC" w:rsidP="00412073">
            <w:pPr>
              <w:pStyle w:val="TableBody"/>
            </w:pPr>
            <w:r w:rsidRPr="00412073">
              <w:t>47.1</w:t>
            </w:r>
          </w:p>
        </w:tc>
        <w:tc>
          <w:tcPr>
            <w:tcW w:w="910" w:type="pct"/>
            <w:noWrap/>
            <w:hideMark/>
          </w:tcPr>
          <w:p w14:paraId="4F460DB5" w14:textId="77777777" w:rsidR="004D30BC" w:rsidRPr="00412073" w:rsidRDefault="004D30BC" w:rsidP="00412073">
            <w:pPr>
              <w:pStyle w:val="TableBody"/>
            </w:pPr>
            <w:r w:rsidRPr="00412073">
              <w:t>14.3</w:t>
            </w:r>
          </w:p>
        </w:tc>
        <w:tc>
          <w:tcPr>
            <w:tcW w:w="1315" w:type="pct"/>
            <w:noWrap/>
            <w:hideMark/>
          </w:tcPr>
          <w:p w14:paraId="4D88B0CB" w14:textId="77777777" w:rsidR="004D30BC" w:rsidRPr="00412073" w:rsidRDefault="004D30BC" w:rsidP="00412073">
            <w:pPr>
              <w:pStyle w:val="TableBody"/>
            </w:pPr>
            <w:r w:rsidRPr="00412073">
              <w:t>5.5</w:t>
            </w:r>
          </w:p>
        </w:tc>
      </w:tr>
      <w:tr w:rsidR="004D30BC" w:rsidRPr="004D30BC" w14:paraId="31C06DAE" w14:textId="77777777" w:rsidTr="00D31299">
        <w:trPr>
          <w:trHeight w:val="288"/>
        </w:trPr>
        <w:tc>
          <w:tcPr>
            <w:tcW w:w="1366" w:type="pct"/>
            <w:noWrap/>
            <w:hideMark/>
          </w:tcPr>
          <w:p w14:paraId="02D110D9" w14:textId="77777777" w:rsidR="004D30BC" w:rsidRPr="004D30BC" w:rsidRDefault="004D30BC" w:rsidP="00D31299">
            <w:pPr>
              <w:pStyle w:val="TableBody"/>
            </w:pPr>
            <w:r w:rsidRPr="004D30BC">
              <w:t>2009-10</w:t>
            </w:r>
          </w:p>
        </w:tc>
        <w:tc>
          <w:tcPr>
            <w:tcW w:w="1409" w:type="pct"/>
            <w:noWrap/>
            <w:hideMark/>
          </w:tcPr>
          <w:p w14:paraId="297FF3B4" w14:textId="77777777" w:rsidR="004D30BC" w:rsidRPr="00412073" w:rsidRDefault="004D30BC" w:rsidP="00412073">
            <w:pPr>
              <w:pStyle w:val="TableBody"/>
            </w:pPr>
            <w:r w:rsidRPr="00412073">
              <w:t>51.4</w:t>
            </w:r>
          </w:p>
        </w:tc>
        <w:tc>
          <w:tcPr>
            <w:tcW w:w="910" w:type="pct"/>
            <w:noWrap/>
            <w:hideMark/>
          </w:tcPr>
          <w:p w14:paraId="2CB513F1" w14:textId="77777777" w:rsidR="004D30BC" w:rsidRPr="00412073" w:rsidRDefault="004D30BC" w:rsidP="00412073">
            <w:pPr>
              <w:pStyle w:val="TableBody"/>
            </w:pPr>
            <w:r w:rsidRPr="00412073">
              <w:t>15.0</w:t>
            </w:r>
          </w:p>
        </w:tc>
        <w:tc>
          <w:tcPr>
            <w:tcW w:w="1315" w:type="pct"/>
            <w:noWrap/>
            <w:hideMark/>
          </w:tcPr>
          <w:p w14:paraId="39CABCF9" w14:textId="77777777" w:rsidR="004D30BC" w:rsidRPr="00412073" w:rsidRDefault="004D30BC" w:rsidP="00412073">
            <w:pPr>
              <w:pStyle w:val="TableBody"/>
            </w:pPr>
            <w:r w:rsidRPr="00412073">
              <w:t>5.6</w:t>
            </w:r>
          </w:p>
        </w:tc>
      </w:tr>
      <w:tr w:rsidR="004D30BC" w:rsidRPr="004D30BC" w14:paraId="71213B1F" w14:textId="77777777" w:rsidTr="00D31299">
        <w:trPr>
          <w:trHeight w:val="288"/>
        </w:trPr>
        <w:tc>
          <w:tcPr>
            <w:tcW w:w="1366" w:type="pct"/>
            <w:noWrap/>
            <w:hideMark/>
          </w:tcPr>
          <w:p w14:paraId="3E3C8227" w14:textId="77777777" w:rsidR="004D30BC" w:rsidRPr="004D30BC" w:rsidRDefault="004D30BC" w:rsidP="00D31299">
            <w:pPr>
              <w:pStyle w:val="TableBody"/>
            </w:pPr>
            <w:r w:rsidRPr="004D30BC">
              <w:t>2010-11</w:t>
            </w:r>
          </w:p>
        </w:tc>
        <w:tc>
          <w:tcPr>
            <w:tcW w:w="1409" w:type="pct"/>
            <w:noWrap/>
            <w:hideMark/>
          </w:tcPr>
          <w:p w14:paraId="3259F91F" w14:textId="77777777" w:rsidR="004D30BC" w:rsidRPr="00412073" w:rsidRDefault="004D30BC" w:rsidP="00412073">
            <w:pPr>
              <w:pStyle w:val="TableBody"/>
            </w:pPr>
            <w:r w:rsidRPr="00412073">
              <w:t>48.0</w:t>
            </w:r>
          </w:p>
        </w:tc>
        <w:tc>
          <w:tcPr>
            <w:tcW w:w="910" w:type="pct"/>
            <w:noWrap/>
            <w:hideMark/>
          </w:tcPr>
          <w:p w14:paraId="40B6E3C4" w14:textId="77777777" w:rsidR="004D30BC" w:rsidRPr="00412073" w:rsidRDefault="004D30BC" w:rsidP="00412073">
            <w:pPr>
              <w:pStyle w:val="TableBody"/>
            </w:pPr>
            <w:r w:rsidRPr="00412073">
              <w:t>15.6</w:t>
            </w:r>
          </w:p>
        </w:tc>
        <w:tc>
          <w:tcPr>
            <w:tcW w:w="1315" w:type="pct"/>
            <w:noWrap/>
            <w:hideMark/>
          </w:tcPr>
          <w:p w14:paraId="434CB74F" w14:textId="77777777" w:rsidR="004D30BC" w:rsidRPr="00412073" w:rsidRDefault="004D30BC" w:rsidP="00412073">
            <w:pPr>
              <w:pStyle w:val="TableBody"/>
            </w:pPr>
            <w:r w:rsidRPr="00412073">
              <w:t>5.8</w:t>
            </w:r>
          </w:p>
        </w:tc>
      </w:tr>
      <w:tr w:rsidR="004D30BC" w:rsidRPr="004D30BC" w14:paraId="708B5885" w14:textId="77777777" w:rsidTr="00D31299">
        <w:trPr>
          <w:trHeight w:val="288"/>
        </w:trPr>
        <w:tc>
          <w:tcPr>
            <w:tcW w:w="1366" w:type="pct"/>
            <w:noWrap/>
            <w:hideMark/>
          </w:tcPr>
          <w:p w14:paraId="22E603E8" w14:textId="77777777" w:rsidR="004D30BC" w:rsidRPr="004D30BC" w:rsidRDefault="004D30BC" w:rsidP="00D31299">
            <w:pPr>
              <w:pStyle w:val="TableBody"/>
            </w:pPr>
            <w:r w:rsidRPr="004D30BC">
              <w:t>2011-12</w:t>
            </w:r>
          </w:p>
        </w:tc>
        <w:tc>
          <w:tcPr>
            <w:tcW w:w="1409" w:type="pct"/>
            <w:noWrap/>
            <w:hideMark/>
          </w:tcPr>
          <w:p w14:paraId="6D30A7A1" w14:textId="77777777" w:rsidR="004D30BC" w:rsidRPr="00412073" w:rsidRDefault="004D30BC" w:rsidP="00412073">
            <w:pPr>
              <w:pStyle w:val="TableBody"/>
            </w:pPr>
            <w:r w:rsidRPr="00412073">
              <w:t>47.6</w:t>
            </w:r>
          </w:p>
        </w:tc>
        <w:tc>
          <w:tcPr>
            <w:tcW w:w="910" w:type="pct"/>
            <w:noWrap/>
            <w:hideMark/>
          </w:tcPr>
          <w:p w14:paraId="7E9BCF35" w14:textId="77777777" w:rsidR="004D30BC" w:rsidRPr="00412073" w:rsidRDefault="004D30BC" w:rsidP="00412073">
            <w:pPr>
              <w:pStyle w:val="TableBody"/>
            </w:pPr>
            <w:r w:rsidRPr="00412073">
              <w:t>14.7</w:t>
            </w:r>
          </w:p>
        </w:tc>
        <w:tc>
          <w:tcPr>
            <w:tcW w:w="1315" w:type="pct"/>
            <w:noWrap/>
            <w:hideMark/>
          </w:tcPr>
          <w:p w14:paraId="3A69310B" w14:textId="77777777" w:rsidR="004D30BC" w:rsidRPr="00412073" w:rsidRDefault="004D30BC" w:rsidP="00412073">
            <w:pPr>
              <w:pStyle w:val="TableBody"/>
            </w:pPr>
            <w:r w:rsidRPr="00412073">
              <w:t>5.7</w:t>
            </w:r>
          </w:p>
        </w:tc>
      </w:tr>
      <w:tr w:rsidR="004D30BC" w:rsidRPr="004D30BC" w14:paraId="0F1CA4EF" w14:textId="77777777" w:rsidTr="00D31299">
        <w:trPr>
          <w:trHeight w:val="288"/>
        </w:trPr>
        <w:tc>
          <w:tcPr>
            <w:tcW w:w="1366" w:type="pct"/>
            <w:noWrap/>
            <w:hideMark/>
          </w:tcPr>
          <w:p w14:paraId="2CCFEB3E" w14:textId="77777777" w:rsidR="004D30BC" w:rsidRPr="004D30BC" w:rsidRDefault="004D30BC" w:rsidP="00D31299">
            <w:pPr>
              <w:pStyle w:val="TableBody"/>
            </w:pPr>
            <w:r w:rsidRPr="004D30BC">
              <w:t>2012-13</w:t>
            </w:r>
          </w:p>
        </w:tc>
        <w:tc>
          <w:tcPr>
            <w:tcW w:w="1409" w:type="pct"/>
            <w:noWrap/>
            <w:hideMark/>
          </w:tcPr>
          <w:p w14:paraId="3F8065FE" w14:textId="77777777" w:rsidR="004D30BC" w:rsidRPr="00412073" w:rsidRDefault="004D30BC" w:rsidP="00412073">
            <w:pPr>
              <w:pStyle w:val="TableBody"/>
            </w:pPr>
            <w:r w:rsidRPr="00412073">
              <w:t>47.7</w:t>
            </w:r>
          </w:p>
        </w:tc>
        <w:tc>
          <w:tcPr>
            <w:tcW w:w="910" w:type="pct"/>
            <w:noWrap/>
            <w:hideMark/>
          </w:tcPr>
          <w:p w14:paraId="3BD58B27" w14:textId="77777777" w:rsidR="004D30BC" w:rsidRPr="00412073" w:rsidRDefault="004D30BC" w:rsidP="00412073">
            <w:pPr>
              <w:pStyle w:val="TableBody"/>
            </w:pPr>
            <w:r w:rsidRPr="00412073">
              <w:t>14.1</w:t>
            </w:r>
          </w:p>
        </w:tc>
        <w:tc>
          <w:tcPr>
            <w:tcW w:w="1315" w:type="pct"/>
            <w:noWrap/>
            <w:hideMark/>
          </w:tcPr>
          <w:p w14:paraId="0A4834C2" w14:textId="77777777" w:rsidR="004D30BC" w:rsidRPr="00412073" w:rsidRDefault="004D30BC" w:rsidP="00412073">
            <w:pPr>
              <w:pStyle w:val="TableBody"/>
            </w:pPr>
            <w:r w:rsidRPr="00412073">
              <w:t>5.7</w:t>
            </w:r>
          </w:p>
        </w:tc>
      </w:tr>
      <w:tr w:rsidR="004D30BC" w:rsidRPr="004D30BC" w14:paraId="6CC8F929" w14:textId="77777777" w:rsidTr="00D31299">
        <w:trPr>
          <w:trHeight w:val="288"/>
        </w:trPr>
        <w:tc>
          <w:tcPr>
            <w:tcW w:w="1366" w:type="pct"/>
            <w:noWrap/>
            <w:hideMark/>
          </w:tcPr>
          <w:p w14:paraId="58F02FFA" w14:textId="77777777" w:rsidR="004D30BC" w:rsidRPr="004D30BC" w:rsidRDefault="004D30BC" w:rsidP="00D31299">
            <w:pPr>
              <w:pStyle w:val="TableBody"/>
            </w:pPr>
            <w:r w:rsidRPr="004D30BC">
              <w:t>2013-14</w:t>
            </w:r>
          </w:p>
        </w:tc>
        <w:tc>
          <w:tcPr>
            <w:tcW w:w="1409" w:type="pct"/>
            <w:noWrap/>
            <w:hideMark/>
          </w:tcPr>
          <w:p w14:paraId="116D6AC8" w14:textId="77777777" w:rsidR="004D30BC" w:rsidRPr="00412073" w:rsidRDefault="004D30BC" w:rsidP="00412073">
            <w:pPr>
              <w:pStyle w:val="TableBody"/>
            </w:pPr>
            <w:r w:rsidRPr="00412073">
              <w:t>47.4</w:t>
            </w:r>
          </w:p>
        </w:tc>
        <w:tc>
          <w:tcPr>
            <w:tcW w:w="910" w:type="pct"/>
            <w:noWrap/>
            <w:hideMark/>
          </w:tcPr>
          <w:p w14:paraId="2DA62FC8" w14:textId="77777777" w:rsidR="004D30BC" w:rsidRPr="00412073" w:rsidRDefault="004D30BC" w:rsidP="00412073">
            <w:pPr>
              <w:pStyle w:val="TableBody"/>
            </w:pPr>
            <w:r w:rsidRPr="00412073">
              <w:t>13.1</w:t>
            </w:r>
          </w:p>
        </w:tc>
        <w:tc>
          <w:tcPr>
            <w:tcW w:w="1315" w:type="pct"/>
            <w:noWrap/>
            <w:hideMark/>
          </w:tcPr>
          <w:p w14:paraId="5B83DD2D" w14:textId="77777777" w:rsidR="004D30BC" w:rsidRPr="00412073" w:rsidRDefault="004D30BC" w:rsidP="00412073">
            <w:pPr>
              <w:pStyle w:val="TableBody"/>
            </w:pPr>
            <w:r w:rsidRPr="00412073">
              <w:t>5.1</w:t>
            </w:r>
          </w:p>
        </w:tc>
      </w:tr>
      <w:tr w:rsidR="004D30BC" w:rsidRPr="004D30BC" w14:paraId="4C065ACD" w14:textId="77777777" w:rsidTr="00D31299">
        <w:trPr>
          <w:trHeight w:val="288"/>
        </w:trPr>
        <w:tc>
          <w:tcPr>
            <w:tcW w:w="1366" w:type="pct"/>
            <w:noWrap/>
            <w:hideMark/>
          </w:tcPr>
          <w:p w14:paraId="750B96B9" w14:textId="77777777" w:rsidR="004D30BC" w:rsidRPr="004D30BC" w:rsidRDefault="004D30BC" w:rsidP="00D31299">
            <w:pPr>
              <w:pStyle w:val="TableBody"/>
            </w:pPr>
            <w:r w:rsidRPr="004D30BC">
              <w:t>2014-15</w:t>
            </w:r>
          </w:p>
        </w:tc>
        <w:tc>
          <w:tcPr>
            <w:tcW w:w="1409" w:type="pct"/>
            <w:noWrap/>
            <w:hideMark/>
          </w:tcPr>
          <w:p w14:paraId="58A228B9" w14:textId="77777777" w:rsidR="004D30BC" w:rsidRPr="00412073" w:rsidRDefault="004D30BC" w:rsidP="00412073">
            <w:pPr>
              <w:pStyle w:val="TableBody"/>
            </w:pPr>
            <w:r w:rsidRPr="00412073">
              <w:t>44.0</w:t>
            </w:r>
          </w:p>
        </w:tc>
        <w:tc>
          <w:tcPr>
            <w:tcW w:w="910" w:type="pct"/>
            <w:noWrap/>
            <w:hideMark/>
          </w:tcPr>
          <w:p w14:paraId="6001223D" w14:textId="77777777" w:rsidR="004D30BC" w:rsidRPr="00412073" w:rsidRDefault="004D30BC" w:rsidP="00412073">
            <w:pPr>
              <w:pStyle w:val="TableBody"/>
            </w:pPr>
            <w:r w:rsidRPr="00412073">
              <w:t>11.4</w:t>
            </w:r>
          </w:p>
        </w:tc>
        <w:tc>
          <w:tcPr>
            <w:tcW w:w="1315" w:type="pct"/>
            <w:noWrap/>
            <w:hideMark/>
          </w:tcPr>
          <w:p w14:paraId="268B609E" w14:textId="77777777" w:rsidR="004D30BC" w:rsidRPr="00412073" w:rsidRDefault="004D30BC" w:rsidP="00412073">
            <w:pPr>
              <w:pStyle w:val="TableBody"/>
            </w:pPr>
            <w:r w:rsidRPr="00412073">
              <w:t>4.9</w:t>
            </w:r>
          </w:p>
        </w:tc>
      </w:tr>
      <w:tr w:rsidR="004D30BC" w:rsidRPr="004D30BC" w14:paraId="2946B1C0" w14:textId="77777777" w:rsidTr="00D31299">
        <w:trPr>
          <w:trHeight w:val="288"/>
        </w:trPr>
        <w:tc>
          <w:tcPr>
            <w:tcW w:w="1366" w:type="pct"/>
            <w:noWrap/>
            <w:hideMark/>
          </w:tcPr>
          <w:p w14:paraId="2AD6364D" w14:textId="77777777" w:rsidR="004D30BC" w:rsidRPr="004D30BC" w:rsidRDefault="004D30BC" w:rsidP="00D31299">
            <w:pPr>
              <w:pStyle w:val="TableBody"/>
            </w:pPr>
            <w:r w:rsidRPr="004D30BC">
              <w:t>2015-16</w:t>
            </w:r>
          </w:p>
        </w:tc>
        <w:tc>
          <w:tcPr>
            <w:tcW w:w="1409" w:type="pct"/>
            <w:noWrap/>
            <w:hideMark/>
          </w:tcPr>
          <w:p w14:paraId="76EDFAEA" w14:textId="77777777" w:rsidR="004D30BC" w:rsidRPr="00412073" w:rsidRDefault="004D30BC" w:rsidP="00412073">
            <w:pPr>
              <w:pStyle w:val="TableBody"/>
            </w:pPr>
            <w:r w:rsidRPr="00412073">
              <w:t>43.2</w:t>
            </w:r>
          </w:p>
        </w:tc>
        <w:tc>
          <w:tcPr>
            <w:tcW w:w="910" w:type="pct"/>
            <w:noWrap/>
            <w:hideMark/>
          </w:tcPr>
          <w:p w14:paraId="22BFE622" w14:textId="77777777" w:rsidR="004D30BC" w:rsidRPr="00412073" w:rsidRDefault="004D30BC" w:rsidP="00412073">
            <w:pPr>
              <w:pStyle w:val="TableBody"/>
            </w:pPr>
            <w:r w:rsidRPr="00412073">
              <w:t>10.2</w:t>
            </w:r>
          </w:p>
        </w:tc>
        <w:tc>
          <w:tcPr>
            <w:tcW w:w="1315" w:type="pct"/>
            <w:noWrap/>
            <w:hideMark/>
          </w:tcPr>
          <w:p w14:paraId="36EC7B65" w14:textId="77777777" w:rsidR="004D30BC" w:rsidRPr="00412073" w:rsidRDefault="004D30BC" w:rsidP="00412073">
            <w:pPr>
              <w:pStyle w:val="TableBody"/>
            </w:pPr>
            <w:r w:rsidRPr="00412073">
              <w:t>4.4</w:t>
            </w:r>
          </w:p>
        </w:tc>
      </w:tr>
      <w:tr w:rsidR="004D30BC" w:rsidRPr="004D30BC" w14:paraId="11585326" w14:textId="77777777" w:rsidTr="00D31299">
        <w:trPr>
          <w:trHeight w:val="288"/>
        </w:trPr>
        <w:tc>
          <w:tcPr>
            <w:tcW w:w="1366" w:type="pct"/>
            <w:noWrap/>
            <w:hideMark/>
          </w:tcPr>
          <w:p w14:paraId="181DE759" w14:textId="77777777" w:rsidR="004D30BC" w:rsidRPr="004D30BC" w:rsidRDefault="004D30BC" w:rsidP="00D31299">
            <w:pPr>
              <w:pStyle w:val="TableBody"/>
            </w:pPr>
            <w:r w:rsidRPr="004D30BC">
              <w:t>2016-17</w:t>
            </w:r>
          </w:p>
        </w:tc>
        <w:tc>
          <w:tcPr>
            <w:tcW w:w="1409" w:type="pct"/>
            <w:noWrap/>
            <w:hideMark/>
          </w:tcPr>
          <w:p w14:paraId="4E40F794" w14:textId="77777777" w:rsidR="004D30BC" w:rsidRPr="00412073" w:rsidRDefault="004D30BC" w:rsidP="00412073">
            <w:pPr>
              <w:pStyle w:val="TableBody"/>
            </w:pPr>
            <w:r w:rsidRPr="00412073">
              <w:t>47.7</w:t>
            </w:r>
          </w:p>
        </w:tc>
        <w:tc>
          <w:tcPr>
            <w:tcW w:w="910" w:type="pct"/>
            <w:noWrap/>
            <w:hideMark/>
          </w:tcPr>
          <w:p w14:paraId="2D66D616" w14:textId="77777777" w:rsidR="004D30BC" w:rsidRPr="00412073" w:rsidRDefault="004D30BC" w:rsidP="00412073">
            <w:pPr>
              <w:pStyle w:val="TableBody"/>
            </w:pPr>
            <w:r w:rsidRPr="00412073">
              <w:t>11.0</w:t>
            </w:r>
          </w:p>
        </w:tc>
        <w:tc>
          <w:tcPr>
            <w:tcW w:w="1315" w:type="pct"/>
            <w:noWrap/>
            <w:hideMark/>
          </w:tcPr>
          <w:p w14:paraId="5D2FE45B" w14:textId="77777777" w:rsidR="004D30BC" w:rsidRPr="00412073" w:rsidRDefault="004D30BC" w:rsidP="00412073">
            <w:pPr>
              <w:pStyle w:val="TableBody"/>
            </w:pPr>
            <w:r w:rsidRPr="00412073">
              <w:t>4.8</w:t>
            </w:r>
          </w:p>
        </w:tc>
      </w:tr>
      <w:tr w:rsidR="004D30BC" w:rsidRPr="004D30BC" w14:paraId="25DD58DF" w14:textId="77777777" w:rsidTr="00D31299">
        <w:trPr>
          <w:trHeight w:val="288"/>
        </w:trPr>
        <w:tc>
          <w:tcPr>
            <w:tcW w:w="1366" w:type="pct"/>
            <w:noWrap/>
            <w:hideMark/>
          </w:tcPr>
          <w:p w14:paraId="047A955A" w14:textId="77777777" w:rsidR="004D30BC" w:rsidRPr="004D30BC" w:rsidRDefault="004D30BC" w:rsidP="00D31299">
            <w:pPr>
              <w:pStyle w:val="TableBody"/>
            </w:pPr>
            <w:r w:rsidRPr="004D30BC">
              <w:t>2017-18</w:t>
            </w:r>
          </w:p>
        </w:tc>
        <w:tc>
          <w:tcPr>
            <w:tcW w:w="1409" w:type="pct"/>
            <w:noWrap/>
            <w:hideMark/>
          </w:tcPr>
          <w:p w14:paraId="6DC0482D" w14:textId="77777777" w:rsidR="004D30BC" w:rsidRPr="00412073" w:rsidRDefault="004D30BC" w:rsidP="00412073">
            <w:pPr>
              <w:pStyle w:val="TableBody"/>
            </w:pPr>
            <w:r w:rsidRPr="00412073">
              <w:t>50.3</w:t>
            </w:r>
          </w:p>
        </w:tc>
        <w:tc>
          <w:tcPr>
            <w:tcW w:w="910" w:type="pct"/>
            <w:noWrap/>
            <w:hideMark/>
          </w:tcPr>
          <w:p w14:paraId="049DE62E" w14:textId="77777777" w:rsidR="004D30BC" w:rsidRPr="00412073" w:rsidRDefault="004D30BC" w:rsidP="00412073">
            <w:pPr>
              <w:pStyle w:val="TableBody"/>
            </w:pPr>
            <w:r w:rsidRPr="00412073">
              <w:t>10.9</w:t>
            </w:r>
          </w:p>
        </w:tc>
        <w:tc>
          <w:tcPr>
            <w:tcW w:w="1315" w:type="pct"/>
            <w:noWrap/>
            <w:hideMark/>
          </w:tcPr>
          <w:p w14:paraId="389421B1" w14:textId="77777777" w:rsidR="004D30BC" w:rsidRPr="00412073" w:rsidRDefault="004D30BC" w:rsidP="00412073">
            <w:pPr>
              <w:pStyle w:val="TableBody"/>
            </w:pPr>
            <w:r w:rsidRPr="00412073">
              <w:t>4.6</w:t>
            </w:r>
          </w:p>
        </w:tc>
      </w:tr>
      <w:tr w:rsidR="004D30BC" w:rsidRPr="004D30BC" w14:paraId="4F64B9AA" w14:textId="77777777" w:rsidTr="00D31299">
        <w:trPr>
          <w:trHeight w:val="288"/>
        </w:trPr>
        <w:tc>
          <w:tcPr>
            <w:tcW w:w="1366" w:type="pct"/>
            <w:noWrap/>
            <w:hideMark/>
          </w:tcPr>
          <w:p w14:paraId="37A7271F" w14:textId="77777777" w:rsidR="004D30BC" w:rsidRPr="004D30BC" w:rsidRDefault="004D30BC" w:rsidP="00D31299">
            <w:pPr>
              <w:pStyle w:val="TableBody"/>
            </w:pPr>
            <w:r w:rsidRPr="004D30BC">
              <w:t>2018-19</w:t>
            </w:r>
          </w:p>
        </w:tc>
        <w:tc>
          <w:tcPr>
            <w:tcW w:w="1409" w:type="pct"/>
            <w:noWrap/>
            <w:hideMark/>
          </w:tcPr>
          <w:p w14:paraId="2294AE60" w14:textId="77777777" w:rsidR="004D30BC" w:rsidRPr="00412073" w:rsidRDefault="004D30BC" w:rsidP="00412073">
            <w:pPr>
              <w:pStyle w:val="TableBody"/>
            </w:pPr>
            <w:r w:rsidRPr="00412073">
              <w:t>49.8</w:t>
            </w:r>
          </w:p>
        </w:tc>
        <w:tc>
          <w:tcPr>
            <w:tcW w:w="910" w:type="pct"/>
            <w:noWrap/>
            <w:hideMark/>
          </w:tcPr>
          <w:p w14:paraId="3CF251BF" w14:textId="77777777" w:rsidR="004D30BC" w:rsidRPr="00412073" w:rsidRDefault="004D30BC" w:rsidP="00412073">
            <w:pPr>
              <w:pStyle w:val="TableBody"/>
            </w:pPr>
            <w:r w:rsidRPr="00412073">
              <w:t>10.2</w:t>
            </w:r>
          </w:p>
        </w:tc>
        <w:tc>
          <w:tcPr>
            <w:tcW w:w="1315" w:type="pct"/>
            <w:noWrap/>
            <w:hideMark/>
          </w:tcPr>
          <w:p w14:paraId="3736E10E" w14:textId="77777777" w:rsidR="004D30BC" w:rsidRPr="00412073" w:rsidRDefault="004D30BC" w:rsidP="00412073">
            <w:pPr>
              <w:pStyle w:val="TableBody"/>
            </w:pPr>
            <w:r w:rsidRPr="00412073">
              <w:t>4.2</w:t>
            </w:r>
          </w:p>
        </w:tc>
      </w:tr>
      <w:tr w:rsidR="004D30BC" w:rsidRPr="004D30BC" w14:paraId="52C8D940" w14:textId="77777777" w:rsidTr="00D31299">
        <w:trPr>
          <w:trHeight w:val="288"/>
        </w:trPr>
        <w:tc>
          <w:tcPr>
            <w:tcW w:w="1366" w:type="pct"/>
            <w:noWrap/>
            <w:hideMark/>
          </w:tcPr>
          <w:p w14:paraId="663397F5" w14:textId="77777777" w:rsidR="004D30BC" w:rsidRPr="004D30BC" w:rsidRDefault="004D30BC" w:rsidP="00D31299">
            <w:pPr>
              <w:pStyle w:val="TableBody"/>
            </w:pPr>
            <w:r w:rsidRPr="004D30BC">
              <w:t>2019-20</w:t>
            </w:r>
          </w:p>
        </w:tc>
        <w:tc>
          <w:tcPr>
            <w:tcW w:w="1409" w:type="pct"/>
            <w:noWrap/>
            <w:hideMark/>
          </w:tcPr>
          <w:p w14:paraId="64596CBD" w14:textId="77777777" w:rsidR="004D30BC" w:rsidRPr="00412073" w:rsidRDefault="004D30BC" w:rsidP="00412073">
            <w:pPr>
              <w:pStyle w:val="TableBody"/>
            </w:pPr>
            <w:r w:rsidRPr="00412073">
              <w:t>51.3</w:t>
            </w:r>
          </w:p>
        </w:tc>
        <w:tc>
          <w:tcPr>
            <w:tcW w:w="910" w:type="pct"/>
            <w:noWrap/>
            <w:hideMark/>
          </w:tcPr>
          <w:p w14:paraId="55AD8D96" w14:textId="77777777" w:rsidR="004D30BC" w:rsidRPr="00412073" w:rsidRDefault="004D30BC" w:rsidP="00412073">
            <w:pPr>
              <w:pStyle w:val="TableBody"/>
            </w:pPr>
            <w:r w:rsidRPr="00412073">
              <w:t>10.0</w:t>
            </w:r>
          </w:p>
        </w:tc>
        <w:tc>
          <w:tcPr>
            <w:tcW w:w="1315" w:type="pct"/>
            <w:noWrap/>
            <w:hideMark/>
          </w:tcPr>
          <w:p w14:paraId="7E1DA827" w14:textId="77777777" w:rsidR="004D30BC" w:rsidRPr="00412073" w:rsidRDefault="004D30BC" w:rsidP="00412073">
            <w:pPr>
              <w:pStyle w:val="TableBody"/>
            </w:pPr>
            <w:r w:rsidRPr="00412073">
              <w:t>4.0</w:t>
            </w:r>
          </w:p>
        </w:tc>
      </w:tr>
      <w:tr w:rsidR="004D30BC" w:rsidRPr="004D30BC" w14:paraId="2448507F" w14:textId="77777777" w:rsidTr="00D31299">
        <w:trPr>
          <w:trHeight w:val="288"/>
        </w:trPr>
        <w:tc>
          <w:tcPr>
            <w:tcW w:w="1366" w:type="pct"/>
            <w:noWrap/>
            <w:hideMark/>
          </w:tcPr>
          <w:p w14:paraId="7E435A77" w14:textId="77777777" w:rsidR="004D30BC" w:rsidRPr="004D30BC" w:rsidRDefault="004D30BC" w:rsidP="00D31299">
            <w:pPr>
              <w:pStyle w:val="TableBody"/>
            </w:pPr>
            <w:r w:rsidRPr="004D30BC">
              <w:t>2020-21</w:t>
            </w:r>
          </w:p>
        </w:tc>
        <w:tc>
          <w:tcPr>
            <w:tcW w:w="1409" w:type="pct"/>
            <w:noWrap/>
            <w:hideMark/>
          </w:tcPr>
          <w:p w14:paraId="78F28ED9" w14:textId="77777777" w:rsidR="004D30BC" w:rsidRPr="00412073" w:rsidRDefault="004D30BC" w:rsidP="00412073">
            <w:pPr>
              <w:pStyle w:val="TableBody"/>
            </w:pPr>
            <w:r w:rsidRPr="00412073">
              <w:t>45.3</w:t>
            </w:r>
          </w:p>
        </w:tc>
        <w:tc>
          <w:tcPr>
            <w:tcW w:w="910" w:type="pct"/>
            <w:noWrap/>
            <w:hideMark/>
          </w:tcPr>
          <w:p w14:paraId="0C5F1259" w14:textId="77777777" w:rsidR="004D30BC" w:rsidRPr="00412073" w:rsidRDefault="004D30BC" w:rsidP="00412073">
            <w:pPr>
              <w:pStyle w:val="TableBody"/>
            </w:pPr>
            <w:r w:rsidRPr="00412073">
              <w:t>8.8</w:t>
            </w:r>
          </w:p>
        </w:tc>
        <w:tc>
          <w:tcPr>
            <w:tcW w:w="1315" w:type="pct"/>
            <w:noWrap/>
            <w:hideMark/>
          </w:tcPr>
          <w:p w14:paraId="364F8905" w14:textId="77777777" w:rsidR="004D30BC" w:rsidRPr="00412073" w:rsidRDefault="004D30BC" w:rsidP="00412073">
            <w:pPr>
              <w:pStyle w:val="TableBody"/>
            </w:pPr>
            <w:r w:rsidRPr="00412073">
              <w:t>3.8</w:t>
            </w:r>
          </w:p>
        </w:tc>
      </w:tr>
      <w:tr w:rsidR="004D30BC" w:rsidRPr="004D30BC" w14:paraId="248F9138" w14:textId="77777777" w:rsidTr="00D31299">
        <w:trPr>
          <w:trHeight w:val="288"/>
        </w:trPr>
        <w:tc>
          <w:tcPr>
            <w:tcW w:w="1366" w:type="pct"/>
            <w:noWrap/>
            <w:hideMark/>
          </w:tcPr>
          <w:p w14:paraId="0544DD26" w14:textId="77777777" w:rsidR="004D30BC" w:rsidRPr="004D30BC" w:rsidRDefault="004D30BC" w:rsidP="00D31299">
            <w:pPr>
              <w:pStyle w:val="TableBody"/>
            </w:pPr>
            <w:r w:rsidRPr="004D30BC">
              <w:t>2021-22</w:t>
            </w:r>
          </w:p>
        </w:tc>
        <w:tc>
          <w:tcPr>
            <w:tcW w:w="1409" w:type="pct"/>
            <w:noWrap/>
            <w:hideMark/>
          </w:tcPr>
          <w:p w14:paraId="3DE4B972" w14:textId="77777777" w:rsidR="004D30BC" w:rsidRPr="00412073" w:rsidRDefault="004D30BC" w:rsidP="00412073">
            <w:pPr>
              <w:pStyle w:val="TableBody"/>
            </w:pPr>
            <w:r w:rsidRPr="00412073">
              <w:t>44.6</w:t>
            </w:r>
          </w:p>
        </w:tc>
        <w:tc>
          <w:tcPr>
            <w:tcW w:w="910" w:type="pct"/>
            <w:noWrap/>
            <w:hideMark/>
          </w:tcPr>
          <w:p w14:paraId="0AAB1E90" w14:textId="77777777" w:rsidR="004D30BC" w:rsidRPr="00412073" w:rsidRDefault="004D30BC" w:rsidP="00412073">
            <w:pPr>
              <w:pStyle w:val="TableBody"/>
            </w:pPr>
            <w:r w:rsidRPr="00412073">
              <w:t>10.0</w:t>
            </w:r>
          </w:p>
        </w:tc>
        <w:tc>
          <w:tcPr>
            <w:tcW w:w="1315" w:type="pct"/>
            <w:noWrap/>
            <w:hideMark/>
          </w:tcPr>
          <w:p w14:paraId="61C02D1D" w14:textId="77777777" w:rsidR="004D30BC" w:rsidRPr="00412073" w:rsidRDefault="004D30BC" w:rsidP="00412073">
            <w:pPr>
              <w:pStyle w:val="TableBody"/>
            </w:pPr>
            <w:r w:rsidRPr="00412073">
              <w:t>4.2</w:t>
            </w:r>
          </w:p>
        </w:tc>
      </w:tr>
      <w:tr w:rsidR="004D30BC" w:rsidRPr="004D30BC" w14:paraId="4B089F53" w14:textId="77777777" w:rsidTr="00D31299">
        <w:trPr>
          <w:trHeight w:val="288"/>
        </w:trPr>
        <w:tc>
          <w:tcPr>
            <w:tcW w:w="1366" w:type="pct"/>
            <w:noWrap/>
            <w:hideMark/>
          </w:tcPr>
          <w:p w14:paraId="32C2E976" w14:textId="77777777" w:rsidR="004D30BC" w:rsidRPr="004D30BC" w:rsidRDefault="004D30BC" w:rsidP="00D31299">
            <w:pPr>
              <w:pStyle w:val="TableBody"/>
            </w:pPr>
            <w:r w:rsidRPr="004D30BC">
              <w:t>2022-23</w:t>
            </w:r>
          </w:p>
        </w:tc>
        <w:tc>
          <w:tcPr>
            <w:tcW w:w="1409" w:type="pct"/>
            <w:noWrap/>
            <w:hideMark/>
          </w:tcPr>
          <w:p w14:paraId="7A831EB8" w14:textId="77777777" w:rsidR="004D30BC" w:rsidRPr="00412073" w:rsidRDefault="004D30BC" w:rsidP="00412073">
            <w:pPr>
              <w:pStyle w:val="TableBody"/>
            </w:pPr>
            <w:r w:rsidRPr="00412073">
              <w:t>46.7</w:t>
            </w:r>
          </w:p>
        </w:tc>
        <w:tc>
          <w:tcPr>
            <w:tcW w:w="910" w:type="pct"/>
            <w:noWrap/>
            <w:hideMark/>
          </w:tcPr>
          <w:p w14:paraId="133E644B" w14:textId="77777777" w:rsidR="004D30BC" w:rsidRPr="00412073" w:rsidRDefault="004D30BC" w:rsidP="00412073">
            <w:pPr>
              <w:pStyle w:val="TableBody"/>
            </w:pPr>
            <w:r w:rsidRPr="00412073">
              <w:t>11.1</w:t>
            </w:r>
          </w:p>
        </w:tc>
        <w:tc>
          <w:tcPr>
            <w:tcW w:w="1315" w:type="pct"/>
            <w:noWrap/>
            <w:hideMark/>
          </w:tcPr>
          <w:p w14:paraId="5B9A5701" w14:textId="77777777" w:rsidR="004D30BC" w:rsidRPr="00412073" w:rsidRDefault="004D30BC" w:rsidP="00412073">
            <w:pPr>
              <w:pStyle w:val="TableBody"/>
            </w:pPr>
            <w:r w:rsidRPr="00412073">
              <w:t>4.3</w:t>
            </w:r>
          </w:p>
        </w:tc>
      </w:tr>
      <w:tr w:rsidR="004D30BC" w:rsidRPr="004D30BC" w14:paraId="659E33FF" w14:textId="77777777" w:rsidTr="00D31299">
        <w:trPr>
          <w:trHeight w:val="288"/>
        </w:trPr>
        <w:tc>
          <w:tcPr>
            <w:tcW w:w="1366" w:type="pct"/>
            <w:noWrap/>
            <w:hideMark/>
          </w:tcPr>
          <w:p w14:paraId="24D50474" w14:textId="77777777" w:rsidR="004D30BC" w:rsidRPr="004D30BC" w:rsidRDefault="004D30BC" w:rsidP="00D31299">
            <w:pPr>
              <w:pStyle w:val="TableBody"/>
            </w:pPr>
            <w:r w:rsidRPr="004D30BC">
              <w:t>2023-24</w:t>
            </w:r>
          </w:p>
        </w:tc>
        <w:tc>
          <w:tcPr>
            <w:tcW w:w="1409" w:type="pct"/>
            <w:noWrap/>
            <w:hideMark/>
          </w:tcPr>
          <w:p w14:paraId="1B188CB1" w14:textId="77777777" w:rsidR="004D30BC" w:rsidRPr="00412073" w:rsidRDefault="004D30BC" w:rsidP="00412073">
            <w:pPr>
              <w:pStyle w:val="TableBody"/>
            </w:pPr>
            <w:r w:rsidRPr="00412073">
              <w:t>50.5</w:t>
            </w:r>
          </w:p>
        </w:tc>
        <w:tc>
          <w:tcPr>
            <w:tcW w:w="910" w:type="pct"/>
            <w:noWrap/>
            <w:hideMark/>
          </w:tcPr>
          <w:p w14:paraId="17DA1EC5" w14:textId="77777777" w:rsidR="004D30BC" w:rsidRPr="00412073" w:rsidRDefault="004D30BC" w:rsidP="00412073">
            <w:pPr>
              <w:pStyle w:val="TableBody"/>
            </w:pPr>
            <w:r w:rsidRPr="00412073">
              <w:t>12.4</w:t>
            </w:r>
          </w:p>
        </w:tc>
        <w:tc>
          <w:tcPr>
            <w:tcW w:w="1315" w:type="pct"/>
            <w:noWrap/>
            <w:hideMark/>
          </w:tcPr>
          <w:p w14:paraId="25DB3573" w14:textId="77777777" w:rsidR="004D30BC" w:rsidRPr="00412073" w:rsidRDefault="004D30BC" w:rsidP="00412073">
            <w:pPr>
              <w:pStyle w:val="TableBody"/>
            </w:pPr>
            <w:r w:rsidRPr="00412073">
              <w:t>4.5</w:t>
            </w:r>
          </w:p>
        </w:tc>
      </w:tr>
    </w:tbl>
    <w:p w14:paraId="544F5BF6" w14:textId="77777777" w:rsidR="00622D75" w:rsidRPr="00157502" w:rsidRDefault="00622D75" w:rsidP="00D4532A">
      <w:r w:rsidRPr="000C258A">
        <w:rPr>
          <w:rStyle w:val="Strong"/>
        </w:rPr>
        <w:t>Source</w:t>
      </w:r>
      <w:r w:rsidRPr="008C1137">
        <w:t>: Court Services Victoria, unpublished data</w:t>
      </w:r>
    </w:p>
    <w:p w14:paraId="58EC909C" w14:textId="51E20D08" w:rsidR="00A4454A" w:rsidRPr="008C1137" w:rsidRDefault="00A4454A" w:rsidP="00210207">
      <w:pPr>
        <w:pStyle w:val="Numbered"/>
      </w:pPr>
      <w:r w:rsidRPr="008C1137">
        <w:t xml:space="preserve">In the Magistrates’ Court, average custodial sentence lengths were very stable from 2007–08 to 2012–13 (between 5.5 and 5.8 months), before declining to 3.8 months in 2020–21. This decline suggests that the significant increase in the number (Figure 12) and rate (Figure 13) of custodial sentences in the Magistrates’ Court from 2015–16 to 2020–21 was driven largely by short prison sentences. The average custodial sentence </w:t>
      </w:r>
      <w:r w:rsidRPr="008C1137">
        <w:lastRenderedPageBreak/>
        <w:t>length in the Magistrates’ Court has been steadily increasing since 2020–21. In the higher courts, there was no apparent trend in average custodial sentence lengths, ranging between 43.2 and 51.4 months (or between 3 and 5 years).</w:t>
      </w:r>
    </w:p>
    <w:p w14:paraId="0674892B" w14:textId="77777777" w:rsidR="00A4454A" w:rsidRPr="008C1137" w:rsidRDefault="00A4454A" w:rsidP="00210207">
      <w:pPr>
        <w:pStyle w:val="Numbered"/>
      </w:pPr>
      <w:r w:rsidRPr="008C1137">
        <w:t>The average custodial sentence length across all courts rose slightly between 2006–07 and 2010–11, before falling by 44% between 2010–11 and 2020–21 (from 15.6 months to 8.8), the onset of this fall coinciding with the introduction of combined orders in 2012. The drop in 2020–21 is likely, in part, due to prison sentences being shorter overall that year reflecting the effect of COVID-19 on court operations, including enhanced guilty plea discounts to acknowledge their greater utilitarian value (discussed at [1.26]).</w:t>
      </w:r>
      <w:r w:rsidRPr="008C1137">
        <w:rPr>
          <w:rStyle w:val="Superscript"/>
        </w:rPr>
        <w:footnoteReference w:id="95"/>
      </w:r>
      <w:r w:rsidRPr="008C1137">
        <w:t xml:space="preserve"> The average custodial sentence length across all courts then rose again, to 12.4 months in 2023–24 (the highest since 2014–15).</w:t>
      </w:r>
    </w:p>
    <w:p w14:paraId="3FBED797" w14:textId="77777777" w:rsidR="00A4454A" w:rsidRPr="008C1137" w:rsidRDefault="00A4454A" w:rsidP="0002476E">
      <w:pPr>
        <w:pStyle w:val="Heading3"/>
      </w:pPr>
      <w:r w:rsidRPr="008C1137">
        <w:t xml:space="preserve">Distribution of custodial sentence lengths </w:t>
      </w:r>
    </w:p>
    <w:p w14:paraId="176192B3" w14:textId="2BFF1A11" w:rsidR="00A4454A" w:rsidRPr="008C1137" w:rsidRDefault="00A4454A" w:rsidP="00210207">
      <w:pPr>
        <w:pStyle w:val="Numbered"/>
      </w:pPr>
      <w:r w:rsidRPr="008C1137">
        <w:t>Figure 17</w:t>
      </w:r>
      <w:r w:rsidR="009E33A5">
        <w:t xml:space="preserve"> </w:t>
      </w:r>
      <w:r w:rsidRPr="008C1137">
        <w:t>shows the number of custodial sentences imposed each year between 1 July 2006 and 30 June 2024, by whether imprisonment lengths were less than 3 months, between 3 months and 12 months, between 1 year and less than 5 years, between 5 years and less than 10 years, or 10 years or more.</w:t>
      </w:r>
      <w:r w:rsidRPr="008C1137">
        <w:rPr>
          <w:rStyle w:val="Superscript"/>
        </w:rPr>
        <w:footnoteReference w:id="96"/>
      </w:r>
    </w:p>
    <w:p w14:paraId="1181D746" w14:textId="77777777" w:rsidR="00A479E2" w:rsidRPr="008C1137" w:rsidRDefault="00A479E2" w:rsidP="00BE4EDC">
      <w:pPr>
        <w:pStyle w:val="Caption"/>
      </w:pPr>
      <w:r w:rsidRPr="00157502">
        <w:t>Figure 17</w:t>
      </w:r>
      <w:r w:rsidRPr="008C1137">
        <w:t>: Number of custodial sentences, by imprisonment length, all courts, 2006–07 to 2023–24</w:t>
      </w:r>
    </w:p>
    <w:tbl>
      <w:tblPr>
        <w:tblStyle w:val="Table"/>
        <w:tblW w:w="5000" w:type="pct"/>
        <w:tblLayout w:type="fixed"/>
        <w:tblLook w:val="04A0" w:firstRow="1" w:lastRow="0" w:firstColumn="1" w:lastColumn="0" w:noHBand="0" w:noVBand="1"/>
      </w:tblPr>
      <w:tblGrid>
        <w:gridCol w:w="1502"/>
        <w:gridCol w:w="1504"/>
        <w:gridCol w:w="1504"/>
        <w:gridCol w:w="1502"/>
        <w:gridCol w:w="1504"/>
        <w:gridCol w:w="1500"/>
      </w:tblGrid>
      <w:tr w:rsidR="00F87FD9" w:rsidRPr="008B6298" w14:paraId="6E11C556" w14:textId="77777777" w:rsidTr="00F87FD9">
        <w:trPr>
          <w:trHeight w:val="288"/>
          <w:tblHeader/>
        </w:trPr>
        <w:tc>
          <w:tcPr>
            <w:tcW w:w="833" w:type="pct"/>
            <w:noWrap/>
            <w:hideMark/>
          </w:tcPr>
          <w:p w14:paraId="2F67DDB4" w14:textId="77777777" w:rsidR="00124740" w:rsidRPr="00F87FD9" w:rsidRDefault="00124740" w:rsidP="00F87FD9">
            <w:pPr>
              <w:pStyle w:val="TableHeading"/>
            </w:pPr>
            <w:r w:rsidRPr="00F87FD9">
              <w:t>Financial year</w:t>
            </w:r>
          </w:p>
        </w:tc>
        <w:tc>
          <w:tcPr>
            <w:tcW w:w="834" w:type="pct"/>
            <w:noWrap/>
            <w:hideMark/>
          </w:tcPr>
          <w:p w14:paraId="27C0A135" w14:textId="77777777" w:rsidR="00124740" w:rsidRPr="00F87FD9" w:rsidRDefault="00124740" w:rsidP="00F87FD9">
            <w:pPr>
              <w:pStyle w:val="TableHeading"/>
            </w:pPr>
            <w:r w:rsidRPr="00F87FD9">
              <w:t>Less than 3 months</w:t>
            </w:r>
          </w:p>
        </w:tc>
        <w:tc>
          <w:tcPr>
            <w:tcW w:w="834" w:type="pct"/>
            <w:noWrap/>
            <w:hideMark/>
          </w:tcPr>
          <w:p w14:paraId="23F5397C" w14:textId="77777777" w:rsidR="00124740" w:rsidRPr="00F87FD9" w:rsidRDefault="00124740" w:rsidP="00F87FD9">
            <w:pPr>
              <w:pStyle w:val="TableHeading"/>
            </w:pPr>
            <w:r w:rsidRPr="00F87FD9">
              <w:t>3 months to less than 1 year</w:t>
            </w:r>
          </w:p>
        </w:tc>
        <w:tc>
          <w:tcPr>
            <w:tcW w:w="833" w:type="pct"/>
            <w:noWrap/>
            <w:hideMark/>
          </w:tcPr>
          <w:p w14:paraId="11AB0B9D" w14:textId="77777777" w:rsidR="00124740" w:rsidRPr="00F87FD9" w:rsidRDefault="00124740" w:rsidP="00F87FD9">
            <w:pPr>
              <w:pStyle w:val="TableHeading"/>
            </w:pPr>
            <w:r w:rsidRPr="00F87FD9">
              <w:t>1 year to less than 5 years</w:t>
            </w:r>
          </w:p>
        </w:tc>
        <w:tc>
          <w:tcPr>
            <w:tcW w:w="834" w:type="pct"/>
            <w:noWrap/>
            <w:hideMark/>
          </w:tcPr>
          <w:p w14:paraId="69E93709" w14:textId="77777777" w:rsidR="00124740" w:rsidRPr="00F87FD9" w:rsidRDefault="00124740" w:rsidP="00F87FD9">
            <w:pPr>
              <w:pStyle w:val="TableHeading"/>
            </w:pPr>
            <w:r w:rsidRPr="00F87FD9">
              <w:t>5 years to less than 10 years</w:t>
            </w:r>
          </w:p>
        </w:tc>
        <w:tc>
          <w:tcPr>
            <w:tcW w:w="834" w:type="pct"/>
            <w:noWrap/>
            <w:hideMark/>
          </w:tcPr>
          <w:p w14:paraId="32F14C88" w14:textId="77777777" w:rsidR="00124740" w:rsidRPr="00F87FD9" w:rsidRDefault="00124740" w:rsidP="00F87FD9">
            <w:pPr>
              <w:pStyle w:val="TableHeading"/>
            </w:pPr>
            <w:r w:rsidRPr="00F87FD9">
              <w:t>10 years or more</w:t>
            </w:r>
          </w:p>
        </w:tc>
      </w:tr>
      <w:tr w:rsidR="00F87FD9" w:rsidRPr="008B6298" w14:paraId="67218184" w14:textId="77777777" w:rsidTr="00F87FD9">
        <w:trPr>
          <w:trHeight w:val="288"/>
        </w:trPr>
        <w:tc>
          <w:tcPr>
            <w:tcW w:w="833" w:type="pct"/>
            <w:noWrap/>
            <w:hideMark/>
          </w:tcPr>
          <w:p w14:paraId="3ACC5C78" w14:textId="77777777" w:rsidR="00124740" w:rsidRPr="007E6A09" w:rsidRDefault="00124740" w:rsidP="008B6298">
            <w:pPr>
              <w:pStyle w:val="TableBody"/>
              <w:rPr>
                <w:rStyle w:val="Italic"/>
              </w:rPr>
            </w:pPr>
            <w:r w:rsidRPr="007E6A09">
              <w:rPr>
                <w:rStyle w:val="Italic"/>
              </w:rPr>
              <w:t>2006-07</w:t>
            </w:r>
          </w:p>
        </w:tc>
        <w:tc>
          <w:tcPr>
            <w:tcW w:w="834" w:type="pct"/>
            <w:noWrap/>
            <w:hideMark/>
          </w:tcPr>
          <w:p w14:paraId="3560A73E" w14:textId="77777777" w:rsidR="00124740" w:rsidRPr="007E6A09" w:rsidRDefault="00124740" w:rsidP="008B6298">
            <w:pPr>
              <w:pStyle w:val="TableBody"/>
              <w:rPr>
                <w:rStyle w:val="Italic"/>
              </w:rPr>
            </w:pPr>
            <w:r w:rsidRPr="007E6A09">
              <w:rPr>
                <w:rStyle w:val="Italic"/>
              </w:rPr>
              <w:t>1,837</w:t>
            </w:r>
          </w:p>
        </w:tc>
        <w:tc>
          <w:tcPr>
            <w:tcW w:w="834" w:type="pct"/>
            <w:noWrap/>
            <w:hideMark/>
          </w:tcPr>
          <w:p w14:paraId="57FCBAD5" w14:textId="77777777" w:rsidR="00124740" w:rsidRPr="007E6A09" w:rsidRDefault="00124740" w:rsidP="008B6298">
            <w:pPr>
              <w:pStyle w:val="TableBody"/>
              <w:rPr>
                <w:rStyle w:val="Italic"/>
              </w:rPr>
            </w:pPr>
            <w:r w:rsidRPr="007E6A09">
              <w:rPr>
                <w:rStyle w:val="Italic"/>
              </w:rPr>
              <w:t>1,749</w:t>
            </w:r>
          </w:p>
        </w:tc>
        <w:tc>
          <w:tcPr>
            <w:tcW w:w="833" w:type="pct"/>
            <w:noWrap/>
            <w:hideMark/>
          </w:tcPr>
          <w:p w14:paraId="159857E5" w14:textId="77777777" w:rsidR="00124740" w:rsidRPr="007E6A09" w:rsidRDefault="00124740" w:rsidP="008B6298">
            <w:pPr>
              <w:pStyle w:val="TableBody"/>
              <w:rPr>
                <w:rStyle w:val="Italic"/>
              </w:rPr>
            </w:pPr>
            <w:r w:rsidRPr="007E6A09">
              <w:rPr>
                <w:rStyle w:val="Italic"/>
              </w:rPr>
              <w:t>1,319</w:t>
            </w:r>
          </w:p>
        </w:tc>
        <w:tc>
          <w:tcPr>
            <w:tcW w:w="834" w:type="pct"/>
            <w:noWrap/>
            <w:hideMark/>
          </w:tcPr>
          <w:p w14:paraId="1070AFDB" w14:textId="77777777" w:rsidR="00124740" w:rsidRPr="007E6A09" w:rsidRDefault="00124740" w:rsidP="008B6298">
            <w:pPr>
              <w:pStyle w:val="TableBody"/>
              <w:rPr>
                <w:rStyle w:val="Italic"/>
              </w:rPr>
            </w:pPr>
            <w:r w:rsidRPr="007E6A09">
              <w:rPr>
                <w:rStyle w:val="Italic"/>
              </w:rPr>
              <w:t>247</w:t>
            </w:r>
          </w:p>
        </w:tc>
        <w:tc>
          <w:tcPr>
            <w:tcW w:w="834" w:type="pct"/>
            <w:noWrap/>
            <w:hideMark/>
          </w:tcPr>
          <w:p w14:paraId="4E1718DC" w14:textId="77777777" w:rsidR="00124740" w:rsidRPr="007E6A09" w:rsidRDefault="00124740" w:rsidP="008B6298">
            <w:pPr>
              <w:pStyle w:val="TableBody"/>
              <w:rPr>
                <w:rStyle w:val="Italic"/>
              </w:rPr>
            </w:pPr>
            <w:r w:rsidRPr="007E6A09">
              <w:rPr>
                <w:rStyle w:val="Italic"/>
              </w:rPr>
              <w:t>65</w:t>
            </w:r>
          </w:p>
        </w:tc>
      </w:tr>
      <w:tr w:rsidR="00F87FD9" w:rsidRPr="008B6298" w14:paraId="203F494E" w14:textId="77777777" w:rsidTr="00F87FD9">
        <w:trPr>
          <w:trHeight w:val="288"/>
        </w:trPr>
        <w:tc>
          <w:tcPr>
            <w:tcW w:w="833" w:type="pct"/>
            <w:noWrap/>
            <w:hideMark/>
          </w:tcPr>
          <w:p w14:paraId="0B729DBE" w14:textId="77777777" w:rsidR="00124740" w:rsidRPr="007E6A09" w:rsidRDefault="00124740" w:rsidP="008B6298">
            <w:pPr>
              <w:pStyle w:val="TableBody"/>
              <w:rPr>
                <w:rStyle w:val="Italic"/>
              </w:rPr>
            </w:pPr>
            <w:r w:rsidRPr="007E6A09">
              <w:rPr>
                <w:rStyle w:val="Italic"/>
              </w:rPr>
              <w:t>2007-08</w:t>
            </w:r>
          </w:p>
        </w:tc>
        <w:tc>
          <w:tcPr>
            <w:tcW w:w="834" w:type="pct"/>
            <w:noWrap/>
            <w:hideMark/>
          </w:tcPr>
          <w:p w14:paraId="5263CE1B" w14:textId="77777777" w:rsidR="00124740" w:rsidRPr="007E6A09" w:rsidRDefault="00124740" w:rsidP="008B6298">
            <w:pPr>
              <w:pStyle w:val="TableBody"/>
              <w:rPr>
                <w:rStyle w:val="Italic"/>
              </w:rPr>
            </w:pPr>
            <w:r w:rsidRPr="007E6A09">
              <w:rPr>
                <w:rStyle w:val="Italic"/>
              </w:rPr>
              <w:t>1,674</w:t>
            </w:r>
          </w:p>
        </w:tc>
        <w:tc>
          <w:tcPr>
            <w:tcW w:w="834" w:type="pct"/>
            <w:noWrap/>
            <w:hideMark/>
          </w:tcPr>
          <w:p w14:paraId="59E6B14E" w14:textId="77777777" w:rsidR="00124740" w:rsidRPr="007E6A09" w:rsidRDefault="00124740" w:rsidP="008B6298">
            <w:pPr>
              <w:pStyle w:val="TableBody"/>
              <w:rPr>
                <w:rStyle w:val="Italic"/>
              </w:rPr>
            </w:pPr>
            <w:r w:rsidRPr="007E6A09">
              <w:rPr>
                <w:rStyle w:val="Italic"/>
              </w:rPr>
              <w:t>1,696</w:t>
            </w:r>
          </w:p>
        </w:tc>
        <w:tc>
          <w:tcPr>
            <w:tcW w:w="833" w:type="pct"/>
            <w:noWrap/>
            <w:hideMark/>
          </w:tcPr>
          <w:p w14:paraId="022CF2D4" w14:textId="77777777" w:rsidR="00124740" w:rsidRPr="007E6A09" w:rsidRDefault="00124740" w:rsidP="008B6298">
            <w:pPr>
              <w:pStyle w:val="TableBody"/>
              <w:rPr>
                <w:rStyle w:val="Italic"/>
              </w:rPr>
            </w:pPr>
            <w:r w:rsidRPr="007E6A09">
              <w:rPr>
                <w:rStyle w:val="Italic"/>
              </w:rPr>
              <w:t>1,423</w:t>
            </w:r>
          </w:p>
        </w:tc>
        <w:tc>
          <w:tcPr>
            <w:tcW w:w="834" w:type="pct"/>
            <w:noWrap/>
            <w:hideMark/>
          </w:tcPr>
          <w:p w14:paraId="116C5B4D" w14:textId="77777777" w:rsidR="00124740" w:rsidRPr="007E6A09" w:rsidRDefault="00124740" w:rsidP="008B6298">
            <w:pPr>
              <w:pStyle w:val="TableBody"/>
              <w:rPr>
                <w:rStyle w:val="Italic"/>
              </w:rPr>
            </w:pPr>
            <w:r w:rsidRPr="007E6A09">
              <w:rPr>
                <w:rStyle w:val="Italic"/>
              </w:rPr>
              <w:t>244</w:t>
            </w:r>
          </w:p>
        </w:tc>
        <w:tc>
          <w:tcPr>
            <w:tcW w:w="834" w:type="pct"/>
            <w:noWrap/>
            <w:hideMark/>
          </w:tcPr>
          <w:p w14:paraId="04F759DE" w14:textId="77777777" w:rsidR="00124740" w:rsidRPr="007E6A09" w:rsidRDefault="00124740" w:rsidP="008B6298">
            <w:pPr>
              <w:pStyle w:val="TableBody"/>
              <w:rPr>
                <w:rStyle w:val="Italic"/>
              </w:rPr>
            </w:pPr>
            <w:r w:rsidRPr="007E6A09">
              <w:rPr>
                <w:rStyle w:val="Italic"/>
              </w:rPr>
              <w:t>63</w:t>
            </w:r>
          </w:p>
        </w:tc>
      </w:tr>
      <w:tr w:rsidR="00F87FD9" w:rsidRPr="008B6298" w14:paraId="748B7DDB" w14:textId="77777777" w:rsidTr="00F87FD9">
        <w:trPr>
          <w:trHeight w:val="288"/>
        </w:trPr>
        <w:tc>
          <w:tcPr>
            <w:tcW w:w="833" w:type="pct"/>
            <w:noWrap/>
            <w:hideMark/>
          </w:tcPr>
          <w:p w14:paraId="36EBFCE5" w14:textId="77777777" w:rsidR="00124740" w:rsidRPr="007E6A09" w:rsidRDefault="00124740" w:rsidP="008B6298">
            <w:pPr>
              <w:pStyle w:val="TableBody"/>
              <w:rPr>
                <w:rStyle w:val="Italic"/>
              </w:rPr>
            </w:pPr>
            <w:r w:rsidRPr="007E6A09">
              <w:rPr>
                <w:rStyle w:val="Italic"/>
              </w:rPr>
              <w:t>2008-09</w:t>
            </w:r>
          </w:p>
        </w:tc>
        <w:tc>
          <w:tcPr>
            <w:tcW w:w="834" w:type="pct"/>
            <w:noWrap/>
            <w:hideMark/>
          </w:tcPr>
          <w:p w14:paraId="54D6C2E2" w14:textId="77777777" w:rsidR="00124740" w:rsidRPr="007E6A09" w:rsidRDefault="00124740" w:rsidP="008B6298">
            <w:pPr>
              <w:pStyle w:val="TableBody"/>
              <w:rPr>
                <w:rStyle w:val="Italic"/>
              </w:rPr>
            </w:pPr>
            <w:r w:rsidRPr="007E6A09">
              <w:rPr>
                <w:rStyle w:val="Italic"/>
              </w:rPr>
              <w:t>1,761</w:t>
            </w:r>
          </w:p>
        </w:tc>
        <w:tc>
          <w:tcPr>
            <w:tcW w:w="834" w:type="pct"/>
            <w:noWrap/>
            <w:hideMark/>
          </w:tcPr>
          <w:p w14:paraId="4DFF3E01" w14:textId="77777777" w:rsidR="00124740" w:rsidRPr="007E6A09" w:rsidRDefault="00124740" w:rsidP="008B6298">
            <w:pPr>
              <w:pStyle w:val="TableBody"/>
              <w:rPr>
                <w:rStyle w:val="Italic"/>
              </w:rPr>
            </w:pPr>
            <w:r w:rsidRPr="007E6A09">
              <w:rPr>
                <w:rStyle w:val="Italic"/>
              </w:rPr>
              <w:t>1,787</w:t>
            </w:r>
          </w:p>
        </w:tc>
        <w:tc>
          <w:tcPr>
            <w:tcW w:w="833" w:type="pct"/>
            <w:noWrap/>
            <w:hideMark/>
          </w:tcPr>
          <w:p w14:paraId="53FA8766" w14:textId="77777777" w:rsidR="00124740" w:rsidRPr="007E6A09" w:rsidRDefault="00124740" w:rsidP="008B6298">
            <w:pPr>
              <w:pStyle w:val="TableBody"/>
              <w:rPr>
                <w:rStyle w:val="Italic"/>
              </w:rPr>
            </w:pPr>
            <w:r w:rsidRPr="007E6A09">
              <w:rPr>
                <w:rStyle w:val="Italic"/>
              </w:rPr>
              <w:t>1,413</w:t>
            </w:r>
          </w:p>
        </w:tc>
        <w:tc>
          <w:tcPr>
            <w:tcW w:w="834" w:type="pct"/>
            <w:noWrap/>
            <w:hideMark/>
          </w:tcPr>
          <w:p w14:paraId="4D29487E" w14:textId="77777777" w:rsidR="00124740" w:rsidRPr="007E6A09" w:rsidRDefault="00124740" w:rsidP="008B6298">
            <w:pPr>
              <w:pStyle w:val="TableBody"/>
              <w:rPr>
                <w:rStyle w:val="Italic"/>
              </w:rPr>
            </w:pPr>
            <w:r w:rsidRPr="007E6A09">
              <w:rPr>
                <w:rStyle w:val="Italic"/>
              </w:rPr>
              <w:t>235</w:t>
            </w:r>
          </w:p>
        </w:tc>
        <w:tc>
          <w:tcPr>
            <w:tcW w:w="834" w:type="pct"/>
            <w:noWrap/>
            <w:hideMark/>
          </w:tcPr>
          <w:p w14:paraId="43CEEDF4" w14:textId="77777777" w:rsidR="00124740" w:rsidRPr="007E6A09" w:rsidRDefault="00124740" w:rsidP="008B6298">
            <w:pPr>
              <w:pStyle w:val="TableBody"/>
              <w:rPr>
                <w:rStyle w:val="Italic"/>
              </w:rPr>
            </w:pPr>
            <w:r w:rsidRPr="007E6A09">
              <w:rPr>
                <w:rStyle w:val="Italic"/>
              </w:rPr>
              <w:t>78</w:t>
            </w:r>
          </w:p>
        </w:tc>
      </w:tr>
      <w:tr w:rsidR="00F87FD9" w:rsidRPr="008B6298" w14:paraId="6358AA18" w14:textId="77777777" w:rsidTr="00F87FD9">
        <w:trPr>
          <w:trHeight w:val="288"/>
        </w:trPr>
        <w:tc>
          <w:tcPr>
            <w:tcW w:w="833" w:type="pct"/>
            <w:noWrap/>
            <w:hideMark/>
          </w:tcPr>
          <w:p w14:paraId="2668410F" w14:textId="77777777" w:rsidR="00124740" w:rsidRPr="007E6A09" w:rsidRDefault="00124740" w:rsidP="008B6298">
            <w:pPr>
              <w:pStyle w:val="TableBody"/>
              <w:rPr>
                <w:rStyle w:val="Italic"/>
              </w:rPr>
            </w:pPr>
            <w:r w:rsidRPr="007E6A09">
              <w:rPr>
                <w:rStyle w:val="Italic"/>
              </w:rPr>
              <w:t>2009-10</w:t>
            </w:r>
          </w:p>
        </w:tc>
        <w:tc>
          <w:tcPr>
            <w:tcW w:w="834" w:type="pct"/>
            <w:noWrap/>
            <w:hideMark/>
          </w:tcPr>
          <w:p w14:paraId="46A745AA" w14:textId="77777777" w:rsidR="00124740" w:rsidRPr="007E6A09" w:rsidRDefault="00124740" w:rsidP="008B6298">
            <w:pPr>
              <w:pStyle w:val="TableBody"/>
              <w:rPr>
                <w:rStyle w:val="Italic"/>
              </w:rPr>
            </w:pPr>
            <w:r w:rsidRPr="007E6A09">
              <w:rPr>
                <w:rStyle w:val="Italic"/>
              </w:rPr>
              <w:t>1,985</w:t>
            </w:r>
          </w:p>
        </w:tc>
        <w:tc>
          <w:tcPr>
            <w:tcW w:w="834" w:type="pct"/>
            <w:noWrap/>
            <w:hideMark/>
          </w:tcPr>
          <w:p w14:paraId="1A287456" w14:textId="77777777" w:rsidR="00124740" w:rsidRPr="007E6A09" w:rsidRDefault="00124740" w:rsidP="008B6298">
            <w:pPr>
              <w:pStyle w:val="TableBody"/>
              <w:rPr>
                <w:rStyle w:val="Italic"/>
              </w:rPr>
            </w:pPr>
            <w:r w:rsidRPr="007E6A09">
              <w:rPr>
                <w:rStyle w:val="Italic"/>
              </w:rPr>
              <w:t>2,002</w:t>
            </w:r>
          </w:p>
        </w:tc>
        <w:tc>
          <w:tcPr>
            <w:tcW w:w="833" w:type="pct"/>
            <w:noWrap/>
            <w:hideMark/>
          </w:tcPr>
          <w:p w14:paraId="1D03B819" w14:textId="77777777" w:rsidR="00124740" w:rsidRPr="007E6A09" w:rsidRDefault="00124740" w:rsidP="008B6298">
            <w:pPr>
              <w:pStyle w:val="TableBody"/>
              <w:rPr>
                <w:rStyle w:val="Italic"/>
              </w:rPr>
            </w:pPr>
            <w:r w:rsidRPr="007E6A09">
              <w:rPr>
                <w:rStyle w:val="Italic"/>
              </w:rPr>
              <w:t>1,549</w:t>
            </w:r>
          </w:p>
        </w:tc>
        <w:tc>
          <w:tcPr>
            <w:tcW w:w="834" w:type="pct"/>
            <w:noWrap/>
            <w:hideMark/>
          </w:tcPr>
          <w:p w14:paraId="32BA5B0B" w14:textId="77777777" w:rsidR="00124740" w:rsidRPr="007E6A09" w:rsidRDefault="00124740" w:rsidP="008B6298">
            <w:pPr>
              <w:pStyle w:val="TableBody"/>
              <w:rPr>
                <w:rStyle w:val="Italic"/>
              </w:rPr>
            </w:pPr>
            <w:r w:rsidRPr="007E6A09">
              <w:rPr>
                <w:rStyle w:val="Italic"/>
              </w:rPr>
              <w:t>284</w:t>
            </w:r>
          </w:p>
        </w:tc>
        <w:tc>
          <w:tcPr>
            <w:tcW w:w="834" w:type="pct"/>
            <w:noWrap/>
            <w:hideMark/>
          </w:tcPr>
          <w:p w14:paraId="3243852C" w14:textId="77777777" w:rsidR="00124740" w:rsidRPr="007E6A09" w:rsidRDefault="00124740" w:rsidP="008B6298">
            <w:pPr>
              <w:pStyle w:val="TableBody"/>
              <w:rPr>
                <w:rStyle w:val="Italic"/>
              </w:rPr>
            </w:pPr>
            <w:r w:rsidRPr="007E6A09">
              <w:rPr>
                <w:rStyle w:val="Italic"/>
              </w:rPr>
              <w:t>98</w:t>
            </w:r>
          </w:p>
        </w:tc>
      </w:tr>
      <w:tr w:rsidR="00F87FD9" w:rsidRPr="008B6298" w14:paraId="2DDA19D7" w14:textId="77777777" w:rsidTr="00F87FD9">
        <w:trPr>
          <w:trHeight w:val="288"/>
        </w:trPr>
        <w:tc>
          <w:tcPr>
            <w:tcW w:w="833" w:type="pct"/>
            <w:noWrap/>
            <w:hideMark/>
          </w:tcPr>
          <w:p w14:paraId="5B825500" w14:textId="77777777" w:rsidR="00124740" w:rsidRPr="007E6A09" w:rsidRDefault="00124740" w:rsidP="008B6298">
            <w:pPr>
              <w:pStyle w:val="TableBody"/>
              <w:rPr>
                <w:rStyle w:val="Italic"/>
              </w:rPr>
            </w:pPr>
            <w:r w:rsidRPr="007E6A09">
              <w:rPr>
                <w:rStyle w:val="Italic"/>
              </w:rPr>
              <w:t>2010-11</w:t>
            </w:r>
          </w:p>
        </w:tc>
        <w:tc>
          <w:tcPr>
            <w:tcW w:w="834" w:type="pct"/>
            <w:noWrap/>
            <w:hideMark/>
          </w:tcPr>
          <w:p w14:paraId="56A77ECF" w14:textId="77777777" w:rsidR="00124740" w:rsidRPr="007E6A09" w:rsidRDefault="00124740" w:rsidP="008B6298">
            <w:pPr>
              <w:pStyle w:val="TableBody"/>
              <w:rPr>
                <w:rStyle w:val="Italic"/>
              </w:rPr>
            </w:pPr>
            <w:r w:rsidRPr="007E6A09">
              <w:rPr>
                <w:rStyle w:val="Italic"/>
              </w:rPr>
              <w:t>1,702</w:t>
            </w:r>
          </w:p>
        </w:tc>
        <w:tc>
          <w:tcPr>
            <w:tcW w:w="834" w:type="pct"/>
            <w:noWrap/>
            <w:hideMark/>
          </w:tcPr>
          <w:p w14:paraId="72B8A230" w14:textId="77777777" w:rsidR="00124740" w:rsidRPr="007E6A09" w:rsidRDefault="00124740" w:rsidP="008B6298">
            <w:pPr>
              <w:pStyle w:val="TableBody"/>
              <w:rPr>
                <w:rStyle w:val="Italic"/>
              </w:rPr>
            </w:pPr>
            <w:r w:rsidRPr="007E6A09">
              <w:rPr>
                <w:rStyle w:val="Italic"/>
              </w:rPr>
              <w:t>1,724</w:t>
            </w:r>
          </w:p>
        </w:tc>
        <w:tc>
          <w:tcPr>
            <w:tcW w:w="833" w:type="pct"/>
            <w:noWrap/>
            <w:hideMark/>
          </w:tcPr>
          <w:p w14:paraId="30330738" w14:textId="77777777" w:rsidR="00124740" w:rsidRPr="007E6A09" w:rsidRDefault="00124740" w:rsidP="008B6298">
            <w:pPr>
              <w:pStyle w:val="TableBody"/>
              <w:rPr>
                <w:rStyle w:val="Italic"/>
              </w:rPr>
            </w:pPr>
            <w:r w:rsidRPr="007E6A09">
              <w:rPr>
                <w:rStyle w:val="Italic"/>
              </w:rPr>
              <w:t>1,547</w:t>
            </w:r>
          </w:p>
        </w:tc>
        <w:tc>
          <w:tcPr>
            <w:tcW w:w="834" w:type="pct"/>
            <w:noWrap/>
            <w:hideMark/>
          </w:tcPr>
          <w:p w14:paraId="30A8CBE2" w14:textId="77777777" w:rsidR="00124740" w:rsidRPr="007E6A09" w:rsidRDefault="00124740" w:rsidP="008B6298">
            <w:pPr>
              <w:pStyle w:val="TableBody"/>
              <w:rPr>
                <w:rStyle w:val="Italic"/>
              </w:rPr>
            </w:pPr>
            <w:r w:rsidRPr="007E6A09">
              <w:rPr>
                <w:rStyle w:val="Italic"/>
              </w:rPr>
              <w:t>275</w:t>
            </w:r>
          </w:p>
        </w:tc>
        <w:tc>
          <w:tcPr>
            <w:tcW w:w="834" w:type="pct"/>
            <w:noWrap/>
            <w:hideMark/>
          </w:tcPr>
          <w:p w14:paraId="56A25D17" w14:textId="77777777" w:rsidR="00124740" w:rsidRPr="007E6A09" w:rsidRDefault="00124740" w:rsidP="008B6298">
            <w:pPr>
              <w:pStyle w:val="TableBody"/>
              <w:rPr>
                <w:rStyle w:val="Italic"/>
              </w:rPr>
            </w:pPr>
            <w:r w:rsidRPr="007E6A09">
              <w:rPr>
                <w:rStyle w:val="Italic"/>
              </w:rPr>
              <w:t>77</w:t>
            </w:r>
          </w:p>
        </w:tc>
      </w:tr>
      <w:tr w:rsidR="00F87FD9" w:rsidRPr="008B6298" w14:paraId="18F5F057" w14:textId="77777777" w:rsidTr="00F87FD9">
        <w:trPr>
          <w:trHeight w:val="288"/>
        </w:trPr>
        <w:tc>
          <w:tcPr>
            <w:tcW w:w="833" w:type="pct"/>
            <w:noWrap/>
            <w:hideMark/>
          </w:tcPr>
          <w:p w14:paraId="231E28D2" w14:textId="77777777" w:rsidR="00124740" w:rsidRPr="007E6A09" w:rsidRDefault="00124740" w:rsidP="008B6298">
            <w:pPr>
              <w:pStyle w:val="TableBody"/>
              <w:rPr>
                <w:rStyle w:val="Italic"/>
              </w:rPr>
            </w:pPr>
            <w:r w:rsidRPr="007E6A09">
              <w:rPr>
                <w:rStyle w:val="Italic"/>
              </w:rPr>
              <w:lastRenderedPageBreak/>
              <w:t>2011-12</w:t>
            </w:r>
          </w:p>
        </w:tc>
        <w:tc>
          <w:tcPr>
            <w:tcW w:w="834" w:type="pct"/>
            <w:noWrap/>
            <w:hideMark/>
          </w:tcPr>
          <w:p w14:paraId="38B02226" w14:textId="77777777" w:rsidR="00124740" w:rsidRPr="007E6A09" w:rsidRDefault="00124740" w:rsidP="008B6298">
            <w:pPr>
              <w:pStyle w:val="TableBody"/>
              <w:rPr>
                <w:rStyle w:val="Italic"/>
              </w:rPr>
            </w:pPr>
            <w:r w:rsidRPr="007E6A09">
              <w:rPr>
                <w:rStyle w:val="Italic"/>
              </w:rPr>
              <w:t>1,827</w:t>
            </w:r>
          </w:p>
        </w:tc>
        <w:tc>
          <w:tcPr>
            <w:tcW w:w="834" w:type="pct"/>
            <w:noWrap/>
            <w:hideMark/>
          </w:tcPr>
          <w:p w14:paraId="581AE365" w14:textId="77777777" w:rsidR="00124740" w:rsidRPr="007E6A09" w:rsidRDefault="00124740" w:rsidP="008B6298">
            <w:pPr>
              <w:pStyle w:val="TableBody"/>
              <w:rPr>
                <w:rStyle w:val="Italic"/>
              </w:rPr>
            </w:pPr>
            <w:r w:rsidRPr="007E6A09">
              <w:rPr>
                <w:rStyle w:val="Italic"/>
              </w:rPr>
              <w:t>1,821</w:t>
            </w:r>
          </w:p>
        </w:tc>
        <w:tc>
          <w:tcPr>
            <w:tcW w:w="833" w:type="pct"/>
            <w:noWrap/>
            <w:hideMark/>
          </w:tcPr>
          <w:p w14:paraId="1A92807F" w14:textId="77777777" w:rsidR="00124740" w:rsidRPr="007E6A09" w:rsidRDefault="00124740" w:rsidP="008B6298">
            <w:pPr>
              <w:pStyle w:val="TableBody"/>
              <w:rPr>
                <w:rStyle w:val="Italic"/>
              </w:rPr>
            </w:pPr>
            <w:r w:rsidRPr="007E6A09">
              <w:rPr>
                <w:rStyle w:val="Italic"/>
              </w:rPr>
              <w:t>1,615</w:t>
            </w:r>
          </w:p>
        </w:tc>
        <w:tc>
          <w:tcPr>
            <w:tcW w:w="834" w:type="pct"/>
            <w:noWrap/>
            <w:hideMark/>
          </w:tcPr>
          <w:p w14:paraId="015843B5" w14:textId="77777777" w:rsidR="00124740" w:rsidRPr="007E6A09" w:rsidRDefault="00124740" w:rsidP="008B6298">
            <w:pPr>
              <w:pStyle w:val="TableBody"/>
              <w:rPr>
                <w:rStyle w:val="Italic"/>
              </w:rPr>
            </w:pPr>
            <w:r w:rsidRPr="007E6A09">
              <w:rPr>
                <w:rStyle w:val="Italic"/>
              </w:rPr>
              <w:t>255</w:t>
            </w:r>
          </w:p>
        </w:tc>
        <w:tc>
          <w:tcPr>
            <w:tcW w:w="834" w:type="pct"/>
            <w:noWrap/>
            <w:hideMark/>
          </w:tcPr>
          <w:p w14:paraId="322A39BE" w14:textId="77777777" w:rsidR="00124740" w:rsidRPr="007E6A09" w:rsidRDefault="00124740" w:rsidP="008B6298">
            <w:pPr>
              <w:pStyle w:val="TableBody"/>
              <w:rPr>
                <w:rStyle w:val="Italic"/>
              </w:rPr>
            </w:pPr>
            <w:r w:rsidRPr="007E6A09">
              <w:rPr>
                <w:rStyle w:val="Italic"/>
              </w:rPr>
              <w:t>75</w:t>
            </w:r>
          </w:p>
        </w:tc>
      </w:tr>
      <w:tr w:rsidR="00F87FD9" w:rsidRPr="008B6298" w14:paraId="507398B7" w14:textId="77777777" w:rsidTr="00F87FD9">
        <w:trPr>
          <w:trHeight w:val="288"/>
        </w:trPr>
        <w:tc>
          <w:tcPr>
            <w:tcW w:w="833" w:type="pct"/>
            <w:noWrap/>
            <w:hideMark/>
          </w:tcPr>
          <w:p w14:paraId="2E11EF11" w14:textId="77777777" w:rsidR="00124740" w:rsidRPr="007E6A09" w:rsidRDefault="00124740" w:rsidP="008B6298">
            <w:pPr>
              <w:pStyle w:val="TableBody"/>
              <w:rPr>
                <w:rStyle w:val="Italic"/>
              </w:rPr>
            </w:pPr>
            <w:r w:rsidRPr="007E6A09">
              <w:rPr>
                <w:rStyle w:val="Italic"/>
              </w:rPr>
              <w:t>2012-13</w:t>
            </w:r>
          </w:p>
        </w:tc>
        <w:tc>
          <w:tcPr>
            <w:tcW w:w="834" w:type="pct"/>
            <w:noWrap/>
            <w:hideMark/>
          </w:tcPr>
          <w:p w14:paraId="73E52976" w14:textId="77777777" w:rsidR="00124740" w:rsidRPr="007E6A09" w:rsidRDefault="00124740" w:rsidP="008B6298">
            <w:pPr>
              <w:pStyle w:val="TableBody"/>
              <w:rPr>
                <w:rStyle w:val="Italic"/>
              </w:rPr>
            </w:pPr>
            <w:r w:rsidRPr="007E6A09">
              <w:rPr>
                <w:rStyle w:val="Italic"/>
              </w:rPr>
              <w:t>2,200</w:t>
            </w:r>
          </w:p>
        </w:tc>
        <w:tc>
          <w:tcPr>
            <w:tcW w:w="834" w:type="pct"/>
            <w:noWrap/>
            <w:hideMark/>
          </w:tcPr>
          <w:p w14:paraId="39749263" w14:textId="77777777" w:rsidR="00124740" w:rsidRPr="007E6A09" w:rsidRDefault="00124740" w:rsidP="008B6298">
            <w:pPr>
              <w:pStyle w:val="TableBody"/>
              <w:rPr>
                <w:rStyle w:val="Italic"/>
              </w:rPr>
            </w:pPr>
            <w:r w:rsidRPr="007E6A09">
              <w:rPr>
                <w:rStyle w:val="Italic"/>
              </w:rPr>
              <w:t>2,114</w:t>
            </w:r>
          </w:p>
        </w:tc>
        <w:tc>
          <w:tcPr>
            <w:tcW w:w="833" w:type="pct"/>
            <w:noWrap/>
            <w:hideMark/>
          </w:tcPr>
          <w:p w14:paraId="4820A69F" w14:textId="77777777" w:rsidR="00124740" w:rsidRPr="007E6A09" w:rsidRDefault="00124740" w:rsidP="008B6298">
            <w:pPr>
              <w:pStyle w:val="TableBody"/>
              <w:rPr>
                <w:rStyle w:val="Italic"/>
              </w:rPr>
            </w:pPr>
            <w:r w:rsidRPr="007E6A09">
              <w:rPr>
                <w:rStyle w:val="Italic"/>
              </w:rPr>
              <w:t>1,834</w:t>
            </w:r>
          </w:p>
        </w:tc>
        <w:tc>
          <w:tcPr>
            <w:tcW w:w="834" w:type="pct"/>
            <w:noWrap/>
            <w:hideMark/>
          </w:tcPr>
          <w:p w14:paraId="27A5069E" w14:textId="77777777" w:rsidR="00124740" w:rsidRPr="007E6A09" w:rsidRDefault="00124740" w:rsidP="008B6298">
            <w:pPr>
              <w:pStyle w:val="TableBody"/>
              <w:rPr>
                <w:rStyle w:val="Italic"/>
              </w:rPr>
            </w:pPr>
            <w:r w:rsidRPr="007E6A09">
              <w:rPr>
                <w:rStyle w:val="Italic"/>
              </w:rPr>
              <w:t>300</w:t>
            </w:r>
          </w:p>
        </w:tc>
        <w:tc>
          <w:tcPr>
            <w:tcW w:w="834" w:type="pct"/>
            <w:noWrap/>
            <w:hideMark/>
          </w:tcPr>
          <w:p w14:paraId="00FBA19C" w14:textId="77777777" w:rsidR="00124740" w:rsidRPr="007E6A09" w:rsidRDefault="00124740" w:rsidP="008B6298">
            <w:pPr>
              <w:pStyle w:val="TableBody"/>
              <w:rPr>
                <w:rStyle w:val="Italic"/>
              </w:rPr>
            </w:pPr>
            <w:r w:rsidRPr="007E6A09">
              <w:rPr>
                <w:rStyle w:val="Italic"/>
              </w:rPr>
              <w:t>71</w:t>
            </w:r>
          </w:p>
        </w:tc>
      </w:tr>
      <w:tr w:rsidR="00F87FD9" w:rsidRPr="008B6298" w14:paraId="14794197" w14:textId="77777777" w:rsidTr="00F87FD9">
        <w:trPr>
          <w:trHeight w:val="288"/>
        </w:trPr>
        <w:tc>
          <w:tcPr>
            <w:tcW w:w="833" w:type="pct"/>
            <w:noWrap/>
            <w:hideMark/>
          </w:tcPr>
          <w:p w14:paraId="7DB6836A" w14:textId="77777777" w:rsidR="00124740" w:rsidRPr="007E6A09" w:rsidRDefault="00124740" w:rsidP="008B6298">
            <w:pPr>
              <w:pStyle w:val="TableBody"/>
              <w:rPr>
                <w:rStyle w:val="Italic"/>
              </w:rPr>
            </w:pPr>
            <w:r w:rsidRPr="007E6A09">
              <w:rPr>
                <w:rStyle w:val="Italic"/>
              </w:rPr>
              <w:t>2013-14</w:t>
            </w:r>
          </w:p>
        </w:tc>
        <w:tc>
          <w:tcPr>
            <w:tcW w:w="834" w:type="pct"/>
            <w:noWrap/>
            <w:hideMark/>
          </w:tcPr>
          <w:p w14:paraId="6AFA321C" w14:textId="77777777" w:rsidR="00124740" w:rsidRPr="007E6A09" w:rsidRDefault="00124740" w:rsidP="008B6298">
            <w:pPr>
              <w:pStyle w:val="TableBody"/>
              <w:rPr>
                <w:rStyle w:val="Italic"/>
              </w:rPr>
            </w:pPr>
            <w:r w:rsidRPr="007E6A09">
              <w:rPr>
                <w:rStyle w:val="Italic"/>
              </w:rPr>
              <w:t>2,431</w:t>
            </w:r>
          </w:p>
        </w:tc>
        <w:tc>
          <w:tcPr>
            <w:tcW w:w="834" w:type="pct"/>
            <w:noWrap/>
            <w:hideMark/>
          </w:tcPr>
          <w:p w14:paraId="1B613A22" w14:textId="77777777" w:rsidR="00124740" w:rsidRPr="007E6A09" w:rsidRDefault="00124740" w:rsidP="008B6298">
            <w:pPr>
              <w:pStyle w:val="TableBody"/>
              <w:rPr>
                <w:rStyle w:val="Italic"/>
              </w:rPr>
            </w:pPr>
            <w:r w:rsidRPr="007E6A09">
              <w:rPr>
                <w:rStyle w:val="Italic"/>
              </w:rPr>
              <w:t>2,279</w:t>
            </w:r>
          </w:p>
        </w:tc>
        <w:tc>
          <w:tcPr>
            <w:tcW w:w="833" w:type="pct"/>
            <w:noWrap/>
            <w:hideMark/>
          </w:tcPr>
          <w:p w14:paraId="7BFFFBCC" w14:textId="77777777" w:rsidR="00124740" w:rsidRPr="007E6A09" w:rsidRDefault="00124740" w:rsidP="008B6298">
            <w:pPr>
              <w:pStyle w:val="TableBody"/>
              <w:rPr>
                <w:rStyle w:val="Italic"/>
              </w:rPr>
            </w:pPr>
            <w:r w:rsidRPr="007E6A09">
              <w:rPr>
                <w:rStyle w:val="Italic"/>
              </w:rPr>
              <w:t>1,630</w:t>
            </w:r>
          </w:p>
        </w:tc>
        <w:tc>
          <w:tcPr>
            <w:tcW w:w="834" w:type="pct"/>
            <w:noWrap/>
            <w:hideMark/>
          </w:tcPr>
          <w:p w14:paraId="266BABF6" w14:textId="77777777" w:rsidR="00124740" w:rsidRPr="007E6A09" w:rsidRDefault="00124740" w:rsidP="008B6298">
            <w:pPr>
              <w:pStyle w:val="TableBody"/>
              <w:rPr>
                <w:rStyle w:val="Italic"/>
              </w:rPr>
            </w:pPr>
            <w:r w:rsidRPr="007E6A09">
              <w:rPr>
                <w:rStyle w:val="Italic"/>
              </w:rPr>
              <w:t>313</w:t>
            </w:r>
          </w:p>
        </w:tc>
        <w:tc>
          <w:tcPr>
            <w:tcW w:w="834" w:type="pct"/>
            <w:noWrap/>
            <w:hideMark/>
          </w:tcPr>
          <w:p w14:paraId="0BB0B0BF" w14:textId="77777777" w:rsidR="00124740" w:rsidRPr="007E6A09" w:rsidRDefault="00124740" w:rsidP="008B6298">
            <w:pPr>
              <w:pStyle w:val="TableBody"/>
              <w:rPr>
                <w:rStyle w:val="Italic"/>
              </w:rPr>
            </w:pPr>
            <w:r w:rsidRPr="007E6A09">
              <w:rPr>
                <w:rStyle w:val="Italic"/>
              </w:rPr>
              <w:t>64</w:t>
            </w:r>
          </w:p>
        </w:tc>
      </w:tr>
      <w:tr w:rsidR="00F87FD9" w:rsidRPr="008B6298" w14:paraId="026206DB" w14:textId="77777777" w:rsidTr="00F87FD9">
        <w:trPr>
          <w:trHeight w:val="288"/>
        </w:trPr>
        <w:tc>
          <w:tcPr>
            <w:tcW w:w="833" w:type="pct"/>
            <w:noWrap/>
            <w:hideMark/>
          </w:tcPr>
          <w:p w14:paraId="0AD60C29" w14:textId="77777777" w:rsidR="00124740" w:rsidRPr="007E6A09" w:rsidRDefault="00124740" w:rsidP="008B6298">
            <w:pPr>
              <w:pStyle w:val="TableBody"/>
              <w:rPr>
                <w:rStyle w:val="Italic"/>
              </w:rPr>
            </w:pPr>
            <w:r w:rsidRPr="007E6A09">
              <w:rPr>
                <w:rStyle w:val="Italic"/>
              </w:rPr>
              <w:t>2014-15</w:t>
            </w:r>
          </w:p>
        </w:tc>
        <w:tc>
          <w:tcPr>
            <w:tcW w:w="834" w:type="pct"/>
            <w:noWrap/>
            <w:hideMark/>
          </w:tcPr>
          <w:p w14:paraId="38DDDE78" w14:textId="77777777" w:rsidR="00124740" w:rsidRPr="007E6A09" w:rsidRDefault="00124740" w:rsidP="008B6298">
            <w:pPr>
              <w:pStyle w:val="TableBody"/>
              <w:rPr>
                <w:rStyle w:val="Italic"/>
              </w:rPr>
            </w:pPr>
            <w:r w:rsidRPr="007E6A09">
              <w:rPr>
                <w:rStyle w:val="Italic"/>
              </w:rPr>
              <w:t>2,613</w:t>
            </w:r>
          </w:p>
        </w:tc>
        <w:tc>
          <w:tcPr>
            <w:tcW w:w="834" w:type="pct"/>
            <w:noWrap/>
            <w:hideMark/>
          </w:tcPr>
          <w:p w14:paraId="32AC82DA" w14:textId="77777777" w:rsidR="00124740" w:rsidRPr="007E6A09" w:rsidRDefault="00124740" w:rsidP="008B6298">
            <w:pPr>
              <w:pStyle w:val="TableBody"/>
              <w:rPr>
                <w:rStyle w:val="Italic"/>
              </w:rPr>
            </w:pPr>
            <w:r w:rsidRPr="007E6A09">
              <w:rPr>
                <w:rStyle w:val="Italic"/>
              </w:rPr>
              <w:t>2,789</w:t>
            </w:r>
          </w:p>
        </w:tc>
        <w:tc>
          <w:tcPr>
            <w:tcW w:w="833" w:type="pct"/>
            <w:noWrap/>
            <w:hideMark/>
          </w:tcPr>
          <w:p w14:paraId="1F24B632" w14:textId="77777777" w:rsidR="00124740" w:rsidRPr="007E6A09" w:rsidRDefault="00124740" w:rsidP="008B6298">
            <w:pPr>
              <w:pStyle w:val="TableBody"/>
              <w:rPr>
                <w:rStyle w:val="Italic"/>
              </w:rPr>
            </w:pPr>
            <w:r w:rsidRPr="007E6A09">
              <w:rPr>
                <w:rStyle w:val="Italic"/>
              </w:rPr>
              <w:t>1,359</w:t>
            </w:r>
          </w:p>
        </w:tc>
        <w:tc>
          <w:tcPr>
            <w:tcW w:w="834" w:type="pct"/>
            <w:noWrap/>
            <w:hideMark/>
          </w:tcPr>
          <w:p w14:paraId="5E6E5D33" w14:textId="77777777" w:rsidR="00124740" w:rsidRPr="007E6A09" w:rsidRDefault="00124740" w:rsidP="008B6298">
            <w:pPr>
              <w:pStyle w:val="TableBody"/>
              <w:rPr>
                <w:rStyle w:val="Italic"/>
              </w:rPr>
            </w:pPr>
            <w:r w:rsidRPr="007E6A09">
              <w:rPr>
                <w:rStyle w:val="Italic"/>
              </w:rPr>
              <w:t>245</w:t>
            </w:r>
          </w:p>
        </w:tc>
        <w:tc>
          <w:tcPr>
            <w:tcW w:w="834" w:type="pct"/>
            <w:noWrap/>
            <w:hideMark/>
          </w:tcPr>
          <w:p w14:paraId="4AFA60D7" w14:textId="77777777" w:rsidR="00124740" w:rsidRPr="007E6A09" w:rsidRDefault="00124740" w:rsidP="008B6298">
            <w:pPr>
              <w:pStyle w:val="TableBody"/>
              <w:rPr>
                <w:rStyle w:val="Italic"/>
              </w:rPr>
            </w:pPr>
            <w:r w:rsidRPr="007E6A09">
              <w:rPr>
                <w:rStyle w:val="Italic"/>
              </w:rPr>
              <w:t>69</w:t>
            </w:r>
          </w:p>
        </w:tc>
      </w:tr>
      <w:tr w:rsidR="00F87FD9" w:rsidRPr="008B6298" w14:paraId="1E8640FA" w14:textId="77777777" w:rsidTr="00F87FD9">
        <w:trPr>
          <w:trHeight w:val="288"/>
        </w:trPr>
        <w:tc>
          <w:tcPr>
            <w:tcW w:w="833" w:type="pct"/>
            <w:noWrap/>
            <w:hideMark/>
          </w:tcPr>
          <w:p w14:paraId="05AD9E82" w14:textId="77777777" w:rsidR="00124740" w:rsidRPr="007E6A09" w:rsidRDefault="00124740" w:rsidP="008B6298">
            <w:pPr>
              <w:pStyle w:val="TableBody"/>
              <w:rPr>
                <w:rStyle w:val="Italic"/>
              </w:rPr>
            </w:pPr>
            <w:r w:rsidRPr="007E6A09">
              <w:rPr>
                <w:rStyle w:val="Italic"/>
              </w:rPr>
              <w:t>2015-16</w:t>
            </w:r>
          </w:p>
        </w:tc>
        <w:tc>
          <w:tcPr>
            <w:tcW w:w="834" w:type="pct"/>
            <w:noWrap/>
            <w:hideMark/>
          </w:tcPr>
          <w:p w14:paraId="41BD84E4" w14:textId="77777777" w:rsidR="00124740" w:rsidRPr="007E6A09" w:rsidRDefault="00124740" w:rsidP="008B6298">
            <w:pPr>
              <w:pStyle w:val="TableBody"/>
              <w:rPr>
                <w:rStyle w:val="Italic"/>
              </w:rPr>
            </w:pPr>
            <w:r w:rsidRPr="007E6A09">
              <w:rPr>
                <w:rStyle w:val="Italic"/>
              </w:rPr>
              <w:t>3,172</w:t>
            </w:r>
          </w:p>
        </w:tc>
        <w:tc>
          <w:tcPr>
            <w:tcW w:w="834" w:type="pct"/>
            <w:noWrap/>
            <w:hideMark/>
          </w:tcPr>
          <w:p w14:paraId="1EA007A8" w14:textId="77777777" w:rsidR="00124740" w:rsidRPr="007E6A09" w:rsidRDefault="00124740" w:rsidP="008B6298">
            <w:pPr>
              <w:pStyle w:val="TableBody"/>
              <w:rPr>
                <w:rStyle w:val="Italic"/>
              </w:rPr>
            </w:pPr>
            <w:r w:rsidRPr="007E6A09">
              <w:rPr>
                <w:rStyle w:val="Italic"/>
              </w:rPr>
              <w:t>3,268</w:t>
            </w:r>
          </w:p>
        </w:tc>
        <w:tc>
          <w:tcPr>
            <w:tcW w:w="833" w:type="pct"/>
            <w:noWrap/>
            <w:hideMark/>
          </w:tcPr>
          <w:p w14:paraId="7C526FED" w14:textId="77777777" w:rsidR="00124740" w:rsidRPr="007E6A09" w:rsidRDefault="00124740" w:rsidP="008B6298">
            <w:pPr>
              <w:pStyle w:val="TableBody"/>
              <w:rPr>
                <w:rStyle w:val="Italic"/>
              </w:rPr>
            </w:pPr>
            <w:r w:rsidRPr="007E6A09">
              <w:rPr>
                <w:rStyle w:val="Italic"/>
              </w:rPr>
              <w:t>1,261</w:t>
            </w:r>
          </w:p>
        </w:tc>
        <w:tc>
          <w:tcPr>
            <w:tcW w:w="834" w:type="pct"/>
            <w:noWrap/>
            <w:hideMark/>
          </w:tcPr>
          <w:p w14:paraId="019CC446" w14:textId="77777777" w:rsidR="00124740" w:rsidRPr="007E6A09" w:rsidRDefault="00124740" w:rsidP="008B6298">
            <w:pPr>
              <w:pStyle w:val="TableBody"/>
              <w:rPr>
                <w:rStyle w:val="Italic"/>
              </w:rPr>
            </w:pPr>
            <w:r w:rsidRPr="007E6A09">
              <w:rPr>
                <w:rStyle w:val="Italic"/>
              </w:rPr>
              <w:t>262</w:t>
            </w:r>
          </w:p>
        </w:tc>
        <w:tc>
          <w:tcPr>
            <w:tcW w:w="834" w:type="pct"/>
            <w:noWrap/>
            <w:hideMark/>
          </w:tcPr>
          <w:p w14:paraId="76225791" w14:textId="77777777" w:rsidR="00124740" w:rsidRPr="007E6A09" w:rsidRDefault="00124740" w:rsidP="008B6298">
            <w:pPr>
              <w:pStyle w:val="TableBody"/>
              <w:rPr>
                <w:rStyle w:val="Italic"/>
              </w:rPr>
            </w:pPr>
            <w:r w:rsidRPr="007E6A09">
              <w:rPr>
                <w:rStyle w:val="Italic"/>
              </w:rPr>
              <w:t>75</w:t>
            </w:r>
          </w:p>
        </w:tc>
      </w:tr>
      <w:tr w:rsidR="00F87FD9" w:rsidRPr="008B6298" w14:paraId="33FDD3E6" w14:textId="77777777" w:rsidTr="00F87FD9">
        <w:trPr>
          <w:trHeight w:val="288"/>
        </w:trPr>
        <w:tc>
          <w:tcPr>
            <w:tcW w:w="833" w:type="pct"/>
            <w:noWrap/>
            <w:hideMark/>
          </w:tcPr>
          <w:p w14:paraId="1F777A09" w14:textId="77777777" w:rsidR="00124740" w:rsidRPr="007E6A09" w:rsidRDefault="00124740" w:rsidP="008B6298">
            <w:pPr>
              <w:pStyle w:val="TableBody"/>
              <w:rPr>
                <w:rStyle w:val="Italic"/>
              </w:rPr>
            </w:pPr>
            <w:r w:rsidRPr="007E6A09">
              <w:rPr>
                <w:rStyle w:val="Italic"/>
              </w:rPr>
              <w:t>2016-17</w:t>
            </w:r>
          </w:p>
        </w:tc>
        <w:tc>
          <w:tcPr>
            <w:tcW w:w="834" w:type="pct"/>
            <w:noWrap/>
            <w:hideMark/>
          </w:tcPr>
          <w:p w14:paraId="7487FB95" w14:textId="77777777" w:rsidR="00124740" w:rsidRPr="007E6A09" w:rsidRDefault="00124740" w:rsidP="008B6298">
            <w:pPr>
              <w:pStyle w:val="TableBody"/>
              <w:rPr>
                <w:rStyle w:val="Italic"/>
              </w:rPr>
            </w:pPr>
            <w:r w:rsidRPr="007E6A09">
              <w:rPr>
                <w:rStyle w:val="Italic"/>
              </w:rPr>
              <w:t>3,472</w:t>
            </w:r>
          </w:p>
        </w:tc>
        <w:tc>
          <w:tcPr>
            <w:tcW w:w="834" w:type="pct"/>
            <w:noWrap/>
            <w:hideMark/>
          </w:tcPr>
          <w:p w14:paraId="1FCB79AB" w14:textId="77777777" w:rsidR="00124740" w:rsidRPr="007E6A09" w:rsidRDefault="00124740" w:rsidP="008B6298">
            <w:pPr>
              <w:pStyle w:val="TableBody"/>
              <w:rPr>
                <w:rStyle w:val="Italic"/>
              </w:rPr>
            </w:pPr>
            <w:r w:rsidRPr="007E6A09">
              <w:rPr>
                <w:rStyle w:val="Italic"/>
              </w:rPr>
              <w:t>3,578</w:t>
            </w:r>
          </w:p>
        </w:tc>
        <w:tc>
          <w:tcPr>
            <w:tcW w:w="833" w:type="pct"/>
            <w:noWrap/>
            <w:hideMark/>
          </w:tcPr>
          <w:p w14:paraId="5C075662" w14:textId="77777777" w:rsidR="00124740" w:rsidRPr="007E6A09" w:rsidRDefault="00124740" w:rsidP="008B6298">
            <w:pPr>
              <w:pStyle w:val="TableBody"/>
              <w:rPr>
                <w:rStyle w:val="Italic"/>
              </w:rPr>
            </w:pPr>
            <w:r w:rsidRPr="007E6A09">
              <w:rPr>
                <w:rStyle w:val="Italic"/>
              </w:rPr>
              <w:t>1,606</w:t>
            </w:r>
          </w:p>
        </w:tc>
        <w:tc>
          <w:tcPr>
            <w:tcW w:w="834" w:type="pct"/>
            <w:noWrap/>
            <w:hideMark/>
          </w:tcPr>
          <w:p w14:paraId="2089CF76" w14:textId="77777777" w:rsidR="00124740" w:rsidRPr="007E6A09" w:rsidRDefault="00124740" w:rsidP="008B6298">
            <w:pPr>
              <w:pStyle w:val="TableBody"/>
              <w:rPr>
                <w:rStyle w:val="Italic"/>
              </w:rPr>
            </w:pPr>
            <w:r w:rsidRPr="007E6A09">
              <w:rPr>
                <w:rStyle w:val="Italic"/>
              </w:rPr>
              <w:t>301</w:t>
            </w:r>
          </w:p>
        </w:tc>
        <w:tc>
          <w:tcPr>
            <w:tcW w:w="834" w:type="pct"/>
            <w:noWrap/>
            <w:hideMark/>
          </w:tcPr>
          <w:p w14:paraId="61E89DE2" w14:textId="77777777" w:rsidR="00124740" w:rsidRPr="007E6A09" w:rsidRDefault="00124740" w:rsidP="008B6298">
            <w:pPr>
              <w:pStyle w:val="TableBody"/>
              <w:rPr>
                <w:rStyle w:val="Italic"/>
              </w:rPr>
            </w:pPr>
            <w:r w:rsidRPr="007E6A09">
              <w:rPr>
                <w:rStyle w:val="Italic"/>
              </w:rPr>
              <w:t>98</w:t>
            </w:r>
          </w:p>
        </w:tc>
      </w:tr>
      <w:tr w:rsidR="00F87FD9" w:rsidRPr="008B6298" w14:paraId="12048ED8" w14:textId="77777777" w:rsidTr="00F87FD9">
        <w:trPr>
          <w:trHeight w:val="288"/>
        </w:trPr>
        <w:tc>
          <w:tcPr>
            <w:tcW w:w="833" w:type="pct"/>
            <w:noWrap/>
            <w:hideMark/>
          </w:tcPr>
          <w:p w14:paraId="2BB6EE81" w14:textId="77777777" w:rsidR="00124740" w:rsidRPr="007E6A09" w:rsidRDefault="00124740" w:rsidP="008B6298">
            <w:pPr>
              <w:pStyle w:val="TableBody"/>
              <w:rPr>
                <w:rStyle w:val="Italic"/>
              </w:rPr>
            </w:pPr>
            <w:r w:rsidRPr="007E6A09">
              <w:rPr>
                <w:rStyle w:val="Italic"/>
              </w:rPr>
              <w:t>2017-18</w:t>
            </w:r>
          </w:p>
        </w:tc>
        <w:tc>
          <w:tcPr>
            <w:tcW w:w="834" w:type="pct"/>
            <w:noWrap/>
            <w:hideMark/>
          </w:tcPr>
          <w:p w14:paraId="2DEC8B9C" w14:textId="77777777" w:rsidR="00124740" w:rsidRPr="007E6A09" w:rsidRDefault="00124740" w:rsidP="008B6298">
            <w:pPr>
              <w:pStyle w:val="TableBody"/>
              <w:rPr>
                <w:rStyle w:val="Italic"/>
              </w:rPr>
            </w:pPr>
            <w:r w:rsidRPr="007E6A09">
              <w:rPr>
                <w:rStyle w:val="Italic"/>
              </w:rPr>
              <w:t>3,725</w:t>
            </w:r>
          </w:p>
        </w:tc>
        <w:tc>
          <w:tcPr>
            <w:tcW w:w="834" w:type="pct"/>
            <w:noWrap/>
            <w:hideMark/>
          </w:tcPr>
          <w:p w14:paraId="66B4A2CE" w14:textId="77777777" w:rsidR="00124740" w:rsidRPr="007E6A09" w:rsidRDefault="00124740" w:rsidP="008B6298">
            <w:pPr>
              <w:pStyle w:val="TableBody"/>
              <w:rPr>
                <w:rStyle w:val="Italic"/>
              </w:rPr>
            </w:pPr>
            <w:r w:rsidRPr="007E6A09">
              <w:rPr>
                <w:rStyle w:val="Italic"/>
              </w:rPr>
              <w:t>3,688</w:t>
            </w:r>
          </w:p>
        </w:tc>
        <w:tc>
          <w:tcPr>
            <w:tcW w:w="833" w:type="pct"/>
            <w:noWrap/>
            <w:hideMark/>
          </w:tcPr>
          <w:p w14:paraId="3AD6AF73" w14:textId="77777777" w:rsidR="00124740" w:rsidRPr="007E6A09" w:rsidRDefault="00124740" w:rsidP="008B6298">
            <w:pPr>
              <w:pStyle w:val="TableBody"/>
              <w:rPr>
                <w:rStyle w:val="Italic"/>
              </w:rPr>
            </w:pPr>
            <w:r w:rsidRPr="007E6A09">
              <w:rPr>
                <w:rStyle w:val="Italic"/>
              </w:rPr>
              <w:t>1,522</w:t>
            </w:r>
          </w:p>
        </w:tc>
        <w:tc>
          <w:tcPr>
            <w:tcW w:w="834" w:type="pct"/>
            <w:noWrap/>
            <w:hideMark/>
          </w:tcPr>
          <w:p w14:paraId="591596DB" w14:textId="77777777" w:rsidR="00124740" w:rsidRPr="007E6A09" w:rsidRDefault="00124740" w:rsidP="008B6298">
            <w:pPr>
              <w:pStyle w:val="TableBody"/>
              <w:rPr>
                <w:rStyle w:val="Italic"/>
              </w:rPr>
            </w:pPr>
            <w:r w:rsidRPr="007E6A09">
              <w:rPr>
                <w:rStyle w:val="Italic"/>
              </w:rPr>
              <w:t>302</w:t>
            </w:r>
          </w:p>
        </w:tc>
        <w:tc>
          <w:tcPr>
            <w:tcW w:w="834" w:type="pct"/>
            <w:noWrap/>
            <w:hideMark/>
          </w:tcPr>
          <w:p w14:paraId="2C4945B9" w14:textId="77777777" w:rsidR="00124740" w:rsidRPr="007E6A09" w:rsidRDefault="00124740" w:rsidP="008B6298">
            <w:pPr>
              <w:pStyle w:val="TableBody"/>
              <w:rPr>
                <w:rStyle w:val="Italic"/>
              </w:rPr>
            </w:pPr>
            <w:r w:rsidRPr="007E6A09">
              <w:rPr>
                <w:rStyle w:val="Italic"/>
              </w:rPr>
              <w:t>104</w:t>
            </w:r>
          </w:p>
        </w:tc>
      </w:tr>
      <w:tr w:rsidR="00F87FD9" w:rsidRPr="008B6298" w14:paraId="3ADFC701" w14:textId="77777777" w:rsidTr="00F87FD9">
        <w:trPr>
          <w:trHeight w:val="288"/>
        </w:trPr>
        <w:tc>
          <w:tcPr>
            <w:tcW w:w="833" w:type="pct"/>
            <w:noWrap/>
            <w:hideMark/>
          </w:tcPr>
          <w:p w14:paraId="53E8B6A1" w14:textId="77777777" w:rsidR="00124740" w:rsidRPr="007E6A09" w:rsidRDefault="00124740" w:rsidP="008B6298">
            <w:pPr>
              <w:pStyle w:val="TableBody"/>
              <w:rPr>
                <w:rStyle w:val="Italic"/>
              </w:rPr>
            </w:pPr>
            <w:r w:rsidRPr="007E6A09">
              <w:rPr>
                <w:rStyle w:val="Italic"/>
              </w:rPr>
              <w:t>2018-19</w:t>
            </w:r>
          </w:p>
        </w:tc>
        <w:tc>
          <w:tcPr>
            <w:tcW w:w="834" w:type="pct"/>
            <w:noWrap/>
            <w:hideMark/>
          </w:tcPr>
          <w:p w14:paraId="70F52673" w14:textId="77777777" w:rsidR="00124740" w:rsidRPr="007E6A09" w:rsidRDefault="00124740" w:rsidP="008B6298">
            <w:pPr>
              <w:pStyle w:val="TableBody"/>
              <w:rPr>
                <w:rStyle w:val="Italic"/>
              </w:rPr>
            </w:pPr>
            <w:r w:rsidRPr="007E6A09">
              <w:rPr>
                <w:rStyle w:val="Italic"/>
              </w:rPr>
              <w:t>4,889</w:t>
            </w:r>
          </w:p>
        </w:tc>
        <w:tc>
          <w:tcPr>
            <w:tcW w:w="834" w:type="pct"/>
            <w:noWrap/>
            <w:hideMark/>
          </w:tcPr>
          <w:p w14:paraId="07D0FB13" w14:textId="77777777" w:rsidR="00124740" w:rsidRPr="007E6A09" w:rsidRDefault="00124740" w:rsidP="008B6298">
            <w:pPr>
              <w:pStyle w:val="TableBody"/>
              <w:rPr>
                <w:rStyle w:val="Italic"/>
              </w:rPr>
            </w:pPr>
            <w:r w:rsidRPr="007E6A09">
              <w:rPr>
                <w:rStyle w:val="Italic"/>
              </w:rPr>
              <w:t>4,148</w:t>
            </w:r>
          </w:p>
        </w:tc>
        <w:tc>
          <w:tcPr>
            <w:tcW w:w="833" w:type="pct"/>
            <w:noWrap/>
            <w:hideMark/>
          </w:tcPr>
          <w:p w14:paraId="773CAD97" w14:textId="77777777" w:rsidR="00124740" w:rsidRPr="007E6A09" w:rsidRDefault="00124740" w:rsidP="008B6298">
            <w:pPr>
              <w:pStyle w:val="TableBody"/>
              <w:rPr>
                <w:rStyle w:val="Italic"/>
              </w:rPr>
            </w:pPr>
            <w:r w:rsidRPr="007E6A09">
              <w:rPr>
                <w:rStyle w:val="Italic"/>
              </w:rPr>
              <w:t>1,605</w:t>
            </w:r>
          </w:p>
        </w:tc>
        <w:tc>
          <w:tcPr>
            <w:tcW w:w="834" w:type="pct"/>
            <w:noWrap/>
            <w:hideMark/>
          </w:tcPr>
          <w:p w14:paraId="6DDC61B4" w14:textId="77777777" w:rsidR="00124740" w:rsidRPr="007E6A09" w:rsidRDefault="00124740" w:rsidP="008B6298">
            <w:pPr>
              <w:pStyle w:val="TableBody"/>
              <w:rPr>
                <w:rStyle w:val="Italic"/>
              </w:rPr>
            </w:pPr>
            <w:r w:rsidRPr="007E6A09">
              <w:rPr>
                <w:rStyle w:val="Italic"/>
              </w:rPr>
              <w:t>334</w:t>
            </w:r>
          </w:p>
        </w:tc>
        <w:tc>
          <w:tcPr>
            <w:tcW w:w="834" w:type="pct"/>
            <w:noWrap/>
            <w:hideMark/>
          </w:tcPr>
          <w:p w14:paraId="3A9D2D4D" w14:textId="77777777" w:rsidR="00124740" w:rsidRPr="007E6A09" w:rsidRDefault="00124740" w:rsidP="008B6298">
            <w:pPr>
              <w:pStyle w:val="TableBody"/>
              <w:rPr>
                <w:rStyle w:val="Italic"/>
              </w:rPr>
            </w:pPr>
            <w:r w:rsidRPr="007E6A09">
              <w:rPr>
                <w:rStyle w:val="Italic"/>
              </w:rPr>
              <w:t>119</w:t>
            </w:r>
          </w:p>
        </w:tc>
      </w:tr>
      <w:tr w:rsidR="00F87FD9" w:rsidRPr="008B6298" w14:paraId="01BA17BF" w14:textId="77777777" w:rsidTr="00F87FD9">
        <w:trPr>
          <w:trHeight w:val="288"/>
        </w:trPr>
        <w:tc>
          <w:tcPr>
            <w:tcW w:w="833" w:type="pct"/>
            <w:noWrap/>
            <w:hideMark/>
          </w:tcPr>
          <w:p w14:paraId="35E237A6" w14:textId="77777777" w:rsidR="00124740" w:rsidRPr="007E6A09" w:rsidRDefault="00124740" w:rsidP="008B6298">
            <w:pPr>
              <w:pStyle w:val="TableBody"/>
              <w:rPr>
                <w:rStyle w:val="Italic"/>
              </w:rPr>
            </w:pPr>
            <w:r w:rsidRPr="007E6A09">
              <w:rPr>
                <w:rStyle w:val="Italic"/>
              </w:rPr>
              <w:t>2019-20</w:t>
            </w:r>
          </w:p>
        </w:tc>
        <w:tc>
          <w:tcPr>
            <w:tcW w:w="834" w:type="pct"/>
            <w:noWrap/>
            <w:hideMark/>
          </w:tcPr>
          <w:p w14:paraId="6809073D" w14:textId="77777777" w:rsidR="00124740" w:rsidRPr="007E6A09" w:rsidRDefault="00124740" w:rsidP="008B6298">
            <w:pPr>
              <w:pStyle w:val="TableBody"/>
              <w:rPr>
                <w:rStyle w:val="Italic"/>
              </w:rPr>
            </w:pPr>
            <w:r w:rsidRPr="007E6A09">
              <w:rPr>
                <w:rStyle w:val="Italic"/>
              </w:rPr>
              <w:t>4,885</w:t>
            </w:r>
          </w:p>
        </w:tc>
        <w:tc>
          <w:tcPr>
            <w:tcW w:w="834" w:type="pct"/>
            <w:noWrap/>
            <w:hideMark/>
          </w:tcPr>
          <w:p w14:paraId="3D678EB2" w14:textId="77777777" w:rsidR="00124740" w:rsidRPr="007E6A09" w:rsidRDefault="00124740" w:rsidP="008B6298">
            <w:pPr>
              <w:pStyle w:val="TableBody"/>
              <w:rPr>
                <w:rStyle w:val="Italic"/>
              </w:rPr>
            </w:pPr>
            <w:r w:rsidRPr="007E6A09">
              <w:rPr>
                <w:rStyle w:val="Italic"/>
              </w:rPr>
              <w:t>4,018</w:t>
            </w:r>
          </w:p>
        </w:tc>
        <w:tc>
          <w:tcPr>
            <w:tcW w:w="833" w:type="pct"/>
            <w:noWrap/>
            <w:hideMark/>
          </w:tcPr>
          <w:p w14:paraId="48DA0CD8" w14:textId="77777777" w:rsidR="00124740" w:rsidRPr="007E6A09" w:rsidRDefault="00124740" w:rsidP="008B6298">
            <w:pPr>
              <w:pStyle w:val="TableBody"/>
              <w:rPr>
                <w:rStyle w:val="Italic"/>
              </w:rPr>
            </w:pPr>
            <w:r w:rsidRPr="007E6A09">
              <w:rPr>
                <w:rStyle w:val="Italic"/>
              </w:rPr>
              <w:t>1,419</w:t>
            </w:r>
          </w:p>
        </w:tc>
        <w:tc>
          <w:tcPr>
            <w:tcW w:w="834" w:type="pct"/>
            <w:noWrap/>
            <w:hideMark/>
          </w:tcPr>
          <w:p w14:paraId="702B8D90" w14:textId="77777777" w:rsidR="00124740" w:rsidRPr="007E6A09" w:rsidRDefault="00124740" w:rsidP="008B6298">
            <w:pPr>
              <w:pStyle w:val="TableBody"/>
              <w:rPr>
                <w:rStyle w:val="Italic"/>
              </w:rPr>
            </w:pPr>
            <w:r w:rsidRPr="007E6A09">
              <w:rPr>
                <w:rStyle w:val="Italic"/>
              </w:rPr>
              <w:t>289</w:t>
            </w:r>
          </w:p>
        </w:tc>
        <w:tc>
          <w:tcPr>
            <w:tcW w:w="834" w:type="pct"/>
            <w:noWrap/>
            <w:hideMark/>
          </w:tcPr>
          <w:p w14:paraId="51E2B802" w14:textId="77777777" w:rsidR="00124740" w:rsidRPr="007E6A09" w:rsidRDefault="00124740" w:rsidP="008B6298">
            <w:pPr>
              <w:pStyle w:val="TableBody"/>
              <w:rPr>
                <w:rStyle w:val="Italic"/>
              </w:rPr>
            </w:pPr>
            <w:r w:rsidRPr="007E6A09">
              <w:rPr>
                <w:rStyle w:val="Italic"/>
              </w:rPr>
              <w:t>131</w:t>
            </w:r>
          </w:p>
        </w:tc>
      </w:tr>
      <w:tr w:rsidR="00F87FD9" w:rsidRPr="008B6298" w14:paraId="402C5A09" w14:textId="77777777" w:rsidTr="00F87FD9">
        <w:trPr>
          <w:trHeight w:val="288"/>
        </w:trPr>
        <w:tc>
          <w:tcPr>
            <w:tcW w:w="833" w:type="pct"/>
            <w:noWrap/>
            <w:hideMark/>
          </w:tcPr>
          <w:p w14:paraId="5B2DA6E5" w14:textId="77777777" w:rsidR="00124740" w:rsidRPr="007E6A09" w:rsidRDefault="00124740" w:rsidP="008B6298">
            <w:pPr>
              <w:pStyle w:val="TableBody"/>
              <w:rPr>
                <w:rStyle w:val="Italic"/>
              </w:rPr>
            </w:pPr>
            <w:r w:rsidRPr="007E6A09">
              <w:rPr>
                <w:rStyle w:val="Italic"/>
              </w:rPr>
              <w:t>2020-21</w:t>
            </w:r>
          </w:p>
        </w:tc>
        <w:tc>
          <w:tcPr>
            <w:tcW w:w="834" w:type="pct"/>
            <w:noWrap/>
            <w:hideMark/>
          </w:tcPr>
          <w:p w14:paraId="1F5CD791" w14:textId="77777777" w:rsidR="00124740" w:rsidRPr="007E6A09" w:rsidRDefault="00124740" w:rsidP="008B6298">
            <w:pPr>
              <w:pStyle w:val="TableBody"/>
              <w:rPr>
                <w:rStyle w:val="Italic"/>
              </w:rPr>
            </w:pPr>
            <w:r w:rsidRPr="007E6A09">
              <w:rPr>
                <w:rStyle w:val="Italic"/>
              </w:rPr>
              <w:t>4,202</w:t>
            </w:r>
          </w:p>
        </w:tc>
        <w:tc>
          <w:tcPr>
            <w:tcW w:w="834" w:type="pct"/>
            <w:noWrap/>
            <w:hideMark/>
          </w:tcPr>
          <w:p w14:paraId="47C69E5B" w14:textId="77777777" w:rsidR="00124740" w:rsidRPr="007E6A09" w:rsidRDefault="00124740" w:rsidP="008B6298">
            <w:pPr>
              <w:pStyle w:val="TableBody"/>
              <w:rPr>
                <w:rStyle w:val="Italic"/>
              </w:rPr>
            </w:pPr>
            <w:r w:rsidRPr="007E6A09">
              <w:rPr>
                <w:rStyle w:val="Italic"/>
              </w:rPr>
              <w:t>3,307</w:t>
            </w:r>
          </w:p>
        </w:tc>
        <w:tc>
          <w:tcPr>
            <w:tcW w:w="833" w:type="pct"/>
            <w:noWrap/>
            <w:hideMark/>
          </w:tcPr>
          <w:p w14:paraId="29B5F5BE" w14:textId="77777777" w:rsidR="00124740" w:rsidRPr="007E6A09" w:rsidRDefault="00124740" w:rsidP="008B6298">
            <w:pPr>
              <w:pStyle w:val="TableBody"/>
              <w:rPr>
                <w:rStyle w:val="Italic"/>
              </w:rPr>
            </w:pPr>
            <w:r w:rsidRPr="007E6A09">
              <w:rPr>
                <w:rStyle w:val="Italic"/>
              </w:rPr>
              <w:t>1,147</w:t>
            </w:r>
          </w:p>
        </w:tc>
        <w:tc>
          <w:tcPr>
            <w:tcW w:w="834" w:type="pct"/>
            <w:noWrap/>
            <w:hideMark/>
          </w:tcPr>
          <w:p w14:paraId="44A152BD" w14:textId="77777777" w:rsidR="00124740" w:rsidRPr="007E6A09" w:rsidRDefault="00124740" w:rsidP="008B6298">
            <w:pPr>
              <w:pStyle w:val="TableBody"/>
              <w:rPr>
                <w:rStyle w:val="Italic"/>
              </w:rPr>
            </w:pPr>
            <w:r w:rsidRPr="007E6A09">
              <w:rPr>
                <w:rStyle w:val="Italic"/>
              </w:rPr>
              <w:t>231</w:t>
            </w:r>
          </w:p>
        </w:tc>
        <w:tc>
          <w:tcPr>
            <w:tcW w:w="834" w:type="pct"/>
            <w:noWrap/>
            <w:hideMark/>
          </w:tcPr>
          <w:p w14:paraId="7BEFF8E5" w14:textId="77777777" w:rsidR="00124740" w:rsidRPr="007E6A09" w:rsidRDefault="00124740" w:rsidP="008B6298">
            <w:pPr>
              <w:pStyle w:val="TableBody"/>
              <w:rPr>
                <w:rStyle w:val="Italic"/>
              </w:rPr>
            </w:pPr>
            <w:r w:rsidRPr="007E6A09">
              <w:rPr>
                <w:rStyle w:val="Italic"/>
              </w:rPr>
              <w:t>67</w:t>
            </w:r>
          </w:p>
        </w:tc>
      </w:tr>
      <w:tr w:rsidR="00F87FD9" w:rsidRPr="008B6298" w14:paraId="2BDF51B1" w14:textId="77777777" w:rsidTr="00F87FD9">
        <w:trPr>
          <w:trHeight w:val="288"/>
        </w:trPr>
        <w:tc>
          <w:tcPr>
            <w:tcW w:w="833" w:type="pct"/>
            <w:noWrap/>
            <w:hideMark/>
          </w:tcPr>
          <w:p w14:paraId="0086D407" w14:textId="77777777" w:rsidR="00124740" w:rsidRPr="007E6A09" w:rsidRDefault="00124740" w:rsidP="008B6298">
            <w:pPr>
              <w:pStyle w:val="TableBody"/>
              <w:rPr>
                <w:rStyle w:val="Italic"/>
              </w:rPr>
            </w:pPr>
            <w:r w:rsidRPr="007E6A09">
              <w:rPr>
                <w:rStyle w:val="Italic"/>
              </w:rPr>
              <w:t>2021-22</w:t>
            </w:r>
          </w:p>
        </w:tc>
        <w:tc>
          <w:tcPr>
            <w:tcW w:w="834" w:type="pct"/>
            <w:noWrap/>
            <w:hideMark/>
          </w:tcPr>
          <w:p w14:paraId="1C11CCCA" w14:textId="77777777" w:rsidR="00124740" w:rsidRPr="007E6A09" w:rsidRDefault="00124740" w:rsidP="008B6298">
            <w:pPr>
              <w:pStyle w:val="TableBody"/>
              <w:rPr>
                <w:rStyle w:val="Italic"/>
              </w:rPr>
            </w:pPr>
            <w:r w:rsidRPr="007E6A09">
              <w:rPr>
                <w:rStyle w:val="Italic"/>
              </w:rPr>
              <w:t>3,496</w:t>
            </w:r>
          </w:p>
        </w:tc>
        <w:tc>
          <w:tcPr>
            <w:tcW w:w="834" w:type="pct"/>
            <w:noWrap/>
            <w:hideMark/>
          </w:tcPr>
          <w:p w14:paraId="71EA3261" w14:textId="77777777" w:rsidR="00124740" w:rsidRPr="007E6A09" w:rsidRDefault="00124740" w:rsidP="008B6298">
            <w:pPr>
              <w:pStyle w:val="TableBody"/>
              <w:rPr>
                <w:rStyle w:val="Italic"/>
              </w:rPr>
            </w:pPr>
            <w:r w:rsidRPr="007E6A09">
              <w:rPr>
                <w:rStyle w:val="Italic"/>
              </w:rPr>
              <w:t>3,650</w:t>
            </w:r>
          </w:p>
        </w:tc>
        <w:tc>
          <w:tcPr>
            <w:tcW w:w="833" w:type="pct"/>
            <w:noWrap/>
            <w:hideMark/>
          </w:tcPr>
          <w:p w14:paraId="409B9AA4" w14:textId="77777777" w:rsidR="00124740" w:rsidRPr="007E6A09" w:rsidRDefault="00124740" w:rsidP="008B6298">
            <w:pPr>
              <w:pStyle w:val="TableBody"/>
              <w:rPr>
                <w:rStyle w:val="Italic"/>
              </w:rPr>
            </w:pPr>
            <w:r w:rsidRPr="007E6A09">
              <w:rPr>
                <w:rStyle w:val="Italic"/>
              </w:rPr>
              <w:t>1,189</w:t>
            </w:r>
          </w:p>
        </w:tc>
        <w:tc>
          <w:tcPr>
            <w:tcW w:w="834" w:type="pct"/>
            <w:noWrap/>
            <w:hideMark/>
          </w:tcPr>
          <w:p w14:paraId="2C885288" w14:textId="77777777" w:rsidR="00124740" w:rsidRPr="007E6A09" w:rsidRDefault="00124740" w:rsidP="008B6298">
            <w:pPr>
              <w:pStyle w:val="TableBody"/>
              <w:rPr>
                <w:rStyle w:val="Italic"/>
              </w:rPr>
            </w:pPr>
            <w:r w:rsidRPr="007E6A09">
              <w:rPr>
                <w:rStyle w:val="Italic"/>
              </w:rPr>
              <w:t>248</w:t>
            </w:r>
          </w:p>
        </w:tc>
        <w:tc>
          <w:tcPr>
            <w:tcW w:w="834" w:type="pct"/>
            <w:noWrap/>
            <w:hideMark/>
          </w:tcPr>
          <w:p w14:paraId="04D2F3CA" w14:textId="77777777" w:rsidR="00124740" w:rsidRPr="007E6A09" w:rsidRDefault="00124740" w:rsidP="008B6298">
            <w:pPr>
              <w:pStyle w:val="TableBody"/>
              <w:rPr>
                <w:rStyle w:val="Italic"/>
              </w:rPr>
            </w:pPr>
            <w:r w:rsidRPr="007E6A09">
              <w:rPr>
                <w:rStyle w:val="Italic"/>
              </w:rPr>
              <w:t>85</w:t>
            </w:r>
          </w:p>
        </w:tc>
      </w:tr>
      <w:tr w:rsidR="00F87FD9" w:rsidRPr="008B6298" w14:paraId="612D3D21" w14:textId="77777777" w:rsidTr="00F87FD9">
        <w:trPr>
          <w:trHeight w:val="288"/>
        </w:trPr>
        <w:tc>
          <w:tcPr>
            <w:tcW w:w="833" w:type="pct"/>
            <w:noWrap/>
            <w:hideMark/>
          </w:tcPr>
          <w:p w14:paraId="314DCDD1" w14:textId="77777777" w:rsidR="00124740" w:rsidRPr="007E6A09" w:rsidRDefault="00124740" w:rsidP="008B6298">
            <w:pPr>
              <w:pStyle w:val="TableBody"/>
              <w:rPr>
                <w:rStyle w:val="Italic"/>
              </w:rPr>
            </w:pPr>
            <w:r w:rsidRPr="007E6A09">
              <w:rPr>
                <w:rStyle w:val="Italic"/>
              </w:rPr>
              <w:t>2022-23</w:t>
            </w:r>
          </w:p>
        </w:tc>
        <w:tc>
          <w:tcPr>
            <w:tcW w:w="834" w:type="pct"/>
            <w:noWrap/>
            <w:hideMark/>
          </w:tcPr>
          <w:p w14:paraId="1EB3EB28" w14:textId="77777777" w:rsidR="00124740" w:rsidRPr="007E6A09" w:rsidRDefault="00124740" w:rsidP="008B6298">
            <w:pPr>
              <w:pStyle w:val="TableBody"/>
              <w:rPr>
                <w:rStyle w:val="Italic"/>
              </w:rPr>
            </w:pPr>
            <w:r w:rsidRPr="007E6A09">
              <w:rPr>
                <w:rStyle w:val="Italic"/>
              </w:rPr>
              <w:t>3,543</w:t>
            </w:r>
          </w:p>
        </w:tc>
        <w:tc>
          <w:tcPr>
            <w:tcW w:w="834" w:type="pct"/>
            <w:noWrap/>
            <w:hideMark/>
          </w:tcPr>
          <w:p w14:paraId="77512F20" w14:textId="77777777" w:rsidR="00124740" w:rsidRPr="007E6A09" w:rsidRDefault="00124740" w:rsidP="008B6298">
            <w:pPr>
              <w:pStyle w:val="TableBody"/>
              <w:rPr>
                <w:rStyle w:val="Italic"/>
              </w:rPr>
            </w:pPr>
            <w:r w:rsidRPr="007E6A09">
              <w:rPr>
                <w:rStyle w:val="Italic"/>
              </w:rPr>
              <w:t>3,532</w:t>
            </w:r>
          </w:p>
        </w:tc>
        <w:tc>
          <w:tcPr>
            <w:tcW w:w="833" w:type="pct"/>
            <w:noWrap/>
            <w:hideMark/>
          </w:tcPr>
          <w:p w14:paraId="0089D76A" w14:textId="77777777" w:rsidR="00124740" w:rsidRPr="007E6A09" w:rsidRDefault="00124740" w:rsidP="008B6298">
            <w:pPr>
              <w:pStyle w:val="TableBody"/>
              <w:rPr>
                <w:rStyle w:val="Italic"/>
              </w:rPr>
            </w:pPr>
            <w:r w:rsidRPr="007E6A09">
              <w:rPr>
                <w:rStyle w:val="Italic"/>
              </w:rPr>
              <w:t>1,290</w:t>
            </w:r>
          </w:p>
        </w:tc>
        <w:tc>
          <w:tcPr>
            <w:tcW w:w="834" w:type="pct"/>
            <w:noWrap/>
            <w:hideMark/>
          </w:tcPr>
          <w:p w14:paraId="4319A97E" w14:textId="77777777" w:rsidR="00124740" w:rsidRPr="007E6A09" w:rsidRDefault="00124740" w:rsidP="008B6298">
            <w:pPr>
              <w:pStyle w:val="TableBody"/>
              <w:rPr>
                <w:rStyle w:val="Italic"/>
              </w:rPr>
            </w:pPr>
            <w:r w:rsidRPr="007E6A09">
              <w:rPr>
                <w:rStyle w:val="Italic"/>
              </w:rPr>
              <w:t>280</w:t>
            </w:r>
          </w:p>
        </w:tc>
        <w:tc>
          <w:tcPr>
            <w:tcW w:w="834" w:type="pct"/>
            <w:noWrap/>
            <w:hideMark/>
          </w:tcPr>
          <w:p w14:paraId="4A881227" w14:textId="77777777" w:rsidR="00124740" w:rsidRPr="007E6A09" w:rsidRDefault="00124740" w:rsidP="008B6298">
            <w:pPr>
              <w:pStyle w:val="TableBody"/>
              <w:rPr>
                <w:rStyle w:val="Italic"/>
              </w:rPr>
            </w:pPr>
            <w:r w:rsidRPr="007E6A09">
              <w:rPr>
                <w:rStyle w:val="Italic"/>
              </w:rPr>
              <w:t>118</w:t>
            </w:r>
          </w:p>
        </w:tc>
      </w:tr>
      <w:tr w:rsidR="00F87FD9" w:rsidRPr="008B6298" w14:paraId="3E42A8A6" w14:textId="77777777" w:rsidTr="00F87FD9">
        <w:trPr>
          <w:trHeight w:val="294"/>
        </w:trPr>
        <w:tc>
          <w:tcPr>
            <w:tcW w:w="833" w:type="pct"/>
            <w:noWrap/>
            <w:hideMark/>
          </w:tcPr>
          <w:p w14:paraId="1F8F0876" w14:textId="77777777" w:rsidR="00124740" w:rsidRPr="007E6A09" w:rsidRDefault="00124740" w:rsidP="008B6298">
            <w:pPr>
              <w:pStyle w:val="TableBody"/>
              <w:rPr>
                <w:rStyle w:val="Italic"/>
              </w:rPr>
            </w:pPr>
            <w:r w:rsidRPr="007E6A09">
              <w:rPr>
                <w:rStyle w:val="Italic"/>
              </w:rPr>
              <w:t>2023-24</w:t>
            </w:r>
          </w:p>
        </w:tc>
        <w:tc>
          <w:tcPr>
            <w:tcW w:w="834" w:type="pct"/>
            <w:noWrap/>
            <w:hideMark/>
          </w:tcPr>
          <w:p w14:paraId="520FAAAE" w14:textId="77777777" w:rsidR="00124740" w:rsidRPr="007E6A09" w:rsidRDefault="00124740" w:rsidP="008B6298">
            <w:pPr>
              <w:pStyle w:val="TableBody"/>
              <w:rPr>
                <w:rStyle w:val="Italic"/>
              </w:rPr>
            </w:pPr>
            <w:r w:rsidRPr="007E6A09">
              <w:rPr>
                <w:rStyle w:val="Italic"/>
              </w:rPr>
              <w:t>2,824</w:t>
            </w:r>
          </w:p>
        </w:tc>
        <w:tc>
          <w:tcPr>
            <w:tcW w:w="834" w:type="pct"/>
            <w:noWrap/>
            <w:hideMark/>
          </w:tcPr>
          <w:p w14:paraId="3E13B8DE" w14:textId="77777777" w:rsidR="00124740" w:rsidRPr="007E6A09" w:rsidRDefault="00124740" w:rsidP="008B6298">
            <w:pPr>
              <w:pStyle w:val="TableBody"/>
              <w:rPr>
                <w:rStyle w:val="Italic"/>
              </w:rPr>
            </w:pPr>
            <w:r w:rsidRPr="007E6A09">
              <w:rPr>
                <w:rStyle w:val="Italic"/>
              </w:rPr>
              <w:t>2,904</w:t>
            </w:r>
          </w:p>
        </w:tc>
        <w:tc>
          <w:tcPr>
            <w:tcW w:w="833" w:type="pct"/>
            <w:noWrap/>
            <w:hideMark/>
          </w:tcPr>
          <w:p w14:paraId="15A7E675" w14:textId="77777777" w:rsidR="00124740" w:rsidRPr="007E6A09" w:rsidRDefault="00124740" w:rsidP="008B6298">
            <w:pPr>
              <w:pStyle w:val="TableBody"/>
              <w:rPr>
                <w:rStyle w:val="Italic"/>
              </w:rPr>
            </w:pPr>
            <w:r w:rsidRPr="007E6A09">
              <w:rPr>
                <w:rStyle w:val="Italic"/>
              </w:rPr>
              <w:t>1,168</w:t>
            </w:r>
          </w:p>
        </w:tc>
        <w:tc>
          <w:tcPr>
            <w:tcW w:w="834" w:type="pct"/>
            <w:noWrap/>
            <w:hideMark/>
          </w:tcPr>
          <w:p w14:paraId="6540C6C1" w14:textId="77777777" w:rsidR="00124740" w:rsidRPr="007E6A09" w:rsidRDefault="00124740" w:rsidP="008B6298">
            <w:pPr>
              <w:pStyle w:val="TableBody"/>
              <w:rPr>
                <w:rStyle w:val="Italic"/>
              </w:rPr>
            </w:pPr>
            <w:r w:rsidRPr="007E6A09">
              <w:rPr>
                <w:rStyle w:val="Italic"/>
              </w:rPr>
              <w:t>260</w:t>
            </w:r>
          </w:p>
        </w:tc>
        <w:tc>
          <w:tcPr>
            <w:tcW w:w="834" w:type="pct"/>
            <w:noWrap/>
            <w:hideMark/>
          </w:tcPr>
          <w:p w14:paraId="0115D96C" w14:textId="77777777" w:rsidR="00124740" w:rsidRPr="007E6A09" w:rsidRDefault="00124740" w:rsidP="008B6298">
            <w:pPr>
              <w:pStyle w:val="TableBody"/>
              <w:rPr>
                <w:rStyle w:val="Italic"/>
              </w:rPr>
            </w:pPr>
            <w:r w:rsidRPr="007E6A09">
              <w:rPr>
                <w:rStyle w:val="Italic"/>
              </w:rPr>
              <w:t>117</w:t>
            </w:r>
          </w:p>
        </w:tc>
      </w:tr>
    </w:tbl>
    <w:p w14:paraId="1545A483" w14:textId="77777777" w:rsidR="00A4454A" w:rsidRPr="008C1137" w:rsidRDefault="00A4454A" w:rsidP="00210207">
      <w:pPr>
        <w:pStyle w:val="Numbered"/>
      </w:pPr>
      <w:r w:rsidRPr="008C1137">
        <w:t xml:space="preserve">There was a clear increase in the proportion of custodial sentences that were less than 12 months, growing from 69% of all custodial sentences in 2006–07 to 79% by 2023–24 (peaking at 84% of all custodial sentences in 2020–21). By 2020–21, almost half (47%) of all custodial sentences imposed were </w:t>
      </w:r>
      <w:r w:rsidRPr="003B3217">
        <w:rPr>
          <w:rStyle w:val="Italic"/>
        </w:rPr>
        <w:t>less</w:t>
      </w:r>
      <w:r w:rsidRPr="008C1137">
        <w:t xml:space="preserve"> than 3 months. </w:t>
      </w:r>
    </w:p>
    <w:p w14:paraId="2BC4F402" w14:textId="77777777" w:rsidR="00A4454A" w:rsidRPr="008C1137" w:rsidRDefault="00A4454A" w:rsidP="00210207">
      <w:pPr>
        <w:pStyle w:val="Numbered"/>
      </w:pPr>
      <w:r w:rsidRPr="008C1137">
        <w:t xml:space="preserve">The number of custodial sentences between 1 year and less than 10 years was relatively stable during the period (from 1,566 to 1,428), though the </w:t>
      </w:r>
      <w:r w:rsidRPr="003B3217">
        <w:rPr>
          <w:rStyle w:val="Italic"/>
        </w:rPr>
        <w:t>proportions</w:t>
      </w:r>
      <w:r w:rsidRPr="008C1137">
        <w:t xml:space="preserve"> of custodial sentences between 1 year and less than 10 years decreased. In contrast, sentences of 10 years or more doubled (from 65 to 117). </w:t>
      </w:r>
    </w:p>
    <w:p w14:paraId="3DD1AFF7" w14:textId="77777777" w:rsidR="00A4454A" w:rsidRPr="008C1137" w:rsidRDefault="00A4454A" w:rsidP="00210207">
      <w:pPr>
        <w:pStyle w:val="Numbered"/>
      </w:pPr>
      <w:r w:rsidRPr="008C1137">
        <w:t>In effect, growth in the number of custodial sentences imposed between 2012–13 and 2019–20 was largely driven by imprisonment lengths of less than 12 months, particularly those less than 3 months, which doubled during this period (from 2,200 to 4,885).</w:t>
      </w:r>
    </w:p>
    <w:p w14:paraId="30587C42" w14:textId="00A89EBB" w:rsidR="00A4454A" w:rsidRPr="008C1137" w:rsidRDefault="00A4454A" w:rsidP="00210207">
      <w:pPr>
        <w:pStyle w:val="Numbered"/>
      </w:pPr>
      <w:r w:rsidRPr="008C1137">
        <w:t>To further illustrate the prevalence of short prison sentences (less than 6 months), Figure 18</w:t>
      </w:r>
      <w:r w:rsidR="009E33A5">
        <w:t xml:space="preserve"> </w:t>
      </w:r>
      <w:r w:rsidRPr="008C1137">
        <w:t xml:space="preserve">shows the distribution of all custodial sentences imposed between 1 July 2006 and 30 June 2024 by imprisonment length (the grouping of imprisonment lengths has been expanded here to more accurately show the </w:t>
      </w:r>
      <w:r w:rsidRPr="008C1137">
        <w:lastRenderedPageBreak/>
        <w:t xml:space="preserve">distribution). Of the 134,667 custodial sentences imposed in this period, 52,238 (39%) were less than 3 months. Further, almost two-thirds (61%) were less than 6 months, and 91% were less than 3 years. Conversely, just 1.2% of all custodial sentences imposed were 10 years or longer, and 0.2% were 20 years or longer. </w:t>
      </w:r>
    </w:p>
    <w:p w14:paraId="4DA3CE89" w14:textId="77777777" w:rsidR="00A4454A" w:rsidRPr="008C1137" w:rsidRDefault="00A4454A" w:rsidP="00210207">
      <w:pPr>
        <w:pStyle w:val="Numbered"/>
      </w:pPr>
      <w:r w:rsidRPr="008C1137">
        <w:t>Moreover, a number of those short prison sentences were most likely time served prison sentences (meaning that the offender did not spend any additional time in custody after being sentenced). Data on time served prison sentences is examined in more detail below (discussed at [3.50]).</w:t>
      </w:r>
    </w:p>
    <w:p w14:paraId="20374074" w14:textId="77777777" w:rsidR="00A4454A" w:rsidRPr="008C1137" w:rsidRDefault="00A4454A" w:rsidP="00BE4EDC">
      <w:pPr>
        <w:pStyle w:val="Caption"/>
      </w:pPr>
      <w:r w:rsidRPr="00157502">
        <w:t>Figure 18</w:t>
      </w:r>
      <w:r w:rsidRPr="008C1137">
        <w:t>: Distribution of imprisonment lengths in immediate custodial sentences, all courts, 2006–07 to 2023–24</w:t>
      </w:r>
    </w:p>
    <w:tbl>
      <w:tblPr>
        <w:tblStyle w:val="Table"/>
        <w:tblW w:w="5000" w:type="pct"/>
        <w:tblLook w:val="04A0" w:firstRow="1" w:lastRow="0" w:firstColumn="1" w:lastColumn="0" w:noHBand="0" w:noVBand="1"/>
      </w:tblPr>
      <w:tblGrid>
        <w:gridCol w:w="7123"/>
        <w:gridCol w:w="1893"/>
      </w:tblGrid>
      <w:tr w:rsidR="001A3155" w:rsidRPr="00CB1E00" w14:paraId="3E5A3368" w14:textId="77777777" w:rsidTr="00E95490">
        <w:trPr>
          <w:trHeight w:val="288"/>
          <w:tblHeader/>
        </w:trPr>
        <w:tc>
          <w:tcPr>
            <w:tcW w:w="3950" w:type="pct"/>
            <w:noWrap/>
            <w:hideMark/>
          </w:tcPr>
          <w:p w14:paraId="17410168" w14:textId="72D3B34D" w:rsidR="001A3155" w:rsidRPr="00CB1E00" w:rsidRDefault="00A33713" w:rsidP="00CB1E00">
            <w:pPr>
              <w:pStyle w:val="TableHeading"/>
            </w:pPr>
            <w:r w:rsidRPr="00CB1E00">
              <w:t>Imprisonment length</w:t>
            </w:r>
          </w:p>
        </w:tc>
        <w:tc>
          <w:tcPr>
            <w:tcW w:w="1050" w:type="pct"/>
            <w:noWrap/>
            <w:hideMark/>
          </w:tcPr>
          <w:p w14:paraId="1AF8301B" w14:textId="16AD4A8C" w:rsidR="001A3155" w:rsidRPr="00CB1E00" w:rsidRDefault="00A33713" w:rsidP="00CB1E00">
            <w:pPr>
              <w:pStyle w:val="TableHeading"/>
            </w:pPr>
            <w:r w:rsidRPr="00CB1E00">
              <w:t>T</w:t>
            </w:r>
            <w:r w:rsidR="001A3155" w:rsidRPr="00CB1E00">
              <w:t>otal</w:t>
            </w:r>
          </w:p>
        </w:tc>
      </w:tr>
      <w:tr w:rsidR="001A3155" w:rsidRPr="00CB1E00" w14:paraId="0C29B772" w14:textId="77777777" w:rsidTr="00CB1E00">
        <w:trPr>
          <w:trHeight w:val="288"/>
        </w:trPr>
        <w:tc>
          <w:tcPr>
            <w:tcW w:w="3950" w:type="pct"/>
            <w:noWrap/>
            <w:hideMark/>
          </w:tcPr>
          <w:p w14:paraId="2572EE15" w14:textId="77777777" w:rsidR="001A3155" w:rsidRPr="00CB1E00" w:rsidRDefault="001A3155" w:rsidP="00CB1E00">
            <w:pPr>
              <w:pStyle w:val="TableBody"/>
            </w:pPr>
            <w:r w:rsidRPr="00CB1E00">
              <w:t>Less than 3 months</w:t>
            </w:r>
          </w:p>
        </w:tc>
        <w:tc>
          <w:tcPr>
            <w:tcW w:w="1050" w:type="pct"/>
            <w:noWrap/>
            <w:hideMark/>
          </w:tcPr>
          <w:p w14:paraId="23298D98" w14:textId="77777777" w:rsidR="001A3155" w:rsidRPr="00CB1E00" w:rsidRDefault="001A3155" w:rsidP="00CB1E00">
            <w:pPr>
              <w:pStyle w:val="TableBody"/>
            </w:pPr>
            <w:r w:rsidRPr="00CB1E00">
              <w:t>52,238</w:t>
            </w:r>
          </w:p>
        </w:tc>
      </w:tr>
      <w:tr w:rsidR="001A3155" w:rsidRPr="00CB1E00" w14:paraId="38E31A1E" w14:textId="77777777" w:rsidTr="00CB1E00">
        <w:trPr>
          <w:trHeight w:val="288"/>
        </w:trPr>
        <w:tc>
          <w:tcPr>
            <w:tcW w:w="3950" w:type="pct"/>
            <w:noWrap/>
            <w:hideMark/>
          </w:tcPr>
          <w:p w14:paraId="376F3EDF" w14:textId="69563A92" w:rsidR="001A3155" w:rsidRPr="00CB1E00" w:rsidRDefault="001A3155" w:rsidP="00CB1E00">
            <w:pPr>
              <w:pStyle w:val="TableBody"/>
            </w:pPr>
            <w:r w:rsidRPr="00CB1E00">
              <w:t>3 months</w:t>
            </w:r>
            <w:r w:rsidR="009E33A5">
              <w:t xml:space="preserve"> </w:t>
            </w:r>
            <w:r w:rsidRPr="00CB1E00">
              <w:t>to less than 6 months</w:t>
            </w:r>
          </w:p>
        </w:tc>
        <w:tc>
          <w:tcPr>
            <w:tcW w:w="1050" w:type="pct"/>
            <w:noWrap/>
            <w:hideMark/>
          </w:tcPr>
          <w:p w14:paraId="2056B178" w14:textId="77777777" w:rsidR="001A3155" w:rsidRPr="00CB1E00" w:rsidRDefault="001A3155" w:rsidP="00CB1E00">
            <w:pPr>
              <w:pStyle w:val="TableBody"/>
            </w:pPr>
            <w:r w:rsidRPr="00CB1E00">
              <w:t>30,184</w:t>
            </w:r>
          </w:p>
        </w:tc>
      </w:tr>
      <w:tr w:rsidR="001A3155" w:rsidRPr="00CB1E00" w14:paraId="63942AEE" w14:textId="77777777" w:rsidTr="00CB1E00">
        <w:trPr>
          <w:trHeight w:val="288"/>
        </w:trPr>
        <w:tc>
          <w:tcPr>
            <w:tcW w:w="3950" w:type="pct"/>
            <w:noWrap/>
            <w:hideMark/>
          </w:tcPr>
          <w:p w14:paraId="7B6DBC59" w14:textId="77777777" w:rsidR="001A3155" w:rsidRPr="00CB1E00" w:rsidRDefault="001A3155" w:rsidP="00CB1E00">
            <w:pPr>
              <w:pStyle w:val="TableBody"/>
            </w:pPr>
            <w:r w:rsidRPr="00CB1E00">
              <w:t>6 months to less than 1 year</w:t>
            </w:r>
          </w:p>
        </w:tc>
        <w:tc>
          <w:tcPr>
            <w:tcW w:w="1050" w:type="pct"/>
            <w:noWrap/>
            <w:hideMark/>
          </w:tcPr>
          <w:p w14:paraId="0246721B" w14:textId="77777777" w:rsidR="001A3155" w:rsidRPr="00CB1E00" w:rsidRDefault="001A3155" w:rsidP="00CB1E00">
            <w:pPr>
              <w:pStyle w:val="TableBody"/>
            </w:pPr>
            <w:r w:rsidRPr="00CB1E00">
              <w:t>19,870</w:t>
            </w:r>
          </w:p>
        </w:tc>
      </w:tr>
      <w:tr w:rsidR="001A3155" w:rsidRPr="00CB1E00" w14:paraId="21C3B7C8" w14:textId="77777777" w:rsidTr="00CB1E00">
        <w:trPr>
          <w:trHeight w:val="288"/>
        </w:trPr>
        <w:tc>
          <w:tcPr>
            <w:tcW w:w="3950" w:type="pct"/>
            <w:noWrap/>
            <w:hideMark/>
          </w:tcPr>
          <w:p w14:paraId="463FE459" w14:textId="77777777" w:rsidR="001A3155" w:rsidRPr="00CB1E00" w:rsidRDefault="001A3155" w:rsidP="00CB1E00">
            <w:pPr>
              <w:pStyle w:val="TableBody"/>
            </w:pPr>
            <w:r w:rsidRPr="00CB1E00">
              <w:t>1 year to less than 2 years</w:t>
            </w:r>
          </w:p>
        </w:tc>
        <w:tc>
          <w:tcPr>
            <w:tcW w:w="1050" w:type="pct"/>
            <w:noWrap/>
            <w:hideMark/>
          </w:tcPr>
          <w:p w14:paraId="7EC9E0D8" w14:textId="77777777" w:rsidR="001A3155" w:rsidRPr="00CB1E00" w:rsidRDefault="001A3155" w:rsidP="00CB1E00">
            <w:pPr>
              <w:pStyle w:val="TableBody"/>
            </w:pPr>
            <w:r w:rsidRPr="00CB1E00">
              <w:t>15,483</w:t>
            </w:r>
          </w:p>
        </w:tc>
      </w:tr>
      <w:tr w:rsidR="001A3155" w:rsidRPr="00CB1E00" w14:paraId="02EF6A00" w14:textId="77777777" w:rsidTr="00CB1E00">
        <w:trPr>
          <w:trHeight w:val="288"/>
        </w:trPr>
        <w:tc>
          <w:tcPr>
            <w:tcW w:w="3950" w:type="pct"/>
            <w:noWrap/>
            <w:hideMark/>
          </w:tcPr>
          <w:p w14:paraId="6C6E2A20" w14:textId="77777777" w:rsidR="001A3155" w:rsidRPr="00CB1E00" w:rsidRDefault="001A3155" w:rsidP="00CB1E00">
            <w:pPr>
              <w:pStyle w:val="TableBody"/>
            </w:pPr>
            <w:r w:rsidRPr="00CB1E00">
              <w:t>2 years to less than 3 years</w:t>
            </w:r>
          </w:p>
        </w:tc>
        <w:tc>
          <w:tcPr>
            <w:tcW w:w="1050" w:type="pct"/>
            <w:noWrap/>
            <w:hideMark/>
          </w:tcPr>
          <w:p w14:paraId="5FDED71D" w14:textId="77777777" w:rsidR="001A3155" w:rsidRPr="00CB1E00" w:rsidRDefault="001A3155" w:rsidP="00CB1E00">
            <w:pPr>
              <w:pStyle w:val="TableBody"/>
            </w:pPr>
            <w:r w:rsidRPr="00CB1E00">
              <w:t>4,627</w:t>
            </w:r>
          </w:p>
        </w:tc>
      </w:tr>
      <w:tr w:rsidR="001A3155" w:rsidRPr="00CB1E00" w14:paraId="1004C973" w14:textId="77777777" w:rsidTr="00CB1E00">
        <w:trPr>
          <w:trHeight w:val="288"/>
        </w:trPr>
        <w:tc>
          <w:tcPr>
            <w:tcW w:w="3950" w:type="pct"/>
            <w:noWrap/>
            <w:hideMark/>
          </w:tcPr>
          <w:p w14:paraId="35C23C25" w14:textId="77777777" w:rsidR="001A3155" w:rsidRPr="00CB1E00" w:rsidRDefault="001A3155" w:rsidP="00CB1E00">
            <w:pPr>
              <w:pStyle w:val="TableBody"/>
            </w:pPr>
            <w:r w:rsidRPr="00CB1E00">
              <w:t>3 years to less than 4 years</w:t>
            </w:r>
          </w:p>
        </w:tc>
        <w:tc>
          <w:tcPr>
            <w:tcW w:w="1050" w:type="pct"/>
            <w:noWrap/>
            <w:hideMark/>
          </w:tcPr>
          <w:p w14:paraId="1147F167" w14:textId="77777777" w:rsidR="001A3155" w:rsidRPr="00CB1E00" w:rsidRDefault="001A3155" w:rsidP="00CB1E00">
            <w:pPr>
              <w:pStyle w:val="TableBody"/>
            </w:pPr>
            <w:r w:rsidRPr="00CB1E00">
              <w:t>3,369</w:t>
            </w:r>
          </w:p>
        </w:tc>
      </w:tr>
      <w:tr w:rsidR="001A3155" w:rsidRPr="00CB1E00" w14:paraId="45BEF6FA" w14:textId="77777777" w:rsidTr="00CB1E00">
        <w:trPr>
          <w:trHeight w:val="288"/>
        </w:trPr>
        <w:tc>
          <w:tcPr>
            <w:tcW w:w="3950" w:type="pct"/>
            <w:noWrap/>
            <w:hideMark/>
          </w:tcPr>
          <w:p w14:paraId="22B0E9C4" w14:textId="77777777" w:rsidR="001A3155" w:rsidRPr="00CB1E00" w:rsidRDefault="001A3155" w:rsidP="00CB1E00">
            <w:pPr>
              <w:pStyle w:val="TableBody"/>
            </w:pPr>
            <w:r w:rsidRPr="00CB1E00">
              <w:t>4 years to less than 5 years</w:t>
            </w:r>
          </w:p>
        </w:tc>
        <w:tc>
          <w:tcPr>
            <w:tcW w:w="1050" w:type="pct"/>
            <w:noWrap/>
            <w:hideMark/>
          </w:tcPr>
          <w:p w14:paraId="524BEC8E" w14:textId="77777777" w:rsidR="001A3155" w:rsidRPr="00CB1E00" w:rsidRDefault="001A3155" w:rsidP="00CB1E00">
            <w:pPr>
              <w:pStyle w:val="TableBody"/>
            </w:pPr>
            <w:r w:rsidRPr="00CB1E00">
              <w:t>2,417</w:t>
            </w:r>
          </w:p>
        </w:tc>
      </w:tr>
      <w:tr w:rsidR="001A3155" w:rsidRPr="00CB1E00" w14:paraId="36F81E03" w14:textId="77777777" w:rsidTr="00CB1E00">
        <w:trPr>
          <w:trHeight w:val="288"/>
        </w:trPr>
        <w:tc>
          <w:tcPr>
            <w:tcW w:w="3950" w:type="pct"/>
            <w:noWrap/>
            <w:hideMark/>
          </w:tcPr>
          <w:p w14:paraId="4A15A42B" w14:textId="77777777" w:rsidR="001A3155" w:rsidRPr="00CB1E00" w:rsidRDefault="001A3155" w:rsidP="00CB1E00">
            <w:pPr>
              <w:pStyle w:val="TableBody"/>
            </w:pPr>
            <w:r w:rsidRPr="00CB1E00">
              <w:t>5 years to less than 6 years</w:t>
            </w:r>
          </w:p>
        </w:tc>
        <w:tc>
          <w:tcPr>
            <w:tcW w:w="1050" w:type="pct"/>
            <w:noWrap/>
            <w:hideMark/>
          </w:tcPr>
          <w:p w14:paraId="4C9CD083" w14:textId="77777777" w:rsidR="001A3155" w:rsidRPr="00CB1E00" w:rsidRDefault="001A3155" w:rsidP="00CB1E00">
            <w:pPr>
              <w:pStyle w:val="TableBody"/>
            </w:pPr>
            <w:r w:rsidRPr="00CB1E00">
              <w:t>1,768</w:t>
            </w:r>
          </w:p>
        </w:tc>
      </w:tr>
      <w:tr w:rsidR="001A3155" w:rsidRPr="00CB1E00" w14:paraId="3F3822B7" w14:textId="77777777" w:rsidTr="00CB1E00">
        <w:trPr>
          <w:trHeight w:val="288"/>
        </w:trPr>
        <w:tc>
          <w:tcPr>
            <w:tcW w:w="3950" w:type="pct"/>
            <w:noWrap/>
            <w:hideMark/>
          </w:tcPr>
          <w:p w14:paraId="67A42C8F" w14:textId="77777777" w:rsidR="001A3155" w:rsidRPr="00CB1E00" w:rsidRDefault="001A3155" w:rsidP="00CB1E00">
            <w:pPr>
              <w:pStyle w:val="TableBody"/>
            </w:pPr>
            <w:r w:rsidRPr="00CB1E00">
              <w:t>6 years to less than 7 years</w:t>
            </w:r>
          </w:p>
        </w:tc>
        <w:tc>
          <w:tcPr>
            <w:tcW w:w="1050" w:type="pct"/>
            <w:noWrap/>
            <w:hideMark/>
          </w:tcPr>
          <w:p w14:paraId="2DFF8904" w14:textId="77777777" w:rsidR="001A3155" w:rsidRPr="00CB1E00" w:rsidRDefault="001A3155" w:rsidP="00CB1E00">
            <w:pPr>
              <w:pStyle w:val="TableBody"/>
            </w:pPr>
            <w:r w:rsidRPr="00CB1E00">
              <w:t>1,239</w:t>
            </w:r>
          </w:p>
        </w:tc>
      </w:tr>
      <w:tr w:rsidR="001A3155" w:rsidRPr="00CB1E00" w14:paraId="08ADE163" w14:textId="77777777" w:rsidTr="00CB1E00">
        <w:trPr>
          <w:trHeight w:val="288"/>
        </w:trPr>
        <w:tc>
          <w:tcPr>
            <w:tcW w:w="3950" w:type="pct"/>
            <w:noWrap/>
            <w:hideMark/>
          </w:tcPr>
          <w:p w14:paraId="67988C29" w14:textId="77777777" w:rsidR="001A3155" w:rsidRPr="00CB1E00" w:rsidRDefault="001A3155" w:rsidP="00CB1E00">
            <w:pPr>
              <w:pStyle w:val="TableBody"/>
            </w:pPr>
            <w:r w:rsidRPr="00CB1E00">
              <w:t>7 years to less than 8 years</w:t>
            </w:r>
          </w:p>
        </w:tc>
        <w:tc>
          <w:tcPr>
            <w:tcW w:w="1050" w:type="pct"/>
            <w:noWrap/>
            <w:hideMark/>
          </w:tcPr>
          <w:p w14:paraId="1DCE26A9" w14:textId="77777777" w:rsidR="001A3155" w:rsidRPr="00CB1E00" w:rsidRDefault="001A3155" w:rsidP="00CB1E00">
            <w:pPr>
              <w:pStyle w:val="TableBody"/>
            </w:pPr>
            <w:r w:rsidRPr="00CB1E00">
              <w:t>877</w:t>
            </w:r>
          </w:p>
        </w:tc>
      </w:tr>
      <w:tr w:rsidR="001A3155" w:rsidRPr="00CB1E00" w14:paraId="17E570D5" w14:textId="77777777" w:rsidTr="00CB1E00">
        <w:trPr>
          <w:trHeight w:val="288"/>
        </w:trPr>
        <w:tc>
          <w:tcPr>
            <w:tcW w:w="3950" w:type="pct"/>
            <w:noWrap/>
            <w:hideMark/>
          </w:tcPr>
          <w:p w14:paraId="11AC4B17" w14:textId="77777777" w:rsidR="001A3155" w:rsidRPr="00CB1E00" w:rsidRDefault="001A3155" w:rsidP="00CB1E00">
            <w:pPr>
              <w:pStyle w:val="TableBody"/>
            </w:pPr>
            <w:r w:rsidRPr="00CB1E00">
              <w:t>8 years to less than 9 years</w:t>
            </w:r>
          </w:p>
        </w:tc>
        <w:tc>
          <w:tcPr>
            <w:tcW w:w="1050" w:type="pct"/>
            <w:noWrap/>
            <w:hideMark/>
          </w:tcPr>
          <w:p w14:paraId="6D315060" w14:textId="77777777" w:rsidR="001A3155" w:rsidRPr="00CB1E00" w:rsidRDefault="001A3155" w:rsidP="00CB1E00">
            <w:pPr>
              <w:pStyle w:val="TableBody"/>
            </w:pPr>
            <w:r w:rsidRPr="00CB1E00">
              <w:t>585</w:t>
            </w:r>
          </w:p>
        </w:tc>
      </w:tr>
      <w:tr w:rsidR="001A3155" w:rsidRPr="00CB1E00" w14:paraId="53872EB2" w14:textId="77777777" w:rsidTr="00CB1E00">
        <w:trPr>
          <w:trHeight w:val="288"/>
        </w:trPr>
        <w:tc>
          <w:tcPr>
            <w:tcW w:w="3950" w:type="pct"/>
            <w:noWrap/>
            <w:hideMark/>
          </w:tcPr>
          <w:p w14:paraId="58265BE4" w14:textId="77777777" w:rsidR="001A3155" w:rsidRPr="00CB1E00" w:rsidRDefault="001A3155" w:rsidP="00CB1E00">
            <w:pPr>
              <w:pStyle w:val="TableBody"/>
            </w:pPr>
            <w:r w:rsidRPr="00CB1E00">
              <w:t>9 years to less than 10 years</w:t>
            </w:r>
          </w:p>
        </w:tc>
        <w:tc>
          <w:tcPr>
            <w:tcW w:w="1050" w:type="pct"/>
            <w:noWrap/>
            <w:hideMark/>
          </w:tcPr>
          <w:p w14:paraId="7CE76128" w14:textId="77777777" w:rsidR="001A3155" w:rsidRPr="00CB1E00" w:rsidRDefault="001A3155" w:rsidP="00CB1E00">
            <w:pPr>
              <w:pStyle w:val="TableBody"/>
            </w:pPr>
            <w:r w:rsidRPr="00CB1E00">
              <w:t>436</w:t>
            </w:r>
          </w:p>
        </w:tc>
      </w:tr>
      <w:tr w:rsidR="001A3155" w:rsidRPr="00CB1E00" w14:paraId="2853AFB4" w14:textId="77777777" w:rsidTr="00CB1E00">
        <w:trPr>
          <w:trHeight w:val="288"/>
        </w:trPr>
        <w:tc>
          <w:tcPr>
            <w:tcW w:w="3950" w:type="pct"/>
            <w:noWrap/>
            <w:hideMark/>
          </w:tcPr>
          <w:p w14:paraId="0417438D" w14:textId="77777777" w:rsidR="001A3155" w:rsidRPr="00CB1E00" w:rsidRDefault="001A3155" w:rsidP="00CB1E00">
            <w:pPr>
              <w:pStyle w:val="TableBody"/>
            </w:pPr>
            <w:r w:rsidRPr="00CB1E00">
              <w:t>10 years to less than 11 years</w:t>
            </w:r>
          </w:p>
        </w:tc>
        <w:tc>
          <w:tcPr>
            <w:tcW w:w="1050" w:type="pct"/>
            <w:noWrap/>
            <w:hideMark/>
          </w:tcPr>
          <w:p w14:paraId="323EA52E" w14:textId="77777777" w:rsidR="001A3155" w:rsidRPr="00CB1E00" w:rsidRDefault="001A3155" w:rsidP="00CB1E00">
            <w:pPr>
              <w:pStyle w:val="TableBody"/>
            </w:pPr>
            <w:r w:rsidRPr="00CB1E00">
              <w:t>311</w:t>
            </w:r>
          </w:p>
        </w:tc>
      </w:tr>
      <w:tr w:rsidR="001A3155" w:rsidRPr="00CB1E00" w14:paraId="57638C5A" w14:textId="77777777" w:rsidTr="00CB1E00">
        <w:trPr>
          <w:trHeight w:val="288"/>
        </w:trPr>
        <w:tc>
          <w:tcPr>
            <w:tcW w:w="3950" w:type="pct"/>
            <w:noWrap/>
            <w:hideMark/>
          </w:tcPr>
          <w:p w14:paraId="2D8845A3" w14:textId="77777777" w:rsidR="001A3155" w:rsidRPr="00CB1E00" w:rsidRDefault="001A3155" w:rsidP="00CB1E00">
            <w:pPr>
              <w:pStyle w:val="TableBody"/>
            </w:pPr>
            <w:r w:rsidRPr="00CB1E00">
              <w:t>11 years to less than 12 years</w:t>
            </w:r>
          </w:p>
        </w:tc>
        <w:tc>
          <w:tcPr>
            <w:tcW w:w="1050" w:type="pct"/>
            <w:noWrap/>
            <w:hideMark/>
          </w:tcPr>
          <w:p w14:paraId="35AA0A8D" w14:textId="77777777" w:rsidR="001A3155" w:rsidRPr="00CB1E00" w:rsidRDefault="001A3155" w:rsidP="00CB1E00">
            <w:pPr>
              <w:pStyle w:val="TableBody"/>
            </w:pPr>
            <w:r w:rsidRPr="00CB1E00">
              <w:t>231</w:t>
            </w:r>
          </w:p>
        </w:tc>
      </w:tr>
      <w:tr w:rsidR="001A3155" w:rsidRPr="00CB1E00" w14:paraId="2BBAB48E" w14:textId="77777777" w:rsidTr="00CB1E00">
        <w:trPr>
          <w:trHeight w:val="288"/>
        </w:trPr>
        <w:tc>
          <w:tcPr>
            <w:tcW w:w="3950" w:type="pct"/>
            <w:noWrap/>
            <w:hideMark/>
          </w:tcPr>
          <w:p w14:paraId="210C3D54" w14:textId="77777777" w:rsidR="001A3155" w:rsidRPr="00CB1E00" w:rsidRDefault="001A3155" w:rsidP="00CB1E00">
            <w:pPr>
              <w:pStyle w:val="TableBody"/>
            </w:pPr>
            <w:r w:rsidRPr="00CB1E00">
              <w:t>12 years to less than 13 years</w:t>
            </w:r>
          </w:p>
        </w:tc>
        <w:tc>
          <w:tcPr>
            <w:tcW w:w="1050" w:type="pct"/>
            <w:noWrap/>
            <w:hideMark/>
          </w:tcPr>
          <w:p w14:paraId="70BD5D8C" w14:textId="77777777" w:rsidR="001A3155" w:rsidRPr="00CB1E00" w:rsidRDefault="001A3155" w:rsidP="00CB1E00">
            <w:pPr>
              <w:pStyle w:val="TableBody"/>
            </w:pPr>
            <w:r w:rsidRPr="00CB1E00">
              <w:t>189</w:t>
            </w:r>
          </w:p>
        </w:tc>
      </w:tr>
      <w:tr w:rsidR="001A3155" w:rsidRPr="00CB1E00" w14:paraId="4971FE0E" w14:textId="77777777" w:rsidTr="00CB1E00">
        <w:trPr>
          <w:trHeight w:val="288"/>
        </w:trPr>
        <w:tc>
          <w:tcPr>
            <w:tcW w:w="3950" w:type="pct"/>
            <w:noWrap/>
            <w:hideMark/>
          </w:tcPr>
          <w:p w14:paraId="34AD6641" w14:textId="77777777" w:rsidR="001A3155" w:rsidRPr="00CB1E00" w:rsidRDefault="001A3155" w:rsidP="00CB1E00">
            <w:pPr>
              <w:pStyle w:val="TableBody"/>
            </w:pPr>
            <w:r w:rsidRPr="00CB1E00">
              <w:t>13 years to less than 14 years</w:t>
            </w:r>
          </w:p>
        </w:tc>
        <w:tc>
          <w:tcPr>
            <w:tcW w:w="1050" w:type="pct"/>
            <w:noWrap/>
            <w:hideMark/>
          </w:tcPr>
          <w:p w14:paraId="26A2AA74" w14:textId="77777777" w:rsidR="001A3155" w:rsidRPr="00CB1E00" w:rsidRDefault="001A3155" w:rsidP="00CB1E00">
            <w:pPr>
              <w:pStyle w:val="TableBody"/>
            </w:pPr>
            <w:r w:rsidRPr="00CB1E00">
              <w:t>98</w:t>
            </w:r>
          </w:p>
        </w:tc>
      </w:tr>
      <w:tr w:rsidR="001A3155" w:rsidRPr="00CB1E00" w14:paraId="366B8D3B" w14:textId="77777777" w:rsidTr="00CB1E00">
        <w:trPr>
          <w:trHeight w:val="288"/>
        </w:trPr>
        <w:tc>
          <w:tcPr>
            <w:tcW w:w="3950" w:type="pct"/>
            <w:noWrap/>
            <w:hideMark/>
          </w:tcPr>
          <w:p w14:paraId="352C37BA" w14:textId="77777777" w:rsidR="001A3155" w:rsidRPr="00CB1E00" w:rsidRDefault="001A3155" w:rsidP="00CB1E00">
            <w:pPr>
              <w:pStyle w:val="TableBody"/>
            </w:pPr>
            <w:r w:rsidRPr="00CB1E00">
              <w:t>14 years to less than 15 years</w:t>
            </w:r>
          </w:p>
        </w:tc>
        <w:tc>
          <w:tcPr>
            <w:tcW w:w="1050" w:type="pct"/>
            <w:noWrap/>
            <w:hideMark/>
          </w:tcPr>
          <w:p w14:paraId="3F157D0F" w14:textId="77777777" w:rsidR="001A3155" w:rsidRPr="00CB1E00" w:rsidRDefault="001A3155" w:rsidP="00CB1E00">
            <w:pPr>
              <w:pStyle w:val="TableBody"/>
            </w:pPr>
            <w:r w:rsidRPr="00CB1E00">
              <w:t>106</w:t>
            </w:r>
          </w:p>
        </w:tc>
      </w:tr>
      <w:tr w:rsidR="001A3155" w:rsidRPr="00CB1E00" w14:paraId="5535D398" w14:textId="77777777" w:rsidTr="00CB1E00">
        <w:trPr>
          <w:trHeight w:val="288"/>
        </w:trPr>
        <w:tc>
          <w:tcPr>
            <w:tcW w:w="3950" w:type="pct"/>
            <w:noWrap/>
            <w:hideMark/>
          </w:tcPr>
          <w:p w14:paraId="5715CFAC" w14:textId="77777777" w:rsidR="001A3155" w:rsidRPr="00CB1E00" w:rsidRDefault="001A3155" w:rsidP="00CB1E00">
            <w:pPr>
              <w:pStyle w:val="TableBody"/>
            </w:pPr>
            <w:r w:rsidRPr="00CB1E00">
              <w:t>15 years to less than 16 years</w:t>
            </w:r>
          </w:p>
        </w:tc>
        <w:tc>
          <w:tcPr>
            <w:tcW w:w="1050" w:type="pct"/>
            <w:noWrap/>
            <w:hideMark/>
          </w:tcPr>
          <w:p w14:paraId="75804722" w14:textId="77777777" w:rsidR="001A3155" w:rsidRPr="00CB1E00" w:rsidRDefault="001A3155" w:rsidP="00CB1E00">
            <w:pPr>
              <w:pStyle w:val="TableBody"/>
            </w:pPr>
            <w:r w:rsidRPr="00CB1E00">
              <w:t>83</w:t>
            </w:r>
          </w:p>
        </w:tc>
      </w:tr>
      <w:tr w:rsidR="001A3155" w:rsidRPr="00CB1E00" w14:paraId="5C0BEB21" w14:textId="77777777" w:rsidTr="00CB1E00">
        <w:trPr>
          <w:trHeight w:val="288"/>
        </w:trPr>
        <w:tc>
          <w:tcPr>
            <w:tcW w:w="3950" w:type="pct"/>
            <w:noWrap/>
            <w:hideMark/>
          </w:tcPr>
          <w:p w14:paraId="0D034BF5" w14:textId="77777777" w:rsidR="001A3155" w:rsidRPr="00CB1E00" w:rsidRDefault="001A3155" w:rsidP="00CB1E00">
            <w:pPr>
              <w:pStyle w:val="TableBody"/>
            </w:pPr>
            <w:r w:rsidRPr="00CB1E00">
              <w:t>16 years to less than 17 years</w:t>
            </w:r>
          </w:p>
        </w:tc>
        <w:tc>
          <w:tcPr>
            <w:tcW w:w="1050" w:type="pct"/>
            <w:noWrap/>
            <w:hideMark/>
          </w:tcPr>
          <w:p w14:paraId="6B66A66F" w14:textId="77777777" w:rsidR="001A3155" w:rsidRPr="00CB1E00" w:rsidRDefault="001A3155" w:rsidP="00CB1E00">
            <w:pPr>
              <w:pStyle w:val="TableBody"/>
            </w:pPr>
            <w:r w:rsidRPr="00CB1E00">
              <w:t>62</w:t>
            </w:r>
          </w:p>
        </w:tc>
      </w:tr>
      <w:tr w:rsidR="001A3155" w:rsidRPr="00CB1E00" w14:paraId="45AFABF6" w14:textId="77777777" w:rsidTr="00CB1E00">
        <w:trPr>
          <w:trHeight w:val="288"/>
        </w:trPr>
        <w:tc>
          <w:tcPr>
            <w:tcW w:w="3950" w:type="pct"/>
            <w:noWrap/>
            <w:hideMark/>
          </w:tcPr>
          <w:p w14:paraId="5048461A" w14:textId="77777777" w:rsidR="001A3155" w:rsidRPr="00CB1E00" w:rsidRDefault="001A3155" w:rsidP="00CB1E00">
            <w:pPr>
              <w:pStyle w:val="TableBody"/>
            </w:pPr>
            <w:r w:rsidRPr="00CB1E00">
              <w:t>17 years to less than 18 years</w:t>
            </w:r>
          </w:p>
        </w:tc>
        <w:tc>
          <w:tcPr>
            <w:tcW w:w="1050" w:type="pct"/>
            <w:noWrap/>
            <w:hideMark/>
          </w:tcPr>
          <w:p w14:paraId="3649BBA0" w14:textId="77777777" w:rsidR="001A3155" w:rsidRPr="00CB1E00" w:rsidRDefault="001A3155" w:rsidP="00CB1E00">
            <w:pPr>
              <w:pStyle w:val="TableBody"/>
            </w:pPr>
            <w:r w:rsidRPr="00CB1E00">
              <w:t>39</w:t>
            </w:r>
          </w:p>
        </w:tc>
      </w:tr>
      <w:tr w:rsidR="001A3155" w:rsidRPr="00CB1E00" w14:paraId="390D6F2D" w14:textId="77777777" w:rsidTr="00CB1E00">
        <w:trPr>
          <w:trHeight w:val="288"/>
        </w:trPr>
        <w:tc>
          <w:tcPr>
            <w:tcW w:w="3950" w:type="pct"/>
            <w:noWrap/>
            <w:hideMark/>
          </w:tcPr>
          <w:p w14:paraId="7F64D71A" w14:textId="77777777" w:rsidR="001A3155" w:rsidRPr="00CB1E00" w:rsidRDefault="001A3155" w:rsidP="00CB1E00">
            <w:pPr>
              <w:pStyle w:val="TableBody"/>
            </w:pPr>
            <w:r w:rsidRPr="00CB1E00">
              <w:t>18 years to less than 19 years</w:t>
            </w:r>
          </w:p>
        </w:tc>
        <w:tc>
          <w:tcPr>
            <w:tcW w:w="1050" w:type="pct"/>
            <w:noWrap/>
            <w:hideMark/>
          </w:tcPr>
          <w:p w14:paraId="4BC754CF" w14:textId="77777777" w:rsidR="001A3155" w:rsidRPr="00CB1E00" w:rsidRDefault="001A3155" w:rsidP="00CB1E00">
            <w:pPr>
              <w:pStyle w:val="TableBody"/>
            </w:pPr>
            <w:r w:rsidRPr="00CB1E00">
              <w:t>77</w:t>
            </w:r>
          </w:p>
        </w:tc>
      </w:tr>
      <w:tr w:rsidR="001A3155" w:rsidRPr="00CB1E00" w14:paraId="2EFE541B" w14:textId="77777777" w:rsidTr="00CB1E00">
        <w:trPr>
          <w:trHeight w:val="288"/>
        </w:trPr>
        <w:tc>
          <w:tcPr>
            <w:tcW w:w="3950" w:type="pct"/>
            <w:noWrap/>
            <w:hideMark/>
          </w:tcPr>
          <w:p w14:paraId="536EF35A" w14:textId="77777777" w:rsidR="001A3155" w:rsidRPr="00CB1E00" w:rsidRDefault="001A3155" w:rsidP="00CB1E00">
            <w:pPr>
              <w:pStyle w:val="TableBody"/>
            </w:pPr>
            <w:r w:rsidRPr="00CB1E00">
              <w:t>19 years to less than 20 years</w:t>
            </w:r>
          </w:p>
        </w:tc>
        <w:tc>
          <w:tcPr>
            <w:tcW w:w="1050" w:type="pct"/>
            <w:noWrap/>
            <w:hideMark/>
          </w:tcPr>
          <w:p w14:paraId="1F2379A4" w14:textId="77777777" w:rsidR="001A3155" w:rsidRPr="00CB1E00" w:rsidRDefault="001A3155" w:rsidP="00CB1E00">
            <w:pPr>
              <w:pStyle w:val="TableBody"/>
            </w:pPr>
            <w:r w:rsidRPr="00CB1E00">
              <w:t>45</w:t>
            </w:r>
          </w:p>
        </w:tc>
      </w:tr>
      <w:tr w:rsidR="001A3155" w:rsidRPr="00CB1E00" w14:paraId="171E8EB8" w14:textId="77777777" w:rsidTr="00CB1E00">
        <w:trPr>
          <w:trHeight w:val="288"/>
        </w:trPr>
        <w:tc>
          <w:tcPr>
            <w:tcW w:w="3950" w:type="pct"/>
            <w:noWrap/>
            <w:hideMark/>
          </w:tcPr>
          <w:p w14:paraId="6DED6D3E" w14:textId="77777777" w:rsidR="001A3155" w:rsidRPr="00CB1E00" w:rsidRDefault="001A3155" w:rsidP="00CB1E00">
            <w:pPr>
              <w:pStyle w:val="TableBody"/>
            </w:pPr>
            <w:r w:rsidRPr="00CB1E00">
              <w:t>20 years to less than 21 years</w:t>
            </w:r>
          </w:p>
        </w:tc>
        <w:tc>
          <w:tcPr>
            <w:tcW w:w="1050" w:type="pct"/>
            <w:noWrap/>
            <w:hideMark/>
          </w:tcPr>
          <w:p w14:paraId="7080C550" w14:textId="77777777" w:rsidR="001A3155" w:rsidRPr="00CB1E00" w:rsidRDefault="001A3155" w:rsidP="00CB1E00">
            <w:pPr>
              <w:pStyle w:val="TableBody"/>
            </w:pPr>
            <w:r w:rsidRPr="00CB1E00">
              <w:t>53</w:t>
            </w:r>
          </w:p>
        </w:tc>
      </w:tr>
      <w:tr w:rsidR="001A3155" w:rsidRPr="00CB1E00" w14:paraId="645E02C3" w14:textId="77777777" w:rsidTr="00CB1E00">
        <w:trPr>
          <w:trHeight w:val="288"/>
        </w:trPr>
        <w:tc>
          <w:tcPr>
            <w:tcW w:w="3950" w:type="pct"/>
            <w:noWrap/>
            <w:hideMark/>
          </w:tcPr>
          <w:p w14:paraId="0A55D7AD" w14:textId="77777777" w:rsidR="001A3155" w:rsidRPr="00CB1E00" w:rsidRDefault="001A3155" w:rsidP="00CB1E00">
            <w:pPr>
              <w:pStyle w:val="TableBody"/>
            </w:pPr>
            <w:r w:rsidRPr="00CB1E00">
              <w:t>21 years to less than 22 years</w:t>
            </w:r>
          </w:p>
        </w:tc>
        <w:tc>
          <w:tcPr>
            <w:tcW w:w="1050" w:type="pct"/>
            <w:noWrap/>
            <w:hideMark/>
          </w:tcPr>
          <w:p w14:paraId="41152CA1" w14:textId="77777777" w:rsidR="001A3155" w:rsidRPr="00CB1E00" w:rsidRDefault="001A3155" w:rsidP="00CB1E00">
            <w:pPr>
              <w:pStyle w:val="TableBody"/>
            </w:pPr>
            <w:r w:rsidRPr="00CB1E00">
              <w:t>35</w:t>
            </w:r>
          </w:p>
        </w:tc>
      </w:tr>
      <w:tr w:rsidR="001A3155" w:rsidRPr="00CB1E00" w14:paraId="7CABD2FA" w14:textId="77777777" w:rsidTr="00CB1E00">
        <w:trPr>
          <w:trHeight w:val="288"/>
        </w:trPr>
        <w:tc>
          <w:tcPr>
            <w:tcW w:w="3950" w:type="pct"/>
            <w:noWrap/>
            <w:hideMark/>
          </w:tcPr>
          <w:p w14:paraId="059CF0B9" w14:textId="77777777" w:rsidR="001A3155" w:rsidRPr="00CB1E00" w:rsidRDefault="001A3155" w:rsidP="00CB1E00">
            <w:pPr>
              <w:pStyle w:val="TableBody"/>
            </w:pPr>
            <w:r w:rsidRPr="00CB1E00">
              <w:t>22 years to less than 23 years</w:t>
            </w:r>
          </w:p>
        </w:tc>
        <w:tc>
          <w:tcPr>
            <w:tcW w:w="1050" w:type="pct"/>
            <w:noWrap/>
            <w:hideMark/>
          </w:tcPr>
          <w:p w14:paraId="7FF1DCAD" w14:textId="77777777" w:rsidR="001A3155" w:rsidRPr="00CB1E00" w:rsidRDefault="001A3155" w:rsidP="00CB1E00">
            <w:pPr>
              <w:pStyle w:val="TableBody"/>
            </w:pPr>
            <w:r w:rsidRPr="00CB1E00">
              <w:t>40</w:t>
            </w:r>
          </w:p>
        </w:tc>
      </w:tr>
      <w:tr w:rsidR="001A3155" w:rsidRPr="00CB1E00" w14:paraId="77E2458E" w14:textId="77777777" w:rsidTr="00CB1E00">
        <w:trPr>
          <w:trHeight w:val="288"/>
        </w:trPr>
        <w:tc>
          <w:tcPr>
            <w:tcW w:w="3950" w:type="pct"/>
            <w:noWrap/>
            <w:hideMark/>
          </w:tcPr>
          <w:p w14:paraId="66C9C405" w14:textId="77777777" w:rsidR="001A3155" w:rsidRPr="00CB1E00" w:rsidRDefault="001A3155" w:rsidP="00CB1E00">
            <w:pPr>
              <w:pStyle w:val="TableBody"/>
            </w:pPr>
            <w:r w:rsidRPr="00CB1E00">
              <w:t>23 years to less than 24 years</w:t>
            </w:r>
          </w:p>
        </w:tc>
        <w:tc>
          <w:tcPr>
            <w:tcW w:w="1050" w:type="pct"/>
            <w:noWrap/>
            <w:hideMark/>
          </w:tcPr>
          <w:p w14:paraId="490FA2B8" w14:textId="77777777" w:rsidR="001A3155" w:rsidRPr="00CB1E00" w:rsidRDefault="001A3155" w:rsidP="00CB1E00">
            <w:pPr>
              <w:pStyle w:val="TableBody"/>
            </w:pPr>
            <w:r w:rsidRPr="00CB1E00">
              <w:t>28</w:t>
            </w:r>
          </w:p>
        </w:tc>
      </w:tr>
      <w:tr w:rsidR="001A3155" w:rsidRPr="00CB1E00" w14:paraId="45004D9F" w14:textId="77777777" w:rsidTr="00CB1E00">
        <w:trPr>
          <w:trHeight w:val="288"/>
        </w:trPr>
        <w:tc>
          <w:tcPr>
            <w:tcW w:w="3950" w:type="pct"/>
            <w:noWrap/>
            <w:hideMark/>
          </w:tcPr>
          <w:p w14:paraId="3E935B30" w14:textId="77777777" w:rsidR="001A3155" w:rsidRPr="00CB1E00" w:rsidRDefault="001A3155" w:rsidP="00CB1E00">
            <w:pPr>
              <w:pStyle w:val="TableBody"/>
            </w:pPr>
            <w:r w:rsidRPr="00CB1E00">
              <w:lastRenderedPageBreak/>
              <w:t>24 years to less than 25 years</w:t>
            </w:r>
          </w:p>
        </w:tc>
        <w:tc>
          <w:tcPr>
            <w:tcW w:w="1050" w:type="pct"/>
            <w:noWrap/>
            <w:hideMark/>
          </w:tcPr>
          <w:p w14:paraId="2ABA37ED" w14:textId="77777777" w:rsidR="001A3155" w:rsidRPr="00CB1E00" w:rsidRDefault="001A3155" w:rsidP="00CB1E00">
            <w:pPr>
              <w:pStyle w:val="TableBody"/>
            </w:pPr>
            <w:r w:rsidRPr="00CB1E00">
              <w:t>32</w:t>
            </w:r>
          </w:p>
        </w:tc>
      </w:tr>
      <w:tr w:rsidR="001A3155" w:rsidRPr="00CB1E00" w14:paraId="2ECD1452" w14:textId="77777777" w:rsidTr="00CB1E00">
        <w:trPr>
          <w:trHeight w:val="288"/>
        </w:trPr>
        <w:tc>
          <w:tcPr>
            <w:tcW w:w="3950" w:type="pct"/>
            <w:noWrap/>
            <w:hideMark/>
          </w:tcPr>
          <w:p w14:paraId="37AEB463" w14:textId="77777777" w:rsidR="001A3155" w:rsidRPr="00CB1E00" w:rsidRDefault="001A3155" w:rsidP="00CB1E00">
            <w:pPr>
              <w:pStyle w:val="TableBody"/>
            </w:pPr>
            <w:r w:rsidRPr="00CB1E00">
              <w:t>More than 25 years</w:t>
            </w:r>
          </w:p>
        </w:tc>
        <w:tc>
          <w:tcPr>
            <w:tcW w:w="1050" w:type="pct"/>
            <w:noWrap/>
            <w:hideMark/>
          </w:tcPr>
          <w:p w14:paraId="468671EB" w14:textId="77777777" w:rsidR="001A3155" w:rsidRPr="00CB1E00" w:rsidRDefault="001A3155" w:rsidP="00CB1E00">
            <w:pPr>
              <w:pStyle w:val="TableBody"/>
            </w:pPr>
            <w:r w:rsidRPr="00CB1E00">
              <w:t>101</w:t>
            </w:r>
          </w:p>
        </w:tc>
      </w:tr>
      <w:tr w:rsidR="001A3155" w:rsidRPr="00CB1E00" w14:paraId="3D6A1559" w14:textId="77777777" w:rsidTr="00CB1E00">
        <w:trPr>
          <w:trHeight w:val="288"/>
        </w:trPr>
        <w:tc>
          <w:tcPr>
            <w:tcW w:w="3950" w:type="pct"/>
            <w:noWrap/>
            <w:hideMark/>
          </w:tcPr>
          <w:p w14:paraId="0C91605D" w14:textId="77777777" w:rsidR="001A3155" w:rsidRPr="00CB1E00" w:rsidRDefault="001A3155" w:rsidP="00CB1E00">
            <w:pPr>
              <w:pStyle w:val="TableBody"/>
            </w:pPr>
            <w:r w:rsidRPr="00CB1E00">
              <w:t>Life imprisonment</w:t>
            </w:r>
          </w:p>
        </w:tc>
        <w:tc>
          <w:tcPr>
            <w:tcW w:w="1050" w:type="pct"/>
            <w:noWrap/>
            <w:hideMark/>
          </w:tcPr>
          <w:p w14:paraId="63C2A613" w14:textId="77777777" w:rsidR="001A3155" w:rsidRPr="00CB1E00" w:rsidRDefault="001A3155" w:rsidP="00CB1E00">
            <w:pPr>
              <w:pStyle w:val="TableBody"/>
            </w:pPr>
            <w:r w:rsidRPr="00CB1E00">
              <w:t>44</w:t>
            </w:r>
          </w:p>
        </w:tc>
      </w:tr>
    </w:tbl>
    <w:p w14:paraId="43163175" w14:textId="77777777" w:rsidR="00A4454A" w:rsidRPr="008C1137" w:rsidRDefault="00A4454A" w:rsidP="00D4532A">
      <w:r w:rsidRPr="000C258A">
        <w:rPr>
          <w:rStyle w:val="Strong"/>
        </w:rPr>
        <w:t>Source</w:t>
      </w:r>
      <w:r w:rsidRPr="008C1137">
        <w:t>: Court Services Victoria, unpublished data</w:t>
      </w:r>
    </w:p>
    <w:p w14:paraId="45742993" w14:textId="77777777" w:rsidR="00A4454A" w:rsidRPr="008C1137" w:rsidRDefault="00A4454A" w:rsidP="0002476E">
      <w:pPr>
        <w:pStyle w:val="Heading2"/>
      </w:pPr>
      <w:r w:rsidRPr="008C1137">
        <w:t>Most serious offence committed by people receiving a custodial sentence</w:t>
      </w:r>
    </w:p>
    <w:p w14:paraId="146BD59B" w14:textId="77777777" w:rsidR="00A4454A" w:rsidRPr="008C1137" w:rsidRDefault="00A4454A" w:rsidP="00210207">
      <w:pPr>
        <w:pStyle w:val="Numbered"/>
      </w:pPr>
      <w:r w:rsidRPr="008C1137">
        <w:t>Using court data, this section examines the principal offence type (most serious offence) committed by people receiving a custodial sentence. The principal offence is the offence that received the most severe sentence in a case (for example, the longest prison sentence). If more than one offence received the most severe sentence in a case, the principal offence is determined using the National Offence Index,</w:t>
      </w:r>
      <w:r w:rsidRPr="008C1137">
        <w:rPr>
          <w:rStyle w:val="Superscript"/>
        </w:rPr>
        <w:footnoteReference w:id="97"/>
      </w:r>
      <w:r w:rsidRPr="008C1137">
        <w:t xml:space="preserve"> which ranks the seriousness of offence groups across Australian jurisdictions. The offence types are grouped into six offence categories (person, property, drug, public order, justice procedure and other). The principal offence in a case is usually the primary driver behind the type and length of sentence imposed in a case, thereby providing a useful insight into which offences are contributing most to Victoria’s sentenced prisoner population. </w:t>
      </w:r>
    </w:p>
    <w:p w14:paraId="07EE4FB0" w14:textId="77777777" w:rsidR="00A4454A" w:rsidRPr="008C1137" w:rsidRDefault="00A4454A" w:rsidP="0002476E">
      <w:pPr>
        <w:pStyle w:val="Heading3"/>
      </w:pPr>
      <w:r w:rsidRPr="008C1137">
        <w:t xml:space="preserve">Most serious offences in the Magistrates’ Court </w:t>
      </w:r>
    </w:p>
    <w:p w14:paraId="5C73C523" w14:textId="46968FBD" w:rsidR="00A4454A" w:rsidRPr="008C1137" w:rsidRDefault="00A4454A" w:rsidP="00210207">
      <w:pPr>
        <w:pStyle w:val="Numbered"/>
      </w:pPr>
      <w:r w:rsidRPr="008C1137">
        <w:t>Figure 19</w:t>
      </w:r>
      <w:r w:rsidR="009E33A5">
        <w:t xml:space="preserve"> </w:t>
      </w:r>
      <w:r w:rsidRPr="008C1137">
        <w:t xml:space="preserve">shows the number of cases where an offender received a custodial sentence in the Magistrates’ Court in the 20 years to 30 June 2024, and the offence category for the principal offence in the case. Multiple offence types seem to have contributed to the 43% increase in custodial sentences imposed in the Magistrates’ Court (see Figure 12), especially: </w:t>
      </w:r>
    </w:p>
    <w:p w14:paraId="605EC460" w14:textId="77777777" w:rsidR="00A4454A" w:rsidRPr="008C1137" w:rsidRDefault="00A4454A" w:rsidP="008C1137">
      <w:pPr>
        <w:pStyle w:val="Bullets"/>
      </w:pPr>
      <w:r w:rsidRPr="003B3217">
        <w:rPr>
          <w:rStyle w:val="Italic"/>
        </w:rPr>
        <w:lastRenderedPageBreak/>
        <w:t>offences against the person</w:t>
      </w:r>
      <w:r w:rsidRPr="008C1137">
        <w:t>, which almost quadrupled between 2004–05 and 2018–19 (from 1,003 to 3,750 cases), overtaking property offences as the most common offence category receiving a custodial sentence in 2013–14. While there has been a decline since then, the number is still almost triple what it was 20 years ago (at 2,756 cases)</w:t>
      </w:r>
    </w:p>
    <w:p w14:paraId="2EA08FF6" w14:textId="77777777" w:rsidR="00A4454A" w:rsidRPr="008C1137" w:rsidRDefault="00A4454A" w:rsidP="008C1137">
      <w:pPr>
        <w:pStyle w:val="Bullets"/>
      </w:pPr>
      <w:r w:rsidRPr="003B3217">
        <w:rPr>
          <w:rStyle w:val="Italic"/>
        </w:rPr>
        <w:t>public order</w:t>
      </w:r>
      <w:r w:rsidRPr="008C1137">
        <w:t xml:space="preserve"> offences, which increased fivefold between 2004–05 and 2018–19 (from 166 to 886 cases), before declining to 524 cases in 2023–24 and</w:t>
      </w:r>
    </w:p>
    <w:p w14:paraId="60BF9839" w14:textId="77777777" w:rsidR="00A4454A" w:rsidRPr="008C1137" w:rsidRDefault="00A4454A" w:rsidP="008C1137">
      <w:pPr>
        <w:pStyle w:val="Bullets"/>
      </w:pPr>
      <w:r w:rsidRPr="003B3217">
        <w:rPr>
          <w:rStyle w:val="Italic"/>
        </w:rPr>
        <w:t>justice procedure</w:t>
      </w:r>
      <w:r w:rsidRPr="008C1137">
        <w:t xml:space="preserve"> offences, which increased almost sevenfold between 2004–05 and 2018–19 (from 149 to 992 cases), before declining to 639 cases in 2023–24.</w:t>
      </w:r>
    </w:p>
    <w:p w14:paraId="4D7B56BF" w14:textId="77777777" w:rsidR="00697F1E" w:rsidRPr="008C1137" w:rsidRDefault="00697F1E" w:rsidP="00BE4EDC">
      <w:pPr>
        <w:pStyle w:val="Caption"/>
      </w:pPr>
      <w:r w:rsidRPr="00157502">
        <w:t>Figure 19</w:t>
      </w:r>
      <w:r w:rsidRPr="008C1137">
        <w:t>: Number of cases receiving a custodial sentence in the Magistrates’ Court, by category of principal offence in the case, 2004–05 to 2023–24</w:t>
      </w:r>
    </w:p>
    <w:tbl>
      <w:tblPr>
        <w:tblStyle w:val="Table"/>
        <w:tblW w:w="5071" w:type="pct"/>
        <w:tblLayout w:type="fixed"/>
        <w:tblLook w:val="04A0" w:firstRow="1" w:lastRow="0" w:firstColumn="1" w:lastColumn="0" w:noHBand="0" w:noVBand="1"/>
      </w:tblPr>
      <w:tblGrid>
        <w:gridCol w:w="1288"/>
        <w:gridCol w:w="1290"/>
        <w:gridCol w:w="1289"/>
        <w:gridCol w:w="1417"/>
        <w:gridCol w:w="1289"/>
        <w:gridCol w:w="1289"/>
        <w:gridCol w:w="1282"/>
      </w:tblGrid>
      <w:tr w:rsidR="00316A6F" w:rsidRPr="0095539A" w14:paraId="2AF9E9DE" w14:textId="77777777" w:rsidTr="00324052">
        <w:trPr>
          <w:trHeight w:val="288"/>
          <w:tblHeader/>
        </w:trPr>
        <w:tc>
          <w:tcPr>
            <w:tcW w:w="704" w:type="pct"/>
            <w:noWrap/>
            <w:hideMark/>
          </w:tcPr>
          <w:p w14:paraId="1B9ACC27" w14:textId="77777777" w:rsidR="00316A6F" w:rsidRPr="0095539A" w:rsidRDefault="00316A6F" w:rsidP="0095539A">
            <w:pPr>
              <w:pStyle w:val="TableHeading"/>
            </w:pPr>
            <w:r w:rsidRPr="0095539A">
              <w:t>Financial year</w:t>
            </w:r>
          </w:p>
        </w:tc>
        <w:tc>
          <w:tcPr>
            <w:tcW w:w="705" w:type="pct"/>
            <w:noWrap/>
            <w:hideMark/>
          </w:tcPr>
          <w:p w14:paraId="1C96C026" w14:textId="77777777" w:rsidR="00316A6F" w:rsidRPr="0095539A" w:rsidRDefault="00316A6F" w:rsidP="0095539A">
            <w:pPr>
              <w:pStyle w:val="TableHeading"/>
            </w:pPr>
            <w:r w:rsidRPr="0095539A">
              <w:t>Person</w:t>
            </w:r>
          </w:p>
        </w:tc>
        <w:tc>
          <w:tcPr>
            <w:tcW w:w="705" w:type="pct"/>
            <w:noWrap/>
            <w:hideMark/>
          </w:tcPr>
          <w:p w14:paraId="5E562C52" w14:textId="77777777" w:rsidR="00316A6F" w:rsidRPr="0095539A" w:rsidRDefault="00316A6F" w:rsidP="0095539A">
            <w:pPr>
              <w:pStyle w:val="TableHeading"/>
            </w:pPr>
            <w:r w:rsidRPr="0095539A">
              <w:t>Property</w:t>
            </w:r>
          </w:p>
        </w:tc>
        <w:tc>
          <w:tcPr>
            <w:tcW w:w="775" w:type="pct"/>
            <w:noWrap/>
            <w:hideMark/>
          </w:tcPr>
          <w:p w14:paraId="2AEF40AC" w14:textId="77777777" w:rsidR="00316A6F" w:rsidRPr="0095539A" w:rsidRDefault="00316A6F" w:rsidP="0095539A">
            <w:pPr>
              <w:pStyle w:val="TableHeading"/>
            </w:pPr>
            <w:r w:rsidRPr="0095539A">
              <w:t>Justice procedure</w:t>
            </w:r>
          </w:p>
        </w:tc>
        <w:tc>
          <w:tcPr>
            <w:tcW w:w="705" w:type="pct"/>
            <w:noWrap/>
            <w:hideMark/>
          </w:tcPr>
          <w:p w14:paraId="3790DC21" w14:textId="77777777" w:rsidR="00316A6F" w:rsidRPr="0095539A" w:rsidRDefault="00316A6F" w:rsidP="0095539A">
            <w:pPr>
              <w:pStyle w:val="TableHeading"/>
            </w:pPr>
            <w:r w:rsidRPr="0095539A">
              <w:t>Public order</w:t>
            </w:r>
          </w:p>
        </w:tc>
        <w:tc>
          <w:tcPr>
            <w:tcW w:w="705" w:type="pct"/>
            <w:noWrap/>
            <w:hideMark/>
          </w:tcPr>
          <w:p w14:paraId="4B59A911" w14:textId="77777777" w:rsidR="00316A6F" w:rsidRPr="0095539A" w:rsidRDefault="00316A6F" w:rsidP="0095539A">
            <w:pPr>
              <w:pStyle w:val="TableHeading"/>
            </w:pPr>
            <w:r w:rsidRPr="0095539A">
              <w:t>Drug</w:t>
            </w:r>
          </w:p>
        </w:tc>
        <w:tc>
          <w:tcPr>
            <w:tcW w:w="702" w:type="pct"/>
            <w:noWrap/>
            <w:hideMark/>
          </w:tcPr>
          <w:p w14:paraId="49B7CB2A" w14:textId="77777777" w:rsidR="00316A6F" w:rsidRPr="0095539A" w:rsidRDefault="00316A6F" w:rsidP="0095539A">
            <w:pPr>
              <w:pStyle w:val="TableHeading"/>
            </w:pPr>
            <w:r w:rsidRPr="0095539A">
              <w:t>Other</w:t>
            </w:r>
          </w:p>
        </w:tc>
      </w:tr>
      <w:tr w:rsidR="00316A6F" w:rsidRPr="0095539A" w14:paraId="754A6E94" w14:textId="77777777" w:rsidTr="00324052">
        <w:trPr>
          <w:trHeight w:val="288"/>
        </w:trPr>
        <w:tc>
          <w:tcPr>
            <w:tcW w:w="704" w:type="pct"/>
            <w:noWrap/>
            <w:hideMark/>
          </w:tcPr>
          <w:p w14:paraId="508DBACC" w14:textId="77777777" w:rsidR="00316A6F" w:rsidRPr="0095539A" w:rsidRDefault="00316A6F" w:rsidP="0095539A">
            <w:pPr>
              <w:pStyle w:val="TableBody"/>
            </w:pPr>
            <w:r w:rsidRPr="0095539A">
              <w:t>2004-05</w:t>
            </w:r>
          </w:p>
        </w:tc>
        <w:tc>
          <w:tcPr>
            <w:tcW w:w="705" w:type="pct"/>
            <w:noWrap/>
            <w:hideMark/>
          </w:tcPr>
          <w:p w14:paraId="6843F315" w14:textId="77777777" w:rsidR="00316A6F" w:rsidRPr="0095539A" w:rsidRDefault="00316A6F" w:rsidP="0095539A">
            <w:pPr>
              <w:pStyle w:val="TableBody"/>
            </w:pPr>
            <w:r w:rsidRPr="0095539A">
              <w:t>1,003</w:t>
            </w:r>
          </w:p>
        </w:tc>
        <w:tc>
          <w:tcPr>
            <w:tcW w:w="705" w:type="pct"/>
            <w:noWrap/>
            <w:hideMark/>
          </w:tcPr>
          <w:p w14:paraId="11D157B4" w14:textId="77777777" w:rsidR="00316A6F" w:rsidRPr="0095539A" w:rsidRDefault="00316A6F" w:rsidP="0095539A">
            <w:pPr>
              <w:pStyle w:val="TableBody"/>
            </w:pPr>
            <w:r w:rsidRPr="0095539A">
              <w:t>2,022</w:t>
            </w:r>
          </w:p>
        </w:tc>
        <w:tc>
          <w:tcPr>
            <w:tcW w:w="775" w:type="pct"/>
            <w:noWrap/>
            <w:hideMark/>
          </w:tcPr>
          <w:p w14:paraId="271E5D86" w14:textId="77777777" w:rsidR="00316A6F" w:rsidRPr="0095539A" w:rsidRDefault="00316A6F" w:rsidP="0095539A">
            <w:pPr>
              <w:pStyle w:val="TableBody"/>
            </w:pPr>
            <w:r w:rsidRPr="0095539A">
              <w:t>149</w:t>
            </w:r>
          </w:p>
        </w:tc>
        <w:tc>
          <w:tcPr>
            <w:tcW w:w="705" w:type="pct"/>
            <w:noWrap/>
            <w:hideMark/>
          </w:tcPr>
          <w:p w14:paraId="52F69BF2" w14:textId="77777777" w:rsidR="00316A6F" w:rsidRPr="0095539A" w:rsidRDefault="00316A6F" w:rsidP="0095539A">
            <w:pPr>
              <w:pStyle w:val="TableBody"/>
            </w:pPr>
            <w:r w:rsidRPr="0095539A">
              <w:t>166</w:t>
            </w:r>
          </w:p>
        </w:tc>
        <w:tc>
          <w:tcPr>
            <w:tcW w:w="705" w:type="pct"/>
            <w:noWrap/>
            <w:hideMark/>
          </w:tcPr>
          <w:p w14:paraId="59C96A94" w14:textId="77777777" w:rsidR="00316A6F" w:rsidRPr="0095539A" w:rsidRDefault="00316A6F" w:rsidP="0095539A">
            <w:pPr>
              <w:pStyle w:val="TableBody"/>
            </w:pPr>
            <w:r w:rsidRPr="0095539A">
              <w:t>309</w:t>
            </w:r>
          </w:p>
        </w:tc>
        <w:tc>
          <w:tcPr>
            <w:tcW w:w="702" w:type="pct"/>
            <w:noWrap/>
            <w:hideMark/>
          </w:tcPr>
          <w:p w14:paraId="1F0A9D8A" w14:textId="77777777" w:rsidR="00316A6F" w:rsidRPr="0095539A" w:rsidRDefault="00316A6F" w:rsidP="0095539A">
            <w:pPr>
              <w:pStyle w:val="TableBody"/>
            </w:pPr>
            <w:r w:rsidRPr="0095539A">
              <w:t>627</w:t>
            </w:r>
          </w:p>
        </w:tc>
      </w:tr>
      <w:tr w:rsidR="00316A6F" w:rsidRPr="0095539A" w14:paraId="7657C3F8" w14:textId="77777777" w:rsidTr="00324052">
        <w:trPr>
          <w:trHeight w:val="288"/>
        </w:trPr>
        <w:tc>
          <w:tcPr>
            <w:tcW w:w="704" w:type="pct"/>
            <w:noWrap/>
            <w:hideMark/>
          </w:tcPr>
          <w:p w14:paraId="43810D7D" w14:textId="77777777" w:rsidR="00316A6F" w:rsidRPr="0095539A" w:rsidRDefault="00316A6F" w:rsidP="0095539A">
            <w:pPr>
              <w:pStyle w:val="TableBody"/>
            </w:pPr>
            <w:r w:rsidRPr="0095539A">
              <w:t>2005-06</w:t>
            </w:r>
          </w:p>
        </w:tc>
        <w:tc>
          <w:tcPr>
            <w:tcW w:w="705" w:type="pct"/>
            <w:noWrap/>
            <w:hideMark/>
          </w:tcPr>
          <w:p w14:paraId="48EF59A3" w14:textId="77777777" w:rsidR="00316A6F" w:rsidRPr="0095539A" w:rsidRDefault="00316A6F" w:rsidP="0095539A">
            <w:pPr>
              <w:pStyle w:val="TableBody"/>
            </w:pPr>
            <w:r w:rsidRPr="0095539A">
              <w:t>1,022</w:t>
            </w:r>
          </w:p>
        </w:tc>
        <w:tc>
          <w:tcPr>
            <w:tcW w:w="705" w:type="pct"/>
            <w:noWrap/>
            <w:hideMark/>
          </w:tcPr>
          <w:p w14:paraId="214EAB44" w14:textId="77777777" w:rsidR="00316A6F" w:rsidRPr="0095539A" w:rsidRDefault="00316A6F" w:rsidP="0095539A">
            <w:pPr>
              <w:pStyle w:val="TableBody"/>
            </w:pPr>
            <w:r w:rsidRPr="0095539A">
              <w:t>1,926</w:t>
            </w:r>
          </w:p>
        </w:tc>
        <w:tc>
          <w:tcPr>
            <w:tcW w:w="775" w:type="pct"/>
            <w:noWrap/>
            <w:hideMark/>
          </w:tcPr>
          <w:p w14:paraId="620D1C81" w14:textId="77777777" w:rsidR="00316A6F" w:rsidRPr="0095539A" w:rsidRDefault="00316A6F" w:rsidP="0095539A">
            <w:pPr>
              <w:pStyle w:val="TableBody"/>
            </w:pPr>
            <w:r w:rsidRPr="0095539A">
              <w:t>140</w:t>
            </w:r>
          </w:p>
        </w:tc>
        <w:tc>
          <w:tcPr>
            <w:tcW w:w="705" w:type="pct"/>
            <w:noWrap/>
            <w:hideMark/>
          </w:tcPr>
          <w:p w14:paraId="2C0B61AC" w14:textId="77777777" w:rsidR="00316A6F" w:rsidRPr="0095539A" w:rsidRDefault="00316A6F" w:rsidP="0095539A">
            <w:pPr>
              <w:pStyle w:val="TableBody"/>
            </w:pPr>
            <w:r w:rsidRPr="0095539A">
              <w:t>192</w:t>
            </w:r>
          </w:p>
        </w:tc>
        <w:tc>
          <w:tcPr>
            <w:tcW w:w="705" w:type="pct"/>
            <w:noWrap/>
            <w:hideMark/>
          </w:tcPr>
          <w:p w14:paraId="4BAED109" w14:textId="77777777" w:rsidR="00316A6F" w:rsidRPr="0095539A" w:rsidRDefault="00316A6F" w:rsidP="0095539A">
            <w:pPr>
              <w:pStyle w:val="TableBody"/>
            </w:pPr>
            <w:r w:rsidRPr="0095539A">
              <w:t>272</w:t>
            </w:r>
          </w:p>
        </w:tc>
        <w:tc>
          <w:tcPr>
            <w:tcW w:w="702" w:type="pct"/>
            <w:noWrap/>
            <w:hideMark/>
          </w:tcPr>
          <w:p w14:paraId="0C962009" w14:textId="77777777" w:rsidR="00316A6F" w:rsidRPr="0095539A" w:rsidRDefault="00316A6F" w:rsidP="0095539A">
            <w:pPr>
              <w:pStyle w:val="TableBody"/>
            </w:pPr>
            <w:r w:rsidRPr="0095539A">
              <w:t>749</w:t>
            </w:r>
          </w:p>
        </w:tc>
      </w:tr>
      <w:tr w:rsidR="00316A6F" w:rsidRPr="0095539A" w14:paraId="08212627" w14:textId="77777777" w:rsidTr="00324052">
        <w:trPr>
          <w:trHeight w:val="288"/>
        </w:trPr>
        <w:tc>
          <w:tcPr>
            <w:tcW w:w="704" w:type="pct"/>
            <w:noWrap/>
            <w:hideMark/>
          </w:tcPr>
          <w:p w14:paraId="200604F8" w14:textId="77777777" w:rsidR="00316A6F" w:rsidRPr="0095539A" w:rsidRDefault="00316A6F" w:rsidP="0095539A">
            <w:pPr>
              <w:pStyle w:val="TableBody"/>
            </w:pPr>
            <w:r w:rsidRPr="0095539A">
              <w:t>2006-07</w:t>
            </w:r>
          </w:p>
        </w:tc>
        <w:tc>
          <w:tcPr>
            <w:tcW w:w="705" w:type="pct"/>
            <w:noWrap/>
            <w:hideMark/>
          </w:tcPr>
          <w:p w14:paraId="21F96BF2" w14:textId="77777777" w:rsidR="00316A6F" w:rsidRPr="0095539A" w:rsidRDefault="00316A6F" w:rsidP="0095539A">
            <w:pPr>
              <w:pStyle w:val="TableBody"/>
            </w:pPr>
            <w:r w:rsidRPr="0095539A">
              <w:t>1,057</w:t>
            </w:r>
          </w:p>
        </w:tc>
        <w:tc>
          <w:tcPr>
            <w:tcW w:w="705" w:type="pct"/>
            <w:noWrap/>
            <w:hideMark/>
          </w:tcPr>
          <w:p w14:paraId="78AEF22F" w14:textId="77777777" w:rsidR="00316A6F" w:rsidRPr="0095539A" w:rsidRDefault="00316A6F" w:rsidP="0095539A">
            <w:pPr>
              <w:pStyle w:val="TableBody"/>
            </w:pPr>
            <w:r w:rsidRPr="0095539A">
              <w:t>1,886</w:t>
            </w:r>
          </w:p>
        </w:tc>
        <w:tc>
          <w:tcPr>
            <w:tcW w:w="775" w:type="pct"/>
            <w:noWrap/>
            <w:hideMark/>
          </w:tcPr>
          <w:p w14:paraId="6A8DFC05" w14:textId="77777777" w:rsidR="00316A6F" w:rsidRPr="0095539A" w:rsidRDefault="00316A6F" w:rsidP="0095539A">
            <w:pPr>
              <w:pStyle w:val="TableBody"/>
            </w:pPr>
            <w:r w:rsidRPr="0095539A">
              <w:t>135</w:t>
            </w:r>
          </w:p>
        </w:tc>
        <w:tc>
          <w:tcPr>
            <w:tcW w:w="705" w:type="pct"/>
            <w:noWrap/>
            <w:hideMark/>
          </w:tcPr>
          <w:p w14:paraId="640A2AE6" w14:textId="77777777" w:rsidR="00316A6F" w:rsidRPr="0095539A" w:rsidRDefault="00316A6F" w:rsidP="0095539A">
            <w:pPr>
              <w:pStyle w:val="TableBody"/>
            </w:pPr>
            <w:r w:rsidRPr="0095539A">
              <w:t>184</w:t>
            </w:r>
          </w:p>
        </w:tc>
        <w:tc>
          <w:tcPr>
            <w:tcW w:w="705" w:type="pct"/>
            <w:noWrap/>
            <w:hideMark/>
          </w:tcPr>
          <w:p w14:paraId="751CA6A6" w14:textId="77777777" w:rsidR="00316A6F" w:rsidRPr="0095539A" w:rsidRDefault="00316A6F" w:rsidP="0095539A">
            <w:pPr>
              <w:pStyle w:val="TableBody"/>
            </w:pPr>
            <w:r w:rsidRPr="0095539A">
              <w:t>239</w:t>
            </w:r>
          </w:p>
        </w:tc>
        <w:tc>
          <w:tcPr>
            <w:tcW w:w="702" w:type="pct"/>
            <w:noWrap/>
            <w:hideMark/>
          </w:tcPr>
          <w:p w14:paraId="67321A20" w14:textId="77777777" w:rsidR="00316A6F" w:rsidRPr="0095539A" w:rsidRDefault="00316A6F" w:rsidP="0095539A">
            <w:pPr>
              <w:pStyle w:val="TableBody"/>
            </w:pPr>
            <w:r w:rsidRPr="0095539A">
              <w:t>711</w:t>
            </w:r>
          </w:p>
        </w:tc>
      </w:tr>
      <w:tr w:rsidR="00316A6F" w:rsidRPr="0095539A" w14:paraId="65D28B6F" w14:textId="77777777" w:rsidTr="00324052">
        <w:trPr>
          <w:trHeight w:val="288"/>
        </w:trPr>
        <w:tc>
          <w:tcPr>
            <w:tcW w:w="704" w:type="pct"/>
            <w:noWrap/>
            <w:hideMark/>
          </w:tcPr>
          <w:p w14:paraId="7AC1688D" w14:textId="77777777" w:rsidR="00316A6F" w:rsidRPr="0095539A" w:rsidRDefault="00316A6F" w:rsidP="0095539A">
            <w:pPr>
              <w:pStyle w:val="TableBody"/>
            </w:pPr>
            <w:r w:rsidRPr="0095539A">
              <w:t>2007-08</w:t>
            </w:r>
          </w:p>
        </w:tc>
        <w:tc>
          <w:tcPr>
            <w:tcW w:w="705" w:type="pct"/>
            <w:noWrap/>
            <w:hideMark/>
          </w:tcPr>
          <w:p w14:paraId="68D4E6E0" w14:textId="77777777" w:rsidR="00316A6F" w:rsidRPr="0095539A" w:rsidRDefault="00316A6F" w:rsidP="0095539A">
            <w:pPr>
              <w:pStyle w:val="TableBody"/>
            </w:pPr>
            <w:r w:rsidRPr="0095539A">
              <w:t>1,025</w:t>
            </w:r>
          </w:p>
        </w:tc>
        <w:tc>
          <w:tcPr>
            <w:tcW w:w="705" w:type="pct"/>
            <w:noWrap/>
            <w:hideMark/>
          </w:tcPr>
          <w:p w14:paraId="4AAA10BE" w14:textId="77777777" w:rsidR="00316A6F" w:rsidRPr="0095539A" w:rsidRDefault="00316A6F" w:rsidP="0095539A">
            <w:pPr>
              <w:pStyle w:val="TableBody"/>
            </w:pPr>
            <w:r w:rsidRPr="0095539A">
              <w:t>1,742</w:t>
            </w:r>
          </w:p>
        </w:tc>
        <w:tc>
          <w:tcPr>
            <w:tcW w:w="775" w:type="pct"/>
            <w:noWrap/>
            <w:hideMark/>
          </w:tcPr>
          <w:p w14:paraId="79511C0A" w14:textId="77777777" w:rsidR="00316A6F" w:rsidRPr="0095539A" w:rsidRDefault="00316A6F" w:rsidP="0095539A">
            <w:pPr>
              <w:pStyle w:val="TableBody"/>
            </w:pPr>
            <w:r w:rsidRPr="0095539A">
              <w:t>146</w:t>
            </w:r>
          </w:p>
        </w:tc>
        <w:tc>
          <w:tcPr>
            <w:tcW w:w="705" w:type="pct"/>
            <w:noWrap/>
            <w:hideMark/>
          </w:tcPr>
          <w:p w14:paraId="37ADB5BA" w14:textId="77777777" w:rsidR="00316A6F" w:rsidRPr="0095539A" w:rsidRDefault="00316A6F" w:rsidP="0095539A">
            <w:pPr>
              <w:pStyle w:val="TableBody"/>
            </w:pPr>
            <w:r w:rsidRPr="0095539A">
              <w:t>211</w:t>
            </w:r>
          </w:p>
        </w:tc>
        <w:tc>
          <w:tcPr>
            <w:tcW w:w="705" w:type="pct"/>
            <w:noWrap/>
            <w:hideMark/>
          </w:tcPr>
          <w:p w14:paraId="1E21716C" w14:textId="77777777" w:rsidR="00316A6F" w:rsidRPr="0095539A" w:rsidRDefault="00316A6F" w:rsidP="0095539A">
            <w:pPr>
              <w:pStyle w:val="TableBody"/>
            </w:pPr>
            <w:r w:rsidRPr="0095539A">
              <w:t>245</w:t>
            </w:r>
          </w:p>
        </w:tc>
        <w:tc>
          <w:tcPr>
            <w:tcW w:w="702" w:type="pct"/>
            <w:noWrap/>
            <w:hideMark/>
          </w:tcPr>
          <w:p w14:paraId="0408EF57" w14:textId="77777777" w:rsidR="00316A6F" w:rsidRPr="0095539A" w:rsidRDefault="00316A6F" w:rsidP="0095539A">
            <w:pPr>
              <w:pStyle w:val="TableBody"/>
            </w:pPr>
            <w:r w:rsidRPr="0095539A">
              <w:t>655</w:t>
            </w:r>
          </w:p>
        </w:tc>
      </w:tr>
      <w:tr w:rsidR="00316A6F" w:rsidRPr="0095539A" w14:paraId="6A1B00C6" w14:textId="77777777" w:rsidTr="00324052">
        <w:trPr>
          <w:trHeight w:val="288"/>
        </w:trPr>
        <w:tc>
          <w:tcPr>
            <w:tcW w:w="704" w:type="pct"/>
            <w:noWrap/>
            <w:hideMark/>
          </w:tcPr>
          <w:p w14:paraId="593C0F51" w14:textId="77777777" w:rsidR="00316A6F" w:rsidRPr="0095539A" w:rsidRDefault="00316A6F" w:rsidP="0095539A">
            <w:pPr>
              <w:pStyle w:val="TableBody"/>
            </w:pPr>
            <w:r w:rsidRPr="0095539A">
              <w:t>2008-09</w:t>
            </w:r>
          </w:p>
        </w:tc>
        <w:tc>
          <w:tcPr>
            <w:tcW w:w="705" w:type="pct"/>
            <w:noWrap/>
            <w:hideMark/>
          </w:tcPr>
          <w:p w14:paraId="70248923" w14:textId="77777777" w:rsidR="00316A6F" w:rsidRPr="0095539A" w:rsidRDefault="00316A6F" w:rsidP="0095539A">
            <w:pPr>
              <w:pStyle w:val="TableBody"/>
            </w:pPr>
            <w:r w:rsidRPr="0095539A">
              <w:t>1,222</w:t>
            </w:r>
          </w:p>
        </w:tc>
        <w:tc>
          <w:tcPr>
            <w:tcW w:w="705" w:type="pct"/>
            <w:noWrap/>
            <w:hideMark/>
          </w:tcPr>
          <w:p w14:paraId="44AE0770" w14:textId="77777777" w:rsidR="00316A6F" w:rsidRPr="0095539A" w:rsidRDefault="00316A6F" w:rsidP="0095539A">
            <w:pPr>
              <w:pStyle w:val="TableBody"/>
            </w:pPr>
            <w:r w:rsidRPr="0095539A">
              <w:t>1,756</w:t>
            </w:r>
          </w:p>
        </w:tc>
        <w:tc>
          <w:tcPr>
            <w:tcW w:w="775" w:type="pct"/>
            <w:noWrap/>
            <w:hideMark/>
          </w:tcPr>
          <w:p w14:paraId="63603A1D" w14:textId="77777777" w:rsidR="00316A6F" w:rsidRPr="0095539A" w:rsidRDefault="00316A6F" w:rsidP="0095539A">
            <w:pPr>
              <w:pStyle w:val="TableBody"/>
            </w:pPr>
            <w:r w:rsidRPr="0095539A">
              <w:t>169</w:t>
            </w:r>
          </w:p>
        </w:tc>
        <w:tc>
          <w:tcPr>
            <w:tcW w:w="705" w:type="pct"/>
            <w:noWrap/>
            <w:hideMark/>
          </w:tcPr>
          <w:p w14:paraId="7DA24FFC" w14:textId="77777777" w:rsidR="00316A6F" w:rsidRPr="0095539A" w:rsidRDefault="00316A6F" w:rsidP="0095539A">
            <w:pPr>
              <w:pStyle w:val="TableBody"/>
            </w:pPr>
            <w:r w:rsidRPr="0095539A">
              <w:t>217</w:t>
            </w:r>
          </w:p>
        </w:tc>
        <w:tc>
          <w:tcPr>
            <w:tcW w:w="705" w:type="pct"/>
            <w:noWrap/>
            <w:hideMark/>
          </w:tcPr>
          <w:p w14:paraId="56E37480" w14:textId="77777777" w:rsidR="00316A6F" w:rsidRPr="0095539A" w:rsidRDefault="00316A6F" w:rsidP="0095539A">
            <w:pPr>
              <w:pStyle w:val="TableBody"/>
            </w:pPr>
            <w:r w:rsidRPr="0095539A">
              <w:t>300</w:t>
            </w:r>
          </w:p>
        </w:tc>
        <w:tc>
          <w:tcPr>
            <w:tcW w:w="702" w:type="pct"/>
            <w:noWrap/>
            <w:hideMark/>
          </w:tcPr>
          <w:p w14:paraId="6EF93960" w14:textId="77777777" w:rsidR="00316A6F" w:rsidRPr="0095539A" w:rsidRDefault="00316A6F" w:rsidP="0095539A">
            <w:pPr>
              <w:pStyle w:val="TableBody"/>
            </w:pPr>
            <w:r w:rsidRPr="0095539A">
              <w:t>633</w:t>
            </w:r>
          </w:p>
        </w:tc>
      </w:tr>
      <w:tr w:rsidR="00316A6F" w:rsidRPr="0095539A" w14:paraId="37845DB2" w14:textId="77777777" w:rsidTr="00324052">
        <w:trPr>
          <w:trHeight w:val="288"/>
        </w:trPr>
        <w:tc>
          <w:tcPr>
            <w:tcW w:w="704" w:type="pct"/>
            <w:noWrap/>
            <w:hideMark/>
          </w:tcPr>
          <w:p w14:paraId="28F99129" w14:textId="77777777" w:rsidR="00316A6F" w:rsidRPr="0095539A" w:rsidRDefault="00316A6F" w:rsidP="0095539A">
            <w:pPr>
              <w:pStyle w:val="TableBody"/>
            </w:pPr>
            <w:r w:rsidRPr="0095539A">
              <w:t>2009-10</w:t>
            </w:r>
          </w:p>
        </w:tc>
        <w:tc>
          <w:tcPr>
            <w:tcW w:w="705" w:type="pct"/>
            <w:noWrap/>
            <w:hideMark/>
          </w:tcPr>
          <w:p w14:paraId="09429496" w14:textId="77777777" w:rsidR="00316A6F" w:rsidRPr="0095539A" w:rsidRDefault="00316A6F" w:rsidP="0095539A">
            <w:pPr>
              <w:pStyle w:val="TableBody"/>
            </w:pPr>
            <w:r w:rsidRPr="0095539A">
              <w:t>1,397</w:t>
            </w:r>
          </w:p>
        </w:tc>
        <w:tc>
          <w:tcPr>
            <w:tcW w:w="705" w:type="pct"/>
            <w:noWrap/>
            <w:hideMark/>
          </w:tcPr>
          <w:p w14:paraId="5A4AE4EE" w14:textId="77777777" w:rsidR="00316A6F" w:rsidRPr="0095539A" w:rsidRDefault="00316A6F" w:rsidP="0095539A">
            <w:pPr>
              <w:pStyle w:val="TableBody"/>
            </w:pPr>
            <w:r w:rsidRPr="0095539A">
              <w:t>1,969</w:t>
            </w:r>
          </w:p>
        </w:tc>
        <w:tc>
          <w:tcPr>
            <w:tcW w:w="775" w:type="pct"/>
            <w:noWrap/>
            <w:hideMark/>
          </w:tcPr>
          <w:p w14:paraId="063D5F46" w14:textId="77777777" w:rsidR="00316A6F" w:rsidRPr="0095539A" w:rsidRDefault="00316A6F" w:rsidP="0095539A">
            <w:pPr>
              <w:pStyle w:val="TableBody"/>
            </w:pPr>
            <w:r w:rsidRPr="0095539A">
              <w:t>190</w:t>
            </w:r>
          </w:p>
        </w:tc>
        <w:tc>
          <w:tcPr>
            <w:tcW w:w="705" w:type="pct"/>
            <w:noWrap/>
            <w:hideMark/>
          </w:tcPr>
          <w:p w14:paraId="7B7CA79D" w14:textId="77777777" w:rsidR="00316A6F" w:rsidRPr="0095539A" w:rsidRDefault="00316A6F" w:rsidP="0095539A">
            <w:pPr>
              <w:pStyle w:val="TableBody"/>
            </w:pPr>
            <w:r w:rsidRPr="0095539A">
              <w:t>253</w:t>
            </w:r>
          </w:p>
        </w:tc>
        <w:tc>
          <w:tcPr>
            <w:tcW w:w="705" w:type="pct"/>
            <w:noWrap/>
            <w:hideMark/>
          </w:tcPr>
          <w:p w14:paraId="78373229" w14:textId="77777777" w:rsidR="00316A6F" w:rsidRPr="0095539A" w:rsidRDefault="00316A6F" w:rsidP="0095539A">
            <w:pPr>
              <w:pStyle w:val="TableBody"/>
            </w:pPr>
            <w:r w:rsidRPr="0095539A">
              <w:t>311</w:t>
            </w:r>
          </w:p>
        </w:tc>
        <w:tc>
          <w:tcPr>
            <w:tcW w:w="702" w:type="pct"/>
            <w:noWrap/>
            <w:hideMark/>
          </w:tcPr>
          <w:p w14:paraId="788C401C" w14:textId="77777777" w:rsidR="00316A6F" w:rsidRPr="0095539A" w:rsidRDefault="00316A6F" w:rsidP="0095539A">
            <w:pPr>
              <w:pStyle w:val="TableBody"/>
            </w:pPr>
            <w:r w:rsidRPr="0095539A">
              <w:t>746</w:t>
            </w:r>
          </w:p>
        </w:tc>
      </w:tr>
      <w:tr w:rsidR="00316A6F" w:rsidRPr="0095539A" w14:paraId="13EC2556" w14:textId="77777777" w:rsidTr="00324052">
        <w:trPr>
          <w:trHeight w:val="288"/>
        </w:trPr>
        <w:tc>
          <w:tcPr>
            <w:tcW w:w="704" w:type="pct"/>
            <w:noWrap/>
            <w:hideMark/>
          </w:tcPr>
          <w:p w14:paraId="6C0B4250" w14:textId="77777777" w:rsidR="00316A6F" w:rsidRPr="0095539A" w:rsidRDefault="00316A6F" w:rsidP="0095539A">
            <w:pPr>
              <w:pStyle w:val="TableBody"/>
            </w:pPr>
            <w:r w:rsidRPr="0095539A">
              <w:t>2010-11</w:t>
            </w:r>
          </w:p>
        </w:tc>
        <w:tc>
          <w:tcPr>
            <w:tcW w:w="705" w:type="pct"/>
            <w:noWrap/>
            <w:hideMark/>
          </w:tcPr>
          <w:p w14:paraId="06FBF04D" w14:textId="77777777" w:rsidR="00316A6F" w:rsidRPr="0095539A" w:rsidRDefault="00316A6F" w:rsidP="0095539A">
            <w:pPr>
              <w:pStyle w:val="TableBody"/>
            </w:pPr>
            <w:r w:rsidRPr="0095539A">
              <w:t>1,271</w:t>
            </w:r>
          </w:p>
        </w:tc>
        <w:tc>
          <w:tcPr>
            <w:tcW w:w="705" w:type="pct"/>
            <w:noWrap/>
            <w:hideMark/>
          </w:tcPr>
          <w:p w14:paraId="0A3E698E" w14:textId="77777777" w:rsidR="00316A6F" w:rsidRPr="0095539A" w:rsidRDefault="00316A6F" w:rsidP="0095539A">
            <w:pPr>
              <w:pStyle w:val="TableBody"/>
            </w:pPr>
            <w:r w:rsidRPr="0095539A">
              <w:t>1,645</w:t>
            </w:r>
          </w:p>
        </w:tc>
        <w:tc>
          <w:tcPr>
            <w:tcW w:w="775" w:type="pct"/>
            <w:noWrap/>
            <w:hideMark/>
          </w:tcPr>
          <w:p w14:paraId="17642D2D" w14:textId="77777777" w:rsidR="00316A6F" w:rsidRPr="0095539A" w:rsidRDefault="00316A6F" w:rsidP="0095539A">
            <w:pPr>
              <w:pStyle w:val="TableBody"/>
            </w:pPr>
            <w:r w:rsidRPr="0095539A">
              <w:t>164</w:t>
            </w:r>
          </w:p>
        </w:tc>
        <w:tc>
          <w:tcPr>
            <w:tcW w:w="705" w:type="pct"/>
            <w:noWrap/>
            <w:hideMark/>
          </w:tcPr>
          <w:p w14:paraId="7925E0D9" w14:textId="77777777" w:rsidR="00316A6F" w:rsidRPr="0095539A" w:rsidRDefault="00316A6F" w:rsidP="0095539A">
            <w:pPr>
              <w:pStyle w:val="TableBody"/>
            </w:pPr>
            <w:r w:rsidRPr="0095539A">
              <w:t>232</w:t>
            </w:r>
          </w:p>
        </w:tc>
        <w:tc>
          <w:tcPr>
            <w:tcW w:w="705" w:type="pct"/>
            <w:noWrap/>
            <w:hideMark/>
          </w:tcPr>
          <w:p w14:paraId="3D2FEC4E" w14:textId="77777777" w:rsidR="00316A6F" w:rsidRPr="0095539A" w:rsidRDefault="00316A6F" w:rsidP="0095539A">
            <w:pPr>
              <w:pStyle w:val="TableBody"/>
            </w:pPr>
            <w:r w:rsidRPr="0095539A">
              <w:t>273</w:t>
            </w:r>
          </w:p>
        </w:tc>
        <w:tc>
          <w:tcPr>
            <w:tcW w:w="702" w:type="pct"/>
            <w:noWrap/>
            <w:hideMark/>
          </w:tcPr>
          <w:p w14:paraId="72892F65" w14:textId="77777777" w:rsidR="00316A6F" w:rsidRPr="0095539A" w:rsidRDefault="00316A6F" w:rsidP="0095539A">
            <w:pPr>
              <w:pStyle w:val="TableBody"/>
            </w:pPr>
            <w:r w:rsidRPr="0095539A">
              <w:t>611</w:t>
            </w:r>
          </w:p>
        </w:tc>
      </w:tr>
      <w:tr w:rsidR="00316A6F" w:rsidRPr="0095539A" w14:paraId="489BD9F8" w14:textId="77777777" w:rsidTr="00324052">
        <w:trPr>
          <w:trHeight w:val="288"/>
        </w:trPr>
        <w:tc>
          <w:tcPr>
            <w:tcW w:w="704" w:type="pct"/>
            <w:noWrap/>
            <w:hideMark/>
          </w:tcPr>
          <w:p w14:paraId="65612098" w14:textId="77777777" w:rsidR="00316A6F" w:rsidRPr="0095539A" w:rsidRDefault="00316A6F" w:rsidP="0095539A">
            <w:pPr>
              <w:pStyle w:val="TableBody"/>
            </w:pPr>
            <w:r w:rsidRPr="0095539A">
              <w:t>2011-12</w:t>
            </w:r>
          </w:p>
        </w:tc>
        <w:tc>
          <w:tcPr>
            <w:tcW w:w="705" w:type="pct"/>
            <w:noWrap/>
            <w:hideMark/>
          </w:tcPr>
          <w:p w14:paraId="5A2C4494" w14:textId="77777777" w:rsidR="00316A6F" w:rsidRPr="0095539A" w:rsidRDefault="00316A6F" w:rsidP="0095539A">
            <w:pPr>
              <w:pStyle w:val="TableBody"/>
            </w:pPr>
            <w:r w:rsidRPr="0095539A">
              <w:t>1,468</w:t>
            </w:r>
          </w:p>
        </w:tc>
        <w:tc>
          <w:tcPr>
            <w:tcW w:w="705" w:type="pct"/>
            <w:noWrap/>
            <w:hideMark/>
          </w:tcPr>
          <w:p w14:paraId="6F4FC80A" w14:textId="77777777" w:rsidR="00316A6F" w:rsidRPr="0095539A" w:rsidRDefault="00316A6F" w:rsidP="0095539A">
            <w:pPr>
              <w:pStyle w:val="TableBody"/>
            </w:pPr>
            <w:r w:rsidRPr="0095539A">
              <w:t>1,645</w:t>
            </w:r>
          </w:p>
        </w:tc>
        <w:tc>
          <w:tcPr>
            <w:tcW w:w="775" w:type="pct"/>
            <w:noWrap/>
            <w:hideMark/>
          </w:tcPr>
          <w:p w14:paraId="62BA2583" w14:textId="77777777" w:rsidR="00316A6F" w:rsidRPr="0095539A" w:rsidRDefault="00316A6F" w:rsidP="0095539A">
            <w:pPr>
              <w:pStyle w:val="TableBody"/>
            </w:pPr>
            <w:r w:rsidRPr="0095539A">
              <w:t>212</w:t>
            </w:r>
          </w:p>
        </w:tc>
        <w:tc>
          <w:tcPr>
            <w:tcW w:w="705" w:type="pct"/>
            <w:noWrap/>
            <w:hideMark/>
          </w:tcPr>
          <w:p w14:paraId="1A3DF26D" w14:textId="77777777" w:rsidR="00316A6F" w:rsidRPr="0095539A" w:rsidRDefault="00316A6F" w:rsidP="0095539A">
            <w:pPr>
              <w:pStyle w:val="TableBody"/>
            </w:pPr>
            <w:r w:rsidRPr="0095539A">
              <w:t>245</w:t>
            </w:r>
          </w:p>
        </w:tc>
        <w:tc>
          <w:tcPr>
            <w:tcW w:w="705" w:type="pct"/>
            <w:noWrap/>
            <w:hideMark/>
          </w:tcPr>
          <w:p w14:paraId="5589FF49" w14:textId="77777777" w:rsidR="00316A6F" w:rsidRPr="0095539A" w:rsidRDefault="00316A6F" w:rsidP="0095539A">
            <w:pPr>
              <w:pStyle w:val="TableBody"/>
            </w:pPr>
            <w:r w:rsidRPr="0095539A">
              <w:t>312</w:t>
            </w:r>
          </w:p>
        </w:tc>
        <w:tc>
          <w:tcPr>
            <w:tcW w:w="702" w:type="pct"/>
            <w:noWrap/>
            <w:hideMark/>
          </w:tcPr>
          <w:p w14:paraId="2A137C7F" w14:textId="77777777" w:rsidR="00316A6F" w:rsidRPr="0095539A" w:rsidRDefault="00316A6F" w:rsidP="0095539A">
            <w:pPr>
              <w:pStyle w:val="TableBody"/>
            </w:pPr>
            <w:r w:rsidRPr="0095539A">
              <w:t>577</w:t>
            </w:r>
          </w:p>
        </w:tc>
      </w:tr>
      <w:tr w:rsidR="00316A6F" w:rsidRPr="0095539A" w14:paraId="41ECB2B5" w14:textId="77777777" w:rsidTr="00324052">
        <w:trPr>
          <w:trHeight w:val="288"/>
        </w:trPr>
        <w:tc>
          <w:tcPr>
            <w:tcW w:w="704" w:type="pct"/>
            <w:noWrap/>
            <w:hideMark/>
          </w:tcPr>
          <w:p w14:paraId="1E05E406" w14:textId="77777777" w:rsidR="00316A6F" w:rsidRPr="0095539A" w:rsidRDefault="00316A6F" w:rsidP="0095539A">
            <w:pPr>
              <w:pStyle w:val="TableBody"/>
            </w:pPr>
            <w:r w:rsidRPr="0095539A">
              <w:t>2012-13</w:t>
            </w:r>
          </w:p>
        </w:tc>
        <w:tc>
          <w:tcPr>
            <w:tcW w:w="705" w:type="pct"/>
            <w:noWrap/>
            <w:hideMark/>
          </w:tcPr>
          <w:p w14:paraId="6309875B" w14:textId="77777777" w:rsidR="00316A6F" w:rsidRPr="0095539A" w:rsidRDefault="00316A6F" w:rsidP="0095539A">
            <w:pPr>
              <w:pStyle w:val="TableBody"/>
            </w:pPr>
            <w:r w:rsidRPr="0095539A">
              <w:t>1,841</w:t>
            </w:r>
          </w:p>
        </w:tc>
        <w:tc>
          <w:tcPr>
            <w:tcW w:w="705" w:type="pct"/>
            <w:noWrap/>
            <w:hideMark/>
          </w:tcPr>
          <w:p w14:paraId="7F9A8B57" w14:textId="77777777" w:rsidR="00316A6F" w:rsidRPr="0095539A" w:rsidRDefault="00316A6F" w:rsidP="0095539A">
            <w:pPr>
              <w:pStyle w:val="TableBody"/>
            </w:pPr>
            <w:r w:rsidRPr="0095539A">
              <w:t>1,813</w:t>
            </w:r>
          </w:p>
        </w:tc>
        <w:tc>
          <w:tcPr>
            <w:tcW w:w="775" w:type="pct"/>
            <w:noWrap/>
            <w:hideMark/>
          </w:tcPr>
          <w:p w14:paraId="66E08E47" w14:textId="77777777" w:rsidR="00316A6F" w:rsidRPr="0095539A" w:rsidRDefault="00316A6F" w:rsidP="0095539A">
            <w:pPr>
              <w:pStyle w:val="TableBody"/>
            </w:pPr>
            <w:r w:rsidRPr="0095539A">
              <w:t>291</w:t>
            </w:r>
          </w:p>
        </w:tc>
        <w:tc>
          <w:tcPr>
            <w:tcW w:w="705" w:type="pct"/>
            <w:noWrap/>
            <w:hideMark/>
          </w:tcPr>
          <w:p w14:paraId="4FBF156E" w14:textId="77777777" w:rsidR="00316A6F" w:rsidRPr="0095539A" w:rsidRDefault="00316A6F" w:rsidP="0095539A">
            <w:pPr>
              <w:pStyle w:val="TableBody"/>
            </w:pPr>
            <w:r w:rsidRPr="0095539A">
              <w:t>352</w:t>
            </w:r>
          </w:p>
        </w:tc>
        <w:tc>
          <w:tcPr>
            <w:tcW w:w="705" w:type="pct"/>
            <w:noWrap/>
            <w:hideMark/>
          </w:tcPr>
          <w:p w14:paraId="70A5FC6B" w14:textId="77777777" w:rsidR="00316A6F" w:rsidRPr="0095539A" w:rsidRDefault="00316A6F" w:rsidP="0095539A">
            <w:pPr>
              <w:pStyle w:val="TableBody"/>
            </w:pPr>
            <w:r w:rsidRPr="0095539A">
              <w:t>411</w:t>
            </w:r>
          </w:p>
        </w:tc>
        <w:tc>
          <w:tcPr>
            <w:tcW w:w="702" w:type="pct"/>
            <w:noWrap/>
            <w:hideMark/>
          </w:tcPr>
          <w:p w14:paraId="2AD17E72" w14:textId="77777777" w:rsidR="00316A6F" w:rsidRPr="0095539A" w:rsidRDefault="00316A6F" w:rsidP="0095539A">
            <w:pPr>
              <w:pStyle w:val="TableBody"/>
            </w:pPr>
            <w:r w:rsidRPr="0095539A">
              <w:t>591</w:t>
            </w:r>
          </w:p>
        </w:tc>
      </w:tr>
      <w:tr w:rsidR="00316A6F" w:rsidRPr="0095539A" w14:paraId="431A152D" w14:textId="77777777" w:rsidTr="00324052">
        <w:trPr>
          <w:trHeight w:val="288"/>
        </w:trPr>
        <w:tc>
          <w:tcPr>
            <w:tcW w:w="704" w:type="pct"/>
            <w:noWrap/>
            <w:hideMark/>
          </w:tcPr>
          <w:p w14:paraId="309094AF" w14:textId="77777777" w:rsidR="00316A6F" w:rsidRPr="0095539A" w:rsidRDefault="00316A6F" w:rsidP="0095539A">
            <w:pPr>
              <w:pStyle w:val="TableBody"/>
            </w:pPr>
            <w:r w:rsidRPr="0095539A">
              <w:t>2013-14</w:t>
            </w:r>
          </w:p>
        </w:tc>
        <w:tc>
          <w:tcPr>
            <w:tcW w:w="705" w:type="pct"/>
            <w:noWrap/>
            <w:hideMark/>
          </w:tcPr>
          <w:p w14:paraId="35A4C9A1" w14:textId="77777777" w:rsidR="00316A6F" w:rsidRPr="0095539A" w:rsidRDefault="00316A6F" w:rsidP="0095539A">
            <w:pPr>
              <w:pStyle w:val="TableBody"/>
            </w:pPr>
            <w:r w:rsidRPr="0095539A">
              <w:t>1,914</w:t>
            </w:r>
          </w:p>
        </w:tc>
        <w:tc>
          <w:tcPr>
            <w:tcW w:w="705" w:type="pct"/>
            <w:noWrap/>
            <w:hideMark/>
          </w:tcPr>
          <w:p w14:paraId="0DD7E6FB" w14:textId="77777777" w:rsidR="00316A6F" w:rsidRPr="0095539A" w:rsidRDefault="00316A6F" w:rsidP="0095539A">
            <w:pPr>
              <w:pStyle w:val="TableBody"/>
            </w:pPr>
            <w:r w:rsidRPr="0095539A">
              <w:t>1,879</w:t>
            </w:r>
          </w:p>
        </w:tc>
        <w:tc>
          <w:tcPr>
            <w:tcW w:w="775" w:type="pct"/>
            <w:noWrap/>
            <w:hideMark/>
          </w:tcPr>
          <w:p w14:paraId="2EC4D538" w14:textId="77777777" w:rsidR="00316A6F" w:rsidRPr="0095539A" w:rsidRDefault="00316A6F" w:rsidP="0095539A">
            <w:pPr>
              <w:pStyle w:val="TableBody"/>
            </w:pPr>
            <w:r w:rsidRPr="0095539A">
              <w:t>337</w:t>
            </w:r>
          </w:p>
        </w:tc>
        <w:tc>
          <w:tcPr>
            <w:tcW w:w="705" w:type="pct"/>
            <w:noWrap/>
            <w:hideMark/>
          </w:tcPr>
          <w:p w14:paraId="50349B5C" w14:textId="77777777" w:rsidR="00316A6F" w:rsidRPr="0095539A" w:rsidRDefault="00316A6F" w:rsidP="0095539A">
            <w:pPr>
              <w:pStyle w:val="TableBody"/>
            </w:pPr>
            <w:r w:rsidRPr="0095539A">
              <w:t>368</w:t>
            </w:r>
          </w:p>
        </w:tc>
        <w:tc>
          <w:tcPr>
            <w:tcW w:w="705" w:type="pct"/>
            <w:noWrap/>
            <w:hideMark/>
          </w:tcPr>
          <w:p w14:paraId="0D390658" w14:textId="77777777" w:rsidR="00316A6F" w:rsidRPr="0095539A" w:rsidRDefault="00316A6F" w:rsidP="0095539A">
            <w:pPr>
              <w:pStyle w:val="TableBody"/>
            </w:pPr>
            <w:r w:rsidRPr="0095539A">
              <w:t>474</w:t>
            </w:r>
          </w:p>
        </w:tc>
        <w:tc>
          <w:tcPr>
            <w:tcW w:w="702" w:type="pct"/>
            <w:noWrap/>
            <w:hideMark/>
          </w:tcPr>
          <w:p w14:paraId="5FB5235A" w14:textId="77777777" w:rsidR="00316A6F" w:rsidRPr="0095539A" w:rsidRDefault="00316A6F" w:rsidP="0095539A">
            <w:pPr>
              <w:pStyle w:val="TableBody"/>
            </w:pPr>
            <w:r w:rsidRPr="0095539A">
              <w:t>559</w:t>
            </w:r>
          </w:p>
        </w:tc>
      </w:tr>
      <w:tr w:rsidR="00316A6F" w:rsidRPr="0095539A" w14:paraId="2AC1FDA6" w14:textId="77777777" w:rsidTr="00324052">
        <w:trPr>
          <w:trHeight w:val="288"/>
        </w:trPr>
        <w:tc>
          <w:tcPr>
            <w:tcW w:w="704" w:type="pct"/>
            <w:noWrap/>
            <w:hideMark/>
          </w:tcPr>
          <w:p w14:paraId="5AAB4540" w14:textId="77777777" w:rsidR="00316A6F" w:rsidRPr="0095539A" w:rsidRDefault="00316A6F" w:rsidP="0095539A">
            <w:pPr>
              <w:pStyle w:val="TableBody"/>
            </w:pPr>
            <w:r w:rsidRPr="0095539A">
              <w:t>2014-15</w:t>
            </w:r>
          </w:p>
        </w:tc>
        <w:tc>
          <w:tcPr>
            <w:tcW w:w="705" w:type="pct"/>
            <w:noWrap/>
            <w:hideMark/>
          </w:tcPr>
          <w:p w14:paraId="778C8349" w14:textId="77777777" w:rsidR="00316A6F" w:rsidRPr="0095539A" w:rsidRDefault="00316A6F" w:rsidP="0095539A">
            <w:pPr>
              <w:pStyle w:val="TableBody"/>
            </w:pPr>
            <w:r w:rsidRPr="0095539A">
              <w:t>2,142</w:t>
            </w:r>
          </w:p>
        </w:tc>
        <w:tc>
          <w:tcPr>
            <w:tcW w:w="705" w:type="pct"/>
            <w:noWrap/>
            <w:hideMark/>
          </w:tcPr>
          <w:p w14:paraId="64957BF5" w14:textId="77777777" w:rsidR="00316A6F" w:rsidRPr="0095539A" w:rsidRDefault="00316A6F" w:rsidP="0095539A">
            <w:pPr>
              <w:pStyle w:val="TableBody"/>
            </w:pPr>
            <w:r w:rsidRPr="0095539A">
              <w:t>1,841</w:t>
            </w:r>
          </w:p>
        </w:tc>
        <w:tc>
          <w:tcPr>
            <w:tcW w:w="775" w:type="pct"/>
            <w:noWrap/>
            <w:hideMark/>
          </w:tcPr>
          <w:p w14:paraId="55C14A55" w14:textId="77777777" w:rsidR="00316A6F" w:rsidRPr="0095539A" w:rsidRDefault="00316A6F" w:rsidP="0095539A">
            <w:pPr>
              <w:pStyle w:val="TableBody"/>
            </w:pPr>
            <w:r w:rsidRPr="0095539A">
              <w:t>510</w:t>
            </w:r>
          </w:p>
        </w:tc>
        <w:tc>
          <w:tcPr>
            <w:tcW w:w="705" w:type="pct"/>
            <w:noWrap/>
            <w:hideMark/>
          </w:tcPr>
          <w:p w14:paraId="734D8108" w14:textId="77777777" w:rsidR="00316A6F" w:rsidRPr="0095539A" w:rsidRDefault="00316A6F" w:rsidP="0095539A">
            <w:pPr>
              <w:pStyle w:val="TableBody"/>
            </w:pPr>
            <w:r w:rsidRPr="0095539A">
              <w:t>434</w:t>
            </w:r>
          </w:p>
        </w:tc>
        <w:tc>
          <w:tcPr>
            <w:tcW w:w="705" w:type="pct"/>
            <w:noWrap/>
            <w:hideMark/>
          </w:tcPr>
          <w:p w14:paraId="7F5C0E28" w14:textId="77777777" w:rsidR="00316A6F" w:rsidRPr="0095539A" w:rsidRDefault="00316A6F" w:rsidP="0095539A">
            <w:pPr>
              <w:pStyle w:val="TableBody"/>
            </w:pPr>
            <w:r w:rsidRPr="0095539A">
              <w:t>536</w:t>
            </w:r>
          </w:p>
        </w:tc>
        <w:tc>
          <w:tcPr>
            <w:tcW w:w="702" w:type="pct"/>
            <w:noWrap/>
            <w:hideMark/>
          </w:tcPr>
          <w:p w14:paraId="09981749" w14:textId="77777777" w:rsidR="00316A6F" w:rsidRPr="0095539A" w:rsidRDefault="00316A6F" w:rsidP="0095539A">
            <w:pPr>
              <w:pStyle w:val="TableBody"/>
            </w:pPr>
            <w:r w:rsidRPr="0095539A">
              <w:t>530</w:t>
            </w:r>
          </w:p>
        </w:tc>
      </w:tr>
      <w:tr w:rsidR="00316A6F" w:rsidRPr="0095539A" w14:paraId="1AB86559" w14:textId="77777777" w:rsidTr="00324052">
        <w:trPr>
          <w:trHeight w:val="288"/>
        </w:trPr>
        <w:tc>
          <w:tcPr>
            <w:tcW w:w="704" w:type="pct"/>
            <w:noWrap/>
            <w:hideMark/>
          </w:tcPr>
          <w:p w14:paraId="6F2C90A2" w14:textId="77777777" w:rsidR="00316A6F" w:rsidRPr="0095539A" w:rsidRDefault="00316A6F" w:rsidP="0095539A">
            <w:pPr>
              <w:pStyle w:val="TableBody"/>
            </w:pPr>
            <w:r w:rsidRPr="0095539A">
              <w:t>2015-16</w:t>
            </w:r>
          </w:p>
        </w:tc>
        <w:tc>
          <w:tcPr>
            <w:tcW w:w="705" w:type="pct"/>
            <w:noWrap/>
            <w:hideMark/>
          </w:tcPr>
          <w:p w14:paraId="1BB5940F" w14:textId="77777777" w:rsidR="00316A6F" w:rsidRPr="0095539A" w:rsidRDefault="00316A6F" w:rsidP="0095539A">
            <w:pPr>
              <w:pStyle w:val="TableBody"/>
            </w:pPr>
            <w:r w:rsidRPr="0095539A">
              <w:t>2,579</w:t>
            </w:r>
          </w:p>
        </w:tc>
        <w:tc>
          <w:tcPr>
            <w:tcW w:w="705" w:type="pct"/>
            <w:noWrap/>
            <w:hideMark/>
          </w:tcPr>
          <w:p w14:paraId="1FFDCB02" w14:textId="77777777" w:rsidR="00316A6F" w:rsidRPr="0095539A" w:rsidRDefault="00316A6F" w:rsidP="0095539A">
            <w:pPr>
              <w:pStyle w:val="TableBody"/>
            </w:pPr>
            <w:r w:rsidRPr="0095539A">
              <w:t>2,102</w:t>
            </w:r>
          </w:p>
        </w:tc>
        <w:tc>
          <w:tcPr>
            <w:tcW w:w="775" w:type="pct"/>
            <w:noWrap/>
            <w:hideMark/>
          </w:tcPr>
          <w:p w14:paraId="6661D11C" w14:textId="77777777" w:rsidR="00316A6F" w:rsidRPr="0095539A" w:rsidRDefault="00316A6F" w:rsidP="0095539A">
            <w:pPr>
              <w:pStyle w:val="TableBody"/>
            </w:pPr>
            <w:r w:rsidRPr="0095539A">
              <w:t>629</w:t>
            </w:r>
          </w:p>
        </w:tc>
        <w:tc>
          <w:tcPr>
            <w:tcW w:w="705" w:type="pct"/>
            <w:noWrap/>
            <w:hideMark/>
          </w:tcPr>
          <w:p w14:paraId="51A000A7" w14:textId="77777777" w:rsidR="00316A6F" w:rsidRPr="0095539A" w:rsidRDefault="00316A6F" w:rsidP="0095539A">
            <w:pPr>
              <w:pStyle w:val="TableBody"/>
            </w:pPr>
            <w:r w:rsidRPr="0095539A">
              <w:t>524</w:t>
            </w:r>
          </w:p>
        </w:tc>
        <w:tc>
          <w:tcPr>
            <w:tcW w:w="705" w:type="pct"/>
            <w:noWrap/>
            <w:hideMark/>
          </w:tcPr>
          <w:p w14:paraId="0245EC93" w14:textId="77777777" w:rsidR="00316A6F" w:rsidRPr="0095539A" w:rsidRDefault="00316A6F" w:rsidP="0095539A">
            <w:pPr>
              <w:pStyle w:val="TableBody"/>
            </w:pPr>
            <w:r w:rsidRPr="0095539A">
              <w:t>645</w:t>
            </w:r>
          </w:p>
        </w:tc>
        <w:tc>
          <w:tcPr>
            <w:tcW w:w="702" w:type="pct"/>
            <w:noWrap/>
            <w:hideMark/>
          </w:tcPr>
          <w:p w14:paraId="4F917814" w14:textId="77777777" w:rsidR="00316A6F" w:rsidRPr="0095539A" w:rsidRDefault="00316A6F" w:rsidP="0095539A">
            <w:pPr>
              <w:pStyle w:val="TableBody"/>
            </w:pPr>
            <w:r w:rsidRPr="0095539A">
              <w:t>442</w:t>
            </w:r>
          </w:p>
        </w:tc>
      </w:tr>
      <w:tr w:rsidR="00316A6F" w:rsidRPr="0095539A" w14:paraId="05AF1F8B" w14:textId="77777777" w:rsidTr="00324052">
        <w:trPr>
          <w:trHeight w:val="288"/>
        </w:trPr>
        <w:tc>
          <w:tcPr>
            <w:tcW w:w="704" w:type="pct"/>
            <w:noWrap/>
            <w:hideMark/>
          </w:tcPr>
          <w:p w14:paraId="2F14B5CA" w14:textId="77777777" w:rsidR="00316A6F" w:rsidRPr="0095539A" w:rsidRDefault="00316A6F" w:rsidP="0095539A">
            <w:pPr>
              <w:pStyle w:val="TableBody"/>
            </w:pPr>
            <w:r w:rsidRPr="0095539A">
              <w:t>2016-17</w:t>
            </w:r>
          </w:p>
        </w:tc>
        <w:tc>
          <w:tcPr>
            <w:tcW w:w="705" w:type="pct"/>
            <w:noWrap/>
            <w:hideMark/>
          </w:tcPr>
          <w:p w14:paraId="488ED189" w14:textId="77777777" w:rsidR="00316A6F" w:rsidRPr="0095539A" w:rsidRDefault="00316A6F" w:rsidP="0095539A">
            <w:pPr>
              <w:pStyle w:val="TableBody"/>
            </w:pPr>
            <w:r w:rsidRPr="0095539A">
              <w:t>3,188</w:t>
            </w:r>
          </w:p>
        </w:tc>
        <w:tc>
          <w:tcPr>
            <w:tcW w:w="705" w:type="pct"/>
            <w:noWrap/>
            <w:hideMark/>
          </w:tcPr>
          <w:p w14:paraId="2A0955BA" w14:textId="77777777" w:rsidR="00316A6F" w:rsidRPr="0095539A" w:rsidRDefault="00316A6F" w:rsidP="0095539A">
            <w:pPr>
              <w:pStyle w:val="TableBody"/>
            </w:pPr>
            <w:r w:rsidRPr="0095539A">
              <w:t>2,265</w:t>
            </w:r>
          </w:p>
        </w:tc>
        <w:tc>
          <w:tcPr>
            <w:tcW w:w="775" w:type="pct"/>
            <w:noWrap/>
            <w:hideMark/>
          </w:tcPr>
          <w:p w14:paraId="432A9C0F" w14:textId="77777777" w:rsidR="00316A6F" w:rsidRPr="0095539A" w:rsidRDefault="00316A6F" w:rsidP="0095539A">
            <w:pPr>
              <w:pStyle w:val="TableBody"/>
            </w:pPr>
            <w:r w:rsidRPr="0095539A">
              <w:t>744</w:t>
            </w:r>
          </w:p>
        </w:tc>
        <w:tc>
          <w:tcPr>
            <w:tcW w:w="705" w:type="pct"/>
            <w:noWrap/>
            <w:hideMark/>
          </w:tcPr>
          <w:p w14:paraId="54B1BCF8" w14:textId="77777777" w:rsidR="00316A6F" w:rsidRPr="0095539A" w:rsidRDefault="00316A6F" w:rsidP="0095539A">
            <w:pPr>
              <w:pStyle w:val="TableBody"/>
            </w:pPr>
            <w:r w:rsidRPr="0095539A">
              <w:t>616</w:t>
            </w:r>
          </w:p>
        </w:tc>
        <w:tc>
          <w:tcPr>
            <w:tcW w:w="705" w:type="pct"/>
            <w:noWrap/>
            <w:hideMark/>
          </w:tcPr>
          <w:p w14:paraId="41AB67E9" w14:textId="77777777" w:rsidR="00316A6F" w:rsidRPr="0095539A" w:rsidRDefault="00316A6F" w:rsidP="0095539A">
            <w:pPr>
              <w:pStyle w:val="TableBody"/>
            </w:pPr>
            <w:r w:rsidRPr="0095539A">
              <w:t>650</w:t>
            </w:r>
          </w:p>
        </w:tc>
        <w:tc>
          <w:tcPr>
            <w:tcW w:w="702" w:type="pct"/>
            <w:noWrap/>
            <w:hideMark/>
          </w:tcPr>
          <w:p w14:paraId="67BE2C1C" w14:textId="77777777" w:rsidR="00316A6F" w:rsidRPr="0095539A" w:rsidRDefault="00316A6F" w:rsidP="0095539A">
            <w:pPr>
              <w:pStyle w:val="TableBody"/>
            </w:pPr>
            <w:r w:rsidRPr="0095539A">
              <w:t>355</w:t>
            </w:r>
          </w:p>
        </w:tc>
      </w:tr>
      <w:tr w:rsidR="00316A6F" w:rsidRPr="0095539A" w14:paraId="3B2A831C" w14:textId="77777777" w:rsidTr="00324052">
        <w:trPr>
          <w:trHeight w:val="288"/>
        </w:trPr>
        <w:tc>
          <w:tcPr>
            <w:tcW w:w="704" w:type="pct"/>
            <w:noWrap/>
            <w:hideMark/>
          </w:tcPr>
          <w:p w14:paraId="2A59C428" w14:textId="77777777" w:rsidR="00316A6F" w:rsidRPr="0095539A" w:rsidRDefault="00316A6F" w:rsidP="0095539A">
            <w:pPr>
              <w:pStyle w:val="TableBody"/>
            </w:pPr>
            <w:r w:rsidRPr="0095539A">
              <w:t>2017-18</w:t>
            </w:r>
          </w:p>
        </w:tc>
        <w:tc>
          <w:tcPr>
            <w:tcW w:w="705" w:type="pct"/>
            <w:noWrap/>
            <w:hideMark/>
          </w:tcPr>
          <w:p w14:paraId="50C6EFE6" w14:textId="77777777" w:rsidR="00316A6F" w:rsidRPr="0095539A" w:rsidRDefault="00316A6F" w:rsidP="0095539A">
            <w:pPr>
              <w:pStyle w:val="TableBody"/>
            </w:pPr>
            <w:r w:rsidRPr="0095539A">
              <w:t>3,275</w:t>
            </w:r>
          </w:p>
        </w:tc>
        <w:tc>
          <w:tcPr>
            <w:tcW w:w="705" w:type="pct"/>
            <w:noWrap/>
            <w:hideMark/>
          </w:tcPr>
          <w:p w14:paraId="7AEE1B53" w14:textId="77777777" w:rsidR="00316A6F" w:rsidRPr="0095539A" w:rsidRDefault="00316A6F" w:rsidP="0095539A">
            <w:pPr>
              <w:pStyle w:val="TableBody"/>
            </w:pPr>
            <w:r w:rsidRPr="0095539A">
              <w:t>2,422</w:t>
            </w:r>
          </w:p>
        </w:tc>
        <w:tc>
          <w:tcPr>
            <w:tcW w:w="775" w:type="pct"/>
            <w:noWrap/>
            <w:hideMark/>
          </w:tcPr>
          <w:p w14:paraId="1B9B3804" w14:textId="77777777" w:rsidR="00316A6F" w:rsidRPr="0095539A" w:rsidRDefault="00316A6F" w:rsidP="0095539A">
            <w:pPr>
              <w:pStyle w:val="TableBody"/>
            </w:pPr>
            <w:r w:rsidRPr="0095539A">
              <w:t>792</w:t>
            </w:r>
          </w:p>
        </w:tc>
        <w:tc>
          <w:tcPr>
            <w:tcW w:w="705" w:type="pct"/>
            <w:noWrap/>
            <w:hideMark/>
          </w:tcPr>
          <w:p w14:paraId="2CC0A47B" w14:textId="77777777" w:rsidR="00316A6F" w:rsidRPr="0095539A" w:rsidRDefault="00316A6F" w:rsidP="0095539A">
            <w:pPr>
              <w:pStyle w:val="TableBody"/>
            </w:pPr>
            <w:r w:rsidRPr="0095539A">
              <w:t>679</w:t>
            </w:r>
          </w:p>
        </w:tc>
        <w:tc>
          <w:tcPr>
            <w:tcW w:w="705" w:type="pct"/>
            <w:noWrap/>
            <w:hideMark/>
          </w:tcPr>
          <w:p w14:paraId="7572D0E8" w14:textId="77777777" w:rsidR="00316A6F" w:rsidRPr="0095539A" w:rsidRDefault="00316A6F" w:rsidP="0095539A">
            <w:pPr>
              <w:pStyle w:val="TableBody"/>
            </w:pPr>
            <w:r w:rsidRPr="0095539A">
              <w:t>590</w:t>
            </w:r>
          </w:p>
        </w:tc>
        <w:tc>
          <w:tcPr>
            <w:tcW w:w="702" w:type="pct"/>
            <w:noWrap/>
            <w:hideMark/>
          </w:tcPr>
          <w:p w14:paraId="50C54665" w14:textId="77777777" w:rsidR="00316A6F" w:rsidRPr="0095539A" w:rsidRDefault="00316A6F" w:rsidP="0095539A">
            <w:pPr>
              <w:pStyle w:val="TableBody"/>
            </w:pPr>
            <w:r w:rsidRPr="0095539A">
              <w:t>375</w:t>
            </w:r>
          </w:p>
        </w:tc>
      </w:tr>
      <w:tr w:rsidR="00316A6F" w:rsidRPr="0095539A" w14:paraId="25EBD184" w14:textId="77777777" w:rsidTr="00324052">
        <w:trPr>
          <w:trHeight w:val="288"/>
        </w:trPr>
        <w:tc>
          <w:tcPr>
            <w:tcW w:w="704" w:type="pct"/>
            <w:noWrap/>
            <w:hideMark/>
          </w:tcPr>
          <w:p w14:paraId="68F48AA8" w14:textId="77777777" w:rsidR="00316A6F" w:rsidRPr="0095539A" w:rsidRDefault="00316A6F" w:rsidP="0095539A">
            <w:pPr>
              <w:pStyle w:val="TableBody"/>
            </w:pPr>
            <w:r w:rsidRPr="0095539A">
              <w:t>2018-19</w:t>
            </w:r>
          </w:p>
        </w:tc>
        <w:tc>
          <w:tcPr>
            <w:tcW w:w="705" w:type="pct"/>
            <w:noWrap/>
            <w:hideMark/>
          </w:tcPr>
          <w:p w14:paraId="087845CC" w14:textId="77777777" w:rsidR="00316A6F" w:rsidRPr="0095539A" w:rsidRDefault="00316A6F" w:rsidP="0095539A">
            <w:pPr>
              <w:pStyle w:val="TableBody"/>
            </w:pPr>
            <w:r w:rsidRPr="0095539A">
              <w:t>3,750</w:t>
            </w:r>
          </w:p>
        </w:tc>
        <w:tc>
          <w:tcPr>
            <w:tcW w:w="705" w:type="pct"/>
            <w:noWrap/>
            <w:hideMark/>
          </w:tcPr>
          <w:p w14:paraId="091A52C4" w14:textId="77777777" w:rsidR="00316A6F" w:rsidRPr="0095539A" w:rsidRDefault="00316A6F" w:rsidP="0095539A">
            <w:pPr>
              <w:pStyle w:val="TableBody"/>
            </w:pPr>
            <w:r w:rsidRPr="0095539A">
              <w:t>3,010</w:t>
            </w:r>
          </w:p>
        </w:tc>
        <w:tc>
          <w:tcPr>
            <w:tcW w:w="775" w:type="pct"/>
            <w:noWrap/>
            <w:hideMark/>
          </w:tcPr>
          <w:p w14:paraId="51E5F0C2" w14:textId="77777777" w:rsidR="00316A6F" w:rsidRPr="0095539A" w:rsidRDefault="00316A6F" w:rsidP="0095539A">
            <w:pPr>
              <w:pStyle w:val="TableBody"/>
            </w:pPr>
            <w:r w:rsidRPr="0095539A">
              <w:t>992</w:t>
            </w:r>
          </w:p>
        </w:tc>
        <w:tc>
          <w:tcPr>
            <w:tcW w:w="705" w:type="pct"/>
            <w:noWrap/>
            <w:hideMark/>
          </w:tcPr>
          <w:p w14:paraId="7D522E38" w14:textId="77777777" w:rsidR="00316A6F" w:rsidRPr="0095539A" w:rsidRDefault="00316A6F" w:rsidP="0095539A">
            <w:pPr>
              <w:pStyle w:val="TableBody"/>
            </w:pPr>
            <w:r w:rsidRPr="0095539A">
              <w:t>886</w:t>
            </w:r>
          </w:p>
        </w:tc>
        <w:tc>
          <w:tcPr>
            <w:tcW w:w="705" w:type="pct"/>
            <w:noWrap/>
            <w:hideMark/>
          </w:tcPr>
          <w:p w14:paraId="54C42230" w14:textId="77777777" w:rsidR="00316A6F" w:rsidRPr="0095539A" w:rsidRDefault="00316A6F" w:rsidP="0095539A">
            <w:pPr>
              <w:pStyle w:val="TableBody"/>
            </w:pPr>
            <w:r w:rsidRPr="0095539A">
              <w:t>771</w:t>
            </w:r>
          </w:p>
        </w:tc>
        <w:tc>
          <w:tcPr>
            <w:tcW w:w="702" w:type="pct"/>
            <w:noWrap/>
            <w:hideMark/>
          </w:tcPr>
          <w:p w14:paraId="0360716B" w14:textId="77777777" w:rsidR="00316A6F" w:rsidRPr="0095539A" w:rsidRDefault="00316A6F" w:rsidP="0095539A">
            <w:pPr>
              <w:pStyle w:val="TableBody"/>
            </w:pPr>
            <w:r w:rsidRPr="0095539A">
              <w:t>314</w:t>
            </w:r>
          </w:p>
        </w:tc>
      </w:tr>
      <w:tr w:rsidR="00316A6F" w:rsidRPr="0095539A" w14:paraId="4DFCBF40" w14:textId="77777777" w:rsidTr="00324052">
        <w:trPr>
          <w:trHeight w:val="288"/>
        </w:trPr>
        <w:tc>
          <w:tcPr>
            <w:tcW w:w="704" w:type="pct"/>
            <w:noWrap/>
            <w:hideMark/>
          </w:tcPr>
          <w:p w14:paraId="62D17EE8" w14:textId="77777777" w:rsidR="00316A6F" w:rsidRPr="0095539A" w:rsidRDefault="00316A6F" w:rsidP="0095539A">
            <w:pPr>
              <w:pStyle w:val="TableBody"/>
            </w:pPr>
            <w:r w:rsidRPr="0095539A">
              <w:t>2019-20</w:t>
            </w:r>
          </w:p>
        </w:tc>
        <w:tc>
          <w:tcPr>
            <w:tcW w:w="705" w:type="pct"/>
            <w:noWrap/>
            <w:hideMark/>
          </w:tcPr>
          <w:p w14:paraId="19FE6ED6" w14:textId="77777777" w:rsidR="00316A6F" w:rsidRPr="0095539A" w:rsidRDefault="00316A6F" w:rsidP="0095539A">
            <w:pPr>
              <w:pStyle w:val="TableBody"/>
            </w:pPr>
            <w:r w:rsidRPr="0095539A">
              <w:t>3,617</w:t>
            </w:r>
          </w:p>
        </w:tc>
        <w:tc>
          <w:tcPr>
            <w:tcW w:w="705" w:type="pct"/>
            <w:noWrap/>
            <w:hideMark/>
          </w:tcPr>
          <w:p w14:paraId="50EED870" w14:textId="77777777" w:rsidR="00316A6F" w:rsidRPr="0095539A" w:rsidRDefault="00316A6F" w:rsidP="0095539A">
            <w:pPr>
              <w:pStyle w:val="TableBody"/>
            </w:pPr>
            <w:r w:rsidRPr="0095539A">
              <w:t>3,009</w:t>
            </w:r>
          </w:p>
        </w:tc>
        <w:tc>
          <w:tcPr>
            <w:tcW w:w="775" w:type="pct"/>
            <w:noWrap/>
            <w:hideMark/>
          </w:tcPr>
          <w:p w14:paraId="75F23293" w14:textId="77777777" w:rsidR="00316A6F" w:rsidRPr="0095539A" w:rsidRDefault="00316A6F" w:rsidP="0095539A">
            <w:pPr>
              <w:pStyle w:val="TableBody"/>
            </w:pPr>
            <w:r w:rsidRPr="0095539A">
              <w:t>990</w:t>
            </w:r>
          </w:p>
        </w:tc>
        <w:tc>
          <w:tcPr>
            <w:tcW w:w="705" w:type="pct"/>
            <w:noWrap/>
            <w:hideMark/>
          </w:tcPr>
          <w:p w14:paraId="678B3533" w14:textId="77777777" w:rsidR="00316A6F" w:rsidRPr="0095539A" w:rsidRDefault="00316A6F" w:rsidP="0095539A">
            <w:pPr>
              <w:pStyle w:val="TableBody"/>
            </w:pPr>
            <w:r w:rsidRPr="0095539A">
              <w:t>882</w:t>
            </w:r>
          </w:p>
        </w:tc>
        <w:tc>
          <w:tcPr>
            <w:tcW w:w="705" w:type="pct"/>
            <w:noWrap/>
            <w:hideMark/>
          </w:tcPr>
          <w:p w14:paraId="6284D2D9" w14:textId="77777777" w:rsidR="00316A6F" w:rsidRPr="0095539A" w:rsidRDefault="00316A6F" w:rsidP="0095539A">
            <w:pPr>
              <w:pStyle w:val="TableBody"/>
            </w:pPr>
            <w:r w:rsidRPr="0095539A">
              <w:t>747</w:t>
            </w:r>
          </w:p>
        </w:tc>
        <w:tc>
          <w:tcPr>
            <w:tcW w:w="702" w:type="pct"/>
            <w:noWrap/>
            <w:hideMark/>
          </w:tcPr>
          <w:p w14:paraId="1C99A933" w14:textId="77777777" w:rsidR="00316A6F" w:rsidRPr="0095539A" w:rsidRDefault="00316A6F" w:rsidP="0095539A">
            <w:pPr>
              <w:pStyle w:val="TableBody"/>
            </w:pPr>
            <w:r w:rsidRPr="0095539A">
              <w:t>234</w:t>
            </w:r>
          </w:p>
        </w:tc>
      </w:tr>
      <w:tr w:rsidR="00316A6F" w:rsidRPr="0095539A" w14:paraId="1F5F14CA" w14:textId="77777777" w:rsidTr="00324052">
        <w:trPr>
          <w:trHeight w:val="288"/>
        </w:trPr>
        <w:tc>
          <w:tcPr>
            <w:tcW w:w="704" w:type="pct"/>
            <w:noWrap/>
            <w:hideMark/>
          </w:tcPr>
          <w:p w14:paraId="7441DD27" w14:textId="77777777" w:rsidR="00316A6F" w:rsidRPr="0095539A" w:rsidRDefault="00316A6F" w:rsidP="0095539A">
            <w:pPr>
              <w:pStyle w:val="TableBody"/>
            </w:pPr>
            <w:r w:rsidRPr="0095539A">
              <w:t>2020-21</w:t>
            </w:r>
          </w:p>
        </w:tc>
        <w:tc>
          <w:tcPr>
            <w:tcW w:w="705" w:type="pct"/>
            <w:noWrap/>
            <w:hideMark/>
          </w:tcPr>
          <w:p w14:paraId="1DCE1862" w14:textId="77777777" w:rsidR="00316A6F" w:rsidRPr="0095539A" w:rsidRDefault="00316A6F" w:rsidP="0095539A">
            <w:pPr>
              <w:pStyle w:val="TableBody"/>
            </w:pPr>
            <w:r w:rsidRPr="0095539A">
              <w:t>3,126</w:t>
            </w:r>
          </w:p>
        </w:tc>
        <w:tc>
          <w:tcPr>
            <w:tcW w:w="705" w:type="pct"/>
            <w:noWrap/>
            <w:hideMark/>
          </w:tcPr>
          <w:p w14:paraId="068A1AC8" w14:textId="77777777" w:rsidR="00316A6F" w:rsidRPr="0095539A" w:rsidRDefault="00316A6F" w:rsidP="0095539A">
            <w:pPr>
              <w:pStyle w:val="TableBody"/>
            </w:pPr>
            <w:r w:rsidRPr="0095539A">
              <w:t>2,355</w:t>
            </w:r>
          </w:p>
        </w:tc>
        <w:tc>
          <w:tcPr>
            <w:tcW w:w="775" w:type="pct"/>
            <w:noWrap/>
            <w:hideMark/>
          </w:tcPr>
          <w:p w14:paraId="7B322074" w14:textId="77777777" w:rsidR="00316A6F" w:rsidRPr="0095539A" w:rsidRDefault="00316A6F" w:rsidP="0095539A">
            <w:pPr>
              <w:pStyle w:val="TableBody"/>
            </w:pPr>
            <w:r w:rsidRPr="0095539A">
              <w:t>949</w:t>
            </w:r>
          </w:p>
        </w:tc>
        <w:tc>
          <w:tcPr>
            <w:tcW w:w="705" w:type="pct"/>
            <w:noWrap/>
            <w:hideMark/>
          </w:tcPr>
          <w:p w14:paraId="4D13EC04" w14:textId="77777777" w:rsidR="00316A6F" w:rsidRPr="0095539A" w:rsidRDefault="00316A6F" w:rsidP="0095539A">
            <w:pPr>
              <w:pStyle w:val="TableBody"/>
            </w:pPr>
            <w:r w:rsidRPr="0095539A">
              <w:t>731</w:t>
            </w:r>
          </w:p>
        </w:tc>
        <w:tc>
          <w:tcPr>
            <w:tcW w:w="705" w:type="pct"/>
            <w:noWrap/>
            <w:hideMark/>
          </w:tcPr>
          <w:p w14:paraId="10522242" w14:textId="77777777" w:rsidR="00316A6F" w:rsidRPr="0095539A" w:rsidRDefault="00316A6F" w:rsidP="0095539A">
            <w:pPr>
              <w:pStyle w:val="TableBody"/>
            </w:pPr>
            <w:r w:rsidRPr="0095539A">
              <w:t>670</w:t>
            </w:r>
          </w:p>
        </w:tc>
        <w:tc>
          <w:tcPr>
            <w:tcW w:w="702" w:type="pct"/>
            <w:noWrap/>
            <w:hideMark/>
          </w:tcPr>
          <w:p w14:paraId="39F8F86C" w14:textId="77777777" w:rsidR="00316A6F" w:rsidRPr="0095539A" w:rsidRDefault="00316A6F" w:rsidP="0095539A">
            <w:pPr>
              <w:pStyle w:val="TableBody"/>
            </w:pPr>
            <w:r w:rsidRPr="0095539A">
              <w:t>132</w:t>
            </w:r>
          </w:p>
        </w:tc>
      </w:tr>
      <w:tr w:rsidR="00316A6F" w:rsidRPr="0095539A" w14:paraId="1DDE6288" w14:textId="77777777" w:rsidTr="00324052">
        <w:trPr>
          <w:trHeight w:val="288"/>
        </w:trPr>
        <w:tc>
          <w:tcPr>
            <w:tcW w:w="704" w:type="pct"/>
            <w:noWrap/>
            <w:hideMark/>
          </w:tcPr>
          <w:p w14:paraId="1DAD3CC9" w14:textId="77777777" w:rsidR="00316A6F" w:rsidRPr="0095539A" w:rsidRDefault="00316A6F" w:rsidP="0095539A">
            <w:pPr>
              <w:pStyle w:val="TableBody"/>
            </w:pPr>
            <w:r w:rsidRPr="0095539A">
              <w:t>2021-22</w:t>
            </w:r>
          </w:p>
        </w:tc>
        <w:tc>
          <w:tcPr>
            <w:tcW w:w="705" w:type="pct"/>
            <w:noWrap/>
            <w:hideMark/>
          </w:tcPr>
          <w:p w14:paraId="1A01B5BA" w14:textId="77777777" w:rsidR="00316A6F" w:rsidRPr="0095539A" w:rsidRDefault="00316A6F" w:rsidP="0095539A">
            <w:pPr>
              <w:pStyle w:val="TableBody"/>
            </w:pPr>
            <w:r w:rsidRPr="0095539A">
              <w:t>3,393</w:t>
            </w:r>
          </w:p>
        </w:tc>
        <w:tc>
          <w:tcPr>
            <w:tcW w:w="705" w:type="pct"/>
            <w:noWrap/>
            <w:hideMark/>
          </w:tcPr>
          <w:p w14:paraId="4EA557B8" w14:textId="77777777" w:rsidR="00316A6F" w:rsidRPr="0095539A" w:rsidRDefault="00316A6F" w:rsidP="0095539A">
            <w:pPr>
              <w:pStyle w:val="TableBody"/>
            </w:pPr>
            <w:r w:rsidRPr="0095539A">
              <w:t>2,012</w:t>
            </w:r>
          </w:p>
        </w:tc>
        <w:tc>
          <w:tcPr>
            <w:tcW w:w="775" w:type="pct"/>
            <w:noWrap/>
            <w:hideMark/>
          </w:tcPr>
          <w:p w14:paraId="3822FBB2" w14:textId="77777777" w:rsidR="00316A6F" w:rsidRPr="0095539A" w:rsidRDefault="00316A6F" w:rsidP="0095539A">
            <w:pPr>
              <w:pStyle w:val="TableBody"/>
            </w:pPr>
            <w:r w:rsidRPr="0095539A">
              <w:t>786</w:t>
            </w:r>
          </w:p>
        </w:tc>
        <w:tc>
          <w:tcPr>
            <w:tcW w:w="705" w:type="pct"/>
            <w:noWrap/>
            <w:hideMark/>
          </w:tcPr>
          <w:p w14:paraId="311EAAF0" w14:textId="77777777" w:rsidR="00316A6F" w:rsidRPr="0095539A" w:rsidRDefault="00316A6F" w:rsidP="0095539A">
            <w:pPr>
              <w:pStyle w:val="TableBody"/>
            </w:pPr>
            <w:r w:rsidRPr="0095539A">
              <w:t>615</w:t>
            </w:r>
          </w:p>
        </w:tc>
        <w:tc>
          <w:tcPr>
            <w:tcW w:w="705" w:type="pct"/>
            <w:noWrap/>
            <w:hideMark/>
          </w:tcPr>
          <w:p w14:paraId="009099C6" w14:textId="77777777" w:rsidR="00316A6F" w:rsidRPr="0095539A" w:rsidRDefault="00316A6F" w:rsidP="0095539A">
            <w:pPr>
              <w:pStyle w:val="TableBody"/>
            </w:pPr>
            <w:r w:rsidRPr="0095539A">
              <w:t>558</w:t>
            </w:r>
          </w:p>
        </w:tc>
        <w:tc>
          <w:tcPr>
            <w:tcW w:w="702" w:type="pct"/>
            <w:noWrap/>
            <w:hideMark/>
          </w:tcPr>
          <w:p w14:paraId="4667F993" w14:textId="77777777" w:rsidR="00316A6F" w:rsidRPr="0095539A" w:rsidRDefault="00316A6F" w:rsidP="0095539A">
            <w:pPr>
              <w:pStyle w:val="TableBody"/>
            </w:pPr>
            <w:r w:rsidRPr="0095539A">
              <w:t>131</w:t>
            </w:r>
          </w:p>
        </w:tc>
      </w:tr>
      <w:tr w:rsidR="00316A6F" w:rsidRPr="0095539A" w14:paraId="55DF674F" w14:textId="77777777" w:rsidTr="00324052">
        <w:trPr>
          <w:trHeight w:val="288"/>
        </w:trPr>
        <w:tc>
          <w:tcPr>
            <w:tcW w:w="704" w:type="pct"/>
            <w:noWrap/>
            <w:hideMark/>
          </w:tcPr>
          <w:p w14:paraId="7776D072" w14:textId="77777777" w:rsidR="00316A6F" w:rsidRPr="0095539A" w:rsidRDefault="00316A6F" w:rsidP="0095539A">
            <w:pPr>
              <w:pStyle w:val="TableBody"/>
            </w:pPr>
            <w:r w:rsidRPr="0095539A">
              <w:t>2022-23</w:t>
            </w:r>
          </w:p>
        </w:tc>
        <w:tc>
          <w:tcPr>
            <w:tcW w:w="705" w:type="pct"/>
            <w:noWrap/>
            <w:hideMark/>
          </w:tcPr>
          <w:p w14:paraId="2427ABD6" w14:textId="77777777" w:rsidR="00316A6F" w:rsidRPr="0095539A" w:rsidRDefault="00316A6F" w:rsidP="0095539A">
            <w:pPr>
              <w:pStyle w:val="TableBody"/>
            </w:pPr>
            <w:r w:rsidRPr="0095539A">
              <w:t>3,263</w:t>
            </w:r>
          </w:p>
        </w:tc>
        <w:tc>
          <w:tcPr>
            <w:tcW w:w="705" w:type="pct"/>
            <w:noWrap/>
            <w:hideMark/>
          </w:tcPr>
          <w:p w14:paraId="20F8057D" w14:textId="77777777" w:rsidR="00316A6F" w:rsidRPr="0095539A" w:rsidRDefault="00316A6F" w:rsidP="0095539A">
            <w:pPr>
              <w:pStyle w:val="TableBody"/>
            </w:pPr>
            <w:r w:rsidRPr="0095539A">
              <w:t>2,154</w:t>
            </w:r>
          </w:p>
        </w:tc>
        <w:tc>
          <w:tcPr>
            <w:tcW w:w="775" w:type="pct"/>
            <w:noWrap/>
            <w:hideMark/>
          </w:tcPr>
          <w:p w14:paraId="65F75098" w14:textId="77777777" w:rsidR="00316A6F" w:rsidRPr="0095539A" w:rsidRDefault="00316A6F" w:rsidP="0095539A">
            <w:pPr>
              <w:pStyle w:val="TableBody"/>
            </w:pPr>
            <w:r w:rsidRPr="0095539A">
              <w:t>773</w:t>
            </w:r>
          </w:p>
        </w:tc>
        <w:tc>
          <w:tcPr>
            <w:tcW w:w="705" w:type="pct"/>
            <w:noWrap/>
            <w:hideMark/>
          </w:tcPr>
          <w:p w14:paraId="5BDBBC4C" w14:textId="77777777" w:rsidR="00316A6F" w:rsidRPr="0095539A" w:rsidRDefault="00316A6F" w:rsidP="0095539A">
            <w:pPr>
              <w:pStyle w:val="TableBody"/>
            </w:pPr>
            <w:r w:rsidRPr="0095539A">
              <w:t>675</w:t>
            </w:r>
          </w:p>
        </w:tc>
        <w:tc>
          <w:tcPr>
            <w:tcW w:w="705" w:type="pct"/>
            <w:noWrap/>
            <w:hideMark/>
          </w:tcPr>
          <w:p w14:paraId="17D38ABA" w14:textId="77777777" w:rsidR="00316A6F" w:rsidRPr="0095539A" w:rsidRDefault="00316A6F" w:rsidP="0095539A">
            <w:pPr>
              <w:pStyle w:val="TableBody"/>
            </w:pPr>
            <w:r w:rsidRPr="0095539A">
              <w:t>452</w:t>
            </w:r>
          </w:p>
        </w:tc>
        <w:tc>
          <w:tcPr>
            <w:tcW w:w="702" w:type="pct"/>
            <w:noWrap/>
            <w:hideMark/>
          </w:tcPr>
          <w:p w14:paraId="297DB041" w14:textId="77777777" w:rsidR="00316A6F" w:rsidRPr="0095539A" w:rsidRDefault="00316A6F" w:rsidP="0095539A">
            <w:pPr>
              <w:pStyle w:val="TableBody"/>
            </w:pPr>
            <w:r w:rsidRPr="0095539A">
              <w:t>126</w:t>
            </w:r>
          </w:p>
        </w:tc>
      </w:tr>
      <w:tr w:rsidR="00316A6F" w:rsidRPr="0095539A" w14:paraId="598FBD1C" w14:textId="77777777" w:rsidTr="00324052">
        <w:trPr>
          <w:trHeight w:val="288"/>
        </w:trPr>
        <w:tc>
          <w:tcPr>
            <w:tcW w:w="704" w:type="pct"/>
            <w:noWrap/>
            <w:hideMark/>
          </w:tcPr>
          <w:p w14:paraId="768B164A" w14:textId="77777777" w:rsidR="00316A6F" w:rsidRPr="0095539A" w:rsidRDefault="00316A6F" w:rsidP="0095539A">
            <w:pPr>
              <w:pStyle w:val="TableBody"/>
            </w:pPr>
            <w:r w:rsidRPr="0095539A">
              <w:t>2023-24</w:t>
            </w:r>
          </w:p>
        </w:tc>
        <w:tc>
          <w:tcPr>
            <w:tcW w:w="705" w:type="pct"/>
            <w:noWrap/>
            <w:hideMark/>
          </w:tcPr>
          <w:p w14:paraId="50E317DB" w14:textId="77777777" w:rsidR="00316A6F" w:rsidRPr="0095539A" w:rsidRDefault="00316A6F" w:rsidP="0095539A">
            <w:pPr>
              <w:pStyle w:val="TableBody"/>
            </w:pPr>
            <w:r w:rsidRPr="0095539A">
              <w:t>2,756</w:t>
            </w:r>
          </w:p>
        </w:tc>
        <w:tc>
          <w:tcPr>
            <w:tcW w:w="705" w:type="pct"/>
            <w:noWrap/>
            <w:hideMark/>
          </w:tcPr>
          <w:p w14:paraId="331719E1" w14:textId="77777777" w:rsidR="00316A6F" w:rsidRPr="0095539A" w:rsidRDefault="00316A6F" w:rsidP="0095539A">
            <w:pPr>
              <w:pStyle w:val="TableBody"/>
            </w:pPr>
            <w:r w:rsidRPr="0095539A">
              <w:t>1,735</w:t>
            </w:r>
          </w:p>
        </w:tc>
        <w:tc>
          <w:tcPr>
            <w:tcW w:w="775" w:type="pct"/>
            <w:noWrap/>
            <w:hideMark/>
          </w:tcPr>
          <w:p w14:paraId="1848A71B" w14:textId="77777777" w:rsidR="00316A6F" w:rsidRPr="0095539A" w:rsidRDefault="00316A6F" w:rsidP="0095539A">
            <w:pPr>
              <w:pStyle w:val="TableBody"/>
            </w:pPr>
            <w:r w:rsidRPr="0095539A">
              <w:t>639</w:t>
            </w:r>
          </w:p>
        </w:tc>
        <w:tc>
          <w:tcPr>
            <w:tcW w:w="705" w:type="pct"/>
            <w:noWrap/>
            <w:hideMark/>
          </w:tcPr>
          <w:p w14:paraId="363F6C88" w14:textId="77777777" w:rsidR="00316A6F" w:rsidRPr="0095539A" w:rsidRDefault="00316A6F" w:rsidP="0095539A">
            <w:pPr>
              <w:pStyle w:val="TableBody"/>
            </w:pPr>
            <w:r w:rsidRPr="0095539A">
              <w:t>524</w:t>
            </w:r>
          </w:p>
        </w:tc>
        <w:tc>
          <w:tcPr>
            <w:tcW w:w="705" w:type="pct"/>
            <w:noWrap/>
            <w:hideMark/>
          </w:tcPr>
          <w:p w14:paraId="3A338050" w14:textId="77777777" w:rsidR="00316A6F" w:rsidRPr="0095539A" w:rsidRDefault="00316A6F" w:rsidP="0095539A">
            <w:pPr>
              <w:pStyle w:val="TableBody"/>
            </w:pPr>
            <w:r w:rsidRPr="0095539A">
              <w:t>347</w:t>
            </w:r>
          </w:p>
        </w:tc>
        <w:tc>
          <w:tcPr>
            <w:tcW w:w="702" w:type="pct"/>
            <w:noWrap/>
            <w:hideMark/>
          </w:tcPr>
          <w:p w14:paraId="64CE4DE9" w14:textId="77777777" w:rsidR="00316A6F" w:rsidRPr="0095539A" w:rsidRDefault="00316A6F" w:rsidP="0095539A">
            <w:pPr>
              <w:pStyle w:val="TableBody"/>
            </w:pPr>
            <w:r w:rsidRPr="0095539A">
              <w:t>125</w:t>
            </w:r>
          </w:p>
        </w:tc>
      </w:tr>
    </w:tbl>
    <w:p w14:paraId="2FB31AC5" w14:textId="77777777" w:rsidR="00697F1E" w:rsidRPr="00157502" w:rsidRDefault="00697F1E" w:rsidP="00D4532A">
      <w:r w:rsidRPr="000C258A">
        <w:rPr>
          <w:rStyle w:val="Strong"/>
        </w:rPr>
        <w:t>Source</w:t>
      </w:r>
      <w:r w:rsidRPr="008C1137">
        <w:t>: Court Services Victoria, unpublished data</w:t>
      </w:r>
    </w:p>
    <w:p w14:paraId="313FA3F7" w14:textId="1ECD5A9D" w:rsidR="00A4454A" w:rsidRPr="008C1137" w:rsidRDefault="00A4454A" w:rsidP="00210207">
      <w:pPr>
        <w:pStyle w:val="Numbered"/>
      </w:pPr>
      <w:r w:rsidRPr="008C1137">
        <w:lastRenderedPageBreak/>
        <w:t xml:space="preserve">Both property offences and drug offences exhibited a similar trend – a significant increase in the period from 2011–12 to 2018–19 followed by a decrease in the next 5 years to 2023–24. However, unlike the three offence categories above, property offences and drug offences now receive close to the same number of custodial sentences as they did in 2004–05. The number of cases where the most serious offence fell into the </w:t>
      </w:r>
      <w:r w:rsidRPr="003B3217">
        <w:rPr>
          <w:rStyle w:val="Italic"/>
        </w:rPr>
        <w:t xml:space="preserve">other </w:t>
      </w:r>
      <w:r w:rsidRPr="008C1137">
        <w:t>offence category (which includes traffic and vehicle offences and other miscellaneous offences) decreased markedly during the 20-year period.</w:t>
      </w:r>
    </w:p>
    <w:p w14:paraId="71820BBA" w14:textId="5CBF0824" w:rsidR="00A4454A" w:rsidRPr="008C1137" w:rsidRDefault="00A4454A" w:rsidP="00210207">
      <w:pPr>
        <w:pStyle w:val="Numbered"/>
      </w:pPr>
      <w:r w:rsidRPr="008C1137">
        <w:t>Given both the prevalence of, and increase in, custodial sentences for offences against the person, Figure 20</w:t>
      </w:r>
      <w:r w:rsidR="009E33A5">
        <w:t xml:space="preserve"> </w:t>
      </w:r>
      <w:r w:rsidRPr="008C1137">
        <w:t>provides a detailed breakdown of offence types within that offence category.</w:t>
      </w:r>
      <w:r w:rsidRPr="008C1137">
        <w:rPr>
          <w:rStyle w:val="Superscript"/>
        </w:rPr>
        <w:footnoteReference w:id="98"/>
      </w:r>
      <w:r w:rsidRPr="008C1137">
        <w:t xml:space="preserve"> The data shows that (aside from robbery offences), there has been a significant increase in custodial sentences for </w:t>
      </w:r>
      <w:r w:rsidRPr="003B3217">
        <w:rPr>
          <w:rStyle w:val="Italic"/>
        </w:rPr>
        <w:t>all</w:t>
      </w:r>
      <w:r w:rsidRPr="008C1137">
        <w:t xml:space="preserve"> types of offences against the person, albeit the increase is most pronounced for causing injury offences, which include specific offences such as unlawful assault</w:t>
      </w:r>
      <w:r w:rsidRPr="008C1137">
        <w:rPr>
          <w:rStyle w:val="Superscript"/>
        </w:rPr>
        <w:footnoteReference w:id="99"/>
      </w:r>
      <w:r w:rsidRPr="008C1137">
        <w:t xml:space="preserve"> and recklessly causing serious injury.</w:t>
      </w:r>
      <w:r w:rsidRPr="008C1137">
        <w:rPr>
          <w:rStyle w:val="Superscript"/>
        </w:rPr>
        <w:footnoteReference w:id="100"/>
      </w:r>
    </w:p>
    <w:p w14:paraId="574C9B00" w14:textId="77777777" w:rsidR="007606B5" w:rsidRPr="008C1137" w:rsidRDefault="007606B5" w:rsidP="00BE4EDC">
      <w:pPr>
        <w:pStyle w:val="Caption"/>
      </w:pPr>
      <w:r w:rsidRPr="00157502">
        <w:t>Figure 20</w:t>
      </w:r>
      <w:r w:rsidRPr="008C1137">
        <w:t>: Number of cases receiving a custodial sentence in the Magistrates’ Court, by type of offence against the person in the case, 2004–05 to 2023–24</w:t>
      </w:r>
    </w:p>
    <w:tbl>
      <w:tblPr>
        <w:tblStyle w:val="Table"/>
        <w:tblW w:w="5000" w:type="pct"/>
        <w:tblLayout w:type="fixed"/>
        <w:tblLook w:val="04A0" w:firstRow="1" w:lastRow="0" w:firstColumn="1" w:lastColumn="0" w:noHBand="0" w:noVBand="1"/>
      </w:tblPr>
      <w:tblGrid>
        <w:gridCol w:w="1502"/>
        <w:gridCol w:w="1504"/>
        <w:gridCol w:w="1504"/>
        <w:gridCol w:w="1502"/>
        <w:gridCol w:w="1504"/>
        <w:gridCol w:w="1500"/>
      </w:tblGrid>
      <w:tr w:rsidR="00261C3F" w:rsidRPr="00D14CD4" w14:paraId="11FC2B29" w14:textId="77777777" w:rsidTr="004270CE">
        <w:trPr>
          <w:trHeight w:val="288"/>
          <w:tblHeader/>
        </w:trPr>
        <w:tc>
          <w:tcPr>
            <w:tcW w:w="833" w:type="pct"/>
            <w:noWrap/>
            <w:hideMark/>
          </w:tcPr>
          <w:p w14:paraId="15A8F14B" w14:textId="06906E19" w:rsidR="00261C3F" w:rsidRPr="00067EB7" w:rsidRDefault="00261C3F" w:rsidP="00067EB7">
            <w:pPr>
              <w:pStyle w:val="TableHeading"/>
            </w:pPr>
            <w:r w:rsidRPr="00067EB7">
              <w:t>Financial year</w:t>
            </w:r>
          </w:p>
        </w:tc>
        <w:tc>
          <w:tcPr>
            <w:tcW w:w="834" w:type="pct"/>
            <w:noWrap/>
            <w:hideMark/>
          </w:tcPr>
          <w:p w14:paraId="0F1D8511" w14:textId="77777777" w:rsidR="00261C3F" w:rsidRPr="00067EB7" w:rsidRDefault="00261C3F" w:rsidP="00067EB7">
            <w:pPr>
              <w:pStyle w:val="TableHeading"/>
            </w:pPr>
            <w:r w:rsidRPr="00067EB7">
              <w:t>Cause injury</w:t>
            </w:r>
          </w:p>
        </w:tc>
        <w:tc>
          <w:tcPr>
            <w:tcW w:w="834" w:type="pct"/>
            <w:noWrap/>
            <w:hideMark/>
          </w:tcPr>
          <w:p w14:paraId="7A86948B" w14:textId="77777777" w:rsidR="00261C3F" w:rsidRPr="00067EB7" w:rsidRDefault="00261C3F" w:rsidP="00067EB7">
            <w:pPr>
              <w:pStyle w:val="TableHeading"/>
            </w:pPr>
            <w:r w:rsidRPr="00067EB7">
              <w:t>Dangerous acts</w:t>
            </w:r>
          </w:p>
        </w:tc>
        <w:tc>
          <w:tcPr>
            <w:tcW w:w="833" w:type="pct"/>
            <w:noWrap/>
            <w:hideMark/>
          </w:tcPr>
          <w:p w14:paraId="17FDA19E" w14:textId="77777777" w:rsidR="00261C3F" w:rsidRPr="00067EB7" w:rsidRDefault="00261C3F" w:rsidP="00067EB7">
            <w:pPr>
              <w:pStyle w:val="TableHeading"/>
            </w:pPr>
            <w:r w:rsidRPr="00067EB7">
              <w:t>Abduction</w:t>
            </w:r>
          </w:p>
        </w:tc>
        <w:tc>
          <w:tcPr>
            <w:tcW w:w="834" w:type="pct"/>
            <w:noWrap/>
            <w:hideMark/>
          </w:tcPr>
          <w:p w14:paraId="782DED75" w14:textId="77777777" w:rsidR="00261C3F" w:rsidRPr="00067EB7" w:rsidRDefault="00261C3F" w:rsidP="00067EB7">
            <w:pPr>
              <w:pStyle w:val="TableHeading"/>
            </w:pPr>
            <w:r w:rsidRPr="00067EB7">
              <w:t>Sexual assault</w:t>
            </w:r>
          </w:p>
        </w:tc>
        <w:tc>
          <w:tcPr>
            <w:tcW w:w="834" w:type="pct"/>
            <w:noWrap/>
            <w:hideMark/>
          </w:tcPr>
          <w:p w14:paraId="14FB9126" w14:textId="77777777" w:rsidR="00261C3F" w:rsidRPr="00067EB7" w:rsidRDefault="00261C3F" w:rsidP="00067EB7">
            <w:pPr>
              <w:pStyle w:val="TableHeading"/>
            </w:pPr>
            <w:r w:rsidRPr="00067EB7">
              <w:t>Robbery</w:t>
            </w:r>
          </w:p>
        </w:tc>
      </w:tr>
      <w:tr w:rsidR="00261C3F" w:rsidRPr="00D14CD4" w14:paraId="1A8C310D" w14:textId="77777777" w:rsidTr="00261C3F">
        <w:trPr>
          <w:trHeight w:val="288"/>
        </w:trPr>
        <w:tc>
          <w:tcPr>
            <w:tcW w:w="833" w:type="pct"/>
            <w:noWrap/>
            <w:hideMark/>
          </w:tcPr>
          <w:p w14:paraId="12107AE5" w14:textId="77777777" w:rsidR="00261C3F" w:rsidRPr="00067EB7" w:rsidRDefault="00261C3F" w:rsidP="00067EB7">
            <w:pPr>
              <w:pStyle w:val="TableBody"/>
            </w:pPr>
            <w:r w:rsidRPr="00067EB7">
              <w:t>2004-05</w:t>
            </w:r>
          </w:p>
        </w:tc>
        <w:tc>
          <w:tcPr>
            <w:tcW w:w="834" w:type="pct"/>
            <w:noWrap/>
            <w:hideMark/>
          </w:tcPr>
          <w:p w14:paraId="56B1DA53" w14:textId="77777777" w:rsidR="00261C3F" w:rsidRPr="00067EB7" w:rsidRDefault="00261C3F" w:rsidP="00067EB7">
            <w:pPr>
              <w:pStyle w:val="TableBody"/>
            </w:pPr>
            <w:r w:rsidRPr="00067EB7">
              <w:t>669</w:t>
            </w:r>
          </w:p>
        </w:tc>
        <w:tc>
          <w:tcPr>
            <w:tcW w:w="834" w:type="pct"/>
            <w:noWrap/>
            <w:hideMark/>
          </w:tcPr>
          <w:p w14:paraId="001181FD" w14:textId="77777777" w:rsidR="00261C3F" w:rsidRPr="00067EB7" w:rsidRDefault="00261C3F" w:rsidP="00067EB7">
            <w:pPr>
              <w:pStyle w:val="TableBody"/>
            </w:pPr>
            <w:r w:rsidRPr="00067EB7">
              <w:t>166</w:t>
            </w:r>
          </w:p>
        </w:tc>
        <w:tc>
          <w:tcPr>
            <w:tcW w:w="833" w:type="pct"/>
            <w:noWrap/>
            <w:hideMark/>
          </w:tcPr>
          <w:p w14:paraId="3AB4869A" w14:textId="77777777" w:rsidR="00261C3F" w:rsidRPr="00067EB7" w:rsidRDefault="00261C3F" w:rsidP="00067EB7">
            <w:pPr>
              <w:pStyle w:val="TableBody"/>
            </w:pPr>
            <w:r w:rsidRPr="00067EB7">
              <w:t>63</w:t>
            </w:r>
          </w:p>
        </w:tc>
        <w:tc>
          <w:tcPr>
            <w:tcW w:w="834" w:type="pct"/>
            <w:noWrap/>
            <w:hideMark/>
          </w:tcPr>
          <w:p w14:paraId="3A9C848F" w14:textId="77777777" w:rsidR="00261C3F" w:rsidRPr="00067EB7" w:rsidRDefault="00261C3F" w:rsidP="00067EB7">
            <w:pPr>
              <w:pStyle w:val="TableBody"/>
            </w:pPr>
            <w:r w:rsidRPr="00067EB7">
              <w:t>51</w:t>
            </w:r>
          </w:p>
        </w:tc>
        <w:tc>
          <w:tcPr>
            <w:tcW w:w="834" w:type="pct"/>
            <w:noWrap/>
            <w:hideMark/>
          </w:tcPr>
          <w:p w14:paraId="2196356C" w14:textId="77777777" w:rsidR="00261C3F" w:rsidRPr="00067EB7" w:rsidRDefault="00261C3F" w:rsidP="00067EB7">
            <w:pPr>
              <w:pStyle w:val="TableBody"/>
            </w:pPr>
            <w:r w:rsidRPr="00067EB7">
              <w:t>54</w:t>
            </w:r>
          </w:p>
        </w:tc>
      </w:tr>
      <w:tr w:rsidR="00261C3F" w:rsidRPr="00D14CD4" w14:paraId="432C91E6" w14:textId="77777777" w:rsidTr="00261C3F">
        <w:trPr>
          <w:trHeight w:val="288"/>
        </w:trPr>
        <w:tc>
          <w:tcPr>
            <w:tcW w:w="833" w:type="pct"/>
            <w:noWrap/>
            <w:hideMark/>
          </w:tcPr>
          <w:p w14:paraId="0F4277C6" w14:textId="77777777" w:rsidR="00261C3F" w:rsidRPr="00067EB7" w:rsidRDefault="00261C3F" w:rsidP="00067EB7">
            <w:pPr>
              <w:pStyle w:val="TableBody"/>
            </w:pPr>
            <w:r w:rsidRPr="00067EB7">
              <w:t>2005-06</w:t>
            </w:r>
          </w:p>
        </w:tc>
        <w:tc>
          <w:tcPr>
            <w:tcW w:w="834" w:type="pct"/>
            <w:noWrap/>
            <w:hideMark/>
          </w:tcPr>
          <w:p w14:paraId="18E1E240" w14:textId="77777777" w:rsidR="00261C3F" w:rsidRPr="00067EB7" w:rsidRDefault="00261C3F" w:rsidP="00067EB7">
            <w:pPr>
              <w:pStyle w:val="TableBody"/>
            </w:pPr>
            <w:r w:rsidRPr="00067EB7">
              <w:t>654</w:t>
            </w:r>
          </w:p>
        </w:tc>
        <w:tc>
          <w:tcPr>
            <w:tcW w:w="834" w:type="pct"/>
            <w:noWrap/>
            <w:hideMark/>
          </w:tcPr>
          <w:p w14:paraId="2CB16FF7" w14:textId="77777777" w:rsidR="00261C3F" w:rsidRPr="00067EB7" w:rsidRDefault="00261C3F" w:rsidP="00067EB7">
            <w:pPr>
              <w:pStyle w:val="TableBody"/>
            </w:pPr>
            <w:r w:rsidRPr="00067EB7">
              <w:t>165</w:t>
            </w:r>
          </w:p>
        </w:tc>
        <w:tc>
          <w:tcPr>
            <w:tcW w:w="833" w:type="pct"/>
            <w:noWrap/>
            <w:hideMark/>
          </w:tcPr>
          <w:p w14:paraId="2E2131D8" w14:textId="77777777" w:rsidR="00261C3F" w:rsidRPr="00067EB7" w:rsidRDefault="00261C3F" w:rsidP="00067EB7">
            <w:pPr>
              <w:pStyle w:val="TableBody"/>
            </w:pPr>
            <w:r w:rsidRPr="00067EB7">
              <w:t>71</w:t>
            </w:r>
          </w:p>
        </w:tc>
        <w:tc>
          <w:tcPr>
            <w:tcW w:w="834" w:type="pct"/>
            <w:noWrap/>
            <w:hideMark/>
          </w:tcPr>
          <w:p w14:paraId="4A820083" w14:textId="77777777" w:rsidR="00261C3F" w:rsidRPr="00067EB7" w:rsidRDefault="00261C3F" w:rsidP="00067EB7">
            <w:pPr>
              <w:pStyle w:val="TableBody"/>
            </w:pPr>
            <w:r w:rsidRPr="00067EB7">
              <w:t>82</w:t>
            </w:r>
          </w:p>
        </w:tc>
        <w:tc>
          <w:tcPr>
            <w:tcW w:w="834" w:type="pct"/>
            <w:noWrap/>
            <w:hideMark/>
          </w:tcPr>
          <w:p w14:paraId="785A81A5" w14:textId="77777777" w:rsidR="00261C3F" w:rsidRPr="00067EB7" w:rsidRDefault="00261C3F" w:rsidP="00067EB7">
            <w:pPr>
              <w:pStyle w:val="TableBody"/>
            </w:pPr>
            <w:r w:rsidRPr="00067EB7">
              <w:t>50</w:t>
            </w:r>
          </w:p>
        </w:tc>
      </w:tr>
      <w:tr w:rsidR="00261C3F" w:rsidRPr="00D14CD4" w14:paraId="7522E1C4" w14:textId="77777777" w:rsidTr="00261C3F">
        <w:trPr>
          <w:trHeight w:val="288"/>
        </w:trPr>
        <w:tc>
          <w:tcPr>
            <w:tcW w:w="833" w:type="pct"/>
            <w:noWrap/>
            <w:hideMark/>
          </w:tcPr>
          <w:p w14:paraId="1FE6013E" w14:textId="77777777" w:rsidR="00261C3F" w:rsidRPr="00067EB7" w:rsidRDefault="00261C3F" w:rsidP="00067EB7">
            <w:pPr>
              <w:pStyle w:val="TableBody"/>
            </w:pPr>
            <w:r w:rsidRPr="00067EB7">
              <w:t>2006-07</w:t>
            </w:r>
          </w:p>
        </w:tc>
        <w:tc>
          <w:tcPr>
            <w:tcW w:w="834" w:type="pct"/>
            <w:noWrap/>
            <w:hideMark/>
          </w:tcPr>
          <w:p w14:paraId="53089305" w14:textId="77777777" w:rsidR="00261C3F" w:rsidRPr="00067EB7" w:rsidRDefault="00261C3F" w:rsidP="00067EB7">
            <w:pPr>
              <w:pStyle w:val="TableBody"/>
            </w:pPr>
            <w:r w:rsidRPr="00067EB7">
              <w:t>717</w:t>
            </w:r>
          </w:p>
        </w:tc>
        <w:tc>
          <w:tcPr>
            <w:tcW w:w="834" w:type="pct"/>
            <w:noWrap/>
            <w:hideMark/>
          </w:tcPr>
          <w:p w14:paraId="0AFD0348" w14:textId="77777777" w:rsidR="00261C3F" w:rsidRPr="00067EB7" w:rsidRDefault="00261C3F" w:rsidP="00067EB7">
            <w:pPr>
              <w:pStyle w:val="TableBody"/>
            </w:pPr>
            <w:r w:rsidRPr="00067EB7">
              <w:t>165</w:t>
            </w:r>
          </w:p>
        </w:tc>
        <w:tc>
          <w:tcPr>
            <w:tcW w:w="833" w:type="pct"/>
            <w:noWrap/>
            <w:hideMark/>
          </w:tcPr>
          <w:p w14:paraId="27739A2E" w14:textId="77777777" w:rsidR="00261C3F" w:rsidRPr="00067EB7" w:rsidRDefault="00261C3F" w:rsidP="00067EB7">
            <w:pPr>
              <w:pStyle w:val="TableBody"/>
            </w:pPr>
            <w:r w:rsidRPr="00067EB7">
              <w:t>68</w:t>
            </w:r>
          </w:p>
        </w:tc>
        <w:tc>
          <w:tcPr>
            <w:tcW w:w="834" w:type="pct"/>
            <w:noWrap/>
            <w:hideMark/>
          </w:tcPr>
          <w:p w14:paraId="18EE92F5" w14:textId="77777777" w:rsidR="00261C3F" w:rsidRPr="00067EB7" w:rsidRDefault="00261C3F" w:rsidP="00067EB7">
            <w:pPr>
              <w:pStyle w:val="TableBody"/>
            </w:pPr>
            <w:r w:rsidRPr="00067EB7">
              <w:t>51</w:t>
            </w:r>
          </w:p>
        </w:tc>
        <w:tc>
          <w:tcPr>
            <w:tcW w:w="834" w:type="pct"/>
            <w:noWrap/>
            <w:hideMark/>
          </w:tcPr>
          <w:p w14:paraId="138875FB" w14:textId="77777777" w:rsidR="00261C3F" w:rsidRPr="00067EB7" w:rsidRDefault="00261C3F" w:rsidP="00067EB7">
            <w:pPr>
              <w:pStyle w:val="TableBody"/>
            </w:pPr>
            <w:r w:rsidRPr="00067EB7">
              <w:t>56</w:t>
            </w:r>
          </w:p>
        </w:tc>
      </w:tr>
      <w:tr w:rsidR="00261C3F" w:rsidRPr="00D14CD4" w14:paraId="45B1F666" w14:textId="77777777" w:rsidTr="00261C3F">
        <w:trPr>
          <w:trHeight w:val="288"/>
        </w:trPr>
        <w:tc>
          <w:tcPr>
            <w:tcW w:w="833" w:type="pct"/>
            <w:noWrap/>
            <w:hideMark/>
          </w:tcPr>
          <w:p w14:paraId="563C1643" w14:textId="77777777" w:rsidR="00261C3F" w:rsidRPr="00067EB7" w:rsidRDefault="00261C3F" w:rsidP="00067EB7">
            <w:pPr>
              <w:pStyle w:val="TableBody"/>
            </w:pPr>
            <w:r w:rsidRPr="00067EB7">
              <w:t>2007-08</w:t>
            </w:r>
          </w:p>
        </w:tc>
        <w:tc>
          <w:tcPr>
            <w:tcW w:w="834" w:type="pct"/>
            <w:noWrap/>
            <w:hideMark/>
          </w:tcPr>
          <w:p w14:paraId="530C975E" w14:textId="77777777" w:rsidR="00261C3F" w:rsidRPr="00067EB7" w:rsidRDefault="00261C3F" w:rsidP="00067EB7">
            <w:pPr>
              <w:pStyle w:val="TableBody"/>
            </w:pPr>
            <w:r w:rsidRPr="00067EB7">
              <w:t>655</w:t>
            </w:r>
          </w:p>
        </w:tc>
        <w:tc>
          <w:tcPr>
            <w:tcW w:w="834" w:type="pct"/>
            <w:noWrap/>
            <w:hideMark/>
          </w:tcPr>
          <w:p w14:paraId="2517C2E6" w14:textId="77777777" w:rsidR="00261C3F" w:rsidRPr="00067EB7" w:rsidRDefault="00261C3F" w:rsidP="00067EB7">
            <w:pPr>
              <w:pStyle w:val="TableBody"/>
            </w:pPr>
            <w:r w:rsidRPr="00067EB7">
              <w:t>203</w:t>
            </w:r>
          </w:p>
        </w:tc>
        <w:tc>
          <w:tcPr>
            <w:tcW w:w="833" w:type="pct"/>
            <w:noWrap/>
            <w:hideMark/>
          </w:tcPr>
          <w:p w14:paraId="1B9CAB8D" w14:textId="77777777" w:rsidR="00261C3F" w:rsidRPr="00067EB7" w:rsidRDefault="00261C3F" w:rsidP="00067EB7">
            <w:pPr>
              <w:pStyle w:val="TableBody"/>
            </w:pPr>
            <w:r w:rsidRPr="00067EB7">
              <w:t>66</w:t>
            </w:r>
          </w:p>
        </w:tc>
        <w:tc>
          <w:tcPr>
            <w:tcW w:w="834" w:type="pct"/>
            <w:noWrap/>
            <w:hideMark/>
          </w:tcPr>
          <w:p w14:paraId="646E0A53" w14:textId="77777777" w:rsidR="00261C3F" w:rsidRPr="00067EB7" w:rsidRDefault="00261C3F" w:rsidP="00067EB7">
            <w:pPr>
              <w:pStyle w:val="TableBody"/>
            </w:pPr>
            <w:r w:rsidRPr="00067EB7">
              <w:t>54</w:t>
            </w:r>
          </w:p>
        </w:tc>
        <w:tc>
          <w:tcPr>
            <w:tcW w:w="834" w:type="pct"/>
            <w:noWrap/>
            <w:hideMark/>
          </w:tcPr>
          <w:p w14:paraId="6C8F04A4" w14:textId="77777777" w:rsidR="00261C3F" w:rsidRPr="00067EB7" w:rsidRDefault="00261C3F" w:rsidP="00067EB7">
            <w:pPr>
              <w:pStyle w:val="TableBody"/>
            </w:pPr>
            <w:r w:rsidRPr="00067EB7">
              <w:t>47</w:t>
            </w:r>
          </w:p>
        </w:tc>
      </w:tr>
      <w:tr w:rsidR="00261C3F" w:rsidRPr="00D14CD4" w14:paraId="1CF9D509" w14:textId="77777777" w:rsidTr="00261C3F">
        <w:trPr>
          <w:trHeight w:val="288"/>
        </w:trPr>
        <w:tc>
          <w:tcPr>
            <w:tcW w:w="833" w:type="pct"/>
            <w:noWrap/>
            <w:hideMark/>
          </w:tcPr>
          <w:p w14:paraId="57467368" w14:textId="77777777" w:rsidR="00261C3F" w:rsidRPr="00067EB7" w:rsidRDefault="00261C3F" w:rsidP="00067EB7">
            <w:pPr>
              <w:pStyle w:val="TableBody"/>
            </w:pPr>
            <w:r w:rsidRPr="00067EB7">
              <w:t>2008-09</w:t>
            </w:r>
          </w:p>
        </w:tc>
        <w:tc>
          <w:tcPr>
            <w:tcW w:w="834" w:type="pct"/>
            <w:noWrap/>
            <w:hideMark/>
          </w:tcPr>
          <w:p w14:paraId="03B15D5C" w14:textId="77777777" w:rsidR="00261C3F" w:rsidRPr="00067EB7" w:rsidRDefault="00261C3F" w:rsidP="00067EB7">
            <w:pPr>
              <w:pStyle w:val="TableBody"/>
            </w:pPr>
            <w:r w:rsidRPr="00067EB7">
              <w:t>792</w:t>
            </w:r>
          </w:p>
        </w:tc>
        <w:tc>
          <w:tcPr>
            <w:tcW w:w="834" w:type="pct"/>
            <w:noWrap/>
            <w:hideMark/>
          </w:tcPr>
          <w:p w14:paraId="46574393" w14:textId="77777777" w:rsidR="00261C3F" w:rsidRPr="00067EB7" w:rsidRDefault="00261C3F" w:rsidP="00067EB7">
            <w:pPr>
              <w:pStyle w:val="TableBody"/>
            </w:pPr>
            <w:r w:rsidRPr="00067EB7">
              <w:t>221</w:t>
            </w:r>
          </w:p>
        </w:tc>
        <w:tc>
          <w:tcPr>
            <w:tcW w:w="833" w:type="pct"/>
            <w:noWrap/>
            <w:hideMark/>
          </w:tcPr>
          <w:p w14:paraId="1CC83E3D" w14:textId="77777777" w:rsidR="00261C3F" w:rsidRPr="00067EB7" w:rsidRDefault="00261C3F" w:rsidP="00067EB7">
            <w:pPr>
              <w:pStyle w:val="TableBody"/>
            </w:pPr>
            <w:r w:rsidRPr="00067EB7">
              <w:t>79</w:t>
            </w:r>
          </w:p>
        </w:tc>
        <w:tc>
          <w:tcPr>
            <w:tcW w:w="834" w:type="pct"/>
            <w:noWrap/>
            <w:hideMark/>
          </w:tcPr>
          <w:p w14:paraId="490869D9" w14:textId="77777777" w:rsidR="00261C3F" w:rsidRPr="00067EB7" w:rsidRDefault="00261C3F" w:rsidP="00067EB7">
            <w:pPr>
              <w:pStyle w:val="TableBody"/>
            </w:pPr>
            <w:r w:rsidRPr="00067EB7">
              <w:t>77</w:t>
            </w:r>
          </w:p>
        </w:tc>
        <w:tc>
          <w:tcPr>
            <w:tcW w:w="834" w:type="pct"/>
            <w:noWrap/>
            <w:hideMark/>
          </w:tcPr>
          <w:p w14:paraId="62D192CE" w14:textId="77777777" w:rsidR="00261C3F" w:rsidRPr="00067EB7" w:rsidRDefault="00261C3F" w:rsidP="00067EB7">
            <w:pPr>
              <w:pStyle w:val="TableBody"/>
            </w:pPr>
            <w:r w:rsidRPr="00067EB7">
              <w:t>53</w:t>
            </w:r>
          </w:p>
        </w:tc>
      </w:tr>
      <w:tr w:rsidR="00261C3F" w:rsidRPr="00D14CD4" w14:paraId="572653E1" w14:textId="77777777" w:rsidTr="00261C3F">
        <w:trPr>
          <w:trHeight w:val="288"/>
        </w:trPr>
        <w:tc>
          <w:tcPr>
            <w:tcW w:w="833" w:type="pct"/>
            <w:noWrap/>
            <w:hideMark/>
          </w:tcPr>
          <w:p w14:paraId="376E78D6" w14:textId="77777777" w:rsidR="00261C3F" w:rsidRPr="00067EB7" w:rsidRDefault="00261C3F" w:rsidP="00067EB7">
            <w:pPr>
              <w:pStyle w:val="TableBody"/>
            </w:pPr>
            <w:r w:rsidRPr="00067EB7">
              <w:t>2009-10</w:t>
            </w:r>
          </w:p>
        </w:tc>
        <w:tc>
          <w:tcPr>
            <w:tcW w:w="834" w:type="pct"/>
            <w:noWrap/>
            <w:hideMark/>
          </w:tcPr>
          <w:p w14:paraId="3FC4F2A8" w14:textId="77777777" w:rsidR="00261C3F" w:rsidRPr="00067EB7" w:rsidRDefault="00261C3F" w:rsidP="00067EB7">
            <w:pPr>
              <w:pStyle w:val="TableBody"/>
            </w:pPr>
            <w:r w:rsidRPr="00067EB7">
              <w:t>955</w:t>
            </w:r>
          </w:p>
        </w:tc>
        <w:tc>
          <w:tcPr>
            <w:tcW w:w="834" w:type="pct"/>
            <w:noWrap/>
            <w:hideMark/>
          </w:tcPr>
          <w:p w14:paraId="019DF658" w14:textId="77777777" w:rsidR="00261C3F" w:rsidRPr="00067EB7" w:rsidRDefault="00261C3F" w:rsidP="00067EB7">
            <w:pPr>
              <w:pStyle w:val="TableBody"/>
            </w:pPr>
            <w:r w:rsidRPr="00067EB7">
              <w:t>212</w:t>
            </w:r>
          </w:p>
        </w:tc>
        <w:tc>
          <w:tcPr>
            <w:tcW w:w="833" w:type="pct"/>
            <w:noWrap/>
            <w:hideMark/>
          </w:tcPr>
          <w:p w14:paraId="2400433F" w14:textId="77777777" w:rsidR="00261C3F" w:rsidRPr="00067EB7" w:rsidRDefault="00261C3F" w:rsidP="00067EB7">
            <w:pPr>
              <w:pStyle w:val="TableBody"/>
            </w:pPr>
            <w:r w:rsidRPr="00067EB7">
              <w:t>92</w:t>
            </w:r>
          </w:p>
        </w:tc>
        <w:tc>
          <w:tcPr>
            <w:tcW w:w="834" w:type="pct"/>
            <w:noWrap/>
            <w:hideMark/>
          </w:tcPr>
          <w:p w14:paraId="392080FC" w14:textId="77777777" w:rsidR="00261C3F" w:rsidRPr="00067EB7" w:rsidRDefault="00261C3F" w:rsidP="00067EB7">
            <w:pPr>
              <w:pStyle w:val="TableBody"/>
            </w:pPr>
            <w:r w:rsidRPr="00067EB7">
              <w:t>86</w:t>
            </w:r>
          </w:p>
        </w:tc>
        <w:tc>
          <w:tcPr>
            <w:tcW w:w="834" w:type="pct"/>
            <w:noWrap/>
            <w:hideMark/>
          </w:tcPr>
          <w:p w14:paraId="2F011243" w14:textId="77777777" w:rsidR="00261C3F" w:rsidRPr="00067EB7" w:rsidRDefault="00261C3F" w:rsidP="00067EB7">
            <w:pPr>
              <w:pStyle w:val="TableBody"/>
            </w:pPr>
            <w:r w:rsidRPr="00067EB7">
              <w:t>51</w:t>
            </w:r>
          </w:p>
        </w:tc>
      </w:tr>
      <w:tr w:rsidR="00261C3F" w:rsidRPr="00D14CD4" w14:paraId="720C2E6E" w14:textId="77777777" w:rsidTr="00261C3F">
        <w:trPr>
          <w:trHeight w:val="288"/>
        </w:trPr>
        <w:tc>
          <w:tcPr>
            <w:tcW w:w="833" w:type="pct"/>
            <w:noWrap/>
            <w:hideMark/>
          </w:tcPr>
          <w:p w14:paraId="746CB9C6" w14:textId="77777777" w:rsidR="00261C3F" w:rsidRPr="00067EB7" w:rsidRDefault="00261C3F" w:rsidP="00067EB7">
            <w:pPr>
              <w:pStyle w:val="TableBody"/>
            </w:pPr>
            <w:r w:rsidRPr="00067EB7">
              <w:t>2010-11</w:t>
            </w:r>
          </w:p>
        </w:tc>
        <w:tc>
          <w:tcPr>
            <w:tcW w:w="834" w:type="pct"/>
            <w:noWrap/>
            <w:hideMark/>
          </w:tcPr>
          <w:p w14:paraId="02495B7B" w14:textId="77777777" w:rsidR="00261C3F" w:rsidRPr="00067EB7" w:rsidRDefault="00261C3F" w:rsidP="00067EB7">
            <w:pPr>
              <w:pStyle w:val="TableBody"/>
            </w:pPr>
            <w:r w:rsidRPr="00067EB7">
              <w:t>859</w:t>
            </w:r>
          </w:p>
        </w:tc>
        <w:tc>
          <w:tcPr>
            <w:tcW w:w="834" w:type="pct"/>
            <w:noWrap/>
            <w:hideMark/>
          </w:tcPr>
          <w:p w14:paraId="5347397A" w14:textId="77777777" w:rsidR="00261C3F" w:rsidRPr="00067EB7" w:rsidRDefault="00261C3F" w:rsidP="00067EB7">
            <w:pPr>
              <w:pStyle w:val="TableBody"/>
            </w:pPr>
            <w:r w:rsidRPr="00067EB7">
              <w:t>195</w:t>
            </w:r>
          </w:p>
        </w:tc>
        <w:tc>
          <w:tcPr>
            <w:tcW w:w="833" w:type="pct"/>
            <w:noWrap/>
            <w:hideMark/>
          </w:tcPr>
          <w:p w14:paraId="6E74D536" w14:textId="77777777" w:rsidR="00261C3F" w:rsidRPr="00067EB7" w:rsidRDefault="00261C3F" w:rsidP="00067EB7">
            <w:pPr>
              <w:pStyle w:val="TableBody"/>
            </w:pPr>
            <w:r w:rsidRPr="00067EB7">
              <w:t>110</w:t>
            </w:r>
          </w:p>
        </w:tc>
        <w:tc>
          <w:tcPr>
            <w:tcW w:w="834" w:type="pct"/>
            <w:noWrap/>
            <w:hideMark/>
          </w:tcPr>
          <w:p w14:paraId="13246BEF" w14:textId="77777777" w:rsidR="00261C3F" w:rsidRPr="00067EB7" w:rsidRDefault="00261C3F" w:rsidP="00067EB7">
            <w:pPr>
              <w:pStyle w:val="TableBody"/>
            </w:pPr>
            <w:r w:rsidRPr="00067EB7">
              <w:t>66</w:t>
            </w:r>
          </w:p>
        </w:tc>
        <w:tc>
          <w:tcPr>
            <w:tcW w:w="834" w:type="pct"/>
            <w:noWrap/>
            <w:hideMark/>
          </w:tcPr>
          <w:p w14:paraId="774D7847" w14:textId="77777777" w:rsidR="00261C3F" w:rsidRPr="00067EB7" w:rsidRDefault="00261C3F" w:rsidP="00067EB7">
            <w:pPr>
              <w:pStyle w:val="TableBody"/>
            </w:pPr>
            <w:r w:rsidRPr="00067EB7">
              <w:t>41</w:t>
            </w:r>
          </w:p>
        </w:tc>
      </w:tr>
      <w:tr w:rsidR="00261C3F" w:rsidRPr="00D14CD4" w14:paraId="0E884864" w14:textId="77777777" w:rsidTr="00261C3F">
        <w:trPr>
          <w:trHeight w:val="288"/>
        </w:trPr>
        <w:tc>
          <w:tcPr>
            <w:tcW w:w="833" w:type="pct"/>
            <w:noWrap/>
            <w:hideMark/>
          </w:tcPr>
          <w:p w14:paraId="585E2EDE" w14:textId="77777777" w:rsidR="00261C3F" w:rsidRPr="00067EB7" w:rsidRDefault="00261C3F" w:rsidP="00067EB7">
            <w:pPr>
              <w:pStyle w:val="TableBody"/>
            </w:pPr>
            <w:r w:rsidRPr="00067EB7">
              <w:lastRenderedPageBreak/>
              <w:t>2011-12</w:t>
            </w:r>
          </w:p>
        </w:tc>
        <w:tc>
          <w:tcPr>
            <w:tcW w:w="834" w:type="pct"/>
            <w:noWrap/>
            <w:hideMark/>
          </w:tcPr>
          <w:p w14:paraId="0E119E89" w14:textId="77777777" w:rsidR="00261C3F" w:rsidRPr="00067EB7" w:rsidRDefault="00261C3F" w:rsidP="00067EB7">
            <w:pPr>
              <w:pStyle w:val="TableBody"/>
            </w:pPr>
            <w:r w:rsidRPr="00067EB7">
              <w:t>992</w:t>
            </w:r>
          </w:p>
        </w:tc>
        <w:tc>
          <w:tcPr>
            <w:tcW w:w="834" w:type="pct"/>
            <w:noWrap/>
            <w:hideMark/>
          </w:tcPr>
          <w:p w14:paraId="54FBA763" w14:textId="77777777" w:rsidR="00261C3F" w:rsidRPr="00067EB7" w:rsidRDefault="00261C3F" w:rsidP="00067EB7">
            <w:pPr>
              <w:pStyle w:val="TableBody"/>
            </w:pPr>
            <w:r w:rsidRPr="00067EB7">
              <w:t>231</w:t>
            </w:r>
          </w:p>
        </w:tc>
        <w:tc>
          <w:tcPr>
            <w:tcW w:w="833" w:type="pct"/>
            <w:noWrap/>
            <w:hideMark/>
          </w:tcPr>
          <w:p w14:paraId="555174F4" w14:textId="77777777" w:rsidR="00261C3F" w:rsidRPr="00067EB7" w:rsidRDefault="00261C3F" w:rsidP="00067EB7">
            <w:pPr>
              <w:pStyle w:val="TableBody"/>
            </w:pPr>
            <w:r w:rsidRPr="00067EB7">
              <w:t>126</w:t>
            </w:r>
          </w:p>
        </w:tc>
        <w:tc>
          <w:tcPr>
            <w:tcW w:w="834" w:type="pct"/>
            <w:noWrap/>
            <w:hideMark/>
          </w:tcPr>
          <w:p w14:paraId="31009560" w14:textId="77777777" w:rsidR="00261C3F" w:rsidRPr="00067EB7" w:rsidRDefault="00261C3F" w:rsidP="00067EB7">
            <w:pPr>
              <w:pStyle w:val="TableBody"/>
            </w:pPr>
            <w:r w:rsidRPr="00067EB7">
              <w:t>59</w:t>
            </w:r>
          </w:p>
        </w:tc>
        <w:tc>
          <w:tcPr>
            <w:tcW w:w="834" w:type="pct"/>
            <w:noWrap/>
            <w:hideMark/>
          </w:tcPr>
          <w:p w14:paraId="7E6F4A74" w14:textId="77777777" w:rsidR="00261C3F" w:rsidRPr="00067EB7" w:rsidRDefault="00261C3F" w:rsidP="00067EB7">
            <w:pPr>
              <w:pStyle w:val="TableBody"/>
            </w:pPr>
            <w:r w:rsidRPr="00067EB7">
              <w:t>60</w:t>
            </w:r>
          </w:p>
        </w:tc>
      </w:tr>
      <w:tr w:rsidR="00261C3F" w:rsidRPr="00D14CD4" w14:paraId="64A825C6" w14:textId="77777777" w:rsidTr="00261C3F">
        <w:trPr>
          <w:trHeight w:val="288"/>
        </w:trPr>
        <w:tc>
          <w:tcPr>
            <w:tcW w:w="833" w:type="pct"/>
            <w:noWrap/>
            <w:hideMark/>
          </w:tcPr>
          <w:p w14:paraId="1D4DEEBC" w14:textId="77777777" w:rsidR="00261C3F" w:rsidRPr="00067EB7" w:rsidRDefault="00261C3F" w:rsidP="00067EB7">
            <w:pPr>
              <w:pStyle w:val="TableBody"/>
            </w:pPr>
            <w:r w:rsidRPr="00067EB7">
              <w:t>2012-13</w:t>
            </w:r>
          </w:p>
        </w:tc>
        <w:tc>
          <w:tcPr>
            <w:tcW w:w="834" w:type="pct"/>
            <w:noWrap/>
            <w:hideMark/>
          </w:tcPr>
          <w:p w14:paraId="2922A629" w14:textId="77777777" w:rsidR="00261C3F" w:rsidRPr="00067EB7" w:rsidRDefault="00261C3F" w:rsidP="00067EB7">
            <w:pPr>
              <w:pStyle w:val="TableBody"/>
            </w:pPr>
            <w:r w:rsidRPr="00067EB7">
              <w:t>1,260</w:t>
            </w:r>
          </w:p>
        </w:tc>
        <w:tc>
          <w:tcPr>
            <w:tcW w:w="834" w:type="pct"/>
            <w:noWrap/>
            <w:hideMark/>
          </w:tcPr>
          <w:p w14:paraId="314D40AC" w14:textId="77777777" w:rsidR="00261C3F" w:rsidRPr="00067EB7" w:rsidRDefault="00261C3F" w:rsidP="00067EB7">
            <w:pPr>
              <w:pStyle w:val="TableBody"/>
            </w:pPr>
            <w:r w:rsidRPr="00067EB7">
              <w:t>258</w:t>
            </w:r>
          </w:p>
        </w:tc>
        <w:tc>
          <w:tcPr>
            <w:tcW w:w="833" w:type="pct"/>
            <w:noWrap/>
            <w:hideMark/>
          </w:tcPr>
          <w:p w14:paraId="7BB6CEC9" w14:textId="77777777" w:rsidR="00261C3F" w:rsidRPr="00067EB7" w:rsidRDefault="00261C3F" w:rsidP="00067EB7">
            <w:pPr>
              <w:pStyle w:val="TableBody"/>
            </w:pPr>
            <w:r w:rsidRPr="00067EB7">
              <w:t>197</w:t>
            </w:r>
          </w:p>
        </w:tc>
        <w:tc>
          <w:tcPr>
            <w:tcW w:w="834" w:type="pct"/>
            <w:noWrap/>
            <w:hideMark/>
          </w:tcPr>
          <w:p w14:paraId="2F280016" w14:textId="77777777" w:rsidR="00261C3F" w:rsidRPr="00067EB7" w:rsidRDefault="00261C3F" w:rsidP="00067EB7">
            <w:pPr>
              <w:pStyle w:val="TableBody"/>
            </w:pPr>
            <w:r w:rsidRPr="00067EB7">
              <w:t>72</w:t>
            </w:r>
          </w:p>
        </w:tc>
        <w:tc>
          <w:tcPr>
            <w:tcW w:w="834" w:type="pct"/>
            <w:noWrap/>
            <w:hideMark/>
          </w:tcPr>
          <w:p w14:paraId="2C982AA1" w14:textId="77777777" w:rsidR="00261C3F" w:rsidRPr="00067EB7" w:rsidRDefault="00261C3F" w:rsidP="00067EB7">
            <w:pPr>
              <w:pStyle w:val="TableBody"/>
            </w:pPr>
            <w:r w:rsidRPr="00067EB7">
              <w:t>54</w:t>
            </w:r>
          </w:p>
        </w:tc>
      </w:tr>
      <w:tr w:rsidR="00261C3F" w:rsidRPr="00D14CD4" w14:paraId="2EB9641B" w14:textId="77777777" w:rsidTr="00261C3F">
        <w:trPr>
          <w:trHeight w:val="288"/>
        </w:trPr>
        <w:tc>
          <w:tcPr>
            <w:tcW w:w="833" w:type="pct"/>
            <w:noWrap/>
            <w:hideMark/>
          </w:tcPr>
          <w:p w14:paraId="21BDFB1E" w14:textId="77777777" w:rsidR="00261C3F" w:rsidRPr="00067EB7" w:rsidRDefault="00261C3F" w:rsidP="00067EB7">
            <w:pPr>
              <w:pStyle w:val="TableBody"/>
            </w:pPr>
            <w:r w:rsidRPr="00067EB7">
              <w:t>2013-14</w:t>
            </w:r>
          </w:p>
        </w:tc>
        <w:tc>
          <w:tcPr>
            <w:tcW w:w="834" w:type="pct"/>
            <w:noWrap/>
            <w:hideMark/>
          </w:tcPr>
          <w:p w14:paraId="0519BC36" w14:textId="77777777" w:rsidR="00261C3F" w:rsidRPr="00067EB7" w:rsidRDefault="00261C3F" w:rsidP="00067EB7">
            <w:pPr>
              <w:pStyle w:val="TableBody"/>
            </w:pPr>
            <w:r w:rsidRPr="00067EB7">
              <w:t>1,296</w:t>
            </w:r>
          </w:p>
        </w:tc>
        <w:tc>
          <w:tcPr>
            <w:tcW w:w="834" w:type="pct"/>
            <w:noWrap/>
            <w:hideMark/>
          </w:tcPr>
          <w:p w14:paraId="47562135" w14:textId="77777777" w:rsidR="00261C3F" w:rsidRPr="00067EB7" w:rsidRDefault="00261C3F" w:rsidP="00067EB7">
            <w:pPr>
              <w:pStyle w:val="TableBody"/>
            </w:pPr>
            <w:r w:rsidRPr="00067EB7">
              <w:t>267</w:t>
            </w:r>
          </w:p>
        </w:tc>
        <w:tc>
          <w:tcPr>
            <w:tcW w:w="833" w:type="pct"/>
            <w:noWrap/>
            <w:hideMark/>
          </w:tcPr>
          <w:p w14:paraId="4E44D3EE" w14:textId="77777777" w:rsidR="00261C3F" w:rsidRPr="00067EB7" w:rsidRDefault="00261C3F" w:rsidP="00067EB7">
            <w:pPr>
              <w:pStyle w:val="TableBody"/>
            </w:pPr>
            <w:r w:rsidRPr="00067EB7">
              <w:t>217</w:t>
            </w:r>
          </w:p>
        </w:tc>
        <w:tc>
          <w:tcPr>
            <w:tcW w:w="834" w:type="pct"/>
            <w:noWrap/>
            <w:hideMark/>
          </w:tcPr>
          <w:p w14:paraId="41833DF5" w14:textId="77777777" w:rsidR="00261C3F" w:rsidRPr="00067EB7" w:rsidRDefault="00261C3F" w:rsidP="00067EB7">
            <w:pPr>
              <w:pStyle w:val="TableBody"/>
            </w:pPr>
            <w:r w:rsidRPr="00067EB7">
              <w:t>86</w:t>
            </w:r>
          </w:p>
        </w:tc>
        <w:tc>
          <w:tcPr>
            <w:tcW w:w="834" w:type="pct"/>
            <w:noWrap/>
            <w:hideMark/>
          </w:tcPr>
          <w:p w14:paraId="62ECBA71" w14:textId="77777777" w:rsidR="00261C3F" w:rsidRPr="00067EB7" w:rsidRDefault="00261C3F" w:rsidP="00067EB7">
            <w:pPr>
              <w:pStyle w:val="TableBody"/>
            </w:pPr>
            <w:r w:rsidRPr="00067EB7">
              <w:t>48</w:t>
            </w:r>
          </w:p>
        </w:tc>
      </w:tr>
      <w:tr w:rsidR="00261C3F" w:rsidRPr="00D14CD4" w14:paraId="1F33B6F3" w14:textId="77777777" w:rsidTr="00261C3F">
        <w:trPr>
          <w:trHeight w:val="288"/>
        </w:trPr>
        <w:tc>
          <w:tcPr>
            <w:tcW w:w="833" w:type="pct"/>
            <w:noWrap/>
            <w:hideMark/>
          </w:tcPr>
          <w:p w14:paraId="19423E98" w14:textId="77777777" w:rsidR="00261C3F" w:rsidRPr="00067EB7" w:rsidRDefault="00261C3F" w:rsidP="00067EB7">
            <w:pPr>
              <w:pStyle w:val="TableBody"/>
            </w:pPr>
            <w:r w:rsidRPr="00067EB7">
              <w:t>2014-15</w:t>
            </w:r>
          </w:p>
        </w:tc>
        <w:tc>
          <w:tcPr>
            <w:tcW w:w="834" w:type="pct"/>
            <w:noWrap/>
            <w:hideMark/>
          </w:tcPr>
          <w:p w14:paraId="3E64AAFE" w14:textId="77777777" w:rsidR="00261C3F" w:rsidRPr="00067EB7" w:rsidRDefault="00261C3F" w:rsidP="00067EB7">
            <w:pPr>
              <w:pStyle w:val="TableBody"/>
            </w:pPr>
            <w:r w:rsidRPr="00067EB7">
              <w:t>1,511</w:t>
            </w:r>
          </w:p>
        </w:tc>
        <w:tc>
          <w:tcPr>
            <w:tcW w:w="834" w:type="pct"/>
            <w:noWrap/>
            <w:hideMark/>
          </w:tcPr>
          <w:p w14:paraId="3700B93A" w14:textId="77777777" w:rsidR="00261C3F" w:rsidRPr="00067EB7" w:rsidRDefault="00261C3F" w:rsidP="00067EB7">
            <w:pPr>
              <w:pStyle w:val="TableBody"/>
            </w:pPr>
            <w:r w:rsidRPr="00067EB7">
              <w:t>266</w:t>
            </w:r>
          </w:p>
        </w:tc>
        <w:tc>
          <w:tcPr>
            <w:tcW w:w="833" w:type="pct"/>
            <w:noWrap/>
            <w:hideMark/>
          </w:tcPr>
          <w:p w14:paraId="31CEAF93" w14:textId="77777777" w:rsidR="00261C3F" w:rsidRPr="00067EB7" w:rsidRDefault="00261C3F" w:rsidP="00067EB7">
            <w:pPr>
              <w:pStyle w:val="TableBody"/>
            </w:pPr>
            <w:r w:rsidRPr="00067EB7">
              <w:t>217</w:t>
            </w:r>
          </w:p>
        </w:tc>
        <w:tc>
          <w:tcPr>
            <w:tcW w:w="834" w:type="pct"/>
            <w:noWrap/>
            <w:hideMark/>
          </w:tcPr>
          <w:p w14:paraId="61327B82" w14:textId="77777777" w:rsidR="00261C3F" w:rsidRPr="00067EB7" w:rsidRDefault="00261C3F" w:rsidP="00067EB7">
            <w:pPr>
              <w:pStyle w:val="TableBody"/>
            </w:pPr>
            <w:r w:rsidRPr="00067EB7">
              <w:t>103</w:t>
            </w:r>
          </w:p>
        </w:tc>
        <w:tc>
          <w:tcPr>
            <w:tcW w:w="834" w:type="pct"/>
            <w:noWrap/>
            <w:hideMark/>
          </w:tcPr>
          <w:p w14:paraId="68B913A6" w14:textId="77777777" w:rsidR="00261C3F" w:rsidRPr="00067EB7" w:rsidRDefault="00261C3F" w:rsidP="00067EB7">
            <w:pPr>
              <w:pStyle w:val="TableBody"/>
            </w:pPr>
            <w:r w:rsidRPr="00067EB7">
              <w:t>45</w:t>
            </w:r>
          </w:p>
        </w:tc>
      </w:tr>
      <w:tr w:rsidR="00261C3F" w:rsidRPr="00D14CD4" w14:paraId="4FF08BDC" w14:textId="77777777" w:rsidTr="00261C3F">
        <w:trPr>
          <w:trHeight w:val="288"/>
        </w:trPr>
        <w:tc>
          <w:tcPr>
            <w:tcW w:w="833" w:type="pct"/>
            <w:noWrap/>
            <w:hideMark/>
          </w:tcPr>
          <w:p w14:paraId="1DFE547B" w14:textId="77777777" w:rsidR="00261C3F" w:rsidRPr="00067EB7" w:rsidRDefault="00261C3F" w:rsidP="00067EB7">
            <w:pPr>
              <w:pStyle w:val="TableBody"/>
            </w:pPr>
            <w:r w:rsidRPr="00067EB7">
              <w:t>2015-16</w:t>
            </w:r>
          </w:p>
        </w:tc>
        <w:tc>
          <w:tcPr>
            <w:tcW w:w="834" w:type="pct"/>
            <w:noWrap/>
            <w:hideMark/>
          </w:tcPr>
          <w:p w14:paraId="15527455" w14:textId="77777777" w:rsidR="00261C3F" w:rsidRPr="00067EB7" w:rsidRDefault="00261C3F" w:rsidP="00067EB7">
            <w:pPr>
              <w:pStyle w:val="TableBody"/>
            </w:pPr>
            <w:r w:rsidRPr="00067EB7">
              <w:t>1,863</w:t>
            </w:r>
          </w:p>
        </w:tc>
        <w:tc>
          <w:tcPr>
            <w:tcW w:w="834" w:type="pct"/>
            <w:noWrap/>
            <w:hideMark/>
          </w:tcPr>
          <w:p w14:paraId="17459149" w14:textId="77777777" w:rsidR="00261C3F" w:rsidRPr="00067EB7" w:rsidRDefault="00261C3F" w:rsidP="00067EB7">
            <w:pPr>
              <w:pStyle w:val="TableBody"/>
            </w:pPr>
            <w:r w:rsidRPr="00067EB7">
              <w:t>336</w:t>
            </w:r>
          </w:p>
        </w:tc>
        <w:tc>
          <w:tcPr>
            <w:tcW w:w="833" w:type="pct"/>
            <w:noWrap/>
            <w:hideMark/>
          </w:tcPr>
          <w:p w14:paraId="62E35E08" w14:textId="77777777" w:rsidR="00261C3F" w:rsidRPr="00067EB7" w:rsidRDefault="00261C3F" w:rsidP="00067EB7">
            <w:pPr>
              <w:pStyle w:val="TableBody"/>
            </w:pPr>
            <w:r w:rsidRPr="00067EB7">
              <w:t>250</w:t>
            </w:r>
          </w:p>
        </w:tc>
        <w:tc>
          <w:tcPr>
            <w:tcW w:w="834" w:type="pct"/>
            <w:noWrap/>
            <w:hideMark/>
          </w:tcPr>
          <w:p w14:paraId="479B41CE" w14:textId="77777777" w:rsidR="00261C3F" w:rsidRPr="00067EB7" w:rsidRDefault="00261C3F" w:rsidP="00067EB7">
            <w:pPr>
              <w:pStyle w:val="TableBody"/>
            </w:pPr>
            <w:r w:rsidRPr="00067EB7">
              <w:t>87</w:t>
            </w:r>
          </w:p>
        </w:tc>
        <w:tc>
          <w:tcPr>
            <w:tcW w:w="834" w:type="pct"/>
            <w:noWrap/>
            <w:hideMark/>
          </w:tcPr>
          <w:p w14:paraId="2A386111" w14:textId="77777777" w:rsidR="00261C3F" w:rsidRPr="00067EB7" w:rsidRDefault="00261C3F" w:rsidP="00067EB7">
            <w:pPr>
              <w:pStyle w:val="TableBody"/>
            </w:pPr>
            <w:r w:rsidRPr="00067EB7">
              <w:t>42</w:t>
            </w:r>
          </w:p>
        </w:tc>
      </w:tr>
      <w:tr w:rsidR="00261C3F" w:rsidRPr="00D14CD4" w14:paraId="730E54B4" w14:textId="77777777" w:rsidTr="00261C3F">
        <w:trPr>
          <w:trHeight w:val="288"/>
        </w:trPr>
        <w:tc>
          <w:tcPr>
            <w:tcW w:w="833" w:type="pct"/>
            <w:noWrap/>
            <w:hideMark/>
          </w:tcPr>
          <w:p w14:paraId="5A326A16" w14:textId="77777777" w:rsidR="00261C3F" w:rsidRPr="00067EB7" w:rsidRDefault="00261C3F" w:rsidP="00067EB7">
            <w:pPr>
              <w:pStyle w:val="TableBody"/>
            </w:pPr>
            <w:r w:rsidRPr="00067EB7">
              <w:t>2016-17</w:t>
            </w:r>
          </w:p>
        </w:tc>
        <w:tc>
          <w:tcPr>
            <w:tcW w:w="834" w:type="pct"/>
            <w:noWrap/>
            <w:hideMark/>
          </w:tcPr>
          <w:p w14:paraId="766ABC05" w14:textId="77777777" w:rsidR="00261C3F" w:rsidRPr="00067EB7" w:rsidRDefault="00261C3F" w:rsidP="00067EB7">
            <w:pPr>
              <w:pStyle w:val="TableBody"/>
            </w:pPr>
            <w:r w:rsidRPr="00067EB7">
              <w:t>2,200</w:t>
            </w:r>
          </w:p>
        </w:tc>
        <w:tc>
          <w:tcPr>
            <w:tcW w:w="834" w:type="pct"/>
            <w:noWrap/>
            <w:hideMark/>
          </w:tcPr>
          <w:p w14:paraId="77BC0BF1" w14:textId="77777777" w:rsidR="00261C3F" w:rsidRPr="00067EB7" w:rsidRDefault="00261C3F" w:rsidP="00067EB7">
            <w:pPr>
              <w:pStyle w:val="TableBody"/>
            </w:pPr>
            <w:r w:rsidRPr="00067EB7">
              <w:t>497</w:t>
            </w:r>
          </w:p>
        </w:tc>
        <w:tc>
          <w:tcPr>
            <w:tcW w:w="833" w:type="pct"/>
            <w:noWrap/>
            <w:hideMark/>
          </w:tcPr>
          <w:p w14:paraId="04230DC5" w14:textId="77777777" w:rsidR="00261C3F" w:rsidRPr="00067EB7" w:rsidRDefault="00261C3F" w:rsidP="00067EB7">
            <w:pPr>
              <w:pStyle w:val="TableBody"/>
            </w:pPr>
            <w:r w:rsidRPr="00067EB7">
              <w:t>298</w:t>
            </w:r>
          </w:p>
        </w:tc>
        <w:tc>
          <w:tcPr>
            <w:tcW w:w="834" w:type="pct"/>
            <w:noWrap/>
            <w:hideMark/>
          </w:tcPr>
          <w:p w14:paraId="4FD403B9" w14:textId="77777777" w:rsidR="00261C3F" w:rsidRPr="00067EB7" w:rsidRDefault="00261C3F" w:rsidP="00067EB7">
            <w:pPr>
              <w:pStyle w:val="TableBody"/>
            </w:pPr>
            <w:r w:rsidRPr="00067EB7">
              <w:t>147</w:t>
            </w:r>
          </w:p>
        </w:tc>
        <w:tc>
          <w:tcPr>
            <w:tcW w:w="834" w:type="pct"/>
            <w:noWrap/>
            <w:hideMark/>
          </w:tcPr>
          <w:p w14:paraId="139FC326" w14:textId="77777777" w:rsidR="00261C3F" w:rsidRPr="00067EB7" w:rsidRDefault="00261C3F" w:rsidP="00067EB7">
            <w:pPr>
              <w:pStyle w:val="TableBody"/>
            </w:pPr>
            <w:r w:rsidRPr="00067EB7">
              <w:t>46</w:t>
            </w:r>
          </w:p>
        </w:tc>
      </w:tr>
      <w:tr w:rsidR="00261C3F" w:rsidRPr="00D14CD4" w14:paraId="10BE0EBE" w14:textId="77777777" w:rsidTr="00261C3F">
        <w:trPr>
          <w:trHeight w:val="288"/>
        </w:trPr>
        <w:tc>
          <w:tcPr>
            <w:tcW w:w="833" w:type="pct"/>
            <w:noWrap/>
            <w:hideMark/>
          </w:tcPr>
          <w:p w14:paraId="07D47DAC" w14:textId="77777777" w:rsidR="00261C3F" w:rsidRPr="00067EB7" w:rsidRDefault="00261C3F" w:rsidP="00067EB7">
            <w:pPr>
              <w:pStyle w:val="TableBody"/>
            </w:pPr>
            <w:r w:rsidRPr="00067EB7">
              <w:t>2017-18</w:t>
            </w:r>
          </w:p>
        </w:tc>
        <w:tc>
          <w:tcPr>
            <w:tcW w:w="834" w:type="pct"/>
            <w:noWrap/>
            <w:hideMark/>
          </w:tcPr>
          <w:p w14:paraId="7712CB1B" w14:textId="77777777" w:rsidR="00261C3F" w:rsidRPr="00067EB7" w:rsidRDefault="00261C3F" w:rsidP="00067EB7">
            <w:pPr>
              <w:pStyle w:val="TableBody"/>
            </w:pPr>
            <w:r w:rsidRPr="00067EB7">
              <w:t>2,266</w:t>
            </w:r>
          </w:p>
        </w:tc>
        <w:tc>
          <w:tcPr>
            <w:tcW w:w="834" w:type="pct"/>
            <w:noWrap/>
            <w:hideMark/>
          </w:tcPr>
          <w:p w14:paraId="2706BFEC" w14:textId="77777777" w:rsidR="00261C3F" w:rsidRPr="00067EB7" w:rsidRDefault="00261C3F" w:rsidP="00067EB7">
            <w:pPr>
              <w:pStyle w:val="TableBody"/>
            </w:pPr>
            <w:r w:rsidRPr="00067EB7">
              <w:t>528</w:t>
            </w:r>
          </w:p>
        </w:tc>
        <w:tc>
          <w:tcPr>
            <w:tcW w:w="833" w:type="pct"/>
            <w:noWrap/>
            <w:hideMark/>
          </w:tcPr>
          <w:p w14:paraId="48FD96FA" w14:textId="77777777" w:rsidR="00261C3F" w:rsidRPr="00067EB7" w:rsidRDefault="00261C3F" w:rsidP="00067EB7">
            <w:pPr>
              <w:pStyle w:val="TableBody"/>
            </w:pPr>
            <w:r w:rsidRPr="00067EB7">
              <w:t>285</w:t>
            </w:r>
          </w:p>
        </w:tc>
        <w:tc>
          <w:tcPr>
            <w:tcW w:w="834" w:type="pct"/>
            <w:noWrap/>
            <w:hideMark/>
          </w:tcPr>
          <w:p w14:paraId="4395D148" w14:textId="77777777" w:rsidR="00261C3F" w:rsidRPr="00067EB7" w:rsidRDefault="00261C3F" w:rsidP="00067EB7">
            <w:pPr>
              <w:pStyle w:val="TableBody"/>
            </w:pPr>
            <w:r w:rsidRPr="00067EB7">
              <w:t>150</w:t>
            </w:r>
          </w:p>
        </w:tc>
        <w:tc>
          <w:tcPr>
            <w:tcW w:w="834" w:type="pct"/>
            <w:noWrap/>
            <w:hideMark/>
          </w:tcPr>
          <w:p w14:paraId="658A968A" w14:textId="77777777" w:rsidR="00261C3F" w:rsidRPr="00067EB7" w:rsidRDefault="00261C3F" w:rsidP="00067EB7">
            <w:pPr>
              <w:pStyle w:val="TableBody"/>
            </w:pPr>
            <w:r w:rsidRPr="00067EB7">
              <w:t>46</w:t>
            </w:r>
          </w:p>
        </w:tc>
      </w:tr>
      <w:tr w:rsidR="00261C3F" w:rsidRPr="00D14CD4" w14:paraId="2E3D7BBD" w14:textId="77777777" w:rsidTr="00261C3F">
        <w:trPr>
          <w:trHeight w:val="288"/>
        </w:trPr>
        <w:tc>
          <w:tcPr>
            <w:tcW w:w="833" w:type="pct"/>
            <w:noWrap/>
            <w:hideMark/>
          </w:tcPr>
          <w:p w14:paraId="664843FF" w14:textId="77777777" w:rsidR="00261C3F" w:rsidRPr="00067EB7" w:rsidRDefault="00261C3F" w:rsidP="00067EB7">
            <w:pPr>
              <w:pStyle w:val="TableBody"/>
            </w:pPr>
            <w:r w:rsidRPr="00067EB7">
              <w:t>2018-19</w:t>
            </w:r>
          </w:p>
        </w:tc>
        <w:tc>
          <w:tcPr>
            <w:tcW w:w="834" w:type="pct"/>
            <w:noWrap/>
            <w:hideMark/>
          </w:tcPr>
          <w:p w14:paraId="38A98930" w14:textId="77777777" w:rsidR="00261C3F" w:rsidRPr="00067EB7" w:rsidRDefault="00261C3F" w:rsidP="00067EB7">
            <w:pPr>
              <w:pStyle w:val="TableBody"/>
            </w:pPr>
            <w:r w:rsidRPr="00067EB7">
              <w:t>2,578</w:t>
            </w:r>
          </w:p>
        </w:tc>
        <w:tc>
          <w:tcPr>
            <w:tcW w:w="834" w:type="pct"/>
            <w:noWrap/>
            <w:hideMark/>
          </w:tcPr>
          <w:p w14:paraId="5B00CC3B" w14:textId="77777777" w:rsidR="00261C3F" w:rsidRPr="00067EB7" w:rsidRDefault="00261C3F" w:rsidP="00067EB7">
            <w:pPr>
              <w:pStyle w:val="TableBody"/>
            </w:pPr>
            <w:r w:rsidRPr="00067EB7">
              <w:t>539</w:t>
            </w:r>
          </w:p>
        </w:tc>
        <w:tc>
          <w:tcPr>
            <w:tcW w:w="833" w:type="pct"/>
            <w:noWrap/>
            <w:hideMark/>
          </w:tcPr>
          <w:p w14:paraId="48A7CC73" w14:textId="77777777" w:rsidR="00261C3F" w:rsidRPr="00067EB7" w:rsidRDefault="00261C3F" w:rsidP="00067EB7">
            <w:pPr>
              <w:pStyle w:val="TableBody"/>
            </w:pPr>
            <w:r w:rsidRPr="00067EB7">
              <w:t>391</w:t>
            </w:r>
          </w:p>
        </w:tc>
        <w:tc>
          <w:tcPr>
            <w:tcW w:w="834" w:type="pct"/>
            <w:noWrap/>
            <w:hideMark/>
          </w:tcPr>
          <w:p w14:paraId="685B2986" w14:textId="77777777" w:rsidR="00261C3F" w:rsidRPr="00067EB7" w:rsidRDefault="00261C3F" w:rsidP="00067EB7">
            <w:pPr>
              <w:pStyle w:val="TableBody"/>
            </w:pPr>
            <w:r w:rsidRPr="00067EB7">
              <w:t>184</w:t>
            </w:r>
          </w:p>
        </w:tc>
        <w:tc>
          <w:tcPr>
            <w:tcW w:w="834" w:type="pct"/>
            <w:noWrap/>
            <w:hideMark/>
          </w:tcPr>
          <w:p w14:paraId="0C54DA0A" w14:textId="77777777" w:rsidR="00261C3F" w:rsidRPr="00067EB7" w:rsidRDefault="00261C3F" w:rsidP="00067EB7">
            <w:pPr>
              <w:pStyle w:val="TableBody"/>
            </w:pPr>
            <w:r w:rsidRPr="00067EB7">
              <w:t>58</w:t>
            </w:r>
          </w:p>
        </w:tc>
      </w:tr>
      <w:tr w:rsidR="00261C3F" w:rsidRPr="00D14CD4" w14:paraId="184A205E" w14:textId="77777777" w:rsidTr="00261C3F">
        <w:trPr>
          <w:trHeight w:val="288"/>
        </w:trPr>
        <w:tc>
          <w:tcPr>
            <w:tcW w:w="833" w:type="pct"/>
            <w:noWrap/>
            <w:hideMark/>
          </w:tcPr>
          <w:p w14:paraId="07C0CDCB" w14:textId="77777777" w:rsidR="00261C3F" w:rsidRPr="00067EB7" w:rsidRDefault="00261C3F" w:rsidP="00067EB7">
            <w:pPr>
              <w:pStyle w:val="TableBody"/>
            </w:pPr>
            <w:r w:rsidRPr="00067EB7">
              <w:t>2019-20</w:t>
            </w:r>
          </w:p>
        </w:tc>
        <w:tc>
          <w:tcPr>
            <w:tcW w:w="834" w:type="pct"/>
            <w:noWrap/>
            <w:hideMark/>
          </w:tcPr>
          <w:p w14:paraId="3E78B262" w14:textId="77777777" w:rsidR="00261C3F" w:rsidRPr="00067EB7" w:rsidRDefault="00261C3F" w:rsidP="00067EB7">
            <w:pPr>
              <w:pStyle w:val="TableBody"/>
            </w:pPr>
            <w:r w:rsidRPr="00067EB7">
              <w:t>2,523</w:t>
            </w:r>
          </w:p>
        </w:tc>
        <w:tc>
          <w:tcPr>
            <w:tcW w:w="834" w:type="pct"/>
            <w:noWrap/>
            <w:hideMark/>
          </w:tcPr>
          <w:p w14:paraId="37602FFF" w14:textId="77777777" w:rsidR="00261C3F" w:rsidRPr="00067EB7" w:rsidRDefault="00261C3F" w:rsidP="00067EB7">
            <w:pPr>
              <w:pStyle w:val="TableBody"/>
            </w:pPr>
            <w:r w:rsidRPr="00067EB7">
              <w:t>513</w:t>
            </w:r>
          </w:p>
        </w:tc>
        <w:tc>
          <w:tcPr>
            <w:tcW w:w="833" w:type="pct"/>
            <w:noWrap/>
            <w:hideMark/>
          </w:tcPr>
          <w:p w14:paraId="001E0DAD" w14:textId="77777777" w:rsidR="00261C3F" w:rsidRPr="00067EB7" w:rsidRDefault="00261C3F" w:rsidP="00067EB7">
            <w:pPr>
              <w:pStyle w:val="TableBody"/>
            </w:pPr>
            <w:r w:rsidRPr="00067EB7">
              <w:t>338</w:t>
            </w:r>
          </w:p>
        </w:tc>
        <w:tc>
          <w:tcPr>
            <w:tcW w:w="834" w:type="pct"/>
            <w:noWrap/>
            <w:hideMark/>
          </w:tcPr>
          <w:p w14:paraId="1BFF56A1" w14:textId="77777777" w:rsidR="00261C3F" w:rsidRPr="00067EB7" w:rsidRDefault="00261C3F" w:rsidP="00067EB7">
            <w:pPr>
              <w:pStyle w:val="TableBody"/>
            </w:pPr>
            <w:r w:rsidRPr="00067EB7">
              <w:t>177</w:t>
            </w:r>
          </w:p>
        </w:tc>
        <w:tc>
          <w:tcPr>
            <w:tcW w:w="834" w:type="pct"/>
            <w:noWrap/>
            <w:hideMark/>
          </w:tcPr>
          <w:p w14:paraId="2DAB1B7C" w14:textId="77777777" w:rsidR="00261C3F" w:rsidRPr="00067EB7" w:rsidRDefault="00261C3F" w:rsidP="00067EB7">
            <w:pPr>
              <w:pStyle w:val="TableBody"/>
            </w:pPr>
            <w:r w:rsidRPr="00067EB7">
              <w:t>66</w:t>
            </w:r>
          </w:p>
        </w:tc>
      </w:tr>
      <w:tr w:rsidR="00261C3F" w:rsidRPr="00D14CD4" w14:paraId="234ACED3" w14:textId="77777777" w:rsidTr="00261C3F">
        <w:trPr>
          <w:trHeight w:val="288"/>
        </w:trPr>
        <w:tc>
          <w:tcPr>
            <w:tcW w:w="833" w:type="pct"/>
            <w:noWrap/>
            <w:hideMark/>
          </w:tcPr>
          <w:p w14:paraId="6EC87217" w14:textId="77777777" w:rsidR="00261C3F" w:rsidRPr="00067EB7" w:rsidRDefault="00261C3F" w:rsidP="00067EB7">
            <w:pPr>
              <w:pStyle w:val="TableBody"/>
            </w:pPr>
            <w:r w:rsidRPr="00067EB7">
              <w:t>2020-21</w:t>
            </w:r>
          </w:p>
        </w:tc>
        <w:tc>
          <w:tcPr>
            <w:tcW w:w="834" w:type="pct"/>
            <w:noWrap/>
            <w:hideMark/>
          </w:tcPr>
          <w:p w14:paraId="629F5938" w14:textId="77777777" w:rsidR="00261C3F" w:rsidRPr="00067EB7" w:rsidRDefault="00261C3F" w:rsidP="00067EB7">
            <w:pPr>
              <w:pStyle w:val="TableBody"/>
            </w:pPr>
            <w:r w:rsidRPr="00067EB7">
              <w:t>2,164</w:t>
            </w:r>
          </w:p>
        </w:tc>
        <w:tc>
          <w:tcPr>
            <w:tcW w:w="834" w:type="pct"/>
            <w:noWrap/>
            <w:hideMark/>
          </w:tcPr>
          <w:p w14:paraId="162E9283" w14:textId="77777777" w:rsidR="00261C3F" w:rsidRPr="00067EB7" w:rsidRDefault="00261C3F" w:rsidP="00067EB7">
            <w:pPr>
              <w:pStyle w:val="TableBody"/>
            </w:pPr>
            <w:r w:rsidRPr="00067EB7">
              <w:t>439</w:t>
            </w:r>
          </w:p>
        </w:tc>
        <w:tc>
          <w:tcPr>
            <w:tcW w:w="833" w:type="pct"/>
            <w:noWrap/>
            <w:hideMark/>
          </w:tcPr>
          <w:p w14:paraId="13B764EA" w14:textId="77777777" w:rsidR="00261C3F" w:rsidRPr="00067EB7" w:rsidRDefault="00261C3F" w:rsidP="00067EB7">
            <w:pPr>
              <w:pStyle w:val="TableBody"/>
            </w:pPr>
            <w:r w:rsidRPr="00067EB7">
              <w:t>311</w:t>
            </w:r>
          </w:p>
        </w:tc>
        <w:tc>
          <w:tcPr>
            <w:tcW w:w="834" w:type="pct"/>
            <w:noWrap/>
            <w:hideMark/>
          </w:tcPr>
          <w:p w14:paraId="7DA716C2" w14:textId="77777777" w:rsidR="00261C3F" w:rsidRPr="00067EB7" w:rsidRDefault="00261C3F" w:rsidP="00067EB7">
            <w:pPr>
              <w:pStyle w:val="TableBody"/>
            </w:pPr>
            <w:r w:rsidRPr="00067EB7">
              <w:t>155</w:t>
            </w:r>
          </w:p>
        </w:tc>
        <w:tc>
          <w:tcPr>
            <w:tcW w:w="834" w:type="pct"/>
            <w:noWrap/>
            <w:hideMark/>
          </w:tcPr>
          <w:p w14:paraId="0E2101B2" w14:textId="77777777" w:rsidR="00261C3F" w:rsidRPr="00067EB7" w:rsidRDefault="00261C3F" w:rsidP="00067EB7">
            <w:pPr>
              <w:pStyle w:val="TableBody"/>
            </w:pPr>
            <w:r w:rsidRPr="00067EB7">
              <w:t>56</w:t>
            </w:r>
          </w:p>
        </w:tc>
      </w:tr>
      <w:tr w:rsidR="00261C3F" w:rsidRPr="00D14CD4" w14:paraId="42C9F05A" w14:textId="77777777" w:rsidTr="00261C3F">
        <w:trPr>
          <w:trHeight w:val="288"/>
        </w:trPr>
        <w:tc>
          <w:tcPr>
            <w:tcW w:w="833" w:type="pct"/>
            <w:noWrap/>
            <w:hideMark/>
          </w:tcPr>
          <w:p w14:paraId="07ED413C" w14:textId="77777777" w:rsidR="00261C3F" w:rsidRPr="00067EB7" w:rsidRDefault="00261C3F" w:rsidP="00067EB7">
            <w:pPr>
              <w:pStyle w:val="TableBody"/>
            </w:pPr>
            <w:r w:rsidRPr="00067EB7">
              <w:t>2021-22</w:t>
            </w:r>
          </w:p>
        </w:tc>
        <w:tc>
          <w:tcPr>
            <w:tcW w:w="834" w:type="pct"/>
            <w:noWrap/>
            <w:hideMark/>
          </w:tcPr>
          <w:p w14:paraId="096CFD29" w14:textId="77777777" w:rsidR="00261C3F" w:rsidRPr="00067EB7" w:rsidRDefault="00261C3F" w:rsidP="00067EB7">
            <w:pPr>
              <w:pStyle w:val="TableBody"/>
            </w:pPr>
            <w:r w:rsidRPr="00067EB7">
              <w:t>2,422</w:t>
            </w:r>
          </w:p>
        </w:tc>
        <w:tc>
          <w:tcPr>
            <w:tcW w:w="834" w:type="pct"/>
            <w:noWrap/>
            <w:hideMark/>
          </w:tcPr>
          <w:p w14:paraId="3538C02C" w14:textId="77777777" w:rsidR="00261C3F" w:rsidRPr="00067EB7" w:rsidRDefault="00261C3F" w:rsidP="00067EB7">
            <w:pPr>
              <w:pStyle w:val="TableBody"/>
            </w:pPr>
            <w:r w:rsidRPr="00067EB7">
              <w:t>419</w:t>
            </w:r>
          </w:p>
        </w:tc>
        <w:tc>
          <w:tcPr>
            <w:tcW w:w="833" w:type="pct"/>
            <w:noWrap/>
            <w:hideMark/>
          </w:tcPr>
          <w:p w14:paraId="5D312D40" w14:textId="77777777" w:rsidR="00261C3F" w:rsidRPr="00067EB7" w:rsidRDefault="00261C3F" w:rsidP="00067EB7">
            <w:pPr>
              <w:pStyle w:val="TableBody"/>
            </w:pPr>
            <w:r w:rsidRPr="00067EB7">
              <w:t>288</w:t>
            </w:r>
          </w:p>
        </w:tc>
        <w:tc>
          <w:tcPr>
            <w:tcW w:w="834" w:type="pct"/>
            <w:noWrap/>
            <w:hideMark/>
          </w:tcPr>
          <w:p w14:paraId="42A1E537" w14:textId="77777777" w:rsidR="00261C3F" w:rsidRPr="00067EB7" w:rsidRDefault="00261C3F" w:rsidP="00067EB7">
            <w:pPr>
              <w:pStyle w:val="TableBody"/>
            </w:pPr>
            <w:r w:rsidRPr="00067EB7">
              <w:t>200</w:t>
            </w:r>
          </w:p>
        </w:tc>
        <w:tc>
          <w:tcPr>
            <w:tcW w:w="834" w:type="pct"/>
            <w:noWrap/>
            <w:hideMark/>
          </w:tcPr>
          <w:p w14:paraId="57E33736" w14:textId="77777777" w:rsidR="00261C3F" w:rsidRPr="00067EB7" w:rsidRDefault="00261C3F" w:rsidP="00067EB7">
            <w:pPr>
              <w:pStyle w:val="TableBody"/>
            </w:pPr>
            <w:r w:rsidRPr="00067EB7">
              <w:t>64</w:t>
            </w:r>
          </w:p>
        </w:tc>
      </w:tr>
      <w:tr w:rsidR="00261C3F" w:rsidRPr="00D14CD4" w14:paraId="12A99997" w14:textId="77777777" w:rsidTr="00261C3F">
        <w:trPr>
          <w:trHeight w:val="288"/>
        </w:trPr>
        <w:tc>
          <w:tcPr>
            <w:tcW w:w="833" w:type="pct"/>
            <w:noWrap/>
            <w:hideMark/>
          </w:tcPr>
          <w:p w14:paraId="58168F73" w14:textId="77777777" w:rsidR="00261C3F" w:rsidRPr="00067EB7" w:rsidRDefault="00261C3F" w:rsidP="00067EB7">
            <w:pPr>
              <w:pStyle w:val="TableBody"/>
            </w:pPr>
            <w:r w:rsidRPr="00067EB7">
              <w:t>2022-23</w:t>
            </w:r>
          </w:p>
        </w:tc>
        <w:tc>
          <w:tcPr>
            <w:tcW w:w="834" w:type="pct"/>
            <w:noWrap/>
            <w:hideMark/>
          </w:tcPr>
          <w:p w14:paraId="70C98C6D" w14:textId="77777777" w:rsidR="00261C3F" w:rsidRPr="00067EB7" w:rsidRDefault="00261C3F" w:rsidP="00067EB7">
            <w:pPr>
              <w:pStyle w:val="TableBody"/>
            </w:pPr>
            <w:r w:rsidRPr="00067EB7">
              <w:t>2,303</w:t>
            </w:r>
          </w:p>
        </w:tc>
        <w:tc>
          <w:tcPr>
            <w:tcW w:w="834" w:type="pct"/>
            <w:noWrap/>
            <w:hideMark/>
          </w:tcPr>
          <w:p w14:paraId="7F1D2C67" w14:textId="77777777" w:rsidR="00261C3F" w:rsidRPr="00067EB7" w:rsidRDefault="00261C3F" w:rsidP="00067EB7">
            <w:pPr>
              <w:pStyle w:val="TableBody"/>
            </w:pPr>
            <w:r w:rsidRPr="00067EB7">
              <w:t>422</w:t>
            </w:r>
          </w:p>
        </w:tc>
        <w:tc>
          <w:tcPr>
            <w:tcW w:w="833" w:type="pct"/>
            <w:noWrap/>
            <w:hideMark/>
          </w:tcPr>
          <w:p w14:paraId="1D3D6089" w14:textId="77777777" w:rsidR="00261C3F" w:rsidRPr="00067EB7" w:rsidRDefault="00261C3F" w:rsidP="00067EB7">
            <w:pPr>
              <w:pStyle w:val="TableBody"/>
            </w:pPr>
            <w:r w:rsidRPr="00067EB7">
              <w:t>267</w:t>
            </w:r>
          </w:p>
        </w:tc>
        <w:tc>
          <w:tcPr>
            <w:tcW w:w="834" w:type="pct"/>
            <w:noWrap/>
            <w:hideMark/>
          </w:tcPr>
          <w:p w14:paraId="56AD17A6" w14:textId="77777777" w:rsidR="00261C3F" w:rsidRPr="00067EB7" w:rsidRDefault="00261C3F" w:rsidP="00067EB7">
            <w:pPr>
              <w:pStyle w:val="TableBody"/>
            </w:pPr>
            <w:r w:rsidRPr="00067EB7">
              <w:t>228</w:t>
            </w:r>
          </w:p>
        </w:tc>
        <w:tc>
          <w:tcPr>
            <w:tcW w:w="834" w:type="pct"/>
            <w:noWrap/>
            <w:hideMark/>
          </w:tcPr>
          <w:p w14:paraId="497117C4" w14:textId="77777777" w:rsidR="00261C3F" w:rsidRPr="00067EB7" w:rsidRDefault="00261C3F" w:rsidP="00067EB7">
            <w:pPr>
              <w:pStyle w:val="TableBody"/>
            </w:pPr>
            <w:r w:rsidRPr="00067EB7">
              <w:t>43</w:t>
            </w:r>
          </w:p>
        </w:tc>
      </w:tr>
      <w:tr w:rsidR="00261C3F" w:rsidRPr="00D14CD4" w14:paraId="17479462" w14:textId="77777777" w:rsidTr="00261C3F">
        <w:trPr>
          <w:trHeight w:val="288"/>
        </w:trPr>
        <w:tc>
          <w:tcPr>
            <w:tcW w:w="833" w:type="pct"/>
            <w:noWrap/>
            <w:hideMark/>
          </w:tcPr>
          <w:p w14:paraId="0F75F21A" w14:textId="77777777" w:rsidR="00261C3F" w:rsidRPr="00067EB7" w:rsidRDefault="00261C3F" w:rsidP="00067EB7">
            <w:pPr>
              <w:pStyle w:val="TableBody"/>
            </w:pPr>
            <w:r w:rsidRPr="00067EB7">
              <w:t>2023-24</w:t>
            </w:r>
          </w:p>
        </w:tc>
        <w:tc>
          <w:tcPr>
            <w:tcW w:w="834" w:type="pct"/>
            <w:noWrap/>
            <w:hideMark/>
          </w:tcPr>
          <w:p w14:paraId="2C45E6D2" w14:textId="77777777" w:rsidR="00261C3F" w:rsidRPr="00067EB7" w:rsidRDefault="00261C3F" w:rsidP="00067EB7">
            <w:pPr>
              <w:pStyle w:val="TableBody"/>
            </w:pPr>
            <w:r w:rsidRPr="00067EB7">
              <w:t>1,927</w:t>
            </w:r>
          </w:p>
        </w:tc>
        <w:tc>
          <w:tcPr>
            <w:tcW w:w="834" w:type="pct"/>
            <w:noWrap/>
            <w:hideMark/>
          </w:tcPr>
          <w:p w14:paraId="10B4D9FD" w14:textId="77777777" w:rsidR="00261C3F" w:rsidRPr="00067EB7" w:rsidRDefault="00261C3F" w:rsidP="00067EB7">
            <w:pPr>
              <w:pStyle w:val="TableBody"/>
            </w:pPr>
            <w:r w:rsidRPr="00067EB7">
              <w:t>357</w:t>
            </w:r>
          </w:p>
        </w:tc>
        <w:tc>
          <w:tcPr>
            <w:tcW w:w="833" w:type="pct"/>
            <w:noWrap/>
            <w:hideMark/>
          </w:tcPr>
          <w:p w14:paraId="051B6E45" w14:textId="77777777" w:rsidR="00261C3F" w:rsidRPr="00067EB7" w:rsidRDefault="00261C3F" w:rsidP="00067EB7">
            <w:pPr>
              <w:pStyle w:val="TableBody"/>
            </w:pPr>
            <w:r w:rsidRPr="00067EB7">
              <w:t>241</w:t>
            </w:r>
          </w:p>
        </w:tc>
        <w:tc>
          <w:tcPr>
            <w:tcW w:w="834" w:type="pct"/>
            <w:noWrap/>
            <w:hideMark/>
          </w:tcPr>
          <w:p w14:paraId="0861F8C1" w14:textId="77777777" w:rsidR="00261C3F" w:rsidRPr="00067EB7" w:rsidRDefault="00261C3F" w:rsidP="00067EB7">
            <w:pPr>
              <w:pStyle w:val="TableBody"/>
            </w:pPr>
            <w:r w:rsidRPr="00067EB7">
              <w:t>191</w:t>
            </w:r>
          </w:p>
        </w:tc>
        <w:tc>
          <w:tcPr>
            <w:tcW w:w="834" w:type="pct"/>
            <w:noWrap/>
            <w:hideMark/>
          </w:tcPr>
          <w:p w14:paraId="3190B39E" w14:textId="77777777" w:rsidR="00261C3F" w:rsidRPr="00067EB7" w:rsidRDefault="00261C3F" w:rsidP="00067EB7">
            <w:pPr>
              <w:pStyle w:val="TableBody"/>
            </w:pPr>
            <w:r w:rsidRPr="00067EB7">
              <w:t>40</w:t>
            </w:r>
          </w:p>
        </w:tc>
      </w:tr>
    </w:tbl>
    <w:p w14:paraId="14F8F969" w14:textId="77777777" w:rsidR="007606B5" w:rsidRPr="00157502" w:rsidRDefault="007606B5" w:rsidP="00D4532A">
      <w:r w:rsidRPr="000C258A">
        <w:rPr>
          <w:rStyle w:val="Strong"/>
        </w:rPr>
        <w:t>Source</w:t>
      </w:r>
      <w:r w:rsidRPr="008C1137">
        <w:t>: Court Services Victoria, unpublished data</w:t>
      </w:r>
    </w:p>
    <w:p w14:paraId="2508C5F9" w14:textId="77777777" w:rsidR="00A4454A" w:rsidRPr="008C1137" w:rsidRDefault="00A4454A" w:rsidP="0002476E">
      <w:pPr>
        <w:pStyle w:val="Heading4"/>
      </w:pPr>
      <w:r w:rsidRPr="008C1137">
        <w:t>Average custodial sentence lengths in the Magistrates’ Court</w:t>
      </w:r>
    </w:p>
    <w:p w14:paraId="5C9FAE68" w14:textId="7C00537A" w:rsidR="00A4454A" w:rsidRPr="008C1137" w:rsidRDefault="00A4454A" w:rsidP="00210207">
      <w:pPr>
        <w:pStyle w:val="Numbered"/>
      </w:pPr>
      <w:r w:rsidRPr="008C1137">
        <w:t>Figure 21</w:t>
      </w:r>
      <w:r w:rsidR="009E33A5">
        <w:t xml:space="preserve"> </w:t>
      </w:r>
      <w:r w:rsidRPr="008C1137">
        <w:t xml:space="preserve">presents the average custodial sentence lengths imposed in the Magistrates’ Court by the principal offence category in the case. The longest average custodial sentence lengths each year were imposed for offences against the person and drug offences, and the shortest were for justice procedure offences. </w:t>
      </w:r>
    </w:p>
    <w:p w14:paraId="74F2BA86" w14:textId="68DB82A1" w:rsidR="00A4454A" w:rsidRPr="008C1137" w:rsidRDefault="00A4454A" w:rsidP="00210207">
      <w:pPr>
        <w:pStyle w:val="Numbered"/>
      </w:pPr>
      <w:r w:rsidRPr="008C1137">
        <w:t xml:space="preserve">As for trends over time, average custodial sentence lengths for public order offences, justice procedure offences and other offences were all relatively stable, but there were significant decreases in the average custodial sentence lengths for offences against the person, property offences and drug offences. Notably, most of the decreases in average custodial sentence lengths for offences against the person, property offences and drug offences occurred concurrently with significant increases in the number of custodial sentences imposed for those same three offence categories (Figure 19). In particular, from 2010–11 to 2018–19: </w:t>
      </w:r>
    </w:p>
    <w:p w14:paraId="1EEA925B" w14:textId="77777777" w:rsidR="00A4454A" w:rsidRPr="008C1137" w:rsidRDefault="00A4454A" w:rsidP="008C1137">
      <w:pPr>
        <w:pStyle w:val="Bullets"/>
      </w:pPr>
      <w:r w:rsidRPr="008C1137">
        <w:lastRenderedPageBreak/>
        <w:t>the number of custodial sentences for offences against the person increased by 195%, but average custodial sentence lengths decreased by 31%</w:t>
      </w:r>
    </w:p>
    <w:p w14:paraId="27FD6149" w14:textId="77777777" w:rsidR="00A4454A" w:rsidRPr="008C1137" w:rsidRDefault="00A4454A" w:rsidP="008C1137">
      <w:pPr>
        <w:pStyle w:val="Bullets"/>
      </w:pPr>
      <w:r w:rsidRPr="008C1137">
        <w:t>the number of custodial sentences for property offences increased by 83%, but average custodial sentence lengths decreased by 37% and</w:t>
      </w:r>
    </w:p>
    <w:p w14:paraId="3E89F826" w14:textId="77777777" w:rsidR="00A4454A" w:rsidRPr="008C1137" w:rsidRDefault="00A4454A" w:rsidP="008C1137">
      <w:pPr>
        <w:pStyle w:val="Bullets"/>
      </w:pPr>
      <w:r w:rsidRPr="008C1137">
        <w:t>the number of custodial sentences for drug offences increased by 182%, but average custodial sentence lengths decreased by 36%.</w:t>
      </w:r>
    </w:p>
    <w:p w14:paraId="4E01A059" w14:textId="77777777" w:rsidR="00A4454A" w:rsidRPr="008C1137" w:rsidRDefault="00A4454A" w:rsidP="00210207">
      <w:pPr>
        <w:pStyle w:val="Numbered"/>
      </w:pPr>
      <w:r w:rsidRPr="008C1137">
        <w:t xml:space="preserve">Conversely, in the 5 years since 2018–19, there was a reduction in the number of custodial sentences imposed for those three offence categories, co-occurring with an increase in average custodial sentence lengths. There seems to be a strong inverse relationship between the number of custodial sentences imposed and the lengths of those custodial sentences, such that increases in the number of custodial sentences are driven primarily by </w:t>
      </w:r>
      <w:r w:rsidRPr="003B3217">
        <w:rPr>
          <w:rStyle w:val="Italic"/>
        </w:rPr>
        <w:t xml:space="preserve">short </w:t>
      </w:r>
      <w:r w:rsidRPr="008C1137">
        <w:t>prison sentences.</w:t>
      </w:r>
    </w:p>
    <w:p w14:paraId="2F71484E" w14:textId="77777777" w:rsidR="00A4454A" w:rsidRPr="008C1137" w:rsidRDefault="00A4454A" w:rsidP="00BE4EDC">
      <w:pPr>
        <w:pStyle w:val="Caption"/>
      </w:pPr>
      <w:r w:rsidRPr="00157502">
        <w:t>Figure 21</w:t>
      </w:r>
      <w:r w:rsidRPr="008C1137">
        <w:t>: Average custodial sentence lengths (in months) in the Magistrates’ Court, by category of principal offence in the case, 2006–07 to 2023–24</w:t>
      </w:r>
      <w:r w:rsidRPr="008C1137">
        <w:rPr>
          <w:rStyle w:val="Superscript"/>
        </w:rPr>
        <w:footnoteReference w:id="101"/>
      </w:r>
    </w:p>
    <w:tbl>
      <w:tblPr>
        <w:tblStyle w:val="Table"/>
        <w:tblW w:w="5106" w:type="pct"/>
        <w:tblLayout w:type="fixed"/>
        <w:tblLook w:val="04A0" w:firstRow="1" w:lastRow="0" w:firstColumn="1" w:lastColumn="0" w:noHBand="0" w:noVBand="1"/>
      </w:tblPr>
      <w:tblGrid>
        <w:gridCol w:w="1290"/>
        <w:gridCol w:w="1290"/>
        <w:gridCol w:w="1289"/>
        <w:gridCol w:w="1289"/>
        <w:gridCol w:w="1289"/>
        <w:gridCol w:w="1287"/>
        <w:gridCol w:w="1473"/>
      </w:tblGrid>
      <w:tr w:rsidR="006D52CD" w:rsidRPr="006D52CD" w14:paraId="518A6D67" w14:textId="77777777" w:rsidTr="006D52CD">
        <w:trPr>
          <w:trHeight w:val="288"/>
          <w:tblHeader/>
        </w:trPr>
        <w:tc>
          <w:tcPr>
            <w:tcW w:w="700" w:type="pct"/>
            <w:noWrap/>
            <w:hideMark/>
          </w:tcPr>
          <w:p w14:paraId="286472BB" w14:textId="5CAF0EC5" w:rsidR="0060324C" w:rsidRPr="006D52CD" w:rsidRDefault="005C3B0B" w:rsidP="006D52CD">
            <w:pPr>
              <w:pStyle w:val="TableHeading"/>
            </w:pPr>
            <w:r w:rsidRPr="006D52CD">
              <w:t>Financial year</w:t>
            </w:r>
          </w:p>
        </w:tc>
        <w:tc>
          <w:tcPr>
            <w:tcW w:w="700" w:type="pct"/>
            <w:noWrap/>
            <w:hideMark/>
          </w:tcPr>
          <w:p w14:paraId="30924A13" w14:textId="77777777" w:rsidR="0060324C" w:rsidRPr="006D52CD" w:rsidRDefault="0060324C" w:rsidP="006D52CD">
            <w:pPr>
              <w:pStyle w:val="TableHeading"/>
            </w:pPr>
            <w:r w:rsidRPr="006D52CD">
              <w:t>Drug</w:t>
            </w:r>
          </w:p>
        </w:tc>
        <w:tc>
          <w:tcPr>
            <w:tcW w:w="700" w:type="pct"/>
            <w:noWrap/>
            <w:hideMark/>
          </w:tcPr>
          <w:p w14:paraId="77308215" w14:textId="77777777" w:rsidR="0060324C" w:rsidRPr="006D52CD" w:rsidRDefault="0060324C" w:rsidP="006D52CD">
            <w:pPr>
              <w:pStyle w:val="TableHeading"/>
            </w:pPr>
            <w:r w:rsidRPr="006D52CD">
              <w:t>Person</w:t>
            </w:r>
          </w:p>
        </w:tc>
        <w:tc>
          <w:tcPr>
            <w:tcW w:w="700" w:type="pct"/>
            <w:noWrap/>
            <w:hideMark/>
          </w:tcPr>
          <w:p w14:paraId="1AFB4EE6" w14:textId="77777777" w:rsidR="0060324C" w:rsidRPr="006D52CD" w:rsidRDefault="0060324C" w:rsidP="006D52CD">
            <w:pPr>
              <w:pStyle w:val="TableHeading"/>
            </w:pPr>
            <w:r w:rsidRPr="006D52CD">
              <w:t>Public order</w:t>
            </w:r>
          </w:p>
        </w:tc>
        <w:tc>
          <w:tcPr>
            <w:tcW w:w="700" w:type="pct"/>
            <w:noWrap/>
            <w:hideMark/>
          </w:tcPr>
          <w:p w14:paraId="360E9D5B" w14:textId="77777777" w:rsidR="0060324C" w:rsidRPr="006D52CD" w:rsidRDefault="0060324C" w:rsidP="006D52CD">
            <w:pPr>
              <w:pStyle w:val="TableHeading"/>
            </w:pPr>
            <w:r w:rsidRPr="006D52CD">
              <w:t>Property</w:t>
            </w:r>
          </w:p>
        </w:tc>
        <w:tc>
          <w:tcPr>
            <w:tcW w:w="699" w:type="pct"/>
            <w:noWrap/>
            <w:hideMark/>
          </w:tcPr>
          <w:p w14:paraId="69B770B1" w14:textId="77777777" w:rsidR="0060324C" w:rsidRPr="006D52CD" w:rsidRDefault="0060324C" w:rsidP="006D52CD">
            <w:pPr>
              <w:pStyle w:val="TableHeading"/>
            </w:pPr>
            <w:r w:rsidRPr="006D52CD">
              <w:t>Other</w:t>
            </w:r>
          </w:p>
        </w:tc>
        <w:tc>
          <w:tcPr>
            <w:tcW w:w="800" w:type="pct"/>
            <w:noWrap/>
            <w:hideMark/>
          </w:tcPr>
          <w:p w14:paraId="3D6B1ED4" w14:textId="77777777" w:rsidR="0060324C" w:rsidRPr="006D52CD" w:rsidRDefault="0060324C" w:rsidP="006D52CD">
            <w:pPr>
              <w:pStyle w:val="TableHeading"/>
            </w:pPr>
            <w:r w:rsidRPr="006D52CD">
              <w:t>Justice procedure</w:t>
            </w:r>
          </w:p>
        </w:tc>
      </w:tr>
      <w:tr w:rsidR="0060324C" w:rsidRPr="006D52CD" w14:paraId="01CF2370" w14:textId="77777777" w:rsidTr="006D52CD">
        <w:trPr>
          <w:trHeight w:val="288"/>
        </w:trPr>
        <w:tc>
          <w:tcPr>
            <w:tcW w:w="700" w:type="pct"/>
            <w:noWrap/>
            <w:hideMark/>
          </w:tcPr>
          <w:p w14:paraId="4693DFB6" w14:textId="77777777" w:rsidR="0060324C" w:rsidRPr="006D52CD" w:rsidRDefault="0060324C" w:rsidP="006D52CD">
            <w:pPr>
              <w:pStyle w:val="TableBody"/>
            </w:pPr>
            <w:r w:rsidRPr="006D52CD">
              <w:t>2006-07</w:t>
            </w:r>
          </w:p>
        </w:tc>
        <w:tc>
          <w:tcPr>
            <w:tcW w:w="700" w:type="pct"/>
            <w:noWrap/>
            <w:hideMark/>
          </w:tcPr>
          <w:p w14:paraId="31FA140C" w14:textId="77777777" w:rsidR="0060324C" w:rsidRPr="006D52CD" w:rsidRDefault="0060324C" w:rsidP="006D52CD">
            <w:pPr>
              <w:pStyle w:val="TableBody"/>
            </w:pPr>
            <w:r w:rsidRPr="006D52CD">
              <w:t>6.5</w:t>
            </w:r>
          </w:p>
        </w:tc>
        <w:tc>
          <w:tcPr>
            <w:tcW w:w="700" w:type="pct"/>
            <w:noWrap/>
            <w:hideMark/>
          </w:tcPr>
          <w:p w14:paraId="61DFDC69" w14:textId="77777777" w:rsidR="0060324C" w:rsidRPr="006D52CD" w:rsidRDefault="0060324C" w:rsidP="006D52CD">
            <w:pPr>
              <w:pStyle w:val="TableBody"/>
            </w:pPr>
            <w:r w:rsidRPr="006D52CD">
              <w:t>6.2</w:t>
            </w:r>
          </w:p>
        </w:tc>
        <w:tc>
          <w:tcPr>
            <w:tcW w:w="700" w:type="pct"/>
            <w:noWrap/>
            <w:hideMark/>
          </w:tcPr>
          <w:p w14:paraId="64178FFE" w14:textId="77777777" w:rsidR="0060324C" w:rsidRPr="006D52CD" w:rsidRDefault="0060324C" w:rsidP="006D52CD">
            <w:pPr>
              <w:pStyle w:val="TableBody"/>
            </w:pPr>
            <w:r w:rsidRPr="006D52CD">
              <w:t>4.3</w:t>
            </w:r>
          </w:p>
        </w:tc>
        <w:tc>
          <w:tcPr>
            <w:tcW w:w="700" w:type="pct"/>
            <w:noWrap/>
            <w:hideMark/>
          </w:tcPr>
          <w:p w14:paraId="76FBFA08" w14:textId="77777777" w:rsidR="0060324C" w:rsidRPr="006D52CD" w:rsidRDefault="0060324C" w:rsidP="006D52CD">
            <w:pPr>
              <w:pStyle w:val="TableBody"/>
            </w:pPr>
            <w:r w:rsidRPr="006D52CD">
              <w:t>5.7</w:t>
            </w:r>
          </w:p>
        </w:tc>
        <w:tc>
          <w:tcPr>
            <w:tcW w:w="699" w:type="pct"/>
            <w:noWrap/>
            <w:hideMark/>
          </w:tcPr>
          <w:p w14:paraId="3BB4014A" w14:textId="77777777" w:rsidR="0060324C" w:rsidRPr="006D52CD" w:rsidRDefault="0060324C" w:rsidP="006D52CD">
            <w:pPr>
              <w:pStyle w:val="TableBody"/>
            </w:pPr>
            <w:r w:rsidRPr="006D52CD">
              <w:t>2.6</w:t>
            </w:r>
          </w:p>
        </w:tc>
        <w:tc>
          <w:tcPr>
            <w:tcW w:w="800" w:type="pct"/>
            <w:noWrap/>
            <w:hideMark/>
          </w:tcPr>
          <w:p w14:paraId="03A23B71" w14:textId="77777777" w:rsidR="0060324C" w:rsidRPr="006D52CD" w:rsidRDefault="0060324C" w:rsidP="006D52CD">
            <w:pPr>
              <w:pStyle w:val="TableBody"/>
            </w:pPr>
            <w:r w:rsidRPr="006D52CD">
              <w:t>1.8</w:t>
            </w:r>
          </w:p>
        </w:tc>
      </w:tr>
      <w:tr w:rsidR="0060324C" w:rsidRPr="006D52CD" w14:paraId="67E23BEC" w14:textId="77777777" w:rsidTr="006D52CD">
        <w:trPr>
          <w:trHeight w:val="288"/>
        </w:trPr>
        <w:tc>
          <w:tcPr>
            <w:tcW w:w="700" w:type="pct"/>
            <w:noWrap/>
            <w:hideMark/>
          </w:tcPr>
          <w:p w14:paraId="028F3ACF" w14:textId="77777777" w:rsidR="0060324C" w:rsidRPr="006D52CD" w:rsidRDefault="0060324C" w:rsidP="006D52CD">
            <w:pPr>
              <w:pStyle w:val="TableBody"/>
            </w:pPr>
            <w:r w:rsidRPr="006D52CD">
              <w:t>2007-08</w:t>
            </w:r>
          </w:p>
        </w:tc>
        <w:tc>
          <w:tcPr>
            <w:tcW w:w="700" w:type="pct"/>
            <w:noWrap/>
            <w:hideMark/>
          </w:tcPr>
          <w:p w14:paraId="4BCFD6BE" w14:textId="77777777" w:rsidR="0060324C" w:rsidRPr="006D52CD" w:rsidRDefault="0060324C" w:rsidP="006D52CD">
            <w:pPr>
              <w:pStyle w:val="TableBody"/>
            </w:pPr>
            <w:r w:rsidRPr="006D52CD">
              <w:t>6.9</w:t>
            </w:r>
          </w:p>
        </w:tc>
        <w:tc>
          <w:tcPr>
            <w:tcW w:w="700" w:type="pct"/>
            <w:noWrap/>
            <w:hideMark/>
          </w:tcPr>
          <w:p w14:paraId="7F6E02B1" w14:textId="77777777" w:rsidR="0060324C" w:rsidRPr="006D52CD" w:rsidRDefault="0060324C" w:rsidP="006D52CD">
            <w:pPr>
              <w:pStyle w:val="TableBody"/>
            </w:pPr>
            <w:r w:rsidRPr="006D52CD">
              <w:t>6.9</w:t>
            </w:r>
          </w:p>
        </w:tc>
        <w:tc>
          <w:tcPr>
            <w:tcW w:w="700" w:type="pct"/>
            <w:noWrap/>
            <w:hideMark/>
          </w:tcPr>
          <w:p w14:paraId="3A6A4A65" w14:textId="77777777" w:rsidR="0060324C" w:rsidRPr="006D52CD" w:rsidRDefault="0060324C" w:rsidP="006D52CD">
            <w:pPr>
              <w:pStyle w:val="TableBody"/>
            </w:pPr>
            <w:r w:rsidRPr="006D52CD">
              <w:t>5.3</w:t>
            </w:r>
          </w:p>
        </w:tc>
        <w:tc>
          <w:tcPr>
            <w:tcW w:w="700" w:type="pct"/>
            <w:noWrap/>
            <w:hideMark/>
          </w:tcPr>
          <w:p w14:paraId="1AB4D58B" w14:textId="77777777" w:rsidR="0060324C" w:rsidRPr="006D52CD" w:rsidRDefault="0060324C" w:rsidP="006D52CD">
            <w:pPr>
              <w:pStyle w:val="TableBody"/>
            </w:pPr>
            <w:r w:rsidRPr="006D52CD">
              <w:t>5.8</w:t>
            </w:r>
          </w:p>
        </w:tc>
        <w:tc>
          <w:tcPr>
            <w:tcW w:w="699" w:type="pct"/>
            <w:noWrap/>
            <w:hideMark/>
          </w:tcPr>
          <w:p w14:paraId="2670E899" w14:textId="77777777" w:rsidR="0060324C" w:rsidRPr="006D52CD" w:rsidRDefault="0060324C" w:rsidP="006D52CD">
            <w:pPr>
              <w:pStyle w:val="TableBody"/>
            </w:pPr>
            <w:r w:rsidRPr="006D52CD">
              <w:t>2.7</w:t>
            </w:r>
          </w:p>
        </w:tc>
        <w:tc>
          <w:tcPr>
            <w:tcW w:w="800" w:type="pct"/>
            <w:noWrap/>
            <w:hideMark/>
          </w:tcPr>
          <w:p w14:paraId="54980AC6" w14:textId="77777777" w:rsidR="0060324C" w:rsidRPr="006D52CD" w:rsidRDefault="0060324C" w:rsidP="006D52CD">
            <w:pPr>
              <w:pStyle w:val="TableBody"/>
            </w:pPr>
            <w:r w:rsidRPr="006D52CD">
              <w:t>2.3</w:t>
            </w:r>
          </w:p>
        </w:tc>
      </w:tr>
      <w:tr w:rsidR="0060324C" w:rsidRPr="006D52CD" w14:paraId="6DBAFCBF" w14:textId="77777777" w:rsidTr="006D52CD">
        <w:trPr>
          <w:trHeight w:val="288"/>
        </w:trPr>
        <w:tc>
          <w:tcPr>
            <w:tcW w:w="700" w:type="pct"/>
            <w:noWrap/>
            <w:hideMark/>
          </w:tcPr>
          <w:p w14:paraId="6D21BF72" w14:textId="77777777" w:rsidR="0060324C" w:rsidRPr="006D52CD" w:rsidRDefault="0060324C" w:rsidP="006D52CD">
            <w:pPr>
              <w:pStyle w:val="TableBody"/>
            </w:pPr>
            <w:r w:rsidRPr="006D52CD">
              <w:t>2008-09</w:t>
            </w:r>
          </w:p>
        </w:tc>
        <w:tc>
          <w:tcPr>
            <w:tcW w:w="700" w:type="pct"/>
            <w:noWrap/>
            <w:hideMark/>
          </w:tcPr>
          <w:p w14:paraId="42BA7C23" w14:textId="77777777" w:rsidR="0060324C" w:rsidRPr="006D52CD" w:rsidRDefault="0060324C" w:rsidP="006D52CD">
            <w:pPr>
              <w:pStyle w:val="TableBody"/>
            </w:pPr>
            <w:r w:rsidRPr="006D52CD">
              <w:t>7.1</w:t>
            </w:r>
          </w:p>
        </w:tc>
        <w:tc>
          <w:tcPr>
            <w:tcW w:w="700" w:type="pct"/>
            <w:noWrap/>
            <w:hideMark/>
          </w:tcPr>
          <w:p w14:paraId="07393125" w14:textId="77777777" w:rsidR="0060324C" w:rsidRPr="006D52CD" w:rsidRDefault="0060324C" w:rsidP="006D52CD">
            <w:pPr>
              <w:pStyle w:val="TableBody"/>
            </w:pPr>
            <w:r w:rsidRPr="006D52CD">
              <w:t>6.8</w:t>
            </w:r>
          </w:p>
        </w:tc>
        <w:tc>
          <w:tcPr>
            <w:tcW w:w="700" w:type="pct"/>
            <w:noWrap/>
            <w:hideMark/>
          </w:tcPr>
          <w:p w14:paraId="381F1788" w14:textId="77777777" w:rsidR="0060324C" w:rsidRPr="006D52CD" w:rsidRDefault="0060324C" w:rsidP="006D52CD">
            <w:pPr>
              <w:pStyle w:val="TableBody"/>
            </w:pPr>
            <w:r w:rsidRPr="006D52CD">
              <w:t>4.9</w:t>
            </w:r>
          </w:p>
        </w:tc>
        <w:tc>
          <w:tcPr>
            <w:tcW w:w="700" w:type="pct"/>
            <w:noWrap/>
            <w:hideMark/>
          </w:tcPr>
          <w:p w14:paraId="1BD69400" w14:textId="77777777" w:rsidR="0060324C" w:rsidRPr="006D52CD" w:rsidRDefault="0060324C" w:rsidP="006D52CD">
            <w:pPr>
              <w:pStyle w:val="TableBody"/>
            </w:pPr>
            <w:r w:rsidRPr="006D52CD">
              <w:t>5.8</w:t>
            </w:r>
          </w:p>
        </w:tc>
        <w:tc>
          <w:tcPr>
            <w:tcW w:w="699" w:type="pct"/>
            <w:noWrap/>
            <w:hideMark/>
          </w:tcPr>
          <w:p w14:paraId="11F88471" w14:textId="77777777" w:rsidR="0060324C" w:rsidRPr="006D52CD" w:rsidRDefault="0060324C" w:rsidP="006D52CD">
            <w:pPr>
              <w:pStyle w:val="TableBody"/>
            </w:pPr>
            <w:r w:rsidRPr="006D52CD">
              <w:t>2.4</w:t>
            </w:r>
          </w:p>
        </w:tc>
        <w:tc>
          <w:tcPr>
            <w:tcW w:w="800" w:type="pct"/>
            <w:noWrap/>
            <w:hideMark/>
          </w:tcPr>
          <w:p w14:paraId="05FD9E9F" w14:textId="77777777" w:rsidR="0060324C" w:rsidRPr="006D52CD" w:rsidRDefault="0060324C" w:rsidP="006D52CD">
            <w:pPr>
              <w:pStyle w:val="TableBody"/>
            </w:pPr>
            <w:r w:rsidRPr="006D52CD">
              <w:t>1.8</w:t>
            </w:r>
          </w:p>
        </w:tc>
      </w:tr>
      <w:tr w:rsidR="0060324C" w:rsidRPr="006D52CD" w14:paraId="342D0018" w14:textId="77777777" w:rsidTr="006D52CD">
        <w:trPr>
          <w:trHeight w:val="288"/>
        </w:trPr>
        <w:tc>
          <w:tcPr>
            <w:tcW w:w="700" w:type="pct"/>
            <w:noWrap/>
            <w:hideMark/>
          </w:tcPr>
          <w:p w14:paraId="397F1410" w14:textId="77777777" w:rsidR="0060324C" w:rsidRPr="006D52CD" w:rsidRDefault="0060324C" w:rsidP="006D52CD">
            <w:pPr>
              <w:pStyle w:val="TableBody"/>
            </w:pPr>
            <w:r w:rsidRPr="006D52CD">
              <w:t>2009-10</w:t>
            </w:r>
          </w:p>
        </w:tc>
        <w:tc>
          <w:tcPr>
            <w:tcW w:w="700" w:type="pct"/>
            <w:noWrap/>
            <w:hideMark/>
          </w:tcPr>
          <w:p w14:paraId="5B317A36" w14:textId="77777777" w:rsidR="0060324C" w:rsidRPr="006D52CD" w:rsidRDefault="0060324C" w:rsidP="006D52CD">
            <w:pPr>
              <w:pStyle w:val="TableBody"/>
            </w:pPr>
            <w:r w:rsidRPr="006D52CD">
              <w:t>6.3</w:t>
            </w:r>
          </w:p>
        </w:tc>
        <w:tc>
          <w:tcPr>
            <w:tcW w:w="700" w:type="pct"/>
            <w:noWrap/>
            <w:hideMark/>
          </w:tcPr>
          <w:p w14:paraId="142A3FA3" w14:textId="77777777" w:rsidR="0060324C" w:rsidRPr="006D52CD" w:rsidRDefault="0060324C" w:rsidP="006D52CD">
            <w:pPr>
              <w:pStyle w:val="TableBody"/>
            </w:pPr>
            <w:r w:rsidRPr="006D52CD">
              <w:t>7.1</w:t>
            </w:r>
          </w:p>
        </w:tc>
        <w:tc>
          <w:tcPr>
            <w:tcW w:w="700" w:type="pct"/>
            <w:noWrap/>
            <w:hideMark/>
          </w:tcPr>
          <w:p w14:paraId="33D817C6" w14:textId="77777777" w:rsidR="0060324C" w:rsidRPr="006D52CD" w:rsidRDefault="0060324C" w:rsidP="006D52CD">
            <w:pPr>
              <w:pStyle w:val="TableBody"/>
            </w:pPr>
            <w:r w:rsidRPr="006D52CD">
              <w:t>4.8</w:t>
            </w:r>
          </w:p>
        </w:tc>
        <w:tc>
          <w:tcPr>
            <w:tcW w:w="700" w:type="pct"/>
            <w:noWrap/>
            <w:hideMark/>
          </w:tcPr>
          <w:p w14:paraId="0414CC51" w14:textId="77777777" w:rsidR="0060324C" w:rsidRPr="006D52CD" w:rsidRDefault="0060324C" w:rsidP="006D52CD">
            <w:pPr>
              <w:pStyle w:val="TableBody"/>
            </w:pPr>
            <w:r w:rsidRPr="006D52CD">
              <w:t>5.8</w:t>
            </w:r>
          </w:p>
        </w:tc>
        <w:tc>
          <w:tcPr>
            <w:tcW w:w="699" w:type="pct"/>
            <w:noWrap/>
            <w:hideMark/>
          </w:tcPr>
          <w:p w14:paraId="2CEEFA8C" w14:textId="77777777" w:rsidR="0060324C" w:rsidRPr="006D52CD" w:rsidRDefault="0060324C" w:rsidP="006D52CD">
            <w:pPr>
              <w:pStyle w:val="TableBody"/>
            </w:pPr>
            <w:r w:rsidRPr="006D52CD">
              <w:t>2.9</w:t>
            </w:r>
          </w:p>
        </w:tc>
        <w:tc>
          <w:tcPr>
            <w:tcW w:w="800" w:type="pct"/>
            <w:noWrap/>
            <w:hideMark/>
          </w:tcPr>
          <w:p w14:paraId="670E8C66" w14:textId="77777777" w:rsidR="0060324C" w:rsidRPr="006D52CD" w:rsidRDefault="0060324C" w:rsidP="006D52CD">
            <w:pPr>
              <w:pStyle w:val="TableBody"/>
            </w:pPr>
            <w:r w:rsidRPr="006D52CD">
              <w:t>2.5</w:t>
            </w:r>
          </w:p>
        </w:tc>
      </w:tr>
      <w:tr w:rsidR="0060324C" w:rsidRPr="006D52CD" w14:paraId="13D3A736" w14:textId="77777777" w:rsidTr="006D52CD">
        <w:trPr>
          <w:trHeight w:val="288"/>
        </w:trPr>
        <w:tc>
          <w:tcPr>
            <w:tcW w:w="700" w:type="pct"/>
            <w:noWrap/>
            <w:hideMark/>
          </w:tcPr>
          <w:p w14:paraId="3D6966CB" w14:textId="77777777" w:rsidR="0060324C" w:rsidRPr="006D52CD" w:rsidRDefault="0060324C" w:rsidP="006D52CD">
            <w:pPr>
              <w:pStyle w:val="TableBody"/>
            </w:pPr>
            <w:r w:rsidRPr="006D52CD">
              <w:t>2010-11</w:t>
            </w:r>
          </w:p>
        </w:tc>
        <w:tc>
          <w:tcPr>
            <w:tcW w:w="700" w:type="pct"/>
            <w:noWrap/>
            <w:hideMark/>
          </w:tcPr>
          <w:p w14:paraId="0F995DEE" w14:textId="77777777" w:rsidR="0060324C" w:rsidRPr="006D52CD" w:rsidRDefault="0060324C" w:rsidP="006D52CD">
            <w:pPr>
              <w:pStyle w:val="TableBody"/>
            </w:pPr>
            <w:r w:rsidRPr="006D52CD">
              <w:t>8.5</w:t>
            </w:r>
          </w:p>
        </w:tc>
        <w:tc>
          <w:tcPr>
            <w:tcW w:w="700" w:type="pct"/>
            <w:noWrap/>
            <w:hideMark/>
          </w:tcPr>
          <w:p w14:paraId="09B52152" w14:textId="77777777" w:rsidR="0060324C" w:rsidRPr="006D52CD" w:rsidRDefault="0060324C" w:rsidP="006D52CD">
            <w:pPr>
              <w:pStyle w:val="TableBody"/>
            </w:pPr>
            <w:r w:rsidRPr="006D52CD">
              <w:t>7.5</w:t>
            </w:r>
          </w:p>
        </w:tc>
        <w:tc>
          <w:tcPr>
            <w:tcW w:w="700" w:type="pct"/>
            <w:noWrap/>
            <w:hideMark/>
          </w:tcPr>
          <w:p w14:paraId="04CC0090" w14:textId="77777777" w:rsidR="0060324C" w:rsidRPr="006D52CD" w:rsidRDefault="0060324C" w:rsidP="006D52CD">
            <w:pPr>
              <w:pStyle w:val="TableBody"/>
            </w:pPr>
            <w:r w:rsidRPr="006D52CD">
              <w:t>4.5</w:t>
            </w:r>
          </w:p>
        </w:tc>
        <w:tc>
          <w:tcPr>
            <w:tcW w:w="700" w:type="pct"/>
            <w:noWrap/>
            <w:hideMark/>
          </w:tcPr>
          <w:p w14:paraId="213E4984" w14:textId="77777777" w:rsidR="0060324C" w:rsidRPr="006D52CD" w:rsidRDefault="0060324C" w:rsidP="006D52CD">
            <w:pPr>
              <w:pStyle w:val="TableBody"/>
            </w:pPr>
            <w:r w:rsidRPr="006D52CD">
              <w:t>5.7</w:t>
            </w:r>
          </w:p>
        </w:tc>
        <w:tc>
          <w:tcPr>
            <w:tcW w:w="699" w:type="pct"/>
            <w:noWrap/>
            <w:hideMark/>
          </w:tcPr>
          <w:p w14:paraId="6D96FF14" w14:textId="77777777" w:rsidR="0060324C" w:rsidRPr="006D52CD" w:rsidRDefault="0060324C" w:rsidP="006D52CD">
            <w:pPr>
              <w:pStyle w:val="TableBody"/>
            </w:pPr>
            <w:r w:rsidRPr="006D52CD">
              <w:t>2.5</w:t>
            </w:r>
          </w:p>
        </w:tc>
        <w:tc>
          <w:tcPr>
            <w:tcW w:w="800" w:type="pct"/>
            <w:noWrap/>
            <w:hideMark/>
          </w:tcPr>
          <w:p w14:paraId="54C48FF6" w14:textId="77777777" w:rsidR="0060324C" w:rsidRPr="006D52CD" w:rsidRDefault="0060324C" w:rsidP="006D52CD">
            <w:pPr>
              <w:pStyle w:val="TableBody"/>
            </w:pPr>
            <w:r w:rsidRPr="006D52CD">
              <w:t>2.2</w:t>
            </w:r>
          </w:p>
        </w:tc>
      </w:tr>
      <w:tr w:rsidR="0060324C" w:rsidRPr="006D52CD" w14:paraId="46B17FB7" w14:textId="77777777" w:rsidTr="006D52CD">
        <w:trPr>
          <w:trHeight w:val="288"/>
        </w:trPr>
        <w:tc>
          <w:tcPr>
            <w:tcW w:w="700" w:type="pct"/>
            <w:noWrap/>
            <w:hideMark/>
          </w:tcPr>
          <w:p w14:paraId="39C28A19" w14:textId="77777777" w:rsidR="0060324C" w:rsidRPr="006D52CD" w:rsidRDefault="0060324C" w:rsidP="006D52CD">
            <w:pPr>
              <w:pStyle w:val="TableBody"/>
            </w:pPr>
            <w:r w:rsidRPr="006D52CD">
              <w:t>2011-12</w:t>
            </w:r>
          </w:p>
        </w:tc>
        <w:tc>
          <w:tcPr>
            <w:tcW w:w="700" w:type="pct"/>
            <w:noWrap/>
            <w:hideMark/>
          </w:tcPr>
          <w:p w14:paraId="7738C5DC" w14:textId="77777777" w:rsidR="0060324C" w:rsidRPr="006D52CD" w:rsidRDefault="0060324C" w:rsidP="006D52CD">
            <w:pPr>
              <w:pStyle w:val="TableBody"/>
            </w:pPr>
            <w:r w:rsidRPr="006D52CD">
              <w:t>7.3</w:t>
            </w:r>
          </w:p>
        </w:tc>
        <w:tc>
          <w:tcPr>
            <w:tcW w:w="700" w:type="pct"/>
            <w:noWrap/>
            <w:hideMark/>
          </w:tcPr>
          <w:p w14:paraId="580B6E86" w14:textId="77777777" w:rsidR="0060324C" w:rsidRPr="006D52CD" w:rsidRDefault="0060324C" w:rsidP="006D52CD">
            <w:pPr>
              <w:pStyle w:val="TableBody"/>
            </w:pPr>
            <w:r w:rsidRPr="006D52CD">
              <w:t>7.0</w:t>
            </w:r>
          </w:p>
        </w:tc>
        <w:tc>
          <w:tcPr>
            <w:tcW w:w="700" w:type="pct"/>
            <w:noWrap/>
            <w:hideMark/>
          </w:tcPr>
          <w:p w14:paraId="499BF035" w14:textId="77777777" w:rsidR="0060324C" w:rsidRPr="006D52CD" w:rsidRDefault="0060324C" w:rsidP="006D52CD">
            <w:pPr>
              <w:pStyle w:val="TableBody"/>
            </w:pPr>
            <w:r w:rsidRPr="006D52CD">
              <w:t>4.8</w:t>
            </w:r>
          </w:p>
        </w:tc>
        <w:tc>
          <w:tcPr>
            <w:tcW w:w="700" w:type="pct"/>
            <w:noWrap/>
            <w:hideMark/>
          </w:tcPr>
          <w:p w14:paraId="7E5AFFCF" w14:textId="77777777" w:rsidR="0060324C" w:rsidRPr="006D52CD" w:rsidRDefault="0060324C" w:rsidP="006D52CD">
            <w:pPr>
              <w:pStyle w:val="TableBody"/>
            </w:pPr>
            <w:r w:rsidRPr="006D52CD">
              <w:t>5.8</w:t>
            </w:r>
          </w:p>
        </w:tc>
        <w:tc>
          <w:tcPr>
            <w:tcW w:w="699" w:type="pct"/>
            <w:noWrap/>
            <w:hideMark/>
          </w:tcPr>
          <w:p w14:paraId="0414B13F" w14:textId="77777777" w:rsidR="0060324C" w:rsidRPr="006D52CD" w:rsidRDefault="0060324C" w:rsidP="006D52CD">
            <w:pPr>
              <w:pStyle w:val="TableBody"/>
            </w:pPr>
            <w:r w:rsidRPr="006D52CD">
              <w:t>2.6</w:t>
            </w:r>
          </w:p>
        </w:tc>
        <w:tc>
          <w:tcPr>
            <w:tcW w:w="800" w:type="pct"/>
            <w:noWrap/>
            <w:hideMark/>
          </w:tcPr>
          <w:p w14:paraId="28E079E8" w14:textId="77777777" w:rsidR="0060324C" w:rsidRPr="006D52CD" w:rsidRDefault="0060324C" w:rsidP="006D52CD">
            <w:pPr>
              <w:pStyle w:val="TableBody"/>
            </w:pPr>
            <w:r w:rsidRPr="006D52CD">
              <w:t>2.4</w:t>
            </w:r>
          </w:p>
        </w:tc>
      </w:tr>
      <w:tr w:rsidR="0060324C" w:rsidRPr="006D52CD" w14:paraId="66EB5F52" w14:textId="77777777" w:rsidTr="006D52CD">
        <w:trPr>
          <w:trHeight w:val="288"/>
        </w:trPr>
        <w:tc>
          <w:tcPr>
            <w:tcW w:w="700" w:type="pct"/>
            <w:noWrap/>
            <w:hideMark/>
          </w:tcPr>
          <w:p w14:paraId="227D5F6E" w14:textId="77777777" w:rsidR="0060324C" w:rsidRPr="006D52CD" w:rsidRDefault="0060324C" w:rsidP="006D52CD">
            <w:pPr>
              <w:pStyle w:val="TableBody"/>
            </w:pPr>
            <w:r w:rsidRPr="006D52CD">
              <w:t>2012-13</w:t>
            </w:r>
          </w:p>
        </w:tc>
        <w:tc>
          <w:tcPr>
            <w:tcW w:w="700" w:type="pct"/>
            <w:noWrap/>
            <w:hideMark/>
          </w:tcPr>
          <w:p w14:paraId="3EC2D188" w14:textId="77777777" w:rsidR="0060324C" w:rsidRPr="006D52CD" w:rsidRDefault="0060324C" w:rsidP="006D52CD">
            <w:pPr>
              <w:pStyle w:val="TableBody"/>
            </w:pPr>
            <w:r w:rsidRPr="006D52CD">
              <w:t>7.2</w:t>
            </w:r>
          </w:p>
        </w:tc>
        <w:tc>
          <w:tcPr>
            <w:tcW w:w="700" w:type="pct"/>
            <w:noWrap/>
            <w:hideMark/>
          </w:tcPr>
          <w:p w14:paraId="52ED2EB0" w14:textId="77777777" w:rsidR="0060324C" w:rsidRPr="006D52CD" w:rsidRDefault="0060324C" w:rsidP="006D52CD">
            <w:pPr>
              <w:pStyle w:val="TableBody"/>
            </w:pPr>
            <w:r w:rsidRPr="006D52CD">
              <w:t>7.0</w:t>
            </w:r>
          </w:p>
        </w:tc>
        <w:tc>
          <w:tcPr>
            <w:tcW w:w="700" w:type="pct"/>
            <w:noWrap/>
            <w:hideMark/>
          </w:tcPr>
          <w:p w14:paraId="7024FF6F" w14:textId="77777777" w:rsidR="0060324C" w:rsidRPr="006D52CD" w:rsidRDefault="0060324C" w:rsidP="006D52CD">
            <w:pPr>
              <w:pStyle w:val="TableBody"/>
            </w:pPr>
            <w:r w:rsidRPr="006D52CD">
              <w:t>5.2</w:t>
            </w:r>
          </w:p>
        </w:tc>
        <w:tc>
          <w:tcPr>
            <w:tcW w:w="700" w:type="pct"/>
            <w:noWrap/>
            <w:hideMark/>
          </w:tcPr>
          <w:p w14:paraId="56683BEF" w14:textId="77777777" w:rsidR="0060324C" w:rsidRPr="006D52CD" w:rsidRDefault="0060324C" w:rsidP="006D52CD">
            <w:pPr>
              <w:pStyle w:val="TableBody"/>
            </w:pPr>
            <w:r w:rsidRPr="006D52CD">
              <w:t>5.8</w:t>
            </w:r>
          </w:p>
        </w:tc>
        <w:tc>
          <w:tcPr>
            <w:tcW w:w="699" w:type="pct"/>
            <w:noWrap/>
            <w:hideMark/>
          </w:tcPr>
          <w:p w14:paraId="77D02E57" w14:textId="77777777" w:rsidR="0060324C" w:rsidRPr="006D52CD" w:rsidRDefault="0060324C" w:rsidP="006D52CD">
            <w:pPr>
              <w:pStyle w:val="TableBody"/>
            </w:pPr>
            <w:r w:rsidRPr="006D52CD">
              <w:t>2.4</w:t>
            </w:r>
          </w:p>
        </w:tc>
        <w:tc>
          <w:tcPr>
            <w:tcW w:w="800" w:type="pct"/>
            <w:noWrap/>
            <w:hideMark/>
          </w:tcPr>
          <w:p w14:paraId="088EBCBD" w14:textId="77777777" w:rsidR="0060324C" w:rsidRPr="006D52CD" w:rsidRDefault="0060324C" w:rsidP="006D52CD">
            <w:pPr>
              <w:pStyle w:val="TableBody"/>
            </w:pPr>
            <w:r w:rsidRPr="006D52CD">
              <w:t>1.7</w:t>
            </w:r>
          </w:p>
        </w:tc>
      </w:tr>
      <w:tr w:rsidR="0060324C" w:rsidRPr="006D52CD" w14:paraId="0A7DFFFA" w14:textId="77777777" w:rsidTr="006D52CD">
        <w:trPr>
          <w:trHeight w:val="288"/>
        </w:trPr>
        <w:tc>
          <w:tcPr>
            <w:tcW w:w="700" w:type="pct"/>
            <w:noWrap/>
            <w:hideMark/>
          </w:tcPr>
          <w:p w14:paraId="6EB4C39F" w14:textId="77777777" w:rsidR="0060324C" w:rsidRPr="006D52CD" w:rsidRDefault="0060324C" w:rsidP="006D52CD">
            <w:pPr>
              <w:pStyle w:val="TableBody"/>
            </w:pPr>
            <w:r w:rsidRPr="006D52CD">
              <w:t>2013-14</w:t>
            </w:r>
          </w:p>
        </w:tc>
        <w:tc>
          <w:tcPr>
            <w:tcW w:w="700" w:type="pct"/>
            <w:noWrap/>
            <w:hideMark/>
          </w:tcPr>
          <w:p w14:paraId="27C1AE1D" w14:textId="77777777" w:rsidR="0060324C" w:rsidRPr="006D52CD" w:rsidRDefault="0060324C" w:rsidP="006D52CD">
            <w:pPr>
              <w:pStyle w:val="TableBody"/>
            </w:pPr>
            <w:r w:rsidRPr="006D52CD">
              <w:t>6.4</w:t>
            </w:r>
          </w:p>
        </w:tc>
        <w:tc>
          <w:tcPr>
            <w:tcW w:w="700" w:type="pct"/>
            <w:noWrap/>
            <w:hideMark/>
          </w:tcPr>
          <w:p w14:paraId="4C41520C" w14:textId="77777777" w:rsidR="0060324C" w:rsidRPr="006D52CD" w:rsidRDefault="0060324C" w:rsidP="006D52CD">
            <w:pPr>
              <w:pStyle w:val="TableBody"/>
            </w:pPr>
            <w:r w:rsidRPr="006D52CD">
              <w:t>6.2</w:t>
            </w:r>
          </w:p>
        </w:tc>
        <w:tc>
          <w:tcPr>
            <w:tcW w:w="700" w:type="pct"/>
            <w:noWrap/>
            <w:hideMark/>
          </w:tcPr>
          <w:p w14:paraId="00F56317" w14:textId="77777777" w:rsidR="0060324C" w:rsidRPr="006D52CD" w:rsidRDefault="0060324C" w:rsidP="006D52CD">
            <w:pPr>
              <w:pStyle w:val="TableBody"/>
            </w:pPr>
            <w:r w:rsidRPr="006D52CD">
              <w:t>4.6</w:t>
            </w:r>
          </w:p>
        </w:tc>
        <w:tc>
          <w:tcPr>
            <w:tcW w:w="700" w:type="pct"/>
            <w:noWrap/>
            <w:hideMark/>
          </w:tcPr>
          <w:p w14:paraId="60E71CD4" w14:textId="77777777" w:rsidR="0060324C" w:rsidRPr="006D52CD" w:rsidRDefault="0060324C" w:rsidP="006D52CD">
            <w:pPr>
              <w:pStyle w:val="TableBody"/>
            </w:pPr>
            <w:r w:rsidRPr="006D52CD">
              <w:t>5.1</w:t>
            </w:r>
          </w:p>
        </w:tc>
        <w:tc>
          <w:tcPr>
            <w:tcW w:w="699" w:type="pct"/>
            <w:noWrap/>
            <w:hideMark/>
          </w:tcPr>
          <w:p w14:paraId="1D49E90E" w14:textId="77777777" w:rsidR="0060324C" w:rsidRPr="006D52CD" w:rsidRDefault="0060324C" w:rsidP="006D52CD">
            <w:pPr>
              <w:pStyle w:val="TableBody"/>
            </w:pPr>
            <w:r w:rsidRPr="006D52CD">
              <w:t>2.3</w:t>
            </w:r>
          </w:p>
        </w:tc>
        <w:tc>
          <w:tcPr>
            <w:tcW w:w="800" w:type="pct"/>
            <w:noWrap/>
            <w:hideMark/>
          </w:tcPr>
          <w:p w14:paraId="377E7C94" w14:textId="77777777" w:rsidR="0060324C" w:rsidRPr="006D52CD" w:rsidRDefault="0060324C" w:rsidP="006D52CD">
            <w:pPr>
              <w:pStyle w:val="TableBody"/>
            </w:pPr>
            <w:r w:rsidRPr="006D52CD">
              <w:t>2.4</w:t>
            </w:r>
          </w:p>
        </w:tc>
      </w:tr>
      <w:tr w:rsidR="0060324C" w:rsidRPr="006D52CD" w14:paraId="787E3464" w14:textId="77777777" w:rsidTr="006D52CD">
        <w:trPr>
          <w:trHeight w:val="288"/>
        </w:trPr>
        <w:tc>
          <w:tcPr>
            <w:tcW w:w="700" w:type="pct"/>
            <w:noWrap/>
            <w:hideMark/>
          </w:tcPr>
          <w:p w14:paraId="1ED1D4DE" w14:textId="77777777" w:rsidR="0060324C" w:rsidRPr="006D52CD" w:rsidRDefault="0060324C" w:rsidP="006D52CD">
            <w:pPr>
              <w:pStyle w:val="TableBody"/>
            </w:pPr>
            <w:r w:rsidRPr="006D52CD">
              <w:t>2014-15</w:t>
            </w:r>
          </w:p>
        </w:tc>
        <w:tc>
          <w:tcPr>
            <w:tcW w:w="700" w:type="pct"/>
            <w:noWrap/>
            <w:hideMark/>
          </w:tcPr>
          <w:p w14:paraId="72E00137" w14:textId="77777777" w:rsidR="0060324C" w:rsidRPr="006D52CD" w:rsidRDefault="0060324C" w:rsidP="006D52CD">
            <w:pPr>
              <w:pStyle w:val="TableBody"/>
            </w:pPr>
            <w:r w:rsidRPr="006D52CD">
              <w:t>6.4</w:t>
            </w:r>
          </w:p>
        </w:tc>
        <w:tc>
          <w:tcPr>
            <w:tcW w:w="700" w:type="pct"/>
            <w:noWrap/>
            <w:hideMark/>
          </w:tcPr>
          <w:p w14:paraId="169BA081" w14:textId="77777777" w:rsidR="0060324C" w:rsidRPr="006D52CD" w:rsidRDefault="0060324C" w:rsidP="006D52CD">
            <w:pPr>
              <w:pStyle w:val="TableBody"/>
            </w:pPr>
            <w:r w:rsidRPr="006D52CD">
              <w:t>5.7</w:t>
            </w:r>
          </w:p>
        </w:tc>
        <w:tc>
          <w:tcPr>
            <w:tcW w:w="700" w:type="pct"/>
            <w:noWrap/>
            <w:hideMark/>
          </w:tcPr>
          <w:p w14:paraId="6B6942B6" w14:textId="77777777" w:rsidR="0060324C" w:rsidRPr="006D52CD" w:rsidRDefault="0060324C" w:rsidP="006D52CD">
            <w:pPr>
              <w:pStyle w:val="TableBody"/>
            </w:pPr>
            <w:r w:rsidRPr="006D52CD">
              <w:t>5.4</w:t>
            </w:r>
          </w:p>
        </w:tc>
        <w:tc>
          <w:tcPr>
            <w:tcW w:w="700" w:type="pct"/>
            <w:noWrap/>
            <w:hideMark/>
          </w:tcPr>
          <w:p w14:paraId="403135C1" w14:textId="77777777" w:rsidR="0060324C" w:rsidRPr="006D52CD" w:rsidRDefault="0060324C" w:rsidP="006D52CD">
            <w:pPr>
              <w:pStyle w:val="TableBody"/>
            </w:pPr>
            <w:r w:rsidRPr="006D52CD">
              <w:t>4.8</w:t>
            </w:r>
          </w:p>
        </w:tc>
        <w:tc>
          <w:tcPr>
            <w:tcW w:w="699" w:type="pct"/>
            <w:noWrap/>
            <w:hideMark/>
          </w:tcPr>
          <w:p w14:paraId="3AE80DD9" w14:textId="77777777" w:rsidR="0060324C" w:rsidRPr="006D52CD" w:rsidRDefault="0060324C" w:rsidP="006D52CD">
            <w:pPr>
              <w:pStyle w:val="TableBody"/>
            </w:pPr>
            <w:r w:rsidRPr="006D52CD">
              <w:t>2.2</w:t>
            </w:r>
          </w:p>
        </w:tc>
        <w:tc>
          <w:tcPr>
            <w:tcW w:w="800" w:type="pct"/>
            <w:noWrap/>
            <w:hideMark/>
          </w:tcPr>
          <w:p w14:paraId="73680469" w14:textId="77777777" w:rsidR="0060324C" w:rsidRPr="006D52CD" w:rsidRDefault="0060324C" w:rsidP="006D52CD">
            <w:pPr>
              <w:pStyle w:val="TableBody"/>
            </w:pPr>
            <w:r w:rsidRPr="006D52CD">
              <w:t>2.2</w:t>
            </w:r>
          </w:p>
        </w:tc>
      </w:tr>
      <w:tr w:rsidR="0060324C" w:rsidRPr="006D52CD" w14:paraId="312C7AC3" w14:textId="77777777" w:rsidTr="006D52CD">
        <w:trPr>
          <w:trHeight w:val="288"/>
        </w:trPr>
        <w:tc>
          <w:tcPr>
            <w:tcW w:w="700" w:type="pct"/>
            <w:noWrap/>
            <w:hideMark/>
          </w:tcPr>
          <w:p w14:paraId="1CACD119" w14:textId="77777777" w:rsidR="0060324C" w:rsidRPr="006D52CD" w:rsidRDefault="0060324C" w:rsidP="006D52CD">
            <w:pPr>
              <w:pStyle w:val="TableBody"/>
            </w:pPr>
            <w:r w:rsidRPr="006D52CD">
              <w:t>2015-16</w:t>
            </w:r>
          </w:p>
        </w:tc>
        <w:tc>
          <w:tcPr>
            <w:tcW w:w="700" w:type="pct"/>
            <w:noWrap/>
            <w:hideMark/>
          </w:tcPr>
          <w:p w14:paraId="2CDE6DCC" w14:textId="77777777" w:rsidR="0060324C" w:rsidRPr="006D52CD" w:rsidRDefault="0060324C" w:rsidP="006D52CD">
            <w:pPr>
              <w:pStyle w:val="TableBody"/>
            </w:pPr>
            <w:r w:rsidRPr="006D52CD">
              <w:t>5.5</w:t>
            </w:r>
          </w:p>
        </w:tc>
        <w:tc>
          <w:tcPr>
            <w:tcW w:w="700" w:type="pct"/>
            <w:noWrap/>
            <w:hideMark/>
          </w:tcPr>
          <w:p w14:paraId="6C26EA0C" w14:textId="77777777" w:rsidR="0060324C" w:rsidRPr="006D52CD" w:rsidRDefault="0060324C" w:rsidP="006D52CD">
            <w:pPr>
              <w:pStyle w:val="TableBody"/>
            </w:pPr>
            <w:r w:rsidRPr="006D52CD">
              <w:t>5.2</w:t>
            </w:r>
          </w:p>
        </w:tc>
        <w:tc>
          <w:tcPr>
            <w:tcW w:w="700" w:type="pct"/>
            <w:noWrap/>
            <w:hideMark/>
          </w:tcPr>
          <w:p w14:paraId="2BEDBE61" w14:textId="77777777" w:rsidR="0060324C" w:rsidRPr="006D52CD" w:rsidRDefault="0060324C" w:rsidP="006D52CD">
            <w:pPr>
              <w:pStyle w:val="TableBody"/>
            </w:pPr>
            <w:r w:rsidRPr="006D52CD">
              <w:t>4.5</w:t>
            </w:r>
          </w:p>
        </w:tc>
        <w:tc>
          <w:tcPr>
            <w:tcW w:w="700" w:type="pct"/>
            <w:noWrap/>
            <w:hideMark/>
          </w:tcPr>
          <w:p w14:paraId="5AAD57FE" w14:textId="77777777" w:rsidR="0060324C" w:rsidRPr="006D52CD" w:rsidRDefault="0060324C" w:rsidP="006D52CD">
            <w:pPr>
              <w:pStyle w:val="TableBody"/>
            </w:pPr>
            <w:r w:rsidRPr="006D52CD">
              <w:t>4.3</w:t>
            </w:r>
          </w:p>
        </w:tc>
        <w:tc>
          <w:tcPr>
            <w:tcW w:w="699" w:type="pct"/>
            <w:noWrap/>
            <w:hideMark/>
          </w:tcPr>
          <w:p w14:paraId="4715936C" w14:textId="77777777" w:rsidR="0060324C" w:rsidRPr="006D52CD" w:rsidRDefault="0060324C" w:rsidP="006D52CD">
            <w:pPr>
              <w:pStyle w:val="TableBody"/>
            </w:pPr>
            <w:r w:rsidRPr="006D52CD">
              <w:t>2.2</w:t>
            </w:r>
          </w:p>
        </w:tc>
        <w:tc>
          <w:tcPr>
            <w:tcW w:w="800" w:type="pct"/>
            <w:noWrap/>
            <w:hideMark/>
          </w:tcPr>
          <w:p w14:paraId="21C58282" w14:textId="77777777" w:rsidR="0060324C" w:rsidRPr="006D52CD" w:rsidRDefault="0060324C" w:rsidP="006D52CD">
            <w:pPr>
              <w:pStyle w:val="TableBody"/>
            </w:pPr>
            <w:r w:rsidRPr="006D52CD">
              <w:t>2.0</w:t>
            </w:r>
          </w:p>
        </w:tc>
      </w:tr>
      <w:tr w:rsidR="0060324C" w:rsidRPr="006D52CD" w14:paraId="7558D2E7" w14:textId="77777777" w:rsidTr="006D52CD">
        <w:trPr>
          <w:trHeight w:val="288"/>
        </w:trPr>
        <w:tc>
          <w:tcPr>
            <w:tcW w:w="700" w:type="pct"/>
            <w:noWrap/>
            <w:hideMark/>
          </w:tcPr>
          <w:p w14:paraId="126E53E6" w14:textId="77777777" w:rsidR="0060324C" w:rsidRPr="006D52CD" w:rsidRDefault="0060324C" w:rsidP="006D52CD">
            <w:pPr>
              <w:pStyle w:val="TableBody"/>
            </w:pPr>
            <w:r w:rsidRPr="006D52CD">
              <w:t>2016-17</w:t>
            </w:r>
          </w:p>
        </w:tc>
        <w:tc>
          <w:tcPr>
            <w:tcW w:w="700" w:type="pct"/>
            <w:noWrap/>
            <w:hideMark/>
          </w:tcPr>
          <w:p w14:paraId="2D9555DA" w14:textId="77777777" w:rsidR="0060324C" w:rsidRPr="006D52CD" w:rsidRDefault="0060324C" w:rsidP="006D52CD">
            <w:pPr>
              <w:pStyle w:val="TableBody"/>
            </w:pPr>
            <w:r w:rsidRPr="006D52CD">
              <w:t>6.2</w:t>
            </w:r>
          </w:p>
        </w:tc>
        <w:tc>
          <w:tcPr>
            <w:tcW w:w="700" w:type="pct"/>
            <w:noWrap/>
            <w:hideMark/>
          </w:tcPr>
          <w:p w14:paraId="550B67FB" w14:textId="77777777" w:rsidR="0060324C" w:rsidRPr="006D52CD" w:rsidRDefault="0060324C" w:rsidP="006D52CD">
            <w:pPr>
              <w:pStyle w:val="TableBody"/>
            </w:pPr>
            <w:r w:rsidRPr="006D52CD">
              <w:t>5.6</w:t>
            </w:r>
          </w:p>
        </w:tc>
        <w:tc>
          <w:tcPr>
            <w:tcW w:w="700" w:type="pct"/>
            <w:noWrap/>
            <w:hideMark/>
          </w:tcPr>
          <w:p w14:paraId="31A0F595" w14:textId="77777777" w:rsidR="0060324C" w:rsidRPr="006D52CD" w:rsidRDefault="0060324C" w:rsidP="006D52CD">
            <w:pPr>
              <w:pStyle w:val="TableBody"/>
            </w:pPr>
            <w:r w:rsidRPr="006D52CD">
              <w:t>4.8</w:t>
            </w:r>
          </w:p>
        </w:tc>
        <w:tc>
          <w:tcPr>
            <w:tcW w:w="700" w:type="pct"/>
            <w:noWrap/>
            <w:hideMark/>
          </w:tcPr>
          <w:p w14:paraId="06FA101A" w14:textId="77777777" w:rsidR="0060324C" w:rsidRPr="006D52CD" w:rsidRDefault="0060324C" w:rsidP="006D52CD">
            <w:pPr>
              <w:pStyle w:val="TableBody"/>
            </w:pPr>
            <w:r w:rsidRPr="006D52CD">
              <w:t>4.4</w:t>
            </w:r>
          </w:p>
        </w:tc>
        <w:tc>
          <w:tcPr>
            <w:tcW w:w="699" w:type="pct"/>
            <w:noWrap/>
            <w:hideMark/>
          </w:tcPr>
          <w:p w14:paraId="4248670C" w14:textId="77777777" w:rsidR="0060324C" w:rsidRPr="006D52CD" w:rsidRDefault="0060324C" w:rsidP="006D52CD">
            <w:pPr>
              <w:pStyle w:val="TableBody"/>
            </w:pPr>
            <w:r w:rsidRPr="006D52CD">
              <w:t>2.2</w:t>
            </w:r>
          </w:p>
        </w:tc>
        <w:tc>
          <w:tcPr>
            <w:tcW w:w="800" w:type="pct"/>
            <w:noWrap/>
            <w:hideMark/>
          </w:tcPr>
          <w:p w14:paraId="6EA61AA3" w14:textId="77777777" w:rsidR="0060324C" w:rsidRPr="006D52CD" w:rsidRDefault="0060324C" w:rsidP="006D52CD">
            <w:pPr>
              <w:pStyle w:val="TableBody"/>
            </w:pPr>
            <w:r w:rsidRPr="006D52CD">
              <w:t>2.2</w:t>
            </w:r>
          </w:p>
        </w:tc>
      </w:tr>
      <w:tr w:rsidR="0060324C" w:rsidRPr="006D52CD" w14:paraId="1AB36028" w14:textId="77777777" w:rsidTr="006D52CD">
        <w:trPr>
          <w:trHeight w:val="288"/>
        </w:trPr>
        <w:tc>
          <w:tcPr>
            <w:tcW w:w="700" w:type="pct"/>
            <w:noWrap/>
            <w:hideMark/>
          </w:tcPr>
          <w:p w14:paraId="6B9FD323" w14:textId="77777777" w:rsidR="0060324C" w:rsidRPr="006D52CD" w:rsidRDefault="0060324C" w:rsidP="006D52CD">
            <w:pPr>
              <w:pStyle w:val="TableBody"/>
            </w:pPr>
            <w:r w:rsidRPr="006D52CD">
              <w:t>2017-18</w:t>
            </w:r>
          </w:p>
        </w:tc>
        <w:tc>
          <w:tcPr>
            <w:tcW w:w="700" w:type="pct"/>
            <w:noWrap/>
            <w:hideMark/>
          </w:tcPr>
          <w:p w14:paraId="6D73E338" w14:textId="77777777" w:rsidR="0060324C" w:rsidRPr="006D52CD" w:rsidRDefault="0060324C" w:rsidP="006D52CD">
            <w:pPr>
              <w:pStyle w:val="TableBody"/>
            </w:pPr>
            <w:r w:rsidRPr="006D52CD">
              <w:t>5.8</w:t>
            </w:r>
          </w:p>
        </w:tc>
        <w:tc>
          <w:tcPr>
            <w:tcW w:w="700" w:type="pct"/>
            <w:noWrap/>
            <w:hideMark/>
          </w:tcPr>
          <w:p w14:paraId="11E0BEC7" w14:textId="77777777" w:rsidR="0060324C" w:rsidRPr="006D52CD" w:rsidRDefault="0060324C" w:rsidP="006D52CD">
            <w:pPr>
              <w:pStyle w:val="TableBody"/>
            </w:pPr>
            <w:r w:rsidRPr="006D52CD">
              <w:t>5.6</w:t>
            </w:r>
          </w:p>
        </w:tc>
        <w:tc>
          <w:tcPr>
            <w:tcW w:w="700" w:type="pct"/>
            <w:noWrap/>
            <w:hideMark/>
          </w:tcPr>
          <w:p w14:paraId="76038D44" w14:textId="77777777" w:rsidR="0060324C" w:rsidRPr="006D52CD" w:rsidRDefault="0060324C" w:rsidP="006D52CD">
            <w:pPr>
              <w:pStyle w:val="TableBody"/>
            </w:pPr>
            <w:r w:rsidRPr="006D52CD">
              <w:t>4.6</w:t>
            </w:r>
          </w:p>
        </w:tc>
        <w:tc>
          <w:tcPr>
            <w:tcW w:w="700" w:type="pct"/>
            <w:noWrap/>
            <w:hideMark/>
          </w:tcPr>
          <w:p w14:paraId="014F53A8" w14:textId="77777777" w:rsidR="0060324C" w:rsidRPr="006D52CD" w:rsidRDefault="0060324C" w:rsidP="006D52CD">
            <w:pPr>
              <w:pStyle w:val="TableBody"/>
            </w:pPr>
            <w:r w:rsidRPr="006D52CD">
              <w:t>4.0</w:t>
            </w:r>
          </w:p>
        </w:tc>
        <w:tc>
          <w:tcPr>
            <w:tcW w:w="699" w:type="pct"/>
            <w:noWrap/>
            <w:hideMark/>
          </w:tcPr>
          <w:p w14:paraId="5B490183" w14:textId="77777777" w:rsidR="0060324C" w:rsidRPr="006D52CD" w:rsidRDefault="0060324C" w:rsidP="006D52CD">
            <w:pPr>
              <w:pStyle w:val="TableBody"/>
            </w:pPr>
            <w:r w:rsidRPr="006D52CD">
              <w:t>2.5</w:t>
            </w:r>
          </w:p>
        </w:tc>
        <w:tc>
          <w:tcPr>
            <w:tcW w:w="800" w:type="pct"/>
            <w:noWrap/>
            <w:hideMark/>
          </w:tcPr>
          <w:p w14:paraId="1ACBE240" w14:textId="77777777" w:rsidR="0060324C" w:rsidRPr="006D52CD" w:rsidRDefault="0060324C" w:rsidP="006D52CD">
            <w:pPr>
              <w:pStyle w:val="TableBody"/>
            </w:pPr>
            <w:r w:rsidRPr="006D52CD">
              <w:t>2.3</w:t>
            </w:r>
          </w:p>
        </w:tc>
      </w:tr>
      <w:tr w:rsidR="0060324C" w:rsidRPr="006D52CD" w14:paraId="58F9EC23" w14:textId="77777777" w:rsidTr="006D52CD">
        <w:trPr>
          <w:trHeight w:val="288"/>
        </w:trPr>
        <w:tc>
          <w:tcPr>
            <w:tcW w:w="700" w:type="pct"/>
            <w:noWrap/>
            <w:hideMark/>
          </w:tcPr>
          <w:p w14:paraId="6E7CAD21" w14:textId="77777777" w:rsidR="0060324C" w:rsidRPr="006D52CD" w:rsidRDefault="0060324C" w:rsidP="006D52CD">
            <w:pPr>
              <w:pStyle w:val="TableBody"/>
            </w:pPr>
            <w:r w:rsidRPr="006D52CD">
              <w:t>2018-19</w:t>
            </w:r>
          </w:p>
        </w:tc>
        <w:tc>
          <w:tcPr>
            <w:tcW w:w="700" w:type="pct"/>
            <w:noWrap/>
            <w:hideMark/>
          </w:tcPr>
          <w:p w14:paraId="400AB995" w14:textId="77777777" w:rsidR="0060324C" w:rsidRPr="006D52CD" w:rsidRDefault="0060324C" w:rsidP="006D52CD">
            <w:pPr>
              <w:pStyle w:val="TableBody"/>
            </w:pPr>
            <w:r w:rsidRPr="006D52CD">
              <w:t>5.4</w:t>
            </w:r>
          </w:p>
        </w:tc>
        <w:tc>
          <w:tcPr>
            <w:tcW w:w="700" w:type="pct"/>
            <w:noWrap/>
            <w:hideMark/>
          </w:tcPr>
          <w:p w14:paraId="767E66DC" w14:textId="77777777" w:rsidR="0060324C" w:rsidRPr="006D52CD" w:rsidRDefault="0060324C" w:rsidP="006D52CD">
            <w:pPr>
              <w:pStyle w:val="TableBody"/>
            </w:pPr>
            <w:r w:rsidRPr="006D52CD">
              <w:t>5.2</w:t>
            </w:r>
          </w:p>
        </w:tc>
        <w:tc>
          <w:tcPr>
            <w:tcW w:w="700" w:type="pct"/>
            <w:noWrap/>
            <w:hideMark/>
          </w:tcPr>
          <w:p w14:paraId="6A3D0F0A" w14:textId="77777777" w:rsidR="0060324C" w:rsidRPr="006D52CD" w:rsidRDefault="0060324C" w:rsidP="006D52CD">
            <w:pPr>
              <w:pStyle w:val="TableBody"/>
            </w:pPr>
            <w:r w:rsidRPr="006D52CD">
              <w:t>4.2</w:t>
            </w:r>
          </w:p>
        </w:tc>
        <w:tc>
          <w:tcPr>
            <w:tcW w:w="700" w:type="pct"/>
            <w:noWrap/>
            <w:hideMark/>
          </w:tcPr>
          <w:p w14:paraId="4376DC0F" w14:textId="77777777" w:rsidR="0060324C" w:rsidRPr="006D52CD" w:rsidRDefault="0060324C" w:rsidP="006D52CD">
            <w:pPr>
              <w:pStyle w:val="TableBody"/>
            </w:pPr>
            <w:r w:rsidRPr="006D52CD">
              <w:t>3.6</w:t>
            </w:r>
          </w:p>
        </w:tc>
        <w:tc>
          <w:tcPr>
            <w:tcW w:w="699" w:type="pct"/>
            <w:noWrap/>
            <w:hideMark/>
          </w:tcPr>
          <w:p w14:paraId="41E4F4BB" w14:textId="77777777" w:rsidR="0060324C" w:rsidRPr="006D52CD" w:rsidRDefault="0060324C" w:rsidP="006D52CD">
            <w:pPr>
              <w:pStyle w:val="TableBody"/>
            </w:pPr>
            <w:r w:rsidRPr="006D52CD">
              <w:t>2.4</w:t>
            </w:r>
          </w:p>
        </w:tc>
        <w:tc>
          <w:tcPr>
            <w:tcW w:w="800" w:type="pct"/>
            <w:noWrap/>
            <w:hideMark/>
          </w:tcPr>
          <w:p w14:paraId="078D7624" w14:textId="77777777" w:rsidR="0060324C" w:rsidRPr="006D52CD" w:rsidRDefault="0060324C" w:rsidP="006D52CD">
            <w:pPr>
              <w:pStyle w:val="TableBody"/>
            </w:pPr>
            <w:r w:rsidRPr="006D52CD">
              <w:t>2.1</w:t>
            </w:r>
          </w:p>
        </w:tc>
      </w:tr>
      <w:tr w:rsidR="0060324C" w:rsidRPr="006D52CD" w14:paraId="7A33DDD4" w14:textId="77777777" w:rsidTr="006D52CD">
        <w:trPr>
          <w:trHeight w:val="288"/>
        </w:trPr>
        <w:tc>
          <w:tcPr>
            <w:tcW w:w="700" w:type="pct"/>
            <w:noWrap/>
            <w:hideMark/>
          </w:tcPr>
          <w:p w14:paraId="06E4E93D" w14:textId="77777777" w:rsidR="0060324C" w:rsidRPr="006D52CD" w:rsidRDefault="0060324C" w:rsidP="006D52CD">
            <w:pPr>
              <w:pStyle w:val="TableBody"/>
            </w:pPr>
            <w:r w:rsidRPr="006D52CD">
              <w:lastRenderedPageBreak/>
              <w:t>2019-20</w:t>
            </w:r>
          </w:p>
        </w:tc>
        <w:tc>
          <w:tcPr>
            <w:tcW w:w="700" w:type="pct"/>
            <w:noWrap/>
            <w:hideMark/>
          </w:tcPr>
          <w:p w14:paraId="16D47991" w14:textId="77777777" w:rsidR="0060324C" w:rsidRPr="006D52CD" w:rsidRDefault="0060324C" w:rsidP="006D52CD">
            <w:pPr>
              <w:pStyle w:val="TableBody"/>
            </w:pPr>
            <w:r w:rsidRPr="006D52CD">
              <w:t>5.0</w:t>
            </w:r>
          </w:p>
        </w:tc>
        <w:tc>
          <w:tcPr>
            <w:tcW w:w="700" w:type="pct"/>
            <w:noWrap/>
            <w:hideMark/>
          </w:tcPr>
          <w:p w14:paraId="70487030" w14:textId="77777777" w:rsidR="0060324C" w:rsidRPr="006D52CD" w:rsidRDefault="0060324C" w:rsidP="006D52CD">
            <w:pPr>
              <w:pStyle w:val="TableBody"/>
            </w:pPr>
            <w:r w:rsidRPr="006D52CD">
              <w:t>4.8</w:t>
            </w:r>
          </w:p>
        </w:tc>
        <w:tc>
          <w:tcPr>
            <w:tcW w:w="700" w:type="pct"/>
            <w:noWrap/>
            <w:hideMark/>
          </w:tcPr>
          <w:p w14:paraId="2604CA57" w14:textId="77777777" w:rsidR="0060324C" w:rsidRPr="006D52CD" w:rsidRDefault="0060324C" w:rsidP="006D52CD">
            <w:pPr>
              <w:pStyle w:val="TableBody"/>
            </w:pPr>
            <w:r w:rsidRPr="006D52CD">
              <w:t>4.3</w:t>
            </w:r>
          </w:p>
        </w:tc>
        <w:tc>
          <w:tcPr>
            <w:tcW w:w="700" w:type="pct"/>
            <w:noWrap/>
            <w:hideMark/>
          </w:tcPr>
          <w:p w14:paraId="20D32A79" w14:textId="77777777" w:rsidR="0060324C" w:rsidRPr="006D52CD" w:rsidRDefault="0060324C" w:rsidP="006D52CD">
            <w:pPr>
              <w:pStyle w:val="TableBody"/>
            </w:pPr>
            <w:r w:rsidRPr="006D52CD">
              <w:t>3.4</w:t>
            </w:r>
          </w:p>
        </w:tc>
        <w:tc>
          <w:tcPr>
            <w:tcW w:w="699" w:type="pct"/>
            <w:noWrap/>
            <w:hideMark/>
          </w:tcPr>
          <w:p w14:paraId="601126A4" w14:textId="77777777" w:rsidR="0060324C" w:rsidRPr="006D52CD" w:rsidRDefault="0060324C" w:rsidP="006D52CD">
            <w:pPr>
              <w:pStyle w:val="TableBody"/>
            </w:pPr>
            <w:r w:rsidRPr="006D52CD">
              <w:t>2.5</w:t>
            </w:r>
          </w:p>
        </w:tc>
        <w:tc>
          <w:tcPr>
            <w:tcW w:w="800" w:type="pct"/>
            <w:noWrap/>
            <w:hideMark/>
          </w:tcPr>
          <w:p w14:paraId="0D0454BF" w14:textId="77777777" w:rsidR="0060324C" w:rsidRPr="006D52CD" w:rsidRDefault="0060324C" w:rsidP="006D52CD">
            <w:pPr>
              <w:pStyle w:val="TableBody"/>
            </w:pPr>
            <w:r w:rsidRPr="006D52CD">
              <w:t>1.9</w:t>
            </w:r>
          </w:p>
        </w:tc>
      </w:tr>
      <w:tr w:rsidR="0060324C" w:rsidRPr="006D52CD" w14:paraId="509898C4" w14:textId="77777777" w:rsidTr="006D52CD">
        <w:trPr>
          <w:trHeight w:val="288"/>
        </w:trPr>
        <w:tc>
          <w:tcPr>
            <w:tcW w:w="700" w:type="pct"/>
            <w:noWrap/>
            <w:hideMark/>
          </w:tcPr>
          <w:p w14:paraId="32D201EE" w14:textId="77777777" w:rsidR="0060324C" w:rsidRPr="006D52CD" w:rsidRDefault="0060324C" w:rsidP="006D52CD">
            <w:pPr>
              <w:pStyle w:val="TableBody"/>
            </w:pPr>
            <w:r w:rsidRPr="006D52CD">
              <w:t>2020-21</w:t>
            </w:r>
          </w:p>
        </w:tc>
        <w:tc>
          <w:tcPr>
            <w:tcW w:w="700" w:type="pct"/>
            <w:noWrap/>
            <w:hideMark/>
          </w:tcPr>
          <w:p w14:paraId="3DA0E14D" w14:textId="77777777" w:rsidR="0060324C" w:rsidRPr="006D52CD" w:rsidRDefault="0060324C" w:rsidP="006D52CD">
            <w:pPr>
              <w:pStyle w:val="TableBody"/>
            </w:pPr>
            <w:r w:rsidRPr="006D52CD">
              <w:t>5.2</w:t>
            </w:r>
          </w:p>
        </w:tc>
        <w:tc>
          <w:tcPr>
            <w:tcW w:w="700" w:type="pct"/>
            <w:noWrap/>
            <w:hideMark/>
          </w:tcPr>
          <w:p w14:paraId="5FF018A5" w14:textId="77777777" w:rsidR="0060324C" w:rsidRPr="006D52CD" w:rsidRDefault="0060324C" w:rsidP="006D52CD">
            <w:pPr>
              <w:pStyle w:val="TableBody"/>
            </w:pPr>
            <w:r w:rsidRPr="006D52CD">
              <w:t>4.8</w:t>
            </w:r>
          </w:p>
        </w:tc>
        <w:tc>
          <w:tcPr>
            <w:tcW w:w="700" w:type="pct"/>
            <w:noWrap/>
            <w:hideMark/>
          </w:tcPr>
          <w:p w14:paraId="18EE4B55" w14:textId="77777777" w:rsidR="0060324C" w:rsidRPr="006D52CD" w:rsidRDefault="0060324C" w:rsidP="006D52CD">
            <w:pPr>
              <w:pStyle w:val="TableBody"/>
            </w:pPr>
            <w:r w:rsidRPr="006D52CD">
              <w:t>4.0</w:t>
            </w:r>
          </w:p>
        </w:tc>
        <w:tc>
          <w:tcPr>
            <w:tcW w:w="700" w:type="pct"/>
            <w:noWrap/>
            <w:hideMark/>
          </w:tcPr>
          <w:p w14:paraId="08CCCA1C" w14:textId="77777777" w:rsidR="0060324C" w:rsidRPr="006D52CD" w:rsidRDefault="0060324C" w:rsidP="006D52CD">
            <w:pPr>
              <w:pStyle w:val="TableBody"/>
            </w:pPr>
            <w:r w:rsidRPr="006D52CD">
              <w:t>3.0</w:t>
            </w:r>
          </w:p>
        </w:tc>
        <w:tc>
          <w:tcPr>
            <w:tcW w:w="699" w:type="pct"/>
            <w:noWrap/>
            <w:hideMark/>
          </w:tcPr>
          <w:p w14:paraId="33723990" w14:textId="77777777" w:rsidR="0060324C" w:rsidRPr="006D52CD" w:rsidRDefault="0060324C" w:rsidP="006D52CD">
            <w:pPr>
              <w:pStyle w:val="TableBody"/>
            </w:pPr>
            <w:r w:rsidRPr="006D52CD">
              <w:t>3.6</w:t>
            </w:r>
          </w:p>
        </w:tc>
        <w:tc>
          <w:tcPr>
            <w:tcW w:w="800" w:type="pct"/>
            <w:noWrap/>
            <w:hideMark/>
          </w:tcPr>
          <w:p w14:paraId="4017154A" w14:textId="77777777" w:rsidR="0060324C" w:rsidRPr="006D52CD" w:rsidRDefault="0060324C" w:rsidP="006D52CD">
            <w:pPr>
              <w:pStyle w:val="TableBody"/>
            </w:pPr>
            <w:r w:rsidRPr="006D52CD">
              <w:t>1.7</w:t>
            </w:r>
          </w:p>
        </w:tc>
      </w:tr>
      <w:tr w:rsidR="0060324C" w:rsidRPr="006D52CD" w14:paraId="5B5FE2C4" w14:textId="77777777" w:rsidTr="006D52CD">
        <w:trPr>
          <w:trHeight w:val="288"/>
        </w:trPr>
        <w:tc>
          <w:tcPr>
            <w:tcW w:w="700" w:type="pct"/>
            <w:noWrap/>
            <w:hideMark/>
          </w:tcPr>
          <w:p w14:paraId="09296BBA" w14:textId="77777777" w:rsidR="0060324C" w:rsidRPr="006D52CD" w:rsidRDefault="0060324C" w:rsidP="006D52CD">
            <w:pPr>
              <w:pStyle w:val="TableBody"/>
            </w:pPr>
            <w:r w:rsidRPr="006D52CD">
              <w:t>2021-22</w:t>
            </w:r>
          </w:p>
        </w:tc>
        <w:tc>
          <w:tcPr>
            <w:tcW w:w="700" w:type="pct"/>
            <w:noWrap/>
            <w:hideMark/>
          </w:tcPr>
          <w:p w14:paraId="15166DDA" w14:textId="77777777" w:rsidR="0060324C" w:rsidRPr="006D52CD" w:rsidRDefault="0060324C" w:rsidP="006D52CD">
            <w:pPr>
              <w:pStyle w:val="TableBody"/>
            </w:pPr>
            <w:r w:rsidRPr="006D52CD">
              <w:t>5.3</w:t>
            </w:r>
          </w:p>
        </w:tc>
        <w:tc>
          <w:tcPr>
            <w:tcW w:w="700" w:type="pct"/>
            <w:noWrap/>
            <w:hideMark/>
          </w:tcPr>
          <w:p w14:paraId="18810F47" w14:textId="77777777" w:rsidR="0060324C" w:rsidRPr="006D52CD" w:rsidRDefault="0060324C" w:rsidP="006D52CD">
            <w:pPr>
              <w:pStyle w:val="TableBody"/>
            </w:pPr>
            <w:r w:rsidRPr="006D52CD">
              <w:t>5.1</w:t>
            </w:r>
          </w:p>
        </w:tc>
        <w:tc>
          <w:tcPr>
            <w:tcW w:w="700" w:type="pct"/>
            <w:noWrap/>
            <w:hideMark/>
          </w:tcPr>
          <w:p w14:paraId="2A33CA6C" w14:textId="77777777" w:rsidR="0060324C" w:rsidRPr="006D52CD" w:rsidRDefault="0060324C" w:rsidP="006D52CD">
            <w:pPr>
              <w:pStyle w:val="TableBody"/>
            </w:pPr>
            <w:r w:rsidRPr="006D52CD">
              <w:t>4.3</w:t>
            </w:r>
          </w:p>
        </w:tc>
        <w:tc>
          <w:tcPr>
            <w:tcW w:w="700" w:type="pct"/>
            <w:noWrap/>
            <w:hideMark/>
          </w:tcPr>
          <w:p w14:paraId="1FE94A7B" w14:textId="77777777" w:rsidR="0060324C" w:rsidRPr="006D52CD" w:rsidRDefault="0060324C" w:rsidP="006D52CD">
            <w:pPr>
              <w:pStyle w:val="TableBody"/>
            </w:pPr>
            <w:r w:rsidRPr="006D52CD">
              <w:t>3.3</w:t>
            </w:r>
          </w:p>
        </w:tc>
        <w:tc>
          <w:tcPr>
            <w:tcW w:w="699" w:type="pct"/>
            <w:noWrap/>
            <w:hideMark/>
          </w:tcPr>
          <w:p w14:paraId="53DB21D4" w14:textId="77777777" w:rsidR="0060324C" w:rsidRPr="006D52CD" w:rsidRDefault="0060324C" w:rsidP="006D52CD">
            <w:pPr>
              <w:pStyle w:val="TableBody"/>
            </w:pPr>
            <w:r w:rsidRPr="006D52CD">
              <w:t>3.4</w:t>
            </w:r>
          </w:p>
        </w:tc>
        <w:tc>
          <w:tcPr>
            <w:tcW w:w="800" w:type="pct"/>
            <w:noWrap/>
            <w:hideMark/>
          </w:tcPr>
          <w:p w14:paraId="18ADB75B" w14:textId="77777777" w:rsidR="0060324C" w:rsidRPr="006D52CD" w:rsidRDefault="0060324C" w:rsidP="006D52CD">
            <w:pPr>
              <w:pStyle w:val="TableBody"/>
            </w:pPr>
            <w:r w:rsidRPr="006D52CD">
              <w:t>2.2</w:t>
            </w:r>
          </w:p>
        </w:tc>
      </w:tr>
      <w:tr w:rsidR="0060324C" w:rsidRPr="006D52CD" w14:paraId="11309917" w14:textId="77777777" w:rsidTr="006D52CD">
        <w:trPr>
          <w:trHeight w:val="288"/>
        </w:trPr>
        <w:tc>
          <w:tcPr>
            <w:tcW w:w="700" w:type="pct"/>
            <w:noWrap/>
            <w:hideMark/>
          </w:tcPr>
          <w:p w14:paraId="088B68B3" w14:textId="77777777" w:rsidR="0060324C" w:rsidRPr="006D52CD" w:rsidRDefault="0060324C" w:rsidP="006D52CD">
            <w:pPr>
              <w:pStyle w:val="TableBody"/>
            </w:pPr>
            <w:r w:rsidRPr="006D52CD">
              <w:t>2022-23</w:t>
            </w:r>
          </w:p>
        </w:tc>
        <w:tc>
          <w:tcPr>
            <w:tcW w:w="700" w:type="pct"/>
            <w:noWrap/>
            <w:hideMark/>
          </w:tcPr>
          <w:p w14:paraId="673C594A" w14:textId="77777777" w:rsidR="0060324C" w:rsidRPr="006D52CD" w:rsidRDefault="0060324C" w:rsidP="006D52CD">
            <w:pPr>
              <w:pStyle w:val="TableBody"/>
            </w:pPr>
            <w:r w:rsidRPr="006D52CD">
              <w:t>4.8</w:t>
            </w:r>
          </w:p>
        </w:tc>
        <w:tc>
          <w:tcPr>
            <w:tcW w:w="700" w:type="pct"/>
            <w:noWrap/>
            <w:hideMark/>
          </w:tcPr>
          <w:p w14:paraId="113A69EA" w14:textId="77777777" w:rsidR="0060324C" w:rsidRPr="006D52CD" w:rsidRDefault="0060324C" w:rsidP="006D52CD">
            <w:pPr>
              <w:pStyle w:val="TableBody"/>
            </w:pPr>
            <w:r w:rsidRPr="006D52CD">
              <w:t>5.2</w:t>
            </w:r>
          </w:p>
        </w:tc>
        <w:tc>
          <w:tcPr>
            <w:tcW w:w="700" w:type="pct"/>
            <w:noWrap/>
            <w:hideMark/>
          </w:tcPr>
          <w:p w14:paraId="08FDFD6B" w14:textId="77777777" w:rsidR="0060324C" w:rsidRPr="006D52CD" w:rsidRDefault="0060324C" w:rsidP="006D52CD">
            <w:pPr>
              <w:pStyle w:val="TableBody"/>
            </w:pPr>
            <w:r w:rsidRPr="006D52CD">
              <w:t>4.5</w:t>
            </w:r>
          </w:p>
        </w:tc>
        <w:tc>
          <w:tcPr>
            <w:tcW w:w="700" w:type="pct"/>
            <w:noWrap/>
            <w:hideMark/>
          </w:tcPr>
          <w:p w14:paraId="12EFA952" w14:textId="77777777" w:rsidR="0060324C" w:rsidRPr="006D52CD" w:rsidRDefault="0060324C" w:rsidP="006D52CD">
            <w:pPr>
              <w:pStyle w:val="TableBody"/>
            </w:pPr>
            <w:r w:rsidRPr="006D52CD">
              <w:t>3.5</w:t>
            </w:r>
          </w:p>
        </w:tc>
        <w:tc>
          <w:tcPr>
            <w:tcW w:w="699" w:type="pct"/>
            <w:noWrap/>
            <w:hideMark/>
          </w:tcPr>
          <w:p w14:paraId="0F3F7227" w14:textId="77777777" w:rsidR="0060324C" w:rsidRPr="006D52CD" w:rsidRDefault="0060324C" w:rsidP="006D52CD">
            <w:pPr>
              <w:pStyle w:val="TableBody"/>
            </w:pPr>
            <w:r w:rsidRPr="006D52CD">
              <w:t>3.2</w:t>
            </w:r>
          </w:p>
        </w:tc>
        <w:tc>
          <w:tcPr>
            <w:tcW w:w="800" w:type="pct"/>
            <w:noWrap/>
            <w:hideMark/>
          </w:tcPr>
          <w:p w14:paraId="100B00F6" w14:textId="77777777" w:rsidR="0060324C" w:rsidRPr="006D52CD" w:rsidRDefault="0060324C" w:rsidP="006D52CD">
            <w:pPr>
              <w:pStyle w:val="TableBody"/>
            </w:pPr>
            <w:r w:rsidRPr="006D52CD">
              <w:t>2.2</w:t>
            </w:r>
          </w:p>
        </w:tc>
      </w:tr>
      <w:tr w:rsidR="0060324C" w:rsidRPr="006D52CD" w14:paraId="32CEDA08" w14:textId="77777777" w:rsidTr="006D52CD">
        <w:trPr>
          <w:trHeight w:val="288"/>
        </w:trPr>
        <w:tc>
          <w:tcPr>
            <w:tcW w:w="700" w:type="pct"/>
            <w:noWrap/>
            <w:hideMark/>
          </w:tcPr>
          <w:p w14:paraId="106DB1EB" w14:textId="77777777" w:rsidR="0060324C" w:rsidRPr="006D52CD" w:rsidRDefault="0060324C" w:rsidP="006D52CD">
            <w:pPr>
              <w:pStyle w:val="TableBody"/>
            </w:pPr>
            <w:r w:rsidRPr="006D52CD">
              <w:t>2023-24</w:t>
            </w:r>
          </w:p>
        </w:tc>
        <w:tc>
          <w:tcPr>
            <w:tcW w:w="700" w:type="pct"/>
            <w:noWrap/>
            <w:hideMark/>
          </w:tcPr>
          <w:p w14:paraId="5B4F3E70" w14:textId="77777777" w:rsidR="0060324C" w:rsidRPr="006D52CD" w:rsidRDefault="0060324C" w:rsidP="006D52CD">
            <w:pPr>
              <w:pStyle w:val="TableBody"/>
            </w:pPr>
            <w:r w:rsidRPr="006D52CD">
              <w:t>5.4</w:t>
            </w:r>
          </w:p>
        </w:tc>
        <w:tc>
          <w:tcPr>
            <w:tcW w:w="700" w:type="pct"/>
            <w:noWrap/>
            <w:hideMark/>
          </w:tcPr>
          <w:p w14:paraId="0A1B4620" w14:textId="77777777" w:rsidR="0060324C" w:rsidRPr="006D52CD" w:rsidRDefault="0060324C" w:rsidP="006D52CD">
            <w:pPr>
              <w:pStyle w:val="TableBody"/>
            </w:pPr>
            <w:r w:rsidRPr="006D52CD">
              <w:t>5.4</w:t>
            </w:r>
          </w:p>
        </w:tc>
        <w:tc>
          <w:tcPr>
            <w:tcW w:w="700" w:type="pct"/>
            <w:noWrap/>
            <w:hideMark/>
          </w:tcPr>
          <w:p w14:paraId="535E01A1" w14:textId="77777777" w:rsidR="0060324C" w:rsidRPr="006D52CD" w:rsidRDefault="0060324C" w:rsidP="006D52CD">
            <w:pPr>
              <w:pStyle w:val="TableBody"/>
            </w:pPr>
            <w:r w:rsidRPr="006D52CD">
              <w:t>4.8</w:t>
            </w:r>
          </w:p>
        </w:tc>
        <w:tc>
          <w:tcPr>
            <w:tcW w:w="700" w:type="pct"/>
            <w:noWrap/>
            <w:hideMark/>
          </w:tcPr>
          <w:p w14:paraId="58716CAE" w14:textId="77777777" w:rsidR="0060324C" w:rsidRPr="006D52CD" w:rsidRDefault="0060324C" w:rsidP="006D52CD">
            <w:pPr>
              <w:pStyle w:val="TableBody"/>
            </w:pPr>
            <w:r w:rsidRPr="006D52CD">
              <w:t>3.7</w:t>
            </w:r>
          </w:p>
        </w:tc>
        <w:tc>
          <w:tcPr>
            <w:tcW w:w="699" w:type="pct"/>
            <w:noWrap/>
            <w:hideMark/>
          </w:tcPr>
          <w:p w14:paraId="12633E55" w14:textId="77777777" w:rsidR="0060324C" w:rsidRPr="006D52CD" w:rsidRDefault="0060324C" w:rsidP="006D52CD">
            <w:pPr>
              <w:pStyle w:val="TableBody"/>
            </w:pPr>
            <w:r w:rsidRPr="006D52CD">
              <w:t>2.7</w:t>
            </w:r>
          </w:p>
        </w:tc>
        <w:tc>
          <w:tcPr>
            <w:tcW w:w="800" w:type="pct"/>
            <w:noWrap/>
            <w:hideMark/>
          </w:tcPr>
          <w:p w14:paraId="045B04AB" w14:textId="77777777" w:rsidR="0060324C" w:rsidRPr="006D52CD" w:rsidRDefault="0060324C" w:rsidP="006D52CD">
            <w:pPr>
              <w:pStyle w:val="TableBody"/>
            </w:pPr>
            <w:r w:rsidRPr="006D52CD">
              <w:t>2.1</w:t>
            </w:r>
          </w:p>
        </w:tc>
      </w:tr>
    </w:tbl>
    <w:p w14:paraId="2FEF8CE7" w14:textId="77777777" w:rsidR="00A4454A" w:rsidRPr="008C1137" w:rsidRDefault="00A4454A" w:rsidP="00D4532A">
      <w:r w:rsidRPr="000C258A">
        <w:rPr>
          <w:rStyle w:val="Strong"/>
        </w:rPr>
        <w:t>Source</w:t>
      </w:r>
      <w:r w:rsidRPr="008C1137">
        <w:t>: Court Services Victoria, unpublished data</w:t>
      </w:r>
    </w:p>
    <w:p w14:paraId="13FD472C" w14:textId="77777777" w:rsidR="00A4454A" w:rsidRPr="008C1137" w:rsidRDefault="00A4454A" w:rsidP="0002476E">
      <w:pPr>
        <w:pStyle w:val="Heading3"/>
      </w:pPr>
      <w:r w:rsidRPr="008C1137">
        <w:t xml:space="preserve">Most serious offences in the higher courts </w:t>
      </w:r>
    </w:p>
    <w:p w14:paraId="76A020DF" w14:textId="1D88BDF4" w:rsidR="00A4454A" w:rsidRPr="008C1137" w:rsidRDefault="00A4454A" w:rsidP="00210207">
      <w:pPr>
        <w:pStyle w:val="Numbered"/>
      </w:pPr>
      <w:r w:rsidRPr="008C1137">
        <w:t>Figure 22</w:t>
      </w:r>
      <w:r w:rsidR="009E33A5">
        <w:t xml:space="preserve"> </w:t>
      </w:r>
      <w:r w:rsidRPr="008C1137">
        <w:t>presents the number of custodial sentences imposed in the higher courts, by the principal offence in the case for offences against the person, property offences and drug offences.</w:t>
      </w:r>
      <w:r w:rsidRPr="008C1137">
        <w:rPr>
          <w:rStyle w:val="Superscript"/>
        </w:rPr>
        <w:footnoteReference w:id="102"/>
      </w:r>
      <w:r w:rsidRPr="008C1137">
        <w:t xml:space="preserve"> These three offence categories together comprised between 89% (in 2017–18) and 97% (in 2009–10) of </w:t>
      </w:r>
      <w:r w:rsidRPr="003B3217">
        <w:rPr>
          <w:rStyle w:val="Italic"/>
        </w:rPr>
        <w:t xml:space="preserve">all </w:t>
      </w:r>
      <w:r w:rsidRPr="008C1137">
        <w:t xml:space="preserve">custodial sentences imposed in the higher courts, with offences against the person being the most common offence category resulting in imprisonment each year. </w:t>
      </w:r>
    </w:p>
    <w:p w14:paraId="3A51E830" w14:textId="77777777" w:rsidR="008B3FC3" w:rsidRPr="008C1137" w:rsidRDefault="008B3FC3" w:rsidP="00BE4EDC">
      <w:pPr>
        <w:pStyle w:val="Caption"/>
      </w:pPr>
      <w:r w:rsidRPr="00157502">
        <w:t>Figure 22</w:t>
      </w:r>
      <w:r w:rsidRPr="008C1137">
        <w:t>: Number of cases receiving a custodial sentence in the higher courts, by category of principal offence in the case, 2004–05 to 2023–24</w:t>
      </w:r>
    </w:p>
    <w:tbl>
      <w:tblPr>
        <w:tblStyle w:val="Table"/>
        <w:tblW w:w="5000" w:type="pct"/>
        <w:tblLook w:val="04A0" w:firstRow="1" w:lastRow="0" w:firstColumn="1" w:lastColumn="0" w:noHBand="0" w:noVBand="1"/>
      </w:tblPr>
      <w:tblGrid>
        <w:gridCol w:w="2476"/>
        <w:gridCol w:w="2061"/>
        <w:gridCol w:w="2420"/>
        <w:gridCol w:w="2059"/>
      </w:tblGrid>
      <w:tr w:rsidR="005A6282" w:rsidRPr="005A6282" w14:paraId="02835C49" w14:textId="77777777" w:rsidTr="00A77E9F">
        <w:trPr>
          <w:trHeight w:val="293"/>
          <w:tblHeader/>
        </w:trPr>
        <w:tc>
          <w:tcPr>
            <w:tcW w:w="1373" w:type="pct"/>
            <w:noWrap/>
            <w:hideMark/>
          </w:tcPr>
          <w:p w14:paraId="0110EBA0" w14:textId="3EBEFC12" w:rsidR="005A6282" w:rsidRPr="005A6282" w:rsidRDefault="005A6282" w:rsidP="00D575FE">
            <w:pPr>
              <w:pStyle w:val="TableHeading"/>
            </w:pPr>
            <w:r w:rsidRPr="005A6282">
              <w:t>Financial year</w:t>
            </w:r>
          </w:p>
        </w:tc>
        <w:tc>
          <w:tcPr>
            <w:tcW w:w="1143" w:type="pct"/>
            <w:noWrap/>
            <w:hideMark/>
          </w:tcPr>
          <w:p w14:paraId="012C093C" w14:textId="77777777" w:rsidR="005A6282" w:rsidRPr="005A6282" w:rsidRDefault="005A6282" w:rsidP="00D575FE">
            <w:pPr>
              <w:pStyle w:val="TableHeading"/>
            </w:pPr>
            <w:r w:rsidRPr="005A6282">
              <w:t>Person</w:t>
            </w:r>
          </w:p>
        </w:tc>
        <w:tc>
          <w:tcPr>
            <w:tcW w:w="1342" w:type="pct"/>
            <w:noWrap/>
            <w:hideMark/>
          </w:tcPr>
          <w:p w14:paraId="116AE771" w14:textId="77777777" w:rsidR="005A6282" w:rsidRPr="005A6282" w:rsidRDefault="005A6282" w:rsidP="00D575FE">
            <w:pPr>
              <w:pStyle w:val="TableHeading"/>
            </w:pPr>
            <w:r w:rsidRPr="005A6282">
              <w:t>Property</w:t>
            </w:r>
          </w:p>
        </w:tc>
        <w:tc>
          <w:tcPr>
            <w:tcW w:w="1142" w:type="pct"/>
            <w:noWrap/>
            <w:hideMark/>
          </w:tcPr>
          <w:p w14:paraId="4D3D9235" w14:textId="77777777" w:rsidR="005A6282" w:rsidRPr="005A6282" w:rsidRDefault="005A6282" w:rsidP="00D575FE">
            <w:pPr>
              <w:pStyle w:val="TableHeading"/>
            </w:pPr>
            <w:r w:rsidRPr="005A6282">
              <w:t>Drug</w:t>
            </w:r>
          </w:p>
        </w:tc>
      </w:tr>
      <w:tr w:rsidR="005A6282" w:rsidRPr="005A6282" w14:paraId="77425C42" w14:textId="77777777" w:rsidTr="00A77E9F">
        <w:trPr>
          <w:trHeight w:val="293"/>
        </w:trPr>
        <w:tc>
          <w:tcPr>
            <w:tcW w:w="1373" w:type="pct"/>
            <w:noWrap/>
            <w:hideMark/>
          </w:tcPr>
          <w:p w14:paraId="04780642" w14:textId="77777777" w:rsidR="005A6282" w:rsidRPr="005A6282" w:rsidRDefault="005A6282" w:rsidP="005A6282">
            <w:pPr>
              <w:pStyle w:val="TableBody"/>
            </w:pPr>
            <w:r w:rsidRPr="005A6282">
              <w:t>2004-05</w:t>
            </w:r>
          </w:p>
        </w:tc>
        <w:tc>
          <w:tcPr>
            <w:tcW w:w="1143" w:type="pct"/>
            <w:noWrap/>
            <w:hideMark/>
          </w:tcPr>
          <w:p w14:paraId="0B94CC20" w14:textId="77777777" w:rsidR="005A6282" w:rsidRPr="005A6282" w:rsidRDefault="005A6282" w:rsidP="005A6282">
            <w:pPr>
              <w:pStyle w:val="TableBody"/>
            </w:pPr>
            <w:r w:rsidRPr="005A6282">
              <w:t>559</w:t>
            </w:r>
          </w:p>
        </w:tc>
        <w:tc>
          <w:tcPr>
            <w:tcW w:w="1342" w:type="pct"/>
            <w:noWrap/>
            <w:hideMark/>
          </w:tcPr>
          <w:p w14:paraId="6667B04B" w14:textId="77777777" w:rsidR="005A6282" w:rsidRPr="005A6282" w:rsidRDefault="005A6282" w:rsidP="005A6282">
            <w:pPr>
              <w:pStyle w:val="TableBody"/>
            </w:pPr>
            <w:r w:rsidRPr="005A6282">
              <w:t>249</w:t>
            </w:r>
          </w:p>
        </w:tc>
        <w:tc>
          <w:tcPr>
            <w:tcW w:w="1142" w:type="pct"/>
            <w:noWrap/>
            <w:hideMark/>
          </w:tcPr>
          <w:p w14:paraId="32E32589" w14:textId="77777777" w:rsidR="005A6282" w:rsidRPr="005A6282" w:rsidRDefault="005A6282" w:rsidP="005A6282">
            <w:pPr>
              <w:pStyle w:val="TableBody"/>
            </w:pPr>
            <w:r w:rsidRPr="005A6282">
              <w:t>153</w:t>
            </w:r>
          </w:p>
        </w:tc>
      </w:tr>
      <w:tr w:rsidR="005A6282" w:rsidRPr="005A6282" w14:paraId="28CDAFD7" w14:textId="77777777" w:rsidTr="00A77E9F">
        <w:trPr>
          <w:trHeight w:val="293"/>
        </w:trPr>
        <w:tc>
          <w:tcPr>
            <w:tcW w:w="1373" w:type="pct"/>
            <w:noWrap/>
            <w:hideMark/>
          </w:tcPr>
          <w:p w14:paraId="47DA3C66" w14:textId="77777777" w:rsidR="005A6282" w:rsidRPr="005A6282" w:rsidRDefault="005A6282" w:rsidP="005A6282">
            <w:pPr>
              <w:pStyle w:val="TableBody"/>
            </w:pPr>
            <w:r w:rsidRPr="005A6282">
              <w:t>2005-06</w:t>
            </w:r>
          </w:p>
        </w:tc>
        <w:tc>
          <w:tcPr>
            <w:tcW w:w="1143" w:type="pct"/>
            <w:noWrap/>
            <w:hideMark/>
          </w:tcPr>
          <w:p w14:paraId="1A4BE89A" w14:textId="77777777" w:rsidR="005A6282" w:rsidRPr="005A6282" w:rsidRDefault="005A6282" w:rsidP="005A6282">
            <w:pPr>
              <w:pStyle w:val="TableBody"/>
            </w:pPr>
            <w:r w:rsidRPr="005A6282">
              <w:t>560</w:t>
            </w:r>
          </w:p>
        </w:tc>
        <w:tc>
          <w:tcPr>
            <w:tcW w:w="1342" w:type="pct"/>
            <w:noWrap/>
            <w:hideMark/>
          </w:tcPr>
          <w:p w14:paraId="6D2723B9" w14:textId="77777777" w:rsidR="005A6282" w:rsidRPr="005A6282" w:rsidRDefault="005A6282" w:rsidP="005A6282">
            <w:pPr>
              <w:pStyle w:val="TableBody"/>
            </w:pPr>
            <w:r w:rsidRPr="005A6282">
              <w:t>247</w:t>
            </w:r>
          </w:p>
        </w:tc>
        <w:tc>
          <w:tcPr>
            <w:tcW w:w="1142" w:type="pct"/>
            <w:noWrap/>
            <w:hideMark/>
          </w:tcPr>
          <w:p w14:paraId="119270DD" w14:textId="77777777" w:rsidR="005A6282" w:rsidRPr="005A6282" w:rsidRDefault="005A6282" w:rsidP="005A6282">
            <w:pPr>
              <w:pStyle w:val="TableBody"/>
            </w:pPr>
            <w:r w:rsidRPr="005A6282">
              <w:t>187</w:t>
            </w:r>
          </w:p>
        </w:tc>
      </w:tr>
      <w:tr w:rsidR="005A6282" w:rsidRPr="005A6282" w14:paraId="50FFABF0" w14:textId="77777777" w:rsidTr="00A77E9F">
        <w:trPr>
          <w:trHeight w:val="293"/>
        </w:trPr>
        <w:tc>
          <w:tcPr>
            <w:tcW w:w="1373" w:type="pct"/>
            <w:noWrap/>
            <w:hideMark/>
          </w:tcPr>
          <w:p w14:paraId="75DF8B04" w14:textId="77777777" w:rsidR="005A6282" w:rsidRPr="005A6282" w:rsidRDefault="005A6282" w:rsidP="005A6282">
            <w:pPr>
              <w:pStyle w:val="TableBody"/>
            </w:pPr>
            <w:r w:rsidRPr="005A6282">
              <w:t>2006-07</w:t>
            </w:r>
          </w:p>
        </w:tc>
        <w:tc>
          <w:tcPr>
            <w:tcW w:w="1143" w:type="pct"/>
            <w:noWrap/>
            <w:hideMark/>
          </w:tcPr>
          <w:p w14:paraId="1BE51656" w14:textId="77777777" w:rsidR="005A6282" w:rsidRPr="005A6282" w:rsidRDefault="005A6282" w:rsidP="005A6282">
            <w:pPr>
              <w:pStyle w:val="TableBody"/>
            </w:pPr>
            <w:r w:rsidRPr="005A6282">
              <w:t>636</w:t>
            </w:r>
          </w:p>
        </w:tc>
        <w:tc>
          <w:tcPr>
            <w:tcW w:w="1342" w:type="pct"/>
            <w:noWrap/>
            <w:hideMark/>
          </w:tcPr>
          <w:p w14:paraId="3E969AB6" w14:textId="77777777" w:rsidR="005A6282" w:rsidRPr="005A6282" w:rsidRDefault="005A6282" w:rsidP="005A6282">
            <w:pPr>
              <w:pStyle w:val="TableBody"/>
            </w:pPr>
            <w:r w:rsidRPr="005A6282">
              <w:t>260</w:t>
            </w:r>
          </w:p>
        </w:tc>
        <w:tc>
          <w:tcPr>
            <w:tcW w:w="1142" w:type="pct"/>
            <w:noWrap/>
            <w:hideMark/>
          </w:tcPr>
          <w:p w14:paraId="32BA1E2C" w14:textId="77777777" w:rsidR="005A6282" w:rsidRPr="005A6282" w:rsidRDefault="005A6282" w:rsidP="005A6282">
            <w:pPr>
              <w:pStyle w:val="TableBody"/>
            </w:pPr>
            <w:r w:rsidRPr="005A6282">
              <w:t>154</w:t>
            </w:r>
          </w:p>
        </w:tc>
      </w:tr>
      <w:tr w:rsidR="005A6282" w:rsidRPr="005A6282" w14:paraId="6DEE2E32" w14:textId="77777777" w:rsidTr="00A77E9F">
        <w:trPr>
          <w:trHeight w:val="293"/>
        </w:trPr>
        <w:tc>
          <w:tcPr>
            <w:tcW w:w="1373" w:type="pct"/>
            <w:noWrap/>
            <w:hideMark/>
          </w:tcPr>
          <w:p w14:paraId="7B73FA70" w14:textId="77777777" w:rsidR="005A6282" w:rsidRPr="005A6282" w:rsidRDefault="005A6282" w:rsidP="005A6282">
            <w:pPr>
              <w:pStyle w:val="TableBody"/>
            </w:pPr>
            <w:r w:rsidRPr="005A6282">
              <w:t>2007-08</w:t>
            </w:r>
          </w:p>
        </w:tc>
        <w:tc>
          <w:tcPr>
            <w:tcW w:w="1143" w:type="pct"/>
            <w:noWrap/>
            <w:hideMark/>
          </w:tcPr>
          <w:p w14:paraId="2B5B9C3D" w14:textId="77777777" w:rsidR="005A6282" w:rsidRPr="005A6282" w:rsidRDefault="005A6282" w:rsidP="005A6282">
            <w:pPr>
              <w:pStyle w:val="TableBody"/>
            </w:pPr>
            <w:r w:rsidRPr="005A6282">
              <w:t>706</w:t>
            </w:r>
          </w:p>
        </w:tc>
        <w:tc>
          <w:tcPr>
            <w:tcW w:w="1342" w:type="pct"/>
            <w:noWrap/>
            <w:hideMark/>
          </w:tcPr>
          <w:p w14:paraId="7485AC3F" w14:textId="77777777" w:rsidR="005A6282" w:rsidRPr="005A6282" w:rsidRDefault="005A6282" w:rsidP="005A6282">
            <w:pPr>
              <w:pStyle w:val="TableBody"/>
            </w:pPr>
            <w:r w:rsidRPr="005A6282">
              <w:t>240</w:t>
            </w:r>
          </w:p>
        </w:tc>
        <w:tc>
          <w:tcPr>
            <w:tcW w:w="1142" w:type="pct"/>
            <w:noWrap/>
            <w:hideMark/>
          </w:tcPr>
          <w:p w14:paraId="472DCFCB" w14:textId="77777777" w:rsidR="005A6282" w:rsidRPr="005A6282" w:rsidRDefault="005A6282" w:rsidP="005A6282">
            <w:pPr>
              <w:pStyle w:val="TableBody"/>
            </w:pPr>
            <w:r w:rsidRPr="005A6282">
              <w:t>184</w:t>
            </w:r>
          </w:p>
        </w:tc>
      </w:tr>
      <w:tr w:rsidR="005A6282" w:rsidRPr="005A6282" w14:paraId="7ED5A40D" w14:textId="77777777" w:rsidTr="00A77E9F">
        <w:trPr>
          <w:trHeight w:val="293"/>
        </w:trPr>
        <w:tc>
          <w:tcPr>
            <w:tcW w:w="1373" w:type="pct"/>
            <w:noWrap/>
            <w:hideMark/>
          </w:tcPr>
          <w:p w14:paraId="656F26E1" w14:textId="77777777" w:rsidR="005A6282" w:rsidRPr="005A6282" w:rsidRDefault="005A6282" w:rsidP="005A6282">
            <w:pPr>
              <w:pStyle w:val="TableBody"/>
            </w:pPr>
            <w:r w:rsidRPr="005A6282">
              <w:t>2008-09</w:t>
            </w:r>
          </w:p>
        </w:tc>
        <w:tc>
          <w:tcPr>
            <w:tcW w:w="1143" w:type="pct"/>
            <w:noWrap/>
            <w:hideMark/>
          </w:tcPr>
          <w:p w14:paraId="7433632C" w14:textId="77777777" w:rsidR="005A6282" w:rsidRPr="005A6282" w:rsidRDefault="005A6282" w:rsidP="005A6282">
            <w:pPr>
              <w:pStyle w:val="TableBody"/>
            </w:pPr>
            <w:r w:rsidRPr="005A6282">
              <w:t>679</w:t>
            </w:r>
          </w:p>
        </w:tc>
        <w:tc>
          <w:tcPr>
            <w:tcW w:w="1342" w:type="pct"/>
            <w:noWrap/>
            <w:hideMark/>
          </w:tcPr>
          <w:p w14:paraId="72707C3A" w14:textId="77777777" w:rsidR="005A6282" w:rsidRPr="005A6282" w:rsidRDefault="005A6282" w:rsidP="005A6282">
            <w:pPr>
              <w:pStyle w:val="TableBody"/>
            </w:pPr>
            <w:r w:rsidRPr="005A6282">
              <w:t>192</w:t>
            </w:r>
          </w:p>
        </w:tc>
        <w:tc>
          <w:tcPr>
            <w:tcW w:w="1142" w:type="pct"/>
            <w:noWrap/>
            <w:hideMark/>
          </w:tcPr>
          <w:p w14:paraId="605AB6FA" w14:textId="77777777" w:rsidR="005A6282" w:rsidRPr="005A6282" w:rsidRDefault="005A6282" w:rsidP="005A6282">
            <w:pPr>
              <w:pStyle w:val="TableBody"/>
            </w:pPr>
            <w:r w:rsidRPr="005A6282">
              <w:t>193</w:t>
            </w:r>
          </w:p>
        </w:tc>
      </w:tr>
      <w:tr w:rsidR="005A6282" w:rsidRPr="005A6282" w14:paraId="3536436F" w14:textId="77777777" w:rsidTr="00A77E9F">
        <w:trPr>
          <w:trHeight w:val="293"/>
        </w:trPr>
        <w:tc>
          <w:tcPr>
            <w:tcW w:w="1373" w:type="pct"/>
            <w:noWrap/>
            <w:hideMark/>
          </w:tcPr>
          <w:p w14:paraId="65037A09" w14:textId="77777777" w:rsidR="005A6282" w:rsidRPr="005A6282" w:rsidRDefault="005A6282" w:rsidP="005A6282">
            <w:pPr>
              <w:pStyle w:val="TableBody"/>
            </w:pPr>
            <w:r w:rsidRPr="005A6282">
              <w:t>2009-10</w:t>
            </w:r>
          </w:p>
        </w:tc>
        <w:tc>
          <w:tcPr>
            <w:tcW w:w="1143" w:type="pct"/>
            <w:noWrap/>
            <w:hideMark/>
          </w:tcPr>
          <w:p w14:paraId="516D9A16" w14:textId="77777777" w:rsidR="005A6282" w:rsidRPr="005A6282" w:rsidRDefault="005A6282" w:rsidP="005A6282">
            <w:pPr>
              <w:pStyle w:val="TableBody"/>
            </w:pPr>
            <w:r w:rsidRPr="005A6282">
              <w:t>715</w:t>
            </w:r>
          </w:p>
        </w:tc>
        <w:tc>
          <w:tcPr>
            <w:tcW w:w="1342" w:type="pct"/>
            <w:noWrap/>
            <w:hideMark/>
          </w:tcPr>
          <w:p w14:paraId="74BD30A1" w14:textId="77777777" w:rsidR="005A6282" w:rsidRPr="005A6282" w:rsidRDefault="005A6282" w:rsidP="005A6282">
            <w:pPr>
              <w:pStyle w:val="TableBody"/>
            </w:pPr>
            <w:r w:rsidRPr="005A6282">
              <w:t>234</w:t>
            </w:r>
          </w:p>
        </w:tc>
        <w:tc>
          <w:tcPr>
            <w:tcW w:w="1142" w:type="pct"/>
            <w:noWrap/>
            <w:hideMark/>
          </w:tcPr>
          <w:p w14:paraId="18FF8D3F" w14:textId="77777777" w:rsidR="005A6282" w:rsidRPr="005A6282" w:rsidRDefault="005A6282" w:rsidP="005A6282">
            <w:pPr>
              <w:pStyle w:val="TableBody"/>
            </w:pPr>
            <w:r w:rsidRPr="005A6282">
              <w:t>236</w:t>
            </w:r>
          </w:p>
        </w:tc>
      </w:tr>
      <w:tr w:rsidR="005A6282" w:rsidRPr="005A6282" w14:paraId="79D25764" w14:textId="77777777" w:rsidTr="00A77E9F">
        <w:trPr>
          <w:trHeight w:val="293"/>
        </w:trPr>
        <w:tc>
          <w:tcPr>
            <w:tcW w:w="1373" w:type="pct"/>
            <w:noWrap/>
            <w:hideMark/>
          </w:tcPr>
          <w:p w14:paraId="7DC5B68A" w14:textId="77777777" w:rsidR="005A6282" w:rsidRPr="005A6282" w:rsidRDefault="005A6282" w:rsidP="005A6282">
            <w:pPr>
              <w:pStyle w:val="TableBody"/>
            </w:pPr>
            <w:r w:rsidRPr="005A6282">
              <w:t>2010-11</w:t>
            </w:r>
          </w:p>
        </w:tc>
        <w:tc>
          <w:tcPr>
            <w:tcW w:w="1143" w:type="pct"/>
            <w:noWrap/>
            <w:hideMark/>
          </w:tcPr>
          <w:p w14:paraId="24F8B556" w14:textId="77777777" w:rsidR="005A6282" w:rsidRPr="005A6282" w:rsidRDefault="005A6282" w:rsidP="005A6282">
            <w:pPr>
              <w:pStyle w:val="TableBody"/>
            </w:pPr>
            <w:r w:rsidRPr="005A6282">
              <w:t>724</w:t>
            </w:r>
          </w:p>
        </w:tc>
        <w:tc>
          <w:tcPr>
            <w:tcW w:w="1342" w:type="pct"/>
            <w:noWrap/>
            <w:hideMark/>
          </w:tcPr>
          <w:p w14:paraId="7451589D" w14:textId="77777777" w:rsidR="005A6282" w:rsidRPr="005A6282" w:rsidRDefault="005A6282" w:rsidP="005A6282">
            <w:pPr>
              <w:pStyle w:val="TableBody"/>
            </w:pPr>
            <w:r w:rsidRPr="005A6282">
              <w:t>236</w:t>
            </w:r>
          </w:p>
        </w:tc>
        <w:tc>
          <w:tcPr>
            <w:tcW w:w="1142" w:type="pct"/>
            <w:noWrap/>
            <w:hideMark/>
          </w:tcPr>
          <w:p w14:paraId="6FC17DF6" w14:textId="77777777" w:rsidR="005A6282" w:rsidRPr="005A6282" w:rsidRDefault="005A6282" w:rsidP="005A6282">
            <w:pPr>
              <w:pStyle w:val="TableBody"/>
            </w:pPr>
            <w:r w:rsidRPr="005A6282">
              <w:t>238</w:t>
            </w:r>
          </w:p>
        </w:tc>
      </w:tr>
      <w:tr w:rsidR="005A6282" w:rsidRPr="005A6282" w14:paraId="40E459DD" w14:textId="77777777" w:rsidTr="00A77E9F">
        <w:trPr>
          <w:trHeight w:val="293"/>
        </w:trPr>
        <w:tc>
          <w:tcPr>
            <w:tcW w:w="1373" w:type="pct"/>
            <w:noWrap/>
            <w:hideMark/>
          </w:tcPr>
          <w:p w14:paraId="156F83E7" w14:textId="77777777" w:rsidR="005A6282" w:rsidRPr="005A6282" w:rsidRDefault="005A6282" w:rsidP="005A6282">
            <w:pPr>
              <w:pStyle w:val="TableBody"/>
            </w:pPr>
            <w:r w:rsidRPr="005A6282">
              <w:t>2011-12</w:t>
            </w:r>
          </w:p>
        </w:tc>
        <w:tc>
          <w:tcPr>
            <w:tcW w:w="1143" w:type="pct"/>
            <w:noWrap/>
            <w:hideMark/>
          </w:tcPr>
          <w:p w14:paraId="7223F009" w14:textId="77777777" w:rsidR="005A6282" w:rsidRPr="005A6282" w:rsidRDefault="005A6282" w:rsidP="005A6282">
            <w:pPr>
              <w:pStyle w:val="TableBody"/>
            </w:pPr>
            <w:r w:rsidRPr="005A6282">
              <w:t>688</w:t>
            </w:r>
          </w:p>
        </w:tc>
        <w:tc>
          <w:tcPr>
            <w:tcW w:w="1342" w:type="pct"/>
            <w:noWrap/>
            <w:hideMark/>
          </w:tcPr>
          <w:p w14:paraId="67BC6F2B" w14:textId="77777777" w:rsidR="005A6282" w:rsidRPr="005A6282" w:rsidRDefault="005A6282" w:rsidP="005A6282">
            <w:pPr>
              <w:pStyle w:val="TableBody"/>
            </w:pPr>
            <w:r w:rsidRPr="005A6282">
              <w:t>231</w:t>
            </w:r>
          </w:p>
        </w:tc>
        <w:tc>
          <w:tcPr>
            <w:tcW w:w="1142" w:type="pct"/>
            <w:noWrap/>
            <w:hideMark/>
          </w:tcPr>
          <w:p w14:paraId="4301C606" w14:textId="77777777" w:rsidR="005A6282" w:rsidRPr="005A6282" w:rsidRDefault="005A6282" w:rsidP="005A6282">
            <w:pPr>
              <w:pStyle w:val="TableBody"/>
            </w:pPr>
            <w:r w:rsidRPr="005A6282">
              <w:t>253</w:t>
            </w:r>
          </w:p>
        </w:tc>
      </w:tr>
      <w:tr w:rsidR="005A6282" w:rsidRPr="005A6282" w14:paraId="1E63EA44" w14:textId="77777777" w:rsidTr="00A77E9F">
        <w:trPr>
          <w:trHeight w:val="293"/>
        </w:trPr>
        <w:tc>
          <w:tcPr>
            <w:tcW w:w="1373" w:type="pct"/>
            <w:noWrap/>
            <w:hideMark/>
          </w:tcPr>
          <w:p w14:paraId="13584EDA" w14:textId="77777777" w:rsidR="005A6282" w:rsidRPr="005A6282" w:rsidRDefault="005A6282" w:rsidP="005A6282">
            <w:pPr>
              <w:pStyle w:val="TableBody"/>
            </w:pPr>
            <w:r w:rsidRPr="005A6282">
              <w:t>2012-13</w:t>
            </w:r>
          </w:p>
        </w:tc>
        <w:tc>
          <w:tcPr>
            <w:tcW w:w="1143" w:type="pct"/>
            <w:noWrap/>
            <w:hideMark/>
          </w:tcPr>
          <w:p w14:paraId="3DD5B353" w14:textId="77777777" w:rsidR="005A6282" w:rsidRPr="005A6282" w:rsidRDefault="005A6282" w:rsidP="005A6282">
            <w:pPr>
              <w:pStyle w:val="TableBody"/>
            </w:pPr>
            <w:r w:rsidRPr="005A6282">
              <w:t>784</w:t>
            </w:r>
          </w:p>
        </w:tc>
        <w:tc>
          <w:tcPr>
            <w:tcW w:w="1342" w:type="pct"/>
            <w:noWrap/>
            <w:hideMark/>
          </w:tcPr>
          <w:p w14:paraId="4A4D3E7C" w14:textId="77777777" w:rsidR="005A6282" w:rsidRPr="005A6282" w:rsidRDefault="005A6282" w:rsidP="005A6282">
            <w:pPr>
              <w:pStyle w:val="TableBody"/>
            </w:pPr>
            <w:r w:rsidRPr="005A6282">
              <w:t>203</w:t>
            </w:r>
          </w:p>
        </w:tc>
        <w:tc>
          <w:tcPr>
            <w:tcW w:w="1142" w:type="pct"/>
            <w:noWrap/>
            <w:hideMark/>
          </w:tcPr>
          <w:p w14:paraId="1062F1E4" w14:textId="77777777" w:rsidR="005A6282" w:rsidRPr="005A6282" w:rsidRDefault="005A6282" w:rsidP="005A6282">
            <w:pPr>
              <w:pStyle w:val="TableBody"/>
            </w:pPr>
            <w:r w:rsidRPr="005A6282">
              <w:t>265</w:t>
            </w:r>
          </w:p>
        </w:tc>
      </w:tr>
      <w:tr w:rsidR="005A6282" w:rsidRPr="005A6282" w14:paraId="31390212" w14:textId="77777777" w:rsidTr="00A77E9F">
        <w:trPr>
          <w:trHeight w:val="293"/>
        </w:trPr>
        <w:tc>
          <w:tcPr>
            <w:tcW w:w="1373" w:type="pct"/>
            <w:noWrap/>
            <w:hideMark/>
          </w:tcPr>
          <w:p w14:paraId="7A1EEAF9" w14:textId="77777777" w:rsidR="005A6282" w:rsidRPr="005A6282" w:rsidRDefault="005A6282" w:rsidP="005A6282">
            <w:pPr>
              <w:pStyle w:val="TableBody"/>
            </w:pPr>
            <w:r w:rsidRPr="005A6282">
              <w:t>2013-14</w:t>
            </w:r>
          </w:p>
        </w:tc>
        <w:tc>
          <w:tcPr>
            <w:tcW w:w="1143" w:type="pct"/>
            <w:noWrap/>
            <w:hideMark/>
          </w:tcPr>
          <w:p w14:paraId="0F293C1C" w14:textId="77777777" w:rsidR="005A6282" w:rsidRPr="005A6282" w:rsidRDefault="005A6282" w:rsidP="005A6282">
            <w:pPr>
              <w:pStyle w:val="TableBody"/>
            </w:pPr>
            <w:r w:rsidRPr="005A6282">
              <w:t>705</w:t>
            </w:r>
          </w:p>
        </w:tc>
        <w:tc>
          <w:tcPr>
            <w:tcW w:w="1342" w:type="pct"/>
            <w:noWrap/>
            <w:hideMark/>
          </w:tcPr>
          <w:p w14:paraId="3BF3B625" w14:textId="77777777" w:rsidR="005A6282" w:rsidRPr="005A6282" w:rsidRDefault="005A6282" w:rsidP="005A6282">
            <w:pPr>
              <w:pStyle w:val="TableBody"/>
            </w:pPr>
            <w:r w:rsidRPr="005A6282">
              <w:t>230</w:t>
            </w:r>
          </w:p>
        </w:tc>
        <w:tc>
          <w:tcPr>
            <w:tcW w:w="1142" w:type="pct"/>
            <w:noWrap/>
            <w:hideMark/>
          </w:tcPr>
          <w:p w14:paraId="0F9F7738" w14:textId="77777777" w:rsidR="005A6282" w:rsidRPr="005A6282" w:rsidRDefault="005A6282" w:rsidP="005A6282">
            <w:pPr>
              <w:pStyle w:val="TableBody"/>
            </w:pPr>
            <w:r w:rsidRPr="005A6282">
              <w:t>276</w:t>
            </w:r>
          </w:p>
        </w:tc>
      </w:tr>
      <w:tr w:rsidR="005A6282" w:rsidRPr="005A6282" w14:paraId="60C0E745" w14:textId="77777777" w:rsidTr="00A77E9F">
        <w:trPr>
          <w:trHeight w:val="293"/>
        </w:trPr>
        <w:tc>
          <w:tcPr>
            <w:tcW w:w="1373" w:type="pct"/>
            <w:noWrap/>
            <w:hideMark/>
          </w:tcPr>
          <w:p w14:paraId="73114AB9" w14:textId="77777777" w:rsidR="005A6282" w:rsidRPr="005A6282" w:rsidRDefault="005A6282" w:rsidP="005A6282">
            <w:pPr>
              <w:pStyle w:val="TableBody"/>
            </w:pPr>
            <w:r w:rsidRPr="005A6282">
              <w:t>2014-15</w:t>
            </w:r>
          </w:p>
        </w:tc>
        <w:tc>
          <w:tcPr>
            <w:tcW w:w="1143" w:type="pct"/>
            <w:noWrap/>
            <w:hideMark/>
          </w:tcPr>
          <w:p w14:paraId="796C8168" w14:textId="77777777" w:rsidR="005A6282" w:rsidRPr="005A6282" w:rsidRDefault="005A6282" w:rsidP="005A6282">
            <w:pPr>
              <w:pStyle w:val="TableBody"/>
            </w:pPr>
            <w:r w:rsidRPr="005A6282">
              <w:t>700</w:t>
            </w:r>
          </w:p>
        </w:tc>
        <w:tc>
          <w:tcPr>
            <w:tcW w:w="1342" w:type="pct"/>
            <w:noWrap/>
            <w:hideMark/>
          </w:tcPr>
          <w:p w14:paraId="52AD69B1" w14:textId="77777777" w:rsidR="005A6282" w:rsidRPr="005A6282" w:rsidRDefault="005A6282" w:rsidP="005A6282">
            <w:pPr>
              <w:pStyle w:val="TableBody"/>
            </w:pPr>
            <w:r w:rsidRPr="005A6282">
              <w:t>192</w:t>
            </w:r>
          </w:p>
        </w:tc>
        <w:tc>
          <w:tcPr>
            <w:tcW w:w="1142" w:type="pct"/>
            <w:noWrap/>
            <w:hideMark/>
          </w:tcPr>
          <w:p w14:paraId="61BC8F54" w14:textId="77777777" w:rsidR="005A6282" w:rsidRPr="005A6282" w:rsidRDefault="005A6282" w:rsidP="005A6282">
            <w:pPr>
              <w:pStyle w:val="TableBody"/>
            </w:pPr>
            <w:r w:rsidRPr="005A6282">
              <w:t>228</w:t>
            </w:r>
          </w:p>
        </w:tc>
      </w:tr>
      <w:tr w:rsidR="005A6282" w:rsidRPr="005A6282" w14:paraId="19B89B03" w14:textId="77777777" w:rsidTr="00A77E9F">
        <w:trPr>
          <w:trHeight w:val="293"/>
        </w:trPr>
        <w:tc>
          <w:tcPr>
            <w:tcW w:w="1373" w:type="pct"/>
            <w:noWrap/>
            <w:hideMark/>
          </w:tcPr>
          <w:p w14:paraId="6375329B" w14:textId="77777777" w:rsidR="005A6282" w:rsidRPr="005A6282" w:rsidRDefault="005A6282" w:rsidP="005A6282">
            <w:pPr>
              <w:pStyle w:val="TableBody"/>
            </w:pPr>
            <w:r w:rsidRPr="005A6282">
              <w:t>2015-16</w:t>
            </w:r>
          </w:p>
        </w:tc>
        <w:tc>
          <w:tcPr>
            <w:tcW w:w="1143" w:type="pct"/>
            <w:noWrap/>
            <w:hideMark/>
          </w:tcPr>
          <w:p w14:paraId="22235DC5" w14:textId="77777777" w:rsidR="005A6282" w:rsidRPr="005A6282" w:rsidRDefault="005A6282" w:rsidP="005A6282">
            <w:pPr>
              <w:pStyle w:val="TableBody"/>
            </w:pPr>
            <w:r w:rsidRPr="005A6282">
              <w:t>662</w:t>
            </w:r>
          </w:p>
        </w:tc>
        <w:tc>
          <w:tcPr>
            <w:tcW w:w="1342" w:type="pct"/>
            <w:noWrap/>
            <w:hideMark/>
          </w:tcPr>
          <w:p w14:paraId="41D112E7" w14:textId="77777777" w:rsidR="005A6282" w:rsidRPr="005A6282" w:rsidRDefault="005A6282" w:rsidP="005A6282">
            <w:pPr>
              <w:pStyle w:val="TableBody"/>
            </w:pPr>
            <w:r w:rsidRPr="005A6282">
              <w:t>189</w:t>
            </w:r>
          </w:p>
        </w:tc>
        <w:tc>
          <w:tcPr>
            <w:tcW w:w="1142" w:type="pct"/>
            <w:noWrap/>
            <w:hideMark/>
          </w:tcPr>
          <w:p w14:paraId="0CCEF493" w14:textId="77777777" w:rsidR="005A6282" w:rsidRPr="005A6282" w:rsidRDefault="005A6282" w:rsidP="005A6282">
            <w:pPr>
              <w:pStyle w:val="TableBody"/>
            </w:pPr>
            <w:r w:rsidRPr="005A6282">
              <w:t>289</w:t>
            </w:r>
          </w:p>
        </w:tc>
      </w:tr>
      <w:tr w:rsidR="005A6282" w:rsidRPr="005A6282" w14:paraId="5B0E8E3B" w14:textId="77777777" w:rsidTr="00A77E9F">
        <w:trPr>
          <w:trHeight w:val="293"/>
        </w:trPr>
        <w:tc>
          <w:tcPr>
            <w:tcW w:w="1373" w:type="pct"/>
            <w:noWrap/>
            <w:hideMark/>
          </w:tcPr>
          <w:p w14:paraId="5A1F8EF7" w14:textId="77777777" w:rsidR="005A6282" w:rsidRPr="005A6282" w:rsidRDefault="005A6282" w:rsidP="005A6282">
            <w:pPr>
              <w:pStyle w:val="TableBody"/>
            </w:pPr>
            <w:r w:rsidRPr="005A6282">
              <w:t>2016-17</w:t>
            </w:r>
          </w:p>
        </w:tc>
        <w:tc>
          <w:tcPr>
            <w:tcW w:w="1143" w:type="pct"/>
            <w:noWrap/>
            <w:hideMark/>
          </w:tcPr>
          <w:p w14:paraId="07BC8183" w14:textId="77777777" w:rsidR="005A6282" w:rsidRPr="005A6282" w:rsidRDefault="005A6282" w:rsidP="005A6282">
            <w:pPr>
              <w:pStyle w:val="TableBody"/>
            </w:pPr>
            <w:r w:rsidRPr="005A6282">
              <w:t>714</w:t>
            </w:r>
          </w:p>
        </w:tc>
        <w:tc>
          <w:tcPr>
            <w:tcW w:w="1342" w:type="pct"/>
            <w:noWrap/>
            <w:hideMark/>
          </w:tcPr>
          <w:p w14:paraId="65C121A8" w14:textId="77777777" w:rsidR="005A6282" w:rsidRPr="005A6282" w:rsidRDefault="005A6282" w:rsidP="005A6282">
            <w:pPr>
              <w:pStyle w:val="TableBody"/>
            </w:pPr>
            <w:r w:rsidRPr="005A6282">
              <w:t>226</w:t>
            </w:r>
          </w:p>
        </w:tc>
        <w:tc>
          <w:tcPr>
            <w:tcW w:w="1142" w:type="pct"/>
            <w:noWrap/>
            <w:hideMark/>
          </w:tcPr>
          <w:p w14:paraId="3D35042C" w14:textId="77777777" w:rsidR="005A6282" w:rsidRPr="005A6282" w:rsidRDefault="005A6282" w:rsidP="005A6282">
            <w:pPr>
              <w:pStyle w:val="TableBody"/>
            </w:pPr>
            <w:r w:rsidRPr="005A6282">
              <w:t>271</w:t>
            </w:r>
          </w:p>
        </w:tc>
      </w:tr>
      <w:tr w:rsidR="005A6282" w:rsidRPr="005A6282" w14:paraId="1FC22BD9" w14:textId="77777777" w:rsidTr="00A77E9F">
        <w:trPr>
          <w:trHeight w:val="293"/>
        </w:trPr>
        <w:tc>
          <w:tcPr>
            <w:tcW w:w="1373" w:type="pct"/>
            <w:noWrap/>
            <w:hideMark/>
          </w:tcPr>
          <w:p w14:paraId="58735A14" w14:textId="77777777" w:rsidR="005A6282" w:rsidRPr="005A6282" w:rsidRDefault="005A6282" w:rsidP="005A6282">
            <w:pPr>
              <w:pStyle w:val="TableBody"/>
            </w:pPr>
            <w:r w:rsidRPr="005A6282">
              <w:lastRenderedPageBreak/>
              <w:t>2017-18</w:t>
            </w:r>
          </w:p>
        </w:tc>
        <w:tc>
          <w:tcPr>
            <w:tcW w:w="1143" w:type="pct"/>
            <w:noWrap/>
            <w:hideMark/>
          </w:tcPr>
          <w:p w14:paraId="5C5399A4" w14:textId="77777777" w:rsidR="005A6282" w:rsidRPr="005A6282" w:rsidRDefault="005A6282" w:rsidP="005A6282">
            <w:pPr>
              <w:pStyle w:val="TableBody"/>
            </w:pPr>
            <w:r w:rsidRPr="005A6282">
              <w:t>713</w:t>
            </w:r>
          </w:p>
        </w:tc>
        <w:tc>
          <w:tcPr>
            <w:tcW w:w="1342" w:type="pct"/>
            <w:noWrap/>
            <w:hideMark/>
          </w:tcPr>
          <w:p w14:paraId="0E3A0365" w14:textId="77777777" w:rsidR="005A6282" w:rsidRPr="005A6282" w:rsidRDefault="005A6282" w:rsidP="005A6282">
            <w:pPr>
              <w:pStyle w:val="TableBody"/>
            </w:pPr>
            <w:r w:rsidRPr="005A6282">
              <w:t>219</w:t>
            </w:r>
          </w:p>
        </w:tc>
        <w:tc>
          <w:tcPr>
            <w:tcW w:w="1142" w:type="pct"/>
            <w:noWrap/>
            <w:hideMark/>
          </w:tcPr>
          <w:p w14:paraId="62A0F2DC" w14:textId="77777777" w:rsidR="005A6282" w:rsidRPr="005A6282" w:rsidRDefault="005A6282" w:rsidP="005A6282">
            <w:pPr>
              <w:pStyle w:val="TableBody"/>
            </w:pPr>
            <w:r w:rsidRPr="005A6282">
              <w:t>230</w:t>
            </w:r>
          </w:p>
        </w:tc>
      </w:tr>
      <w:tr w:rsidR="005A6282" w:rsidRPr="005A6282" w14:paraId="4E6F7167" w14:textId="77777777" w:rsidTr="00A77E9F">
        <w:trPr>
          <w:trHeight w:val="293"/>
        </w:trPr>
        <w:tc>
          <w:tcPr>
            <w:tcW w:w="1373" w:type="pct"/>
            <w:noWrap/>
            <w:hideMark/>
          </w:tcPr>
          <w:p w14:paraId="7718F6C6" w14:textId="77777777" w:rsidR="005A6282" w:rsidRPr="005A6282" w:rsidRDefault="005A6282" w:rsidP="005A6282">
            <w:pPr>
              <w:pStyle w:val="TableBody"/>
            </w:pPr>
            <w:r w:rsidRPr="005A6282">
              <w:t>2018-19</w:t>
            </w:r>
          </w:p>
        </w:tc>
        <w:tc>
          <w:tcPr>
            <w:tcW w:w="1143" w:type="pct"/>
            <w:noWrap/>
            <w:hideMark/>
          </w:tcPr>
          <w:p w14:paraId="13C00D0F" w14:textId="77777777" w:rsidR="005A6282" w:rsidRPr="005A6282" w:rsidRDefault="005A6282" w:rsidP="005A6282">
            <w:pPr>
              <w:pStyle w:val="TableBody"/>
            </w:pPr>
            <w:r w:rsidRPr="005A6282">
              <w:t>750</w:t>
            </w:r>
          </w:p>
        </w:tc>
        <w:tc>
          <w:tcPr>
            <w:tcW w:w="1342" w:type="pct"/>
            <w:noWrap/>
            <w:hideMark/>
          </w:tcPr>
          <w:p w14:paraId="49C1A721" w14:textId="77777777" w:rsidR="005A6282" w:rsidRPr="005A6282" w:rsidRDefault="005A6282" w:rsidP="005A6282">
            <w:pPr>
              <w:pStyle w:val="TableBody"/>
            </w:pPr>
            <w:r w:rsidRPr="005A6282">
              <w:t>305</w:t>
            </w:r>
          </w:p>
        </w:tc>
        <w:tc>
          <w:tcPr>
            <w:tcW w:w="1142" w:type="pct"/>
            <w:noWrap/>
            <w:hideMark/>
          </w:tcPr>
          <w:p w14:paraId="25357D0C" w14:textId="77777777" w:rsidR="005A6282" w:rsidRPr="005A6282" w:rsidRDefault="005A6282" w:rsidP="005A6282">
            <w:pPr>
              <w:pStyle w:val="TableBody"/>
            </w:pPr>
            <w:r w:rsidRPr="005A6282">
              <w:t>270</w:t>
            </w:r>
          </w:p>
        </w:tc>
      </w:tr>
      <w:tr w:rsidR="005A6282" w:rsidRPr="005A6282" w14:paraId="7121E283" w14:textId="77777777" w:rsidTr="00A77E9F">
        <w:trPr>
          <w:trHeight w:val="293"/>
        </w:trPr>
        <w:tc>
          <w:tcPr>
            <w:tcW w:w="1373" w:type="pct"/>
            <w:noWrap/>
            <w:hideMark/>
          </w:tcPr>
          <w:p w14:paraId="245E5882" w14:textId="77777777" w:rsidR="005A6282" w:rsidRPr="005A6282" w:rsidRDefault="005A6282" w:rsidP="005A6282">
            <w:pPr>
              <w:pStyle w:val="TableBody"/>
            </w:pPr>
            <w:r w:rsidRPr="005A6282">
              <w:t>2019-20</w:t>
            </w:r>
          </w:p>
        </w:tc>
        <w:tc>
          <w:tcPr>
            <w:tcW w:w="1143" w:type="pct"/>
            <w:noWrap/>
            <w:hideMark/>
          </w:tcPr>
          <w:p w14:paraId="52762FC5" w14:textId="77777777" w:rsidR="005A6282" w:rsidRPr="005A6282" w:rsidRDefault="005A6282" w:rsidP="005A6282">
            <w:pPr>
              <w:pStyle w:val="TableBody"/>
            </w:pPr>
            <w:r w:rsidRPr="005A6282">
              <w:t>700</w:t>
            </w:r>
          </w:p>
        </w:tc>
        <w:tc>
          <w:tcPr>
            <w:tcW w:w="1342" w:type="pct"/>
            <w:noWrap/>
            <w:hideMark/>
          </w:tcPr>
          <w:p w14:paraId="1B13696B" w14:textId="77777777" w:rsidR="005A6282" w:rsidRPr="005A6282" w:rsidRDefault="005A6282" w:rsidP="005A6282">
            <w:pPr>
              <w:pStyle w:val="TableBody"/>
            </w:pPr>
            <w:r w:rsidRPr="005A6282">
              <w:t>291</w:t>
            </w:r>
          </w:p>
        </w:tc>
        <w:tc>
          <w:tcPr>
            <w:tcW w:w="1142" w:type="pct"/>
            <w:noWrap/>
            <w:hideMark/>
          </w:tcPr>
          <w:p w14:paraId="52BFE0F9" w14:textId="77777777" w:rsidR="005A6282" w:rsidRPr="005A6282" w:rsidRDefault="005A6282" w:rsidP="005A6282">
            <w:pPr>
              <w:pStyle w:val="TableBody"/>
            </w:pPr>
            <w:r w:rsidRPr="005A6282">
              <w:t>249</w:t>
            </w:r>
          </w:p>
        </w:tc>
      </w:tr>
      <w:tr w:rsidR="005A6282" w:rsidRPr="005A6282" w14:paraId="417C169A" w14:textId="77777777" w:rsidTr="00A77E9F">
        <w:trPr>
          <w:trHeight w:val="293"/>
        </w:trPr>
        <w:tc>
          <w:tcPr>
            <w:tcW w:w="1373" w:type="pct"/>
            <w:noWrap/>
            <w:hideMark/>
          </w:tcPr>
          <w:p w14:paraId="3BFBA1DE" w14:textId="77777777" w:rsidR="005A6282" w:rsidRPr="005A6282" w:rsidRDefault="005A6282" w:rsidP="005A6282">
            <w:pPr>
              <w:pStyle w:val="TableBody"/>
            </w:pPr>
            <w:r w:rsidRPr="005A6282">
              <w:t>2020-21</w:t>
            </w:r>
          </w:p>
        </w:tc>
        <w:tc>
          <w:tcPr>
            <w:tcW w:w="1143" w:type="pct"/>
            <w:noWrap/>
            <w:hideMark/>
          </w:tcPr>
          <w:p w14:paraId="3F7D993D" w14:textId="77777777" w:rsidR="005A6282" w:rsidRPr="005A6282" w:rsidRDefault="005A6282" w:rsidP="005A6282">
            <w:pPr>
              <w:pStyle w:val="TableBody"/>
            </w:pPr>
            <w:r w:rsidRPr="005A6282">
              <w:t>519</w:t>
            </w:r>
          </w:p>
        </w:tc>
        <w:tc>
          <w:tcPr>
            <w:tcW w:w="1342" w:type="pct"/>
            <w:noWrap/>
            <w:hideMark/>
          </w:tcPr>
          <w:p w14:paraId="506C9FF6" w14:textId="77777777" w:rsidR="005A6282" w:rsidRPr="005A6282" w:rsidRDefault="005A6282" w:rsidP="005A6282">
            <w:pPr>
              <w:pStyle w:val="TableBody"/>
            </w:pPr>
            <w:r w:rsidRPr="005A6282">
              <w:t>239</w:t>
            </w:r>
          </w:p>
        </w:tc>
        <w:tc>
          <w:tcPr>
            <w:tcW w:w="1142" w:type="pct"/>
            <w:noWrap/>
            <w:hideMark/>
          </w:tcPr>
          <w:p w14:paraId="7241824C" w14:textId="77777777" w:rsidR="005A6282" w:rsidRPr="005A6282" w:rsidRDefault="005A6282" w:rsidP="005A6282">
            <w:pPr>
              <w:pStyle w:val="TableBody"/>
            </w:pPr>
            <w:r w:rsidRPr="005A6282">
              <w:t>211</w:t>
            </w:r>
          </w:p>
        </w:tc>
      </w:tr>
      <w:tr w:rsidR="005A6282" w:rsidRPr="005A6282" w14:paraId="4B67A2A9" w14:textId="77777777" w:rsidTr="00A77E9F">
        <w:trPr>
          <w:trHeight w:val="293"/>
        </w:trPr>
        <w:tc>
          <w:tcPr>
            <w:tcW w:w="1373" w:type="pct"/>
            <w:noWrap/>
            <w:hideMark/>
          </w:tcPr>
          <w:p w14:paraId="507BDE5F" w14:textId="77777777" w:rsidR="005A6282" w:rsidRPr="005A6282" w:rsidRDefault="005A6282" w:rsidP="005A6282">
            <w:pPr>
              <w:pStyle w:val="TableBody"/>
            </w:pPr>
            <w:r w:rsidRPr="005A6282">
              <w:t>2021-22</w:t>
            </w:r>
          </w:p>
        </w:tc>
        <w:tc>
          <w:tcPr>
            <w:tcW w:w="1143" w:type="pct"/>
            <w:noWrap/>
            <w:hideMark/>
          </w:tcPr>
          <w:p w14:paraId="3B0EC6D7" w14:textId="77777777" w:rsidR="005A6282" w:rsidRPr="005A6282" w:rsidRDefault="005A6282" w:rsidP="005A6282">
            <w:pPr>
              <w:pStyle w:val="TableBody"/>
            </w:pPr>
            <w:r w:rsidRPr="005A6282">
              <w:t>665</w:t>
            </w:r>
          </w:p>
        </w:tc>
        <w:tc>
          <w:tcPr>
            <w:tcW w:w="1342" w:type="pct"/>
            <w:noWrap/>
            <w:hideMark/>
          </w:tcPr>
          <w:p w14:paraId="40EF0843" w14:textId="77777777" w:rsidR="005A6282" w:rsidRPr="005A6282" w:rsidRDefault="005A6282" w:rsidP="005A6282">
            <w:pPr>
              <w:pStyle w:val="TableBody"/>
            </w:pPr>
            <w:r w:rsidRPr="005A6282">
              <w:t>258</w:t>
            </w:r>
          </w:p>
        </w:tc>
        <w:tc>
          <w:tcPr>
            <w:tcW w:w="1142" w:type="pct"/>
            <w:noWrap/>
            <w:hideMark/>
          </w:tcPr>
          <w:p w14:paraId="2D1CCA3B" w14:textId="77777777" w:rsidR="005A6282" w:rsidRPr="005A6282" w:rsidRDefault="005A6282" w:rsidP="005A6282">
            <w:pPr>
              <w:pStyle w:val="TableBody"/>
            </w:pPr>
            <w:r w:rsidRPr="005A6282">
              <w:t>212</w:t>
            </w:r>
          </w:p>
        </w:tc>
      </w:tr>
      <w:tr w:rsidR="005A6282" w:rsidRPr="005A6282" w14:paraId="3F7629F0" w14:textId="77777777" w:rsidTr="00A77E9F">
        <w:trPr>
          <w:trHeight w:val="293"/>
        </w:trPr>
        <w:tc>
          <w:tcPr>
            <w:tcW w:w="1373" w:type="pct"/>
            <w:noWrap/>
            <w:hideMark/>
          </w:tcPr>
          <w:p w14:paraId="61D7F805" w14:textId="77777777" w:rsidR="005A6282" w:rsidRPr="005A6282" w:rsidRDefault="005A6282" w:rsidP="005A6282">
            <w:pPr>
              <w:pStyle w:val="TableBody"/>
            </w:pPr>
            <w:r w:rsidRPr="005A6282">
              <w:t>2022-23</w:t>
            </w:r>
          </w:p>
        </w:tc>
        <w:tc>
          <w:tcPr>
            <w:tcW w:w="1143" w:type="pct"/>
            <w:noWrap/>
            <w:hideMark/>
          </w:tcPr>
          <w:p w14:paraId="3552D4B9" w14:textId="77777777" w:rsidR="005A6282" w:rsidRPr="005A6282" w:rsidRDefault="005A6282" w:rsidP="005A6282">
            <w:pPr>
              <w:pStyle w:val="TableBody"/>
            </w:pPr>
            <w:r w:rsidRPr="005A6282">
              <w:t>792</w:t>
            </w:r>
          </w:p>
        </w:tc>
        <w:tc>
          <w:tcPr>
            <w:tcW w:w="1342" w:type="pct"/>
            <w:noWrap/>
            <w:hideMark/>
          </w:tcPr>
          <w:p w14:paraId="45B78F2E" w14:textId="77777777" w:rsidR="005A6282" w:rsidRPr="005A6282" w:rsidRDefault="005A6282" w:rsidP="005A6282">
            <w:pPr>
              <w:pStyle w:val="TableBody"/>
            </w:pPr>
            <w:r w:rsidRPr="005A6282">
              <w:t>277</w:t>
            </w:r>
          </w:p>
        </w:tc>
        <w:tc>
          <w:tcPr>
            <w:tcW w:w="1142" w:type="pct"/>
            <w:noWrap/>
            <w:hideMark/>
          </w:tcPr>
          <w:p w14:paraId="2DFCA69D" w14:textId="77777777" w:rsidR="005A6282" w:rsidRPr="005A6282" w:rsidRDefault="005A6282" w:rsidP="005A6282">
            <w:pPr>
              <w:pStyle w:val="TableBody"/>
            </w:pPr>
            <w:r w:rsidRPr="005A6282">
              <w:t>207</w:t>
            </w:r>
          </w:p>
        </w:tc>
      </w:tr>
      <w:tr w:rsidR="005A6282" w:rsidRPr="005A6282" w14:paraId="25A0DBE7" w14:textId="77777777" w:rsidTr="00A77E9F">
        <w:trPr>
          <w:trHeight w:val="293"/>
        </w:trPr>
        <w:tc>
          <w:tcPr>
            <w:tcW w:w="1373" w:type="pct"/>
            <w:noWrap/>
            <w:hideMark/>
          </w:tcPr>
          <w:p w14:paraId="3333B833" w14:textId="77777777" w:rsidR="005A6282" w:rsidRPr="005A6282" w:rsidRDefault="005A6282" w:rsidP="005A6282">
            <w:pPr>
              <w:pStyle w:val="TableBody"/>
            </w:pPr>
            <w:r w:rsidRPr="005A6282">
              <w:t>2023-24</w:t>
            </w:r>
          </w:p>
        </w:tc>
        <w:tc>
          <w:tcPr>
            <w:tcW w:w="1143" w:type="pct"/>
            <w:noWrap/>
            <w:hideMark/>
          </w:tcPr>
          <w:p w14:paraId="622E5876" w14:textId="77777777" w:rsidR="005A6282" w:rsidRPr="005A6282" w:rsidRDefault="005A6282" w:rsidP="005A6282">
            <w:pPr>
              <w:pStyle w:val="TableBody"/>
            </w:pPr>
            <w:r w:rsidRPr="005A6282">
              <w:t>688</w:t>
            </w:r>
          </w:p>
        </w:tc>
        <w:tc>
          <w:tcPr>
            <w:tcW w:w="1342" w:type="pct"/>
            <w:noWrap/>
            <w:hideMark/>
          </w:tcPr>
          <w:p w14:paraId="2704A233" w14:textId="77777777" w:rsidR="005A6282" w:rsidRPr="005A6282" w:rsidRDefault="005A6282" w:rsidP="005A6282">
            <w:pPr>
              <w:pStyle w:val="TableBody"/>
            </w:pPr>
            <w:r w:rsidRPr="005A6282">
              <w:t>284</w:t>
            </w:r>
          </w:p>
        </w:tc>
        <w:tc>
          <w:tcPr>
            <w:tcW w:w="1142" w:type="pct"/>
            <w:noWrap/>
            <w:hideMark/>
          </w:tcPr>
          <w:p w14:paraId="77CF579D" w14:textId="77777777" w:rsidR="005A6282" w:rsidRPr="005A6282" w:rsidRDefault="005A6282" w:rsidP="005A6282">
            <w:pPr>
              <w:pStyle w:val="TableBody"/>
            </w:pPr>
            <w:r w:rsidRPr="005A6282">
              <w:t>161</w:t>
            </w:r>
          </w:p>
        </w:tc>
      </w:tr>
    </w:tbl>
    <w:p w14:paraId="46229642" w14:textId="77777777" w:rsidR="008B3FC3" w:rsidRPr="008C1137" w:rsidRDefault="008B3FC3" w:rsidP="00D4532A">
      <w:r w:rsidRPr="000C258A">
        <w:rPr>
          <w:rStyle w:val="Strong"/>
        </w:rPr>
        <w:t>Source</w:t>
      </w:r>
      <w:r w:rsidRPr="008C1137">
        <w:t>: Court Services Victoria, unpublished data</w:t>
      </w:r>
    </w:p>
    <w:p w14:paraId="781A0C8F" w14:textId="77777777" w:rsidR="00A4454A" w:rsidRPr="008C1137" w:rsidRDefault="00A4454A" w:rsidP="00210207">
      <w:pPr>
        <w:pStyle w:val="Numbered"/>
      </w:pPr>
      <w:r w:rsidRPr="008C1137">
        <w:t>In terms of trends, there was relative stability in the number of custodial sentences imposed for each of those three offence categories in the 20 years, with the number of custodial sentences imposed for property offences and drug offences increasing just slightly (by 14% and 5% respectively). The increase in the number of custodial sentences was more substantial, at 23%, where the principal offence was an offence against the person. There was a noticeable drop in each offence category (particularly for offences against the person) in 2020–21, attributable to the lower case numbers heard that year as a result of COVID-19. Offences against the person and drug offences then also experienced a marked decrease in custodial sentences in the 12 months to 30 June 2024.</w:t>
      </w:r>
    </w:p>
    <w:p w14:paraId="1A60CC67" w14:textId="75306FD5" w:rsidR="00A4454A" w:rsidRPr="008C1137" w:rsidRDefault="00A4454A" w:rsidP="00210207">
      <w:pPr>
        <w:pStyle w:val="Numbered"/>
      </w:pPr>
      <w:r w:rsidRPr="008C1137">
        <w:t>Given that the majority of custodial sentences in the higher courts are imposed for offences against the person, Figure 23</w:t>
      </w:r>
      <w:r w:rsidR="009E33A5">
        <w:t xml:space="preserve"> </w:t>
      </w:r>
      <w:r w:rsidRPr="008C1137">
        <w:t>provides a detailed breakdown of the offence types within that offence category.</w:t>
      </w:r>
      <w:r w:rsidRPr="008C1137">
        <w:rPr>
          <w:rStyle w:val="Superscript"/>
        </w:rPr>
        <w:footnoteReference w:id="103"/>
      </w:r>
      <w:r w:rsidRPr="008C1137">
        <w:t xml:space="preserve"> The data shows that (aside from robbery offences, which fluctuated throughout the period) there was relative stability in the number of custodial sentences imposed for sexual assault offences, causing injury offences and homicide offences. There was an anomalous drop in the number of custodial </w:t>
      </w:r>
      <w:r w:rsidRPr="008C1137">
        <w:lastRenderedPageBreak/>
        <w:t>sentences for all offence types in 2020–21, again almost certainly due to the effects of the COVID-19 pandemic.</w:t>
      </w:r>
    </w:p>
    <w:p w14:paraId="7B8E6C73" w14:textId="77777777" w:rsidR="00387A82" w:rsidRPr="00C04A00" w:rsidRDefault="00387A82" w:rsidP="00C04A00">
      <w:pPr>
        <w:pStyle w:val="Caption"/>
      </w:pPr>
      <w:r w:rsidRPr="00157502">
        <w:t>Figure 23</w:t>
      </w:r>
      <w:r w:rsidRPr="008C1137">
        <w:t>: Number of cases receiving a custodial sentence in the higher courts, by type of offence against the person in the case, 2004–05 to 2023–24</w:t>
      </w:r>
    </w:p>
    <w:tbl>
      <w:tblPr>
        <w:tblStyle w:val="Table"/>
        <w:tblW w:w="5038" w:type="pct"/>
        <w:tblLayout w:type="fixed"/>
        <w:tblLook w:val="04A0" w:firstRow="1" w:lastRow="0" w:firstColumn="1" w:lastColumn="0" w:noHBand="0" w:noVBand="1"/>
      </w:tblPr>
      <w:tblGrid>
        <w:gridCol w:w="1805"/>
        <w:gridCol w:w="1803"/>
        <w:gridCol w:w="1803"/>
        <w:gridCol w:w="1872"/>
        <w:gridCol w:w="1802"/>
      </w:tblGrid>
      <w:tr w:rsidR="00481145" w:rsidRPr="002773AD" w14:paraId="3763D8E4" w14:textId="77777777" w:rsidTr="008E0A7B">
        <w:trPr>
          <w:trHeight w:val="288"/>
          <w:tblHeader/>
        </w:trPr>
        <w:tc>
          <w:tcPr>
            <w:tcW w:w="993" w:type="pct"/>
            <w:noWrap/>
            <w:hideMark/>
          </w:tcPr>
          <w:p w14:paraId="20839F1A" w14:textId="682B81F1" w:rsidR="00481145" w:rsidRPr="002773AD" w:rsidRDefault="00481145" w:rsidP="00481145">
            <w:pPr>
              <w:pStyle w:val="TableHeading"/>
            </w:pPr>
            <w:r w:rsidRPr="002773AD">
              <w:t>Financial year</w:t>
            </w:r>
          </w:p>
        </w:tc>
        <w:tc>
          <w:tcPr>
            <w:tcW w:w="992" w:type="pct"/>
            <w:noWrap/>
            <w:hideMark/>
          </w:tcPr>
          <w:p w14:paraId="747B5B8B" w14:textId="77777777" w:rsidR="00481145" w:rsidRPr="002773AD" w:rsidRDefault="00481145" w:rsidP="00481145">
            <w:pPr>
              <w:pStyle w:val="TableHeading"/>
            </w:pPr>
            <w:r w:rsidRPr="002773AD">
              <w:t>Homicide</w:t>
            </w:r>
          </w:p>
        </w:tc>
        <w:tc>
          <w:tcPr>
            <w:tcW w:w="992" w:type="pct"/>
            <w:noWrap/>
            <w:hideMark/>
          </w:tcPr>
          <w:p w14:paraId="3B73DF0E" w14:textId="77777777" w:rsidR="00481145" w:rsidRPr="002773AD" w:rsidRDefault="00481145" w:rsidP="00481145">
            <w:pPr>
              <w:pStyle w:val="TableHeading"/>
            </w:pPr>
            <w:r w:rsidRPr="002773AD">
              <w:t>Cause injury</w:t>
            </w:r>
          </w:p>
        </w:tc>
        <w:tc>
          <w:tcPr>
            <w:tcW w:w="1030" w:type="pct"/>
            <w:noWrap/>
            <w:hideMark/>
          </w:tcPr>
          <w:p w14:paraId="6740E3CA" w14:textId="77777777" w:rsidR="00481145" w:rsidRPr="002773AD" w:rsidRDefault="00481145" w:rsidP="00481145">
            <w:pPr>
              <w:pStyle w:val="TableHeading"/>
            </w:pPr>
            <w:r w:rsidRPr="002773AD">
              <w:t>Sexual assault</w:t>
            </w:r>
          </w:p>
        </w:tc>
        <w:tc>
          <w:tcPr>
            <w:tcW w:w="992" w:type="pct"/>
            <w:noWrap/>
            <w:hideMark/>
          </w:tcPr>
          <w:p w14:paraId="4AC66029" w14:textId="77777777" w:rsidR="00481145" w:rsidRPr="002773AD" w:rsidRDefault="00481145" w:rsidP="00481145">
            <w:pPr>
              <w:pStyle w:val="TableHeading"/>
            </w:pPr>
            <w:r w:rsidRPr="002773AD">
              <w:t>Robbery</w:t>
            </w:r>
          </w:p>
        </w:tc>
      </w:tr>
      <w:tr w:rsidR="00481145" w:rsidRPr="002773AD" w14:paraId="4ED6746D" w14:textId="77777777" w:rsidTr="008E0A7B">
        <w:trPr>
          <w:trHeight w:val="288"/>
        </w:trPr>
        <w:tc>
          <w:tcPr>
            <w:tcW w:w="993" w:type="pct"/>
            <w:noWrap/>
            <w:hideMark/>
          </w:tcPr>
          <w:p w14:paraId="0C846E0F" w14:textId="77777777" w:rsidR="00481145" w:rsidRPr="002773AD" w:rsidRDefault="00481145" w:rsidP="002773AD">
            <w:pPr>
              <w:pStyle w:val="TableBody"/>
            </w:pPr>
            <w:r w:rsidRPr="002773AD">
              <w:t>2004-05</w:t>
            </w:r>
          </w:p>
        </w:tc>
        <w:tc>
          <w:tcPr>
            <w:tcW w:w="992" w:type="pct"/>
            <w:noWrap/>
            <w:hideMark/>
          </w:tcPr>
          <w:p w14:paraId="4F7EF703" w14:textId="77777777" w:rsidR="00481145" w:rsidRPr="002773AD" w:rsidRDefault="00481145" w:rsidP="002773AD">
            <w:pPr>
              <w:pStyle w:val="TableBody"/>
            </w:pPr>
            <w:r w:rsidRPr="002773AD">
              <w:t>74</w:t>
            </w:r>
          </w:p>
        </w:tc>
        <w:tc>
          <w:tcPr>
            <w:tcW w:w="992" w:type="pct"/>
            <w:noWrap/>
            <w:hideMark/>
          </w:tcPr>
          <w:p w14:paraId="54D70575" w14:textId="77777777" w:rsidR="00481145" w:rsidRPr="002773AD" w:rsidRDefault="00481145" w:rsidP="002773AD">
            <w:pPr>
              <w:pStyle w:val="TableBody"/>
            </w:pPr>
            <w:r w:rsidRPr="002773AD">
              <w:t>129</w:t>
            </w:r>
          </w:p>
        </w:tc>
        <w:tc>
          <w:tcPr>
            <w:tcW w:w="1030" w:type="pct"/>
            <w:noWrap/>
            <w:hideMark/>
          </w:tcPr>
          <w:p w14:paraId="57F92B66" w14:textId="77777777" w:rsidR="00481145" w:rsidRPr="002773AD" w:rsidRDefault="00481145" w:rsidP="002773AD">
            <w:pPr>
              <w:pStyle w:val="TableBody"/>
            </w:pPr>
            <w:r w:rsidRPr="002773AD">
              <w:t>152</w:t>
            </w:r>
          </w:p>
        </w:tc>
        <w:tc>
          <w:tcPr>
            <w:tcW w:w="992" w:type="pct"/>
            <w:noWrap/>
            <w:hideMark/>
          </w:tcPr>
          <w:p w14:paraId="5216C6D3" w14:textId="77777777" w:rsidR="00481145" w:rsidRPr="002773AD" w:rsidRDefault="00481145" w:rsidP="002773AD">
            <w:pPr>
              <w:pStyle w:val="TableBody"/>
            </w:pPr>
            <w:r w:rsidRPr="002773AD">
              <w:t>158</w:t>
            </w:r>
          </w:p>
        </w:tc>
      </w:tr>
      <w:tr w:rsidR="00481145" w:rsidRPr="002773AD" w14:paraId="00A88011" w14:textId="77777777" w:rsidTr="008E0A7B">
        <w:trPr>
          <w:trHeight w:val="288"/>
        </w:trPr>
        <w:tc>
          <w:tcPr>
            <w:tcW w:w="993" w:type="pct"/>
            <w:noWrap/>
            <w:hideMark/>
          </w:tcPr>
          <w:p w14:paraId="143D6965" w14:textId="77777777" w:rsidR="00481145" w:rsidRPr="002773AD" w:rsidRDefault="00481145" w:rsidP="002773AD">
            <w:pPr>
              <w:pStyle w:val="TableBody"/>
            </w:pPr>
            <w:r w:rsidRPr="002773AD">
              <w:t>2005-06</w:t>
            </w:r>
          </w:p>
        </w:tc>
        <w:tc>
          <w:tcPr>
            <w:tcW w:w="992" w:type="pct"/>
            <w:noWrap/>
            <w:hideMark/>
          </w:tcPr>
          <w:p w14:paraId="1300FB78" w14:textId="77777777" w:rsidR="00481145" w:rsidRPr="002773AD" w:rsidRDefault="00481145" w:rsidP="002773AD">
            <w:pPr>
              <w:pStyle w:val="TableBody"/>
            </w:pPr>
            <w:r w:rsidRPr="002773AD">
              <w:t>74</w:t>
            </w:r>
          </w:p>
        </w:tc>
        <w:tc>
          <w:tcPr>
            <w:tcW w:w="992" w:type="pct"/>
            <w:noWrap/>
            <w:hideMark/>
          </w:tcPr>
          <w:p w14:paraId="27BBF1C7" w14:textId="77777777" w:rsidR="00481145" w:rsidRPr="002773AD" w:rsidRDefault="00481145" w:rsidP="002773AD">
            <w:pPr>
              <w:pStyle w:val="TableBody"/>
            </w:pPr>
            <w:r w:rsidRPr="002773AD">
              <w:t>139</w:t>
            </w:r>
          </w:p>
        </w:tc>
        <w:tc>
          <w:tcPr>
            <w:tcW w:w="1030" w:type="pct"/>
            <w:noWrap/>
            <w:hideMark/>
          </w:tcPr>
          <w:p w14:paraId="70372832" w14:textId="77777777" w:rsidR="00481145" w:rsidRPr="002773AD" w:rsidRDefault="00481145" w:rsidP="002773AD">
            <w:pPr>
              <w:pStyle w:val="TableBody"/>
            </w:pPr>
            <w:r w:rsidRPr="002773AD">
              <w:t>141</w:t>
            </w:r>
          </w:p>
        </w:tc>
        <w:tc>
          <w:tcPr>
            <w:tcW w:w="992" w:type="pct"/>
            <w:noWrap/>
            <w:hideMark/>
          </w:tcPr>
          <w:p w14:paraId="718B1B70" w14:textId="77777777" w:rsidR="00481145" w:rsidRPr="002773AD" w:rsidRDefault="00481145" w:rsidP="002773AD">
            <w:pPr>
              <w:pStyle w:val="TableBody"/>
            </w:pPr>
            <w:r w:rsidRPr="002773AD">
              <w:t>155</w:t>
            </w:r>
          </w:p>
        </w:tc>
      </w:tr>
      <w:tr w:rsidR="00481145" w:rsidRPr="002773AD" w14:paraId="4F46E0B7" w14:textId="77777777" w:rsidTr="008E0A7B">
        <w:trPr>
          <w:trHeight w:val="288"/>
        </w:trPr>
        <w:tc>
          <w:tcPr>
            <w:tcW w:w="993" w:type="pct"/>
            <w:noWrap/>
            <w:hideMark/>
          </w:tcPr>
          <w:p w14:paraId="5B45C0B3" w14:textId="77777777" w:rsidR="00481145" w:rsidRPr="002773AD" w:rsidRDefault="00481145" w:rsidP="002773AD">
            <w:pPr>
              <w:pStyle w:val="TableBody"/>
            </w:pPr>
            <w:r w:rsidRPr="002773AD">
              <w:t>2006-07</w:t>
            </w:r>
          </w:p>
        </w:tc>
        <w:tc>
          <w:tcPr>
            <w:tcW w:w="992" w:type="pct"/>
            <w:noWrap/>
            <w:hideMark/>
          </w:tcPr>
          <w:p w14:paraId="1DFE7988" w14:textId="77777777" w:rsidR="00481145" w:rsidRPr="002773AD" w:rsidRDefault="00481145" w:rsidP="002773AD">
            <w:pPr>
              <w:pStyle w:val="TableBody"/>
            </w:pPr>
            <w:r w:rsidRPr="002773AD">
              <w:t>61</w:t>
            </w:r>
          </w:p>
        </w:tc>
        <w:tc>
          <w:tcPr>
            <w:tcW w:w="992" w:type="pct"/>
            <w:noWrap/>
            <w:hideMark/>
          </w:tcPr>
          <w:p w14:paraId="468927EE" w14:textId="77777777" w:rsidR="00481145" w:rsidRPr="002773AD" w:rsidRDefault="00481145" w:rsidP="002773AD">
            <w:pPr>
              <w:pStyle w:val="TableBody"/>
            </w:pPr>
            <w:r w:rsidRPr="002773AD">
              <w:t>191</w:t>
            </w:r>
          </w:p>
        </w:tc>
        <w:tc>
          <w:tcPr>
            <w:tcW w:w="1030" w:type="pct"/>
            <w:noWrap/>
            <w:hideMark/>
          </w:tcPr>
          <w:p w14:paraId="16CDA0EB" w14:textId="77777777" w:rsidR="00481145" w:rsidRPr="002773AD" w:rsidRDefault="00481145" w:rsidP="002773AD">
            <w:pPr>
              <w:pStyle w:val="TableBody"/>
            </w:pPr>
            <w:r w:rsidRPr="002773AD">
              <w:t>192</w:t>
            </w:r>
          </w:p>
        </w:tc>
        <w:tc>
          <w:tcPr>
            <w:tcW w:w="992" w:type="pct"/>
            <w:noWrap/>
            <w:hideMark/>
          </w:tcPr>
          <w:p w14:paraId="1860A92D" w14:textId="77777777" w:rsidR="00481145" w:rsidRPr="002773AD" w:rsidRDefault="00481145" w:rsidP="002773AD">
            <w:pPr>
              <w:pStyle w:val="TableBody"/>
            </w:pPr>
            <w:r w:rsidRPr="002773AD">
              <w:t>154</w:t>
            </w:r>
          </w:p>
        </w:tc>
      </w:tr>
      <w:tr w:rsidR="00481145" w:rsidRPr="002773AD" w14:paraId="2381A758" w14:textId="77777777" w:rsidTr="008E0A7B">
        <w:trPr>
          <w:trHeight w:val="288"/>
        </w:trPr>
        <w:tc>
          <w:tcPr>
            <w:tcW w:w="993" w:type="pct"/>
            <w:noWrap/>
            <w:hideMark/>
          </w:tcPr>
          <w:p w14:paraId="6D279D40" w14:textId="77777777" w:rsidR="00481145" w:rsidRPr="002773AD" w:rsidRDefault="00481145" w:rsidP="002773AD">
            <w:pPr>
              <w:pStyle w:val="TableBody"/>
            </w:pPr>
            <w:r w:rsidRPr="002773AD">
              <w:t>2007-08</w:t>
            </w:r>
          </w:p>
        </w:tc>
        <w:tc>
          <w:tcPr>
            <w:tcW w:w="992" w:type="pct"/>
            <w:noWrap/>
            <w:hideMark/>
          </w:tcPr>
          <w:p w14:paraId="23C8991D" w14:textId="77777777" w:rsidR="00481145" w:rsidRPr="002773AD" w:rsidRDefault="00481145" w:rsidP="002773AD">
            <w:pPr>
              <w:pStyle w:val="TableBody"/>
            </w:pPr>
            <w:r w:rsidRPr="002773AD">
              <w:t>68</w:t>
            </w:r>
          </w:p>
        </w:tc>
        <w:tc>
          <w:tcPr>
            <w:tcW w:w="992" w:type="pct"/>
            <w:noWrap/>
            <w:hideMark/>
          </w:tcPr>
          <w:p w14:paraId="61A6A08F" w14:textId="77777777" w:rsidR="00481145" w:rsidRPr="002773AD" w:rsidRDefault="00481145" w:rsidP="002773AD">
            <w:pPr>
              <w:pStyle w:val="TableBody"/>
            </w:pPr>
            <w:r w:rsidRPr="002773AD">
              <w:t>195</w:t>
            </w:r>
          </w:p>
        </w:tc>
        <w:tc>
          <w:tcPr>
            <w:tcW w:w="1030" w:type="pct"/>
            <w:noWrap/>
            <w:hideMark/>
          </w:tcPr>
          <w:p w14:paraId="506A8289" w14:textId="77777777" w:rsidR="00481145" w:rsidRPr="002773AD" w:rsidRDefault="00481145" w:rsidP="002773AD">
            <w:pPr>
              <w:pStyle w:val="TableBody"/>
            </w:pPr>
            <w:r w:rsidRPr="002773AD">
              <w:t>232</w:t>
            </w:r>
          </w:p>
        </w:tc>
        <w:tc>
          <w:tcPr>
            <w:tcW w:w="992" w:type="pct"/>
            <w:noWrap/>
            <w:hideMark/>
          </w:tcPr>
          <w:p w14:paraId="2640EAEF" w14:textId="77777777" w:rsidR="00481145" w:rsidRPr="002773AD" w:rsidRDefault="00481145" w:rsidP="002773AD">
            <w:pPr>
              <w:pStyle w:val="TableBody"/>
            </w:pPr>
            <w:r w:rsidRPr="002773AD">
              <w:t>165</w:t>
            </w:r>
          </w:p>
        </w:tc>
      </w:tr>
      <w:tr w:rsidR="00481145" w:rsidRPr="002773AD" w14:paraId="7C223DF0" w14:textId="77777777" w:rsidTr="008E0A7B">
        <w:trPr>
          <w:trHeight w:val="288"/>
        </w:trPr>
        <w:tc>
          <w:tcPr>
            <w:tcW w:w="993" w:type="pct"/>
            <w:noWrap/>
            <w:hideMark/>
          </w:tcPr>
          <w:p w14:paraId="3FFDB09D" w14:textId="77777777" w:rsidR="00481145" w:rsidRPr="002773AD" w:rsidRDefault="00481145" w:rsidP="002773AD">
            <w:pPr>
              <w:pStyle w:val="TableBody"/>
            </w:pPr>
            <w:r w:rsidRPr="002773AD">
              <w:t>2008-09</w:t>
            </w:r>
          </w:p>
        </w:tc>
        <w:tc>
          <w:tcPr>
            <w:tcW w:w="992" w:type="pct"/>
            <w:noWrap/>
            <w:hideMark/>
          </w:tcPr>
          <w:p w14:paraId="026D421E" w14:textId="77777777" w:rsidR="00481145" w:rsidRPr="002773AD" w:rsidRDefault="00481145" w:rsidP="002773AD">
            <w:pPr>
              <w:pStyle w:val="TableBody"/>
            </w:pPr>
            <w:r w:rsidRPr="002773AD">
              <w:t>72</w:t>
            </w:r>
          </w:p>
        </w:tc>
        <w:tc>
          <w:tcPr>
            <w:tcW w:w="992" w:type="pct"/>
            <w:noWrap/>
            <w:hideMark/>
          </w:tcPr>
          <w:p w14:paraId="348E2C86" w14:textId="77777777" w:rsidR="00481145" w:rsidRPr="002773AD" w:rsidRDefault="00481145" w:rsidP="002773AD">
            <w:pPr>
              <w:pStyle w:val="TableBody"/>
            </w:pPr>
            <w:r w:rsidRPr="002773AD">
              <w:t>184</w:t>
            </w:r>
          </w:p>
        </w:tc>
        <w:tc>
          <w:tcPr>
            <w:tcW w:w="1030" w:type="pct"/>
            <w:noWrap/>
            <w:hideMark/>
          </w:tcPr>
          <w:p w14:paraId="4D4EF04A" w14:textId="77777777" w:rsidR="00481145" w:rsidRPr="002773AD" w:rsidRDefault="00481145" w:rsidP="002773AD">
            <w:pPr>
              <w:pStyle w:val="TableBody"/>
            </w:pPr>
            <w:r w:rsidRPr="002773AD">
              <w:t>226</w:t>
            </w:r>
          </w:p>
        </w:tc>
        <w:tc>
          <w:tcPr>
            <w:tcW w:w="992" w:type="pct"/>
            <w:noWrap/>
            <w:hideMark/>
          </w:tcPr>
          <w:p w14:paraId="43F3D43F" w14:textId="77777777" w:rsidR="00481145" w:rsidRPr="002773AD" w:rsidRDefault="00481145" w:rsidP="002773AD">
            <w:pPr>
              <w:pStyle w:val="TableBody"/>
            </w:pPr>
            <w:r w:rsidRPr="002773AD">
              <w:t>147</w:t>
            </w:r>
          </w:p>
        </w:tc>
      </w:tr>
      <w:tr w:rsidR="00481145" w:rsidRPr="002773AD" w14:paraId="5E603D22" w14:textId="77777777" w:rsidTr="008E0A7B">
        <w:trPr>
          <w:trHeight w:val="288"/>
        </w:trPr>
        <w:tc>
          <w:tcPr>
            <w:tcW w:w="993" w:type="pct"/>
            <w:noWrap/>
            <w:hideMark/>
          </w:tcPr>
          <w:p w14:paraId="48AF2436" w14:textId="77777777" w:rsidR="00481145" w:rsidRPr="002773AD" w:rsidRDefault="00481145" w:rsidP="002773AD">
            <w:pPr>
              <w:pStyle w:val="TableBody"/>
            </w:pPr>
            <w:r w:rsidRPr="002773AD">
              <w:t>2009-10</w:t>
            </w:r>
          </w:p>
        </w:tc>
        <w:tc>
          <w:tcPr>
            <w:tcW w:w="992" w:type="pct"/>
            <w:noWrap/>
            <w:hideMark/>
          </w:tcPr>
          <w:p w14:paraId="020D078F" w14:textId="77777777" w:rsidR="00481145" w:rsidRPr="002773AD" w:rsidRDefault="00481145" w:rsidP="002773AD">
            <w:pPr>
              <w:pStyle w:val="TableBody"/>
            </w:pPr>
            <w:r w:rsidRPr="002773AD">
              <w:t>75</w:t>
            </w:r>
          </w:p>
        </w:tc>
        <w:tc>
          <w:tcPr>
            <w:tcW w:w="992" w:type="pct"/>
            <w:noWrap/>
            <w:hideMark/>
          </w:tcPr>
          <w:p w14:paraId="48E7A78E" w14:textId="77777777" w:rsidR="00481145" w:rsidRPr="002773AD" w:rsidRDefault="00481145" w:rsidP="002773AD">
            <w:pPr>
              <w:pStyle w:val="TableBody"/>
            </w:pPr>
            <w:r w:rsidRPr="002773AD">
              <w:t>187</w:t>
            </w:r>
          </w:p>
        </w:tc>
        <w:tc>
          <w:tcPr>
            <w:tcW w:w="1030" w:type="pct"/>
            <w:noWrap/>
            <w:hideMark/>
          </w:tcPr>
          <w:p w14:paraId="7A13CBAD" w14:textId="77777777" w:rsidR="00481145" w:rsidRPr="002773AD" w:rsidRDefault="00481145" w:rsidP="002773AD">
            <w:pPr>
              <w:pStyle w:val="TableBody"/>
            </w:pPr>
            <w:r w:rsidRPr="002773AD">
              <w:t>221</w:t>
            </w:r>
          </w:p>
        </w:tc>
        <w:tc>
          <w:tcPr>
            <w:tcW w:w="992" w:type="pct"/>
            <w:noWrap/>
            <w:hideMark/>
          </w:tcPr>
          <w:p w14:paraId="67951C01" w14:textId="77777777" w:rsidR="00481145" w:rsidRPr="002773AD" w:rsidRDefault="00481145" w:rsidP="002773AD">
            <w:pPr>
              <w:pStyle w:val="TableBody"/>
            </w:pPr>
            <w:r w:rsidRPr="002773AD">
              <w:t>183</w:t>
            </w:r>
          </w:p>
        </w:tc>
      </w:tr>
      <w:tr w:rsidR="00481145" w:rsidRPr="002773AD" w14:paraId="19E94F70" w14:textId="77777777" w:rsidTr="008E0A7B">
        <w:trPr>
          <w:trHeight w:val="288"/>
        </w:trPr>
        <w:tc>
          <w:tcPr>
            <w:tcW w:w="993" w:type="pct"/>
            <w:noWrap/>
            <w:hideMark/>
          </w:tcPr>
          <w:p w14:paraId="2D163B56" w14:textId="77777777" w:rsidR="00481145" w:rsidRPr="002773AD" w:rsidRDefault="00481145" w:rsidP="002773AD">
            <w:pPr>
              <w:pStyle w:val="TableBody"/>
            </w:pPr>
            <w:r w:rsidRPr="002773AD">
              <w:t>2010-11</w:t>
            </w:r>
          </w:p>
        </w:tc>
        <w:tc>
          <w:tcPr>
            <w:tcW w:w="992" w:type="pct"/>
            <w:noWrap/>
            <w:hideMark/>
          </w:tcPr>
          <w:p w14:paraId="48EF20FE" w14:textId="77777777" w:rsidR="00481145" w:rsidRPr="002773AD" w:rsidRDefault="00481145" w:rsidP="002773AD">
            <w:pPr>
              <w:pStyle w:val="TableBody"/>
            </w:pPr>
            <w:r w:rsidRPr="002773AD">
              <w:t>77</w:t>
            </w:r>
          </w:p>
        </w:tc>
        <w:tc>
          <w:tcPr>
            <w:tcW w:w="992" w:type="pct"/>
            <w:noWrap/>
            <w:hideMark/>
          </w:tcPr>
          <w:p w14:paraId="18D18672" w14:textId="77777777" w:rsidR="00481145" w:rsidRPr="002773AD" w:rsidRDefault="00481145" w:rsidP="002773AD">
            <w:pPr>
              <w:pStyle w:val="TableBody"/>
            </w:pPr>
            <w:r w:rsidRPr="002773AD">
              <w:t>205</w:t>
            </w:r>
          </w:p>
        </w:tc>
        <w:tc>
          <w:tcPr>
            <w:tcW w:w="1030" w:type="pct"/>
            <w:noWrap/>
            <w:hideMark/>
          </w:tcPr>
          <w:p w14:paraId="391F728B" w14:textId="77777777" w:rsidR="00481145" w:rsidRPr="002773AD" w:rsidRDefault="00481145" w:rsidP="002773AD">
            <w:pPr>
              <w:pStyle w:val="TableBody"/>
            </w:pPr>
            <w:r w:rsidRPr="002773AD">
              <w:t>227</w:t>
            </w:r>
          </w:p>
        </w:tc>
        <w:tc>
          <w:tcPr>
            <w:tcW w:w="992" w:type="pct"/>
            <w:noWrap/>
            <w:hideMark/>
          </w:tcPr>
          <w:p w14:paraId="774E824A" w14:textId="77777777" w:rsidR="00481145" w:rsidRPr="002773AD" w:rsidRDefault="00481145" w:rsidP="002773AD">
            <w:pPr>
              <w:pStyle w:val="TableBody"/>
            </w:pPr>
            <w:r w:rsidRPr="002773AD">
              <w:t>166</w:t>
            </w:r>
          </w:p>
        </w:tc>
      </w:tr>
      <w:tr w:rsidR="00481145" w:rsidRPr="002773AD" w14:paraId="23EB40A2" w14:textId="77777777" w:rsidTr="008E0A7B">
        <w:trPr>
          <w:trHeight w:val="288"/>
        </w:trPr>
        <w:tc>
          <w:tcPr>
            <w:tcW w:w="993" w:type="pct"/>
            <w:noWrap/>
            <w:hideMark/>
          </w:tcPr>
          <w:p w14:paraId="26994D96" w14:textId="77777777" w:rsidR="00481145" w:rsidRPr="002773AD" w:rsidRDefault="00481145" w:rsidP="002773AD">
            <w:pPr>
              <w:pStyle w:val="TableBody"/>
            </w:pPr>
            <w:r w:rsidRPr="002773AD">
              <w:t>2011-12</w:t>
            </w:r>
          </w:p>
        </w:tc>
        <w:tc>
          <w:tcPr>
            <w:tcW w:w="992" w:type="pct"/>
            <w:noWrap/>
            <w:hideMark/>
          </w:tcPr>
          <w:p w14:paraId="62423B6C" w14:textId="77777777" w:rsidR="00481145" w:rsidRPr="002773AD" w:rsidRDefault="00481145" w:rsidP="002773AD">
            <w:pPr>
              <w:pStyle w:val="TableBody"/>
            </w:pPr>
            <w:r w:rsidRPr="002773AD">
              <w:t>66</w:t>
            </w:r>
          </w:p>
        </w:tc>
        <w:tc>
          <w:tcPr>
            <w:tcW w:w="992" w:type="pct"/>
            <w:noWrap/>
            <w:hideMark/>
          </w:tcPr>
          <w:p w14:paraId="21EE8676" w14:textId="77777777" w:rsidR="00481145" w:rsidRPr="002773AD" w:rsidRDefault="00481145" w:rsidP="002773AD">
            <w:pPr>
              <w:pStyle w:val="TableBody"/>
            </w:pPr>
            <w:r w:rsidRPr="002773AD">
              <w:t>178</w:t>
            </w:r>
          </w:p>
        </w:tc>
        <w:tc>
          <w:tcPr>
            <w:tcW w:w="1030" w:type="pct"/>
            <w:noWrap/>
            <w:hideMark/>
          </w:tcPr>
          <w:p w14:paraId="56A929BE" w14:textId="77777777" w:rsidR="00481145" w:rsidRPr="002773AD" w:rsidRDefault="00481145" w:rsidP="002773AD">
            <w:pPr>
              <w:pStyle w:val="TableBody"/>
            </w:pPr>
            <w:r w:rsidRPr="002773AD">
              <w:t>210</w:t>
            </w:r>
          </w:p>
        </w:tc>
        <w:tc>
          <w:tcPr>
            <w:tcW w:w="992" w:type="pct"/>
            <w:noWrap/>
            <w:hideMark/>
          </w:tcPr>
          <w:p w14:paraId="12D5820F" w14:textId="77777777" w:rsidR="00481145" w:rsidRPr="002773AD" w:rsidRDefault="00481145" w:rsidP="002773AD">
            <w:pPr>
              <w:pStyle w:val="TableBody"/>
            </w:pPr>
            <w:r w:rsidRPr="002773AD">
              <w:t>195</w:t>
            </w:r>
          </w:p>
        </w:tc>
      </w:tr>
      <w:tr w:rsidR="00481145" w:rsidRPr="002773AD" w14:paraId="4BAF124E" w14:textId="77777777" w:rsidTr="008E0A7B">
        <w:trPr>
          <w:trHeight w:val="288"/>
        </w:trPr>
        <w:tc>
          <w:tcPr>
            <w:tcW w:w="993" w:type="pct"/>
            <w:noWrap/>
            <w:hideMark/>
          </w:tcPr>
          <w:p w14:paraId="131B4FC3" w14:textId="77777777" w:rsidR="00481145" w:rsidRPr="002773AD" w:rsidRDefault="00481145" w:rsidP="002773AD">
            <w:pPr>
              <w:pStyle w:val="TableBody"/>
            </w:pPr>
            <w:r w:rsidRPr="002773AD">
              <w:t>2012-13</w:t>
            </w:r>
          </w:p>
        </w:tc>
        <w:tc>
          <w:tcPr>
            <w:tcW w:w="992" w:type="pct"/>
            <w:noWrap/>
            <w:hideMark/>
          </w:tcPr>
          <w:p w14:paraId="19CF9534" w14:textId="77777777" w:rsidR="00481145" w:rsidRPr="002773AD" w:rsidRDefault="00481145" w:rsidP="002773AD">
            <w:pPr>
              <w:pStyle w:val="TableBody"/>
            </w:pPr>
            <w:r w:rsidRPr="002773AD">
              <w:t>73</w:t>
            </w:r>
          </w:p>
        </w:tc>
        <w:tc>
          <w:tcPr>
            <w:tcW w:w="992" w:type="pct"/>
            <w:noWrap/>
            <w:hideMark/>
          </w:tcPr>
          <w:p w14:paraId="4B9BA98E" w14:textId="77777777" w:rsidR="00481145" w:rsidRPr="002773AD" w:rsidRDefault="00481145" w:rsidP="002773AD">
            <w:pPr>
              <w:pStyle w:val="TableBody"/>
            </w:pPr>
            <w:r w:rsidRPr="002773AD">
              <w:t>191</w:t>
            </w:r>
          </w:p>
        </w:tc>
        <w:tc>
          <w:tcPr>
            <w:tcW w:w="1030" w:type="pct"/>
            <w:noWrap/>
            <w:hideMark/>
          </w:tcPr>
          <w:p w14:paraId="2DC4993C" w14:textId="77777777" w:rsidR="00481145" w:rsidRPr="002773AD" w:rsidRDefault="00481145" w:rsidP="002773AD">
            <w:pPr>
              <w:pStyle w:val="TableBody"/>
            </w:pPr>
            <w:r w:rsidRPr="002773AD">
              <w:t>217</w:t>
            </w:r>
          </w:p>
        </w:tc>
        <w:tc>
          <w:tcPr>
            <w:tcW w:w="992" w:type="pct"/>
            <w:noWrap/>
            <w:hideMark/>
          </w:tcPr>
          <w:p w14:paraId="67B2A69F" w14:textId="77777777" w:rsidR="00481145" w:rsidRPr="002773AD" w:rsidRDefault="00481145" w:rsidP="002773AD">
            <w:pPr>
              <w:pStyle w:val="TableBody"/>
            </w:pPr>
            <w:r w:rsidRPr="002773AD">
              <w:t>230</w:t>
            </w:r>
          </w:p>
        </w:tc>
      </w:tr>
      <w:tr w:rsidR="00481145" w:rsidRPr="002773AD" w14:paraId="1FDEED05" w14:textId="77777777" w:rsidTr="008E0A7B">
        <w:trPr>
          <w:trHeight w:val="288"/>
        </w:trPr>
        <w:tc>
          <w:tcPr>
            <w:tcW w:w="993" w:type="pct"/>
            <w:noWrap/>
            <w:hideMark/>
          </w:tcPr>
          <w:p w14:paraId="165E0D6F" w14:textId="77777777" w:rsidR="00481145" w:rsidRPr="002773AD" w:rsidRDefault="00481145" w:rsidP="002773AD">
            <w:pPr>
              <w:pStyle w:val="TableBody"/>
            </w:pPr>
            <w:r w:rsidRPr="002773AD">
              <w:t>2013-14</w:t>
            </w:r>
          </w:p>
        </w:tc>
        <w:tc>
          <w:tcPr>
            <w:tcW w:w="992" w:type="pct"/>
            <w:noWrap/>
            <w:hideMark/>
          </w:tcPr>
          <w:p w14:paraId="31361FA9" w14:textId="77777777" w:rsidR="00481145" w:rsidRPr="002773AD" w:rsidRDefault="00481145" w:rsidP="002773AD">
            <w:pPr>
              <w:pStyle w:val="TableBody"/>
            </w:pPr>
            <w:r w:rsidRPr="002773AD">
              <w:t>65</w:t>
            </w:r>
          </w:p>
        </w:tc>
        <w:tc>
          <w:tcPr>
            <w:tcW w:w="992" w:type="pct"/>
            <w:noWrap/>
            <w:hideMark/>
          </w:tcPr>
          <w:p w14:paraId="0469630D" w14:textId="77777777" w:rsidR="00481145" w:rsidRPr="002773AD" w:rsidRDefault="00481145" w:rsidP="002773AD">
            <w:pPr>
              <w:pStyle w:val="TableBody"/>
            </w:pPr>
            <w:r w:rsidRPr="002773AD">
              <w:t>186</w:t>
            </w:r>
          </w:p>
        </w:tc>
        <w:tc>
          <w:tcPr>
            <w:tcW w:w="1030" w:type="pct"/>
            <w:noWrap/>
            <w:hideMark/>
          </w:tcPr>
          <w:p w14:paraId="5A09963B" w14:textId="77777777" w:rsidR="00481145" w:rsidRPr="002773AD" w:rsidRDefault="00481145" w:rsidP="002773AD">
            <w:pPr>
              <w:pStyle w:val="TableBody"/>
            </w:pPr>
            <w:r w:rsidRPr="002773AD">
              <w:t>213</w:t>
            </w:r>
          </w:p>
        </w:tc>
        <w:tc>
          <w:tcPr>
            <w:tcW w:w="992" w:type="pct"/>
            <w:noWrap/>
            <w:hideMark/>
          </w:tcPr>
          <w:p w14:paraId="5D7D02BD" w14:textId="77777777" w:rsidR="00481145" w:rsidRPr="002773AD" w:rsidRDefault="00481145" w:rsidP="002773AD">
            <w:pPr>
              <w:pStyle w:val="TableBody"/>
            </w:pPr>
            <w:r w:rsidRPr="002773AD">
              <w:t>185</w:t>
            </w:r>
          </w:p>
        </w:tc>
      </w:tr>
      <w:tr w:rsidR="00481145" w:rsidRPr="002773AD" w14:paraId="75C7D368" w14:textId="77777777" w:rsidTr="008E0A7B">
        <w:trPr>
          <w:trHeight w:val="288"/>
        </w:trPr>
        <w:tc>
          <w:tcPr>
            <w:tcW w:w="993" w:type="pct"/>
            <w:noWrap/>
            <w:hideMark/>
          </w:tcPr>
          <w:p w14:paraId="4637A2EC" w14:textId="77777777" w:rsidR="00481145" w:rsidRPr="002773AD" w:rsidRDefault="00481145" w:rsidP="002773AD">
            <w:pPr>
              <w:pStyle w:val="TableBody"/>
            </w:pPr>
            <w:r w:rsidRPr="002773AD">
              <w:t>2014-15</w:t>
            </w:r>
          </w:p>
        </w:tc>
        <w:tc>
          <w:tcPr>
            <w:tcW w:w="992" w:type="pct"/>
            <w:noWrap/>
            <w:hideMark/>
          </w:tcPr>
          <w:p w14:paraId="5F7203DC" w14:textId="77777777" w:rsidR="00481145" w:rsidRPr="002773AD" w:rsidRDefault="00481145" w:rsidP="002773AD">
            <w:pPr>
              <w:pStyle w:val="TableBody"/>
            </w:pPr>
            <w:r w:rsidRPr="002773AD">
              <w:t>48</w:t>
            </w:r>
          </w:p>
        </w:tc>
        <w:tc>
          <w:tcPr>
            <w:tcW w:w="992" w:type="pct"/>
            <w:noWrap/>
            <w:hideMark/>
          </w:tcPr>
          <w:p w14:paraId="340AFDBE" w14:textId="77777777" w:rsidR="00481145" w:rsidRPr="002773AD" w:rsidRDefault="00481145" w:rsidP="002773AD">
            <w:pPr>
              <w:pStyle w:val="TableBody"/>
            </w:pPr>
            <w:r w:rsidRPr="002773AD">
              <w:t>162</w:t>
            </w:r>
          </w:p>
        </w:tc>
        <w:tc>
          <w:tcPr>
            <w:tcW w:w="1030" w:type="pct"/>
            <w:noWrap/>
            <w:hideMark/>
          </w:tcPr>
          <w:p w14:paraId="24B52E4D" w14:textId="77777777" w:rsidR="00481145" w:rsidRPr="002773AD" w:rsidRDefault="00481145" w:rsidP="002773AD">
            <w:pPr>
              <w:pStyle w:val="TableBody"/>
            </w:pPr>
            <w:r w:rsidRPr="002773AD">
              <w:t>227</w:t>
            </w:r>
          </w:p>
        </w:tc>
        <w:tc>
          <w:tcPr>
            <w:tcW w:w="992" w:type="pct"/>
            <w:noWrap/>
            <w:hideMark/>
          </w:tcPr>
          <w:p w14:paraId="02AE5A38" w14:textId="77777777" w:rsidR="00481145" w:rsidRPr="002773AD" w:rsidRDefault="00481145" w:rsidP="002773AD">
            <w:pPr>
              <w:pStyle w:val="TableBody"/>
            </w:pPr>
            <w:r w:rsidRPr="002773AD">
              <w:t>197</w:t>
            </w:r>
          </w:p>
        </w:tc>
      </w:tr>
      <w:tr w:rsidR="00481145" w:rsidRPr="002773AD" w14:paraId="4AF2CAF8" w14:textId="77777777" w:rsidTr="008E0A7B">
        <w:trPr>
          <w:trHeight w:val="288"/>
        </w:trPr>
        <w:tc>
          <w:tcPr>
            <w:tcW w:w="993" w:type="pct"/>
            <w:noWrap/>
            <w:hideMark/>
          </w:tcPr>
          <w:p w14:paraId="0E063E6A" w14:textId="77777777" w:rsidR="00481145" w:rsidRPr="002773AD" w:rsidRDefault="00481145" w:rsidP="002773AD">
            <w:pPr>
              <w:pStyle w:val="TableBody"/>
            </w:pPr>
            <w:r w:rsidRPr="002773AD">
              <w:t>2015-16</w:t>
            </w:r>
          </w:p>
        </w:tc>
        <w:tc>
          <w:tcPr>
            <w:tcW w:w="992" w:type="pct"/>
            <w:noWrap/>
            <w:hideMark/>
          </w:tcPr>
          <w:p w14:paraId="209515D7" w14:textId="77777777" w:rsidR="00481145" w:rsidRPr="002773AD" w:rsidRDefault="00481145" w:rsidP="002773AD">
            <w:pPr>
              <w:pStyle w:val="TableBody"/>
            </w:pPr>
            <w:r w:rsidRPr="002773AD">
              <w:t>61</w:t>
            </w:r>
          </w:p>
        </w:tc>
        <w:tc>
          <w:tcPr>
            <w:tcW w:w="992" w:type="pct"/>
            <w:noWrap/>
            <w:hideMark/>
          </w:tcPr>
          <w:p w14:paraId="1273AED4" w14:textId="77777777" w:rsidR="00481145" w:rsidRPr="002773AD" w:rsidRDefault="00481145" w:rsidP="002773AD">
            <w:pPr>
              <w:pStyle w:val="TableBody"/>
            </w:pPr>
            <w:r w:rsidRPr="002773AD">
              <w:t>160</w:t>
            </w:r>
          </w:p>
        </w:tc>
        <w:tc>
          <w:tcPr>
            <w:tcW w:w="1030" w:type="pct"/>
            <w:noWrap/>
            <w:hideMark/>
          </w:tcPr>
          <w:p w14:paraId="7B06A6B2" w14:textId="77777777" w:rsidR="00481145" w:rsidRPr="002773AD" w:rsidRDefault="00481145" w:rsidP="002773AD">
            <w:pPr>
              <w:pStyle w:val="TableBody"/>
            </w:pPr>
            <w:r w:rsidRPr="002773AD">
              <w:t>222</w:t>
            </w:r>
          </w:p>
        </w:tc>
        <w:tc>
          <w:tcPr>
            <w:tcW w:w="992" w:type="pct"/>
            <w:noWrap/>
            <w:hideMark/>
          </w:tcPr>
          <w:p w14:paraId="58803EB7" w14:textId="77777777" w:rsidR="00481145" w:rsidRPr="002773AD" w:rsidRDefault="00481145" w:rsidP="002773AD">
            <w:pPr>
              <w:pStyle w:val="TableBody"/>
            </w:pPr>
            <w:r w:rsidRPr="002773AD">
              <w:t>163</w:t>
            </w:r>
          </w:p>
        </w:tc>
      </w:tr>
      <w:tr w:rsidR="00481145" w:rsidRPr="002773AD" w14:paraId="0377FECD" w14:textId="77777777" w:rsidTr="008E0A7B">
        <w:trPr>
          <w:trHeight w:val="288"/>
        </w:trPr>
        <w:tc>
          <w:tcPr>
            <w:tcW w:w="993" w:type="pct"/>
            <w:noWrap/>
            <w:hideMark/>
          </w:tcPr>
          <w:p w14:paraId="5F6179CA" w14:textId="77777777" w:rsidR="00481145" w:rsidRPr="002773AD" w:rsidRDefault="00481145" w:rsidP="002773AD">
            <w:pPr>
              <w:pStyle w:val="TableBody"/>
            </w:pPr>
            <w:r w:rsidRPr="002773AD">
              <w:t>2016-17</w:t>
            </w:r>
          </w:p>
        </w:tc>
        <w:tc>
          <w:tcPr>
            <w:tcW w:w="992" w:type="pct"/>
            <w:noWrap/>
            <w:hideMark/>
          </w:tcPr>
          <w:p w14:paraId="398A113A" w14:textId="77777777" w:rsidR="00481145" w:rsidRPr="002773AD" w:rsidRDefault="00481145" w:rsidP="002773AD">
            <w:pPr>
              <w:pStyle w:val="TableBody"/>
            </w:pPr>
            <w:r w:rsidRPr="002773AD">
              <w:t>86</w:t>
            </w:r>
          </w:p>
        </w:tc>
        <w:tc>
          <w:tcPr>
            <w:tcW w:w="992" w:type="pct"/>
            <w:noWrap/>
            <w:hideMark/>
          </w:tcPr>
          <w:p w14:paraId="00C3A58E" w14:textId="77777777" w:rsidR="00481145" w:rsidRPr="002773AD" w:rsidRDefault="00481145" w:rsidP="002773AD">
            <w:pPr>
              <w:pStyle w:val="TableBody"/>
            </w:pPr>
            <w:r w:rsidRPr="002773AD">
              <w:t>152</w:t>
            </w:r>
          </w:p>
        </w:tc>
        <w:tc>
          <w:tcPr>
            <w:tcW w:w="1030" w:type="pct"/>
            <w:noWrap/>
            <w:hideMark/>
          </w:tcPr>
          <w:p w14:paraId="6CB2F700" w14:textId="77777777" w:rsidR="00481145" w:rsidRPr="002773AD" w:rsidRDefault="00481145" w:rsidP="002773AD">
            <w:pPr>
              <w:pStyle w:val="TableBody"/>
            </w:pPr>
            <w:r w:rsidRPr="002773AD">
              <w:t>231</w:t>
            </w:r>
          </w:p>
        </w:tc>
        <w:tc>
          <w:tcPr>
            <w:tcW w:w="992" w:type="pct"/>
            <w:noWrap/>
            <w:hideMark/>
          </w:tcPr>
          <w:p w14:paraId="7288C199" w14:textId="77777777" w:rsidR="00481145" w:rsidRPr="002773AD" w:rsidRDefault="00481145" w:rsidP="002773AD">
            <w:pPr>
              <w:pStyle w:val="TableBody"/>
            </w:pPr>
            <w:r w:rsidRPr="002773AD">
              <w:t>168</w:t>
            </w:r>
          </w:p>
        </w:tc>
      </w:tr>
      <w:tr w:rsidR="00481145" w:rsidRPr="002773AD" w14:paraId="0D84321C" w14:textId="77777777" w:rsidTr="008E0A7B">
        <w:trPr>
          <w:trHeight w:val="288"/>
        </w:trPr>
        <w:tc>
          <w:tcPr>
            <w:tcW w:w="993" w:type="pct"/>
            <w:noWrap/>
            <w:hideMark/>
          </w:tcPr>
          <w:p w14:paraId="2D76A776" w14:textId="77777777" w:rsidR="00481145" w:rsidRPr="002773AD" w:rsidRDefault="00481145" w:rsidP="002773AD">
            <w:pPr>
              <w:pStyle w:val="TableBody"/>
            </w:pPr>
            <w:r w:rsidRPr="002773AD">
              <w:t>2017-18</w:t>
            </w:r>
          </w:p>
        </w:tc>
        <w:tc>
          <w:tcPr>
            <w:tcW w:w="992" w:type="pct"/>
            <w:noWrap/>
            <w:hideMark/>
          </w:tcPr>
          <w:p w14:paraId="3C031B0E" w14:textId="77777777" w:rsidR="00481145" w:rsidRPr="002773AD" w:rsidRDefault="00481145" w:rsidP="002773AD">
            <w:pPr>
              <w:pStyle w:val="TableBody"/>
            </w:pPr>
            <w:r w:rsidRPr="002773AD">
              <w:t>67</w:t>
            </w:r>
          </w:p>
        </w:tc>
        <w:tc>
          <w:tcPr>
            <w:tcW w:w="992" w:type="pct"/>
            <w:noWrap/>
            <w:hideMark/>
          </w:tcPr>
          <w:p w14:paraId="5E31C2F9" w14:textId="77777777" w:rsidR="00481145" w:rsidRPr="002773AD" w:rsidRDefault="00481145" w:rsidP="002773AD">
            <w:pPr>
              <w:pStyle w:val="TableBody"/>
            </w:pPr>
            <w:r w:rsidRPr="002773AD">
              <w:t>144</w:t>
            </w:r>
          </w:p>
        </w:tc>
        <w:tc>
          <w:tcPr>
            <w:tcW w:w="1030" w:type="pct"/>
            <w:noWrap/>
            <w:hideMark/>
          </w:tcPr>
          <w:p w14:paraId="3611B0F6" w14:textId="77777777" w:rsidR="00481145" w:rsidRPr="002773AD" w:rsidRDefault="00481145" w:rsidP="002773AD">
            <w:pPr>
              <w:pStyle w:val="TableBody"/>
            </w:pPr>
            <w:r w:rsidRPr="002773AD">
              <w:t>227</w:t>
            </w:r>
          </w:p>
        </w:tc>
        <w:tc>
          <w:tcPr>
            <w:tcW w:w="992" w:type="pct"/>
            <w:noWrap/>
            <w:hideMark/>
          </w:tcPr>
          <w:p w14:paraId="54E5C35A" w14:textId="77777777" w:rsidR="00481145" w:rsidRPr="002773AD" w:rsidRDefault="00481145" w:rsidP="002773AD">
            <w:pPr>
              <w:pStyle w:val="TableBody"/>
            </w:pPr>
            <w:r w:rsidRPr="002773AD">
              <w:t>195</w:t>
            </w:r>
          </w:p>
        </w:tc>
      </w:tr>
      <w:tr w:rsidR="00481145" w:rsidRPr="002773AD" w14:paraId="34FE7891" w14:textId="77777777" w:rsidTr="008E0A7B">
        <w:trPr>
          <w:trHeight w:val="288"/>
        </w:trPr>
        <w:tc>
          <w:tcPr>
            <w:tcW w:w="993" w:type="pct"/>
            <w:noWrap/>
            <w:hideMark/>
          </w:tcPr>
          <w:p w14:paraId="23830A8E" w14:textId="77777777" w:rsidR="00481145" w:rsidRPr="002773AD" w:rsidRDefault="00481145" w:rsidP="002773AD">
            <w:pPr>
              <w:pStyle w:val="TableBody"/>
            </w:pPr>
            <w:r w:rsidRPr="002773AD">
              <w:t>2018-19</w:t>
            </w:r>
          </w:p>
        </w:tc>
        <w:tc>
          <w:tcPr>
            <w:tcW w:w="992" w:type="pct"/>
            <w:noWrap/>
            <w:hideMark/>
          </w:tcPr>
          <w:p w14:paraId="7538ADC5" w14:textId="77777777" w:rsidR="00481145" w:rsidRPr="002773AD" w:rsidRDefault="00481145" w:rsidP="002773AD">
            <w:pPr>
              <w:pStyle w:val="TableBody"/>
            </w:pPr>
            <w:r w:rsidRPr="002773AD">
              <w:t>87</w:t>
            </w:r>
          </w:p>
        </w:tc>
        <w:tc>
          <w:tcPr>
            <w:tcW w:w="992" w:type="pct"/>
            <w:noWrap/>
            <w:hideMark/>
          </w:tcPr>
          <w:p w14:paraId="1A6F43A6" w14:textId="77777777" w:rsidR="00481145" w:rsidRPr="002773AD" w:rsidRDefault="00481145" w:rsidP="002773AD">
            <w:pPr>
              <w:pStyle w:val="TableBody"/>
            </w:pPr>
            <w:r w:rsidRPr="002773AD">
              <w:t>184</w:t>
            </w:r>
          </w:p>
        </w:tc>
        <w:tc>
          <w:tcPr>
            <w:tcW w:w="1030" w:type="pct"/>
            <w:noWrap/>
            <w:hideMark/>
          </w:tcPr>
          <w:p w14:paraId="3982EC21" w14:textId="77777777" w:rsidR="00481145" w:rsidRPr="002773AD" w:rsidRDefault="00481145" w:rsidP="002773AD">
            <w:pPr>
              <w:pStyle w:val="TableBody"/>
            </w:pPr>
            <w:r w:rsidRPr="002773AD">
              <w:t>227</w:t>
            </w:r>
          </w:p>
        </w:tc>
        <w:tc>
          <w:tcPr>
            <w:tcW w:w="992" w:type="pct"/>
            <w:noWrap/>
            <w:hideMark/>
          </w:tcPr>
          <w:p w14:paraId="5B5DB53B" w14:textId="77777777" w:rsidR="00481145" w:rsidRPr="002773AD" w:rsidRDefault="00481145" w:rsidP="002773AD">
            <w:pPr>
              <w:pStyle w:val="TableBody"/>
            </w:pPr>
            <w:r w:rsidRPr="002773AD">
              <w:t>178</w:t>
            </w:r>
          </w:p>
        </w:tc>
      </w:tr>
      <w:tr w:rsidR="00481145" w:rsidRPr="002773AD" w14:paraId="01DCCD1F" w14:textId="77777777" w:rsidTr="008E0A7B">
        <w:trPr>
          <w:trHeight w:val="288"/>
        </w:trPr>
        <w:tc>
          <w:tcPr>
            <w:tcW w:w="993" w:type="pct"/>
            <w:noWrap/>
            <w:hideMark/>
          </w:tcPr>
          <w:p w14:paraId="21642E3E" w14:textId="77777777" w:rsidR="00481145" w:rsidRPr="002773AD" w:rsidRDefault="00481145" w:rsidP="002773AD">
            <w:pPr>
              <w:pStyle w:val="TableBody"/>
            </w:pPr>
            <w:r w:rsidRPr="002773AD">
              <w:t>2019-20</w:t>
            </w:r>
          </w:p>
        </w:tc>
        <w:tc>
          <w:tcPr>
            <w:tcW w:w="992" w:type="pct"/>
            <w:noWrap/>
            <w:hideMark/>
          </w:tcPr>
          <w:p w14:paraId="1B4EB2A7" w14:textId="77777777" w:rsidR="00481145" w:rsidRPr="002773AD" w:rsidRDefault="00481145" w:rsidP="002773AD">
            <w:pPr>
              <w:pStyle w:val="TableBody"/>
            </w:pPr>
            <w:r w:rsidRPr="002773AD">
              <w:t>64</w:t>
            </w:r>
          </w:p>
        </w:tc>
        <w:tc>
          <w:tcPr>
            <w:tcW w:w="992" w:type="pct"/>
            <w:noWrap/>
            <w:hideMark/>
          </w:tcPr>
          <w:p w14:paraId="35287800" w14:textId="77777777" w:rsidR="00481145" w:rsidRPr="002773AD" w:rsidRDefault="00481145" w:rsidP="002773AD">
            <w:pPr>
              <w:pStyle w:val="TableBody"/>
            </w:pPr>
            <w:r w:rsidRPr="002773AD">
              <w:t>163</w:t>
            </w:r>
          </w:p>
        </w:tc>
        <w:tc>
          <w:tcPr>
            <w:tcW w:w="1030" w:type="pct"/>
            <w:noWrap/>
            <w:hideMark/>
          </w:tcPr>
          <w:p w14:paraId="6C906ED7" w14:textId="77777777" w:rsidR="00481145" w:rsidRPr="002773AD" w:rsidRDefault="00481145" w:rsidP="002773AD">
            <w:pPr>
              <w:pStyle w:val="TableBody"/>
            </w:pPr>
            <w:r w:rsidRPr="002773AD">
              <w:t>242</w:t>
            </w:r>
          </w:p>
        </w:tc>
        <w:tc>
          <w:tcPr>
            <w:tcW w:w="992" w:type="pct"/>
            <w:noWrap/>
            <w:hideMark/>
          </w:tcPr>
          <w:p w14:paraId="323DA482" w14:textId="77777777" w:rsidR="00481145" w:rsidRPr="002773AD" w:rsidRDefault="00481145" w:rsidP="002773AD">
            <w:pPr>
              <w:pStyle w:val="TableBody"/>
            </w:pPr>
            <w:r w:rsidRPr="002773AD">
              <w:t>159</w:t>
            </w:r>
          </w:p>
        </w:tc>
      </w:tr>
      <w:tr w:rsidR="00481145" w:rsidRPr="002773AD" w14:paraId="7511C88A" w14:textId="77777777" w:rsidTr="008E0A7B">
        <w:trPr>
          <w:trHeight w:val="288"/>
        </w:trPr>
        <w:tc>
          <w:tcPr>
            <w:tcW w:w="993" w:type="pct"/>
            <w:noWrap/>
            <w:hideMark/>
          </w:tcPr>
          <w:p w14:paraId="0EB5D317" w14:textId="77777777" w:rsidR="00481145" w:rsidRPr="002773AD" w:rsidRDefault="00481145" w:rsidP="002773AD">
            <w:pPr>
              <w:pStyle w:val="TableBody"/>
            </w:pPr>
            <w:r w:rsidRPr="002773AD">
              <w:t>2020-21</w:t>
            </w:r>
          </w:p>
        </w:tc>
        <w:tc>
          <w:tcPr>
            <w:tcW w:w="992" w:type="pct"/>
            <w:noWrap/>
            <w:hideMark/>
          </w:tcPr>
          <w:p w14:paraId="706FCF01" w14:textId="77777777" w:rsidR="00481145" w:rsidRPr="002773AD" w:rsidRDefault="00481145" w:rsidP="002773AD">
            <w:pPr>
              <w:pStyle w:val="TableBody"/>
            </w:pPr>
            <w:r w:rsidRPr="002773AD">
              <w:t>54</w:t>
            </w:r>
          </w:p>
        </w:tc>
        <w:tc>
          <w:tcPr>
            <w:tcW w:w="992" w:type="pct"/>
            <w:noWrap/>
            <w:hideMark/>
          </w:tcPr>
          <w:p w14:paraId="0C654C4F" w14:textId="77777777" w:rsidR="00481145" w:rsidRPr="002773AD" w:rsidRDefault="00481145" w:rsidP="002773AD">
            <w:pPr>
              <w:pStyle w:val="TableBody"/>
            </w:pPr>
            <w:r w:rsidRPr="002773AD">
              <w:t>120</w:t>
            </w:r>
          </w:p>
        </w:tc>
        <w:tc>
          <w:tcPr>
            <w:tcW w:w="1030" w:type="pct"/>
            <w:noWrap/>
            <w:hideMark/>
          </w:tcPr>
          <w:p w14:paraId="252D1864" w14:textId="77777777" w:rsidR="00481145" w:rsidRPr="002773AD" w:rsidRDefault="00481145" w:rsidP="002773AD">
            <w:pPr>
              <w:pStyle w:val="TableBody"/>
            </w:pPr>
            <w:r w:rsidRPr="002773AD">
              <w:t>162</w:t>
            </w:r>
          </w:p>
        </w:tc>
        <w:tc>
          <w:tcPr>
            <w:tcW w:w="992" w:type="pct"/>
            <w:noWrap/>
            <w:hideMark/>
          </w:tcPr>
          <w:p w14:paraId="0A1F7D2C" w14:textId="77777777" w:rsidR="00481145" w:rsidRPr="002773AD" w:rsidRDefault="00481145" w:rsidP="002773AD">
            <w:pPr>
              <w:pStyle w:val="TableBody"/>
            </w:pPr>
            <w:r w:rsidRPr="002773AD">
              <w:t>122</w:t>
            </w:r>
          </w:p>
        </w:tc>
      </w:tr>
      <w:tr w:rsidR="00481145" w:rsidRPr="002773AD" w14:paraId="7CE0E4C2" w14:textId="77777777" w:rsidTr="008E0A7B">
        <w:trPr>
          <w:trHeight w:val="288"/>
        </w:trPr>
        <w:tc>
          <w:tcPr>
            <w:tcW w:w="993" w:type="pct"/>
            <w:noWrap/>
            <w:hideMark/>
          </w:tcPr>
          <w:p w14:paraId="464741E1" w14:textId="77777777" w:rsidR="00481145" w:rsidRPr="002773AD" w:rsidRDefault="00481145" w:rsidP="002773AD">
            <w:pPr>
              <w:pStyle w:val="TableBody"/>
            </w:pPr>
            <w:r w:rsidRPr="002773AD">
              <w:t>2021-22</w:t>
            </w:r>
          </w:p>
        </w:tc>
        <w:tc>
          <w:tcPr>
            <w:tcW w:w="992" w:type="pct"/>
            <w:noWrap/>
            <w:hideMark/>
          </w:tcPr>
          <w:p w14:paraId="36B7365F" w14:textId="77777777" w:rsidR="00481145" w:rsidRPr="002773AD" w:rsidRDefault="00481145" w:rsidP="002773AD">
            <w:pPr>
              <w:pStyle w:val="TableBody"/>
            </w:pPr>
            <w:r w:rsidRPr="002773AD">
              <w:t>51</w:t>
            </w:r>
          </w:p>
        </w:tc>
        <w:tc>
          <w:tcPr>
            <w:tcW w:w="992" w:type="pct"/>
            <w:noWrap/>
            <w:hideMark/>
          </w:tcPr>
          <w:p w14:paraId="2DADA7FD" w14:textId="77777777" w:rsidR="00481145" w:rsidRPr="002773AD" w:rsidRDefault="00481145" w:rsidP="002773AD">
            <w:pPr>
              <w:pStyle w:val="TableBody"/>
            </w:pPr>
            <w:r w:rsidRPr="002773AD">
              <w:t>200</w:t>
            </w:r>
          </w:p>
        </w:tc>
        <w:tc>
          <w:tcPr>
            <w:tcW w:w="1030" w:type="pct"/>
            <w:noWrap/>
            <w:hideMark/>
          </w:tcPr>
          <w:p w14:paraId="7A1267B4" w14:textId="77777777" w:rsidR="00481145" w:rsidRPr="002773AD" w:rsidRDefault="00481145" w:rsidP="002773AD">
            <w:pPr>
              <w:pStyle w:val="TableBody"/>
            </w:pPr>
            <w:r w:rsidRPr="002773AD">
              <w:t>210</w:t>
            </w:r>
          </w:p>
        </w:tc>
        <w:tc>
          <w:tcPr>
            <w:tcW w:w="992" w:type="pct"/>
            <w:noWrap/>
            <w:hideMark/>
          </w:tcPr>
          <w:p w14:paraId="3149F24B" w14:textId="77777777" w:rsidR="00481145" w:rsidRPr="002773AD" w:rsidRDefault="00481145" w:rsidP="002773AD">
            <w:pPr>
              <w:pStyle w:val="TableBody"/>
            </w:pPr>
            <w:r w:rsidRPr="002773AD">
              <w:t>125</w:t>
            </w:r>
          </w:p>
        </w:tc>
      </w:tr>
      <w:tr w:rsidR="00481145" w:rsidRPr="002773AD" w14:paraId="61F1B3AE" w14:textId="77777777" w:rsidTr="008E0A7B">
        <w:trPr>
          <w:trHeight w:val="288"/>
        </w:trPr>
        <w:tc>
          <w:tcPr>
            <w:tcW w:w="993" w:type="pct"/>
            <w:noWrap/>
            <w:hideMark/>
          </w:tcPr>
          <w:p w14:paraId="5AB4EB8C" w14:textId="77777777" w:rsidR="00481145" w:rsidRPr="002773AD" w:rsidRDefault="00481145" w:rsidP="002773AD">
            <w:pPr>
              <w:pStyle w:val="TableBody"/>
            </w:pPr>
            <w:r w:rsidRPr="002773AD">
              <w:t>2022-23</w:t>
            </w:r>
          </w:p>
        </w:tc>
        <w:tc>
          <w:tcPr>
            <w:tcW w:w="992" w:type="pct"/>
            <w:noWrap/>
            <w:hideMark/>
          </w:tcPr>
          <w:p w14:paraId="69BD4A79" w14:textId="77777777" w:rsidR="00481145" w:rsidRPr="002773AD" w:rsidRDefault="00481145" w:rsidP="002773AD">
            <w:pPr>
              <w:pStyle w:val="TableBody"/>
            </w:pPr>
            <w:r w:rsidRPr="002773AD">
              <w:t>69</w:t>
            </w:r>
          </w:p>
        </w:tc>
        <w:tc>
          <w:tcPr>
            <w:tcW w:w="992" w:type="pct"/>
            <w:noWrap/>
            <w:hideMark/>
          </w:tcPr>
          <w:p w14:paraId="1DDF0463" w14:textId="77777777" w:rsidR="00481145" w:rsidRPr="002773AD" w:rsidRDefault="00481145" w:rsidP="002773AD">
            <w:pPr>
              <w:pStyle w:val="TableBody"/>
            </w:pPr>
            <w:r w:rsidRPr="002773AD">
              <w:t>229</w:t>
            </w:r>
          </w:p>
        </w:tc>
        <w:tc>
          <w:tcPr>
            <w:tcW w:w="1030" w:type="pct"/>
            <w:noWrap/>
            <w:hideMark/>
          </w:tcPr>
          <w:p w14:paraId="0FB80A2F" w14:textId="77777777" w:rsidR="00481145" w:rsidRPr="002773AD" w:rsidRDefault="00481145" w:rsidP="002773AD">
            <w:pPr>
              <w:pStyle w:val="TableBody"/>
            </w:pPr>
            <w:r w:rsidRPr="002773AD">
              <w:t>261</w:t>
            </w:r>
          </w:p>
        </w:tc>
        <w:tc>
          <w:tcPr>
            <w:tcW w:w="992" w:type="pct"/>
            <w:noWrap/>
            <w:hideMark/>
          </w:tcPr>
          <w:p w14:paraId="4395B947" w14:textId="77777777" w:rsidR="00481145" w:rsidRPr="002773AD" w:rsidRDefault="00481145" w:rsidP="002773AD">
            <w:pPr>
              <w:pStyle w:val="TableBody"/>
            </w:pPr>
            <w:r w:rsidRPr="002773AD">
              <w:t>150</w:t>
            </w:r>
          </w:p>
        </w:tc>
      </w:tr>
      <w:tr w:rsidR="00481145" w:rsidRPr="002773AD" w14:paraId="032B5D7B" w14:textId="77777777" w:rsidTr="008E0A7B">
        <w:trPr>
          <w:trHeight w:val="288"/>
        </w:trPr>
        <w:tc>
          <w:tcPr>
            <w:tcW w:w="993" w:type="pct"/>
            <w:noWrap/>
            <w:hideMark/>
          </w:tcPr>
          <w:p w14:paraId="108700B7" w14:textId="77777777" w:rsidR="00481145" w:rsidRPr="002773AD" w:rsidRDefault="00481145" w:rsidP="002773AD">
            <w:pPr>
              <w:pStyle w:val="TableBody"/>
            </w:pPr>
            <w:r w:rsidRPr="002773AD">
              <w:t>2023-24</w:t>
            </w:r>
          </w:p>
        </w:tc>
        <w:tc>
          <w:tcPr>
            <w:tcW w:w="992" w:type="pct"/>
            <w:noWrap/>
            <w:hideMark/>
          </w:tcPr>
          <w:p w14:paraId="2633328A" w14:textId="77777777" w:rsidR="00481145" w:rsidRPr="002773AD" w:rsidRDefault="00481145" w:rsidP="002773AD">
            <w:pPr>
              <w:pStyle w:val="TableBody"/>
            </w:pPr>
            <w:r w:rsidRPr="002773AD">
              <w:t>70</w:t>
            </w:r>
          </w:p>
        </w:tc>
        <w:tc>
          <w:tcPr>
            <w:tcW w:w="992" w:type="pct"/>
            <w:noWrap/>
            <w:hideMark/>
          </w:tcPr>
          <w:p w14:paraId="1526AB9B" w14:textId="77777777" w:rsidR="00481145" w:rsidRPr="002773AD" w:rsidRDefault="00481145" w:rsidP="002773AD">
            <w:pPr>
              <w:pStyle w:val="TableBody"/>
            </w:pPr>
            <w:r w:rsidRPr="002773AD">
              <w:t>185</w:t>
            </w:r>
          </w:p>
        </w:tc>
        <w:tc>
          <w:tcPr>
            <w:tcW w:w="1030" w:type="pct"/>
            <w:noWrap/>
            <w:hideMark/>
          </w:tcPr>
          <w:p w14:paraId="07921A20" w14:textId="77777777" w:rsidR="00481145" w:rsidRPr="002773AD" w:rsidRDefault="00481145" w:rsidP="002773AD">
            <w:pPr>
              <w:pStyle w:val="TableBody"/>
            </w:pPr>
            <w:r w:rsidRPr="002773AD">
              <w:t>255</w:t>
            </w:r>
          </w:p>
        </w:tc>
        <w:tc>
          <w:tcPr>
            <w:tcW w:w="992" w:type="pct"/>
            <w:noWrap/>
            <w:hideMark/>
          </w:tcPr>
          <w:p w14:paraId="56BF479E" w14:textId="77777777" w:rsidR="00481145" w:rsidRPr="002773AD" w:rsidRDefault="00481145" w:rsidP="002773AD">
            <w:pPr>
              <w:pStyle w:val="TableBody"/>
            </w:pPr>
            <w:r w:rsidRPr="002773AD">
              <w:t>110</w:t>
            </w:r>
          </w:p>
        </w:tc>
      </w:tr>
    </w:tbl>
    <w:p w14:paraId="0E8E480A" w14:textId="77777777" w:rsidR="00A4454A" w:rsidRPr="008C1137" w:rsidRDefault="00A4454A" w:rsidP="0002476E">
      <w:pPr>
        <w:pStyle w:val="Heading4"/>
      </w:pPr>
      <w:r w:rsidRPr="008C1137">
        <w:t>Proportion of cases sentenced to imprisonment in the higher courts</w:t>
      </w:r>
    </w:p>
    <w:p w14:paraId="036E5917" w14:textId="3914A58A" w:rsidR="00A4454A" w:rsidRPr="008C1137" w:rsidRDefault="00A4454A" w:rsidP="00210207">
      <w:pPr>
        <w:pStyle w:val="Numbered"/>
      </w:pPr>
      <w:r w:rsidRPr="008C1137">
        <w:t>Figure 24</w:t>
      </w:r>
      <w:r w:rsidR="009E33A5">
        <w:t xml:space="preserve"> </w:t>
      </w:r>
      <w:r w:rsidRPr="008C1137">
        <w:t xml:space="preserve">shows the proportion of cases resulting in a custodial sentence by the category of principal offence in the case. That proportion increased for </w:t>
      </w:r>
      <w:r w:rsidRPr="003B3217">
        <w:rPr>
          <w:rStyle w:val="Italic"/>
        </w:rPr>
        <w:t xml:space="preserve">all </w:t>
      </w:r>
      <w:r w:rsidRPr="008C1137">
        <w:t>offence categories, but Figure 24 shows an especially stark increase for offences against the person, property offences and drug offences. Drug offences had the highest imprisonment rate almost every year (ranging from 58% to 92%), with the exception of 2005–06. Between 2004–05 and 2023–24, the imprisonment rate for those three offence categories increased:</w:t>
      </w:r>
    </w:p>
    <w:p w14:paraId="3B5C7656" w14:textId="77777777" w:rsidR="00A4454A" w:rsidRPr="008C1137" w:rsidRDefault="00A4454A" w:rsidP="008C1137">
      <w:pPr>
        <w:pStyle w:val="Bullets"/>
      </w:pPr>
      <w:r w:rsidRPr="008C1137">
        <w:t>from 62.7% of cases to 84.3% for drug offences</w:t>
      </w:r>
    </w:p>
    <w:p w14:paraId="653496CF" w14:textId="77777777" w:rsidR="00A4454A" w:rsidRPr="008C1137" w:rsidRDefault="00A4454A" w:rsidP="008C1137">
      <w:pPr>
        <w:pStyle w:val="Bullets"/>
      </w:pPr>
      <w:r w:rsidRPr="008C1137">
        <w:t>from 44.9% of cases to 77.8% for property offences and</w:t>
      </w:r>
    </w:p>
    <w:p w14:paraId="2D8A6DAC" w14:textId="77777777" w:rsidR="00A4454A" w:rsidRPr="008C1137" w:rsidRDefault="00A4454A" w:rsidP="008C1137">
      <w:pPr>
        <w:pStyle w:val="Bullets"/>
      </w:pPr>
      <w:r w:rsidRPr="008C1137">
        <w:lastRenderedPageBreak/>
        <w:t>from 53.2% of cases to 77.3% for offences against the person.</w:t>
      </w:r>
    </w:p>
    <w:p w14:paraId="08DAA36D" w14:textId="77777777" w:rsidR="00335BD7" w:rsidRPr="008C1137" w:rsidRDefault="00335BD7" w:rsidP="00BE4EDC">
      <w:pPr>
        <w:pStyle w:val="Caption"/>
      </w:pPr>
      <w:r w:rsidRPr="00157502">
        <w:t>Figure 24</w:t>
      </w:r>
      <w:r w:rsidRPr="008C1137">
        <w:t>: Proportion of cases receiving a custodial sentence in the higher courts, by category of principal offence, 2004–05 to 2023–24</w:t>
      </w:r>
    </w:p>
    <w:tbl>
      <w:tblPr>
        <w:tblStyle w:val="Table"/>
        <w:tblW w:w="5000" w:type="pct"/>
        <w:tblLook w:val="04A0" w:firstRow="1" w:lastRow="0" w:firstColumn="1" w:lastColumn="0" w:noHBand="0" w:noVBand="1"/>
      </w:tblPr>
      <w:tblGrid>
        <w:gridCol w:w="2254"/>
        <w:gridCol w:w="2254"/>
        <w:gridCol w:w="2254"/>
        <w:gridCol w:w="2254"/>
      </w:tblGrid>
      <w:tr w:rsidR="00AD3EDE" w:rsidRPr="002773AD" w14:paraId="4EE7B970" w14:textId="77777777" w:rsidTr="007365F6">
        <w:trPr>
          <w:trHeight w:val="288"/>
          <w:tblHeader/>
        </w:trPr>
        <w:tc>
          <w:tcPr>
            <w:tcW w:w="1250" w:type="pct"/>
            <w:noWrap/>
            <w:hideMark/>
          </w:tcPr>
          <w:p w14:paraId="10AE5B93" w14:textId="0F0B5C01" w:rsidR="00AD3EDE" w:rsidRPr="002773AD" w:rsidRDefault="00AD3EDE" w:rsidP="002773AD">
            <w:pPr>
              <w:pStyle w:val="TableHeading"/>
            </w:pPr>
            <w:r w:rsidRPr="002773AD">
              <w:t>Financial year</w:t>
            </w:r>
          </w:p>
        </w:tc>
        <w:tc>
          <w:tcPr>
            <w:tcW w:w="1250" w:type="pct"/>
            <w:noWrap/>
            <w:hideMark/>
          </w:tcPr>
          <w:p w14:paraId="0BFBBF51" w14:textId="77777777" w:rsidR="00AD3EDE" w:rsidRPr="002773AD" w:rsidRDefault="00AD3EDE" w:rsidP="002773AD">
            <w:pPr>
              <w:pStyle w:val="TableHeading"/>
            </w:pPr>
            <w:r w:rsidRPr="002773AD">
              <w:t>Person</w:t>
            </w:r>
          </w:p>
        </w:tc>
        <w:tc>
          <w:tcPr>
            <w:tcW w:w="1250" w:type="pct"/>
            <w:noWrap/>
            <w:hideMark/>
          </w:tcPr>
          <w:p w14:paraId="53E740A5" w14:textId="77777777" w:rsidR="00AD3EDE" w:rsidRPr="002773AD" w:rsidRDefault="00AD3EDE" w:rsidP="002773AD">
            <w:pPr>
              <w:pStyle w:val="TableHeading"/>
            </w:pPr>
            <w:r w:rsidRPr="002773AD">
              <w:t>Property</w:t>
            </w:r>
          </w:p>
        </w:tc>
        <w:tc>
          <w:tcPr>
            <w:tcW w:w="1250" w:type="pct"/>
            <w:noWrap/>
            <w:hideMark/>
          </w:tcPr>
          <w:p w14:paraId="69A7D8F3" w14:textId="77777777" w:rsidR="00AD3EDE" w:rsidRPr="002773AD" w:rsidRDefault="00AD3EDE" w:rsidP="002773AD">
            <w:pPr>
              <w:pStyle w:val="TableHeading"/>
            </w:pPr>
            <w:r w:rsidRPr="002773AD">
              <w:t>Drug</w:t>
            </w:r>
          </w:p>
        </w:tc>
      </w:tr>
      <w:tr w:rsidR="00AD3EDE" w:rsidRPr="002773AD" w14:paraId="63E69D4A" w14:textId="77777777" w:rsidTr="007365F6">
        <w:trPr>
          <w:trHeight w:val="288"/>
        </w:trPr>
        <w:tc>
          <w:tcPr>
            <w:tcW w:w="1250" w:type="pct"/>
            <w:noWrap/>
            <w:hideMark/>
          </w:tcPr>
          <w:p w14:paraId="2AC1EDB5" w14:textId="77777777" w:rsidR="00AD3EDE" w:rsidRPr="002773AD" w:rsidRDefault="00AD3EDE" w:rsidP="002773AD">
            <w:pPr>
              <w:pStyle w:val="TableBody"/>
            </w:pPr>
            <w:r w:rsidRPr="002773AD">
              <w:t>2004-05</w:t>
            </w:r>
          </w:p>
        </w:tc>
        <w:tc>
          <w:tcPr>
            <w:tcW w:w="1250" w:type="pct"/>
            <w:noWrap/>
            <w:hideMark/>
          </w:tcPr>
          <w:p w14:paraId="6CC9016F" w14:textId="77777777" w:rsidR="00AD3EDE" w:rsidRPr="002773AD" w:rsidRDefault="00AD3EDE" w:rsidP="002773AD">
            <w:pPr>
              <w:pStyle w:val="TableBody"/>
            </w:pPr>
            <w:r w:rsidRPr="002773AD">
              <w:t>53.2</w:t>
            </w:r>
          </w:p>
        </w:tc>
        <w:tc>
          <w:tcPr>
            <w:tcW w:w="1250" w:type="pct"/>
            <w:noWrap/>
            <w:hideMark/>
          </w:tcPr>
          <w:p w14:paraId="7648E081" w14:textId="77777777" w:rsidR="00AD3EDE" w:rsidRPr="002773AD" w:rsidRDefault="00AD3EDE" w:rsidP="002773AD">
            <w:pPr>
              <w:pStyle w:val="TableBody"/>
            </w:pPr>
            <w:r w:rsidRPr="002773AD">
              <w:t>44.9</w:t>
            </w:r>
          </w:p>
        </w:tc>
        <w:tc>
          <w:tcPr>
            <w:tcW w:w="1250" w:type="pct"/>
            <w:noWrap/>
            <w:hideMark/>
          </w:tcPr>
          <w:p w14:paraId="64D9A554" w14:textId="77777777" w:rsidR="00AD3EDE" w:rsidRPr="002773AD" w:rsidRDefault="00AD3EDE" w:rsidP="002773AD">
            <w:pPr>
              <w:pStyle w:val="TableBody"/>
            </w:pPr>
            <w:r w:rsidRPr="002773AD">
              <w:t>62.7</w:t>
            </w:r>
          </w:p>
        </w:tc>
      </w:tr>
      <w:tr w:rsidR="00AD3EDE" w:rsidRPr="002773AD" w14:paraId="7C70E99B" w14:textId="77777777" w:rsidTr="007365F6">
        <w:trPr>
          <w:trHeight w:val="288"/>
        </w:trPr>
        <w:tc>
          <w:tcPr>
            <w:tcW w:w="1250" w:type="pct"/>
            <w:noWrap/>
            <w:hideMark/>
          </w:tcPr>
          <w:p w14:paraId="212D06C3" w14:textId="77777777" w:rsidR="00AD3EDE" w:rsidRPr="002773AD" w:rsidRDefault="00AD3EDE" w:rsidP="002773AD">
            <w:pPr>
              <w:pStyle w:val="TableBody"/>
            </w:pPr>
            <w:r w:rsidRPr="002773AD">
              <w:t>2005-06</w:t>
            </w:r>
          </w:p>
        </w:tc>
        <w:tc>
          <w:tcPr>
            <w:tcW w:w="1250" w:type="pct"/>
            <w:noWrap/>
            <w:hideMark/>
          </w:tcPr>
          <w:p w14:paraId="57692960" w14:textId="77777777" w:rsidR="00AD3EDE" w:rsidRPr="002773AD" w:rsidRDefault="00AD3EDE" w:rsidP="002773AD">
            <w:pPr>
              <w:pStyle w:val="TableBody"/>
            </w:pPr>
            <w:r w:rsidRPr="002773AD">
              <w:t>58.5</w:t>
            </w:r>
          </w:p>
        </w:tc>
        <w:tc>
          <w:tcPr>
            <w:tcW w:w="1250" w:type="pct"/>
            <w:noWrap/>
            <w:hideMark/>
          </w:tcPr>
          <w:p w14:paraId="78652D1A" w14:textId="77777777" w:rsidR="00AD3EDE" w:rsidRPr="002773AD" w:rsidRDefault="00AD3EDE" w:rsidP="002773AD">
            <w:pPr>
              <w:pStyle w:val="TableBody"/>
            </w:pPr>
            <w:r w:rsidRPr="002773AD">
              <w:t>45.4</w:t>
            </w:r>
          </w:p>
        </w:tc>
        <w:tc>
          <w:tcPr>
            <w:tcW w:w="1250" w:type="pct"/>
            <w:noWrap/>
            <w:hideMark/>
          </w:tcPr>
          <w:p w14:paraId="5C80277E" w14:textId="77777777" w:rsidR="00AD3EDE" w:rsidRPr="002773AD" w:rsidRDefault="00AD3EDE" w:rsidP="002773AD">
            <w:pPr>
              <w:pStyle w:val="TableBody"/>
            </w:pPr>
            <w:r w:rsidRPr="002773AD">
              <w:t>57.7</w:t>
            </w:r>
          </w:p>
        </w:tc>
      </w:tr>
      <w:tr w:rsidR="00AD3EDE" w:rsidRPr="002773AD" w14:paraId="3806BF12" w14:textId="77777777" w:rsidTr="007365F6">
        <w:trPr>
          <w:trHeight w:val="288"/>
        </w:trPr>
        <w:tc>
          <w:tcPr>
            <w:tcW w:w="1250" w:type="pct"/>
            <w:noWrap/>
            <w:hideMark/>
          </w:tcPr>
          <w:p w14:paraId="12BEC956" w14:textId="77777777" w:rsidR="00AD3EDE" w:rsidRPr="002773AD" w:rsidRDefault="00AD3EDE" w:rsidP="002773AD">
            <w:pPr>
              <w:pStyle w:val="TableBody"/>
            </w:pPr>
            <w:r w:rsidRPr="002773AD">
              <w:t>2006-07</w:t>
            </w:r>
          </w:p>
        </w:tc>
        <w:tc>
          <w:tcPr>
            <w:tcW w:w="1250" w:type="pct"/>
            <w:noWrap/>
            <w:hideMark/>
          </w:tcPr>
          <w:p w14:paraId="3C3E9C9E" w14:textId="77777777" w:rsidR="00AD3EDE" w:rsidRPr="002773AD" w:rsidRDefault="00AD3EDE" w:rsidP="002773AD">
            <w:pPr>
              <w:pStyle w:val="TableBody"/>
            </w:pPr>
            <w:r w:rsidRPr="002773AD">
              <w:t>57.9</w:t>
            </w:r>
          </w:p>
        </w:tc>
        <w:tc>
          <w:tcPr>
            <w:tcW w:w="1250" w:type="pct"/>
            <w:noWrap/>
            <w:hideMark/>
          </w:tcPr>
          <w:p w14:paraId="490B31F7" w14:textId="77777777" w:rsidR="00AD3EDE" w:rsidRPr="002773AD" w:rsidRDefault="00AD3EDE" w:rsidP="002773AD">
            <w:pPr>
              <w:pStyle w:val="TableBody"/>
            </w:pPr>
            <w:r w:rsidRPr="002773AD">
              <w:t>49.7</w:t>
            </w:r>
          </w:p>
        </w:tc>
        <w:tc>
          <w:tcPr>
            <w:tcW w:w="1250" w:type="pct"/>
            <w:noWrap/>
            <w:hideMark/>
          </w:tcPr>
          <w:p w14:paraId="4D889F08" w14:textId="77777777" w:rsidR="00AD3EDE" w:rsidRPr="002773AD" w:rsidRDefault="00AD3EDE" w:rsidP="002773AD">
            <w:pPr>
              <w:pStyle w:val="TableBody"/>
            </w:pPr>
            <w:r w:rsidRPr="002773AD">
              <w:t>67.0</w:t>
            </w:r>
          </w:p>
        </w:tc>
      </w:tr>
      <w:tr w:rsidR="00AD3EDE" w:rsidRPr="002773AD" w14:paraId="27906CCD" w14:textId="77777777" w:rsidTr="007365F6">
        <w:trPr>
          <w:trHeight w:val="288"/>
        </w:trPr>
        <w:tc>
          <w:tcPr>
            <w:tcW w:w="1250" w:type="pct"/>
            <w:noWrap/>
            <w:hideMark/>
          </w:tcPr>
          <w:p w14:paraId="75DCD693" w14:textId="77777777" w:rsidR="00AD3EDE" w:rsidRPr="002773AD" w:rsidRDefault="00AD3EDE" w:rsidP="002773AD">
            <w:pPr>
              <w:pStyle w:val="TableBody"/>
            </w:pPr>
            <w:r w:rsidRPr="002773AD">
              <w:t>2007-08</w:t>
            </w:r>
          </w:p>
        </w:tc>
        <w:tc>
          <w:tcPr>
            <w:tcW w:w="1250" w:type="pct"/>
            <w:noWrap/>
            <w:hideMark/>
          </w:tcPr>
          <w:p w14:paraId="3420B8B8" w14:textId="77777777" w:rsidR="00AD3EDE" w:rsidRPr="002773AD" w:rsidRDefault="00AD3EDE" w:rsidP="002773AD">
            <w:pPr>
              <w:pStyle w:val="TableBody"/>
            </w:pPr>
            <w:r w:rsidRPr="002773AD">
              <w:t>57.1</w:t>
            </w:r>
          </w:p>
        </w:tc>
        <w:tc>
          <w:tcPr>
            <w:tcW w:w="1250" w:type="pct"/>
            <w:noWrap/>
            <w:hideMark/>
          </w:tcPr>
          <w:p w14:paraId="665B334C" w14:textId="77777777" w:rsidR="00AD3EDE" w:rsidRPr="002773AD" w:rsidRDefault="00AD3EDE" w:rsidP="002773AD">
            <w:pPr>
              <w:pStyle w:val="TableBody"/>
            </w:pPr>
            <w:r w:rsidRPr="002773AD">
              <w:t>52.1</w:t>
            </w:r>
          </w:p>
        </w:tc>
        <w:tc>
          <w:tcPr>
            <w:tcW w:w="1250" w:type="pct"/>
            <w:noWrap/>
            <w:hideMark/>
          </w:tcPr>
          <w:p w14:paraId="53CBDD40" w14:textId="77777777" w:rsidR="00AD3EDE" w:rsidRPr="002773AD" w:rsidRDefault="00AD3EDE" w:rsidP="002773AD">
            <w:pPr>
              <w:pStyle w:val="TableBody"/>
            </w:pPr>
            <w:r w:rsidRPr="002773AD">
              <w:t>61.3</w:t>
            </w:r>
          </w:p>
        </w:tc>
      </w:tr>
      <w:tr w:rsidR="00AD3EDE" w:rsidRPr="002773AD" w14:paraId="3A6DC6E1" w14:textId="77777777" w:rsidTr="007365F6">
        <w:trPr>
          <w:trHeight w:val="288"/>
        </w:trPr>
        <w:tc>
          <w:tcPr>
            <w:tcW w:w="1250" w:type="pct"/>
            <w:noWrap/>
            <w:hideMark/>
          </w:tcPr>
          <w:p w14:paraId="6AAAA95F" w14:textId="77777777" w:rsidR="00AD3EDE" w:rsidRPr="002773AD" w:rsidRDefault="00AD3EDE" w:rsidP="002773AD">
            <w:pPr>
              <w:pStyle w:val="TableBody"/>
            </w:pPr>
            <w:r w:rsidRPr="002773AD">
              <w:t>2008-09</w:t>
            </w:r>
          </w:p>
        </w:tc>
        <w:tc>
          <w:tcPr>
            <w:tcW w:w="1250" w:type="pct"/>
            <w:noWrap/>
            <w:hideMark/>
          </w:tcPr>
          <w:p w14:paraId="3030847E" w14:textId="77777777" w:rsidR="00AD3EDE" w:rsidRPr="002773AD" w:rsidRDefault="00AD3EDE" w:rsidP="002773AD">
            <w:pPr>
              <w:pStyle w:val="TableBody"/>
            </w:pPr>
            <w:r w:rsidRPr="002773AD">
              <w:t>59.4</w:t>
            </w:r>
          </w:p>
        </w:tc>
        <w:tc>
          <w:tcPr>
            <w:tcW w:w="1250" w:type="pct"/>
            <w:noWrap/>
            <w:hideMark/>
          </w:tcPr>
          <w:p w14:paraId="5057AD97" w14:textId="77777777" w:rsidR="00AD3EDE" w:rsidRPr="002773AD" w:rsidRDefault="00AD3EDE" w:rsidP="002773AD">
            <w:pPr>
              <w:pStyle w:val="TableBody"/>
            </w:pPr>
            <w:r w:rsidRPr="002773AD">
              <w:t>53.3</w:t>
            </w:r>
          </w:p>
        </w:tc>
        <w:tc>
          <w:tcPr>
            <w:tcW w:w="1250" w:type="pct"/>
            <w:noWrap/>
            <w:hideMark/>
          </w:tcPr>
          <w:p w14:paraId="4EAB4F33" w14:textId="77777777" w:rsidR="00AD3EDE" w:rsidRPr="002773AD" w:rsidRDefault="00AD3EDE" w:rsidP="002773AD">
            <w:pPr>
              <w:pStyle w:val="TableBody"/>
            </w:pPr>
            <w:r w:rsidRPr="002773AD">
              <w:t>67.7</w:t>
            </w:r>
          </w:p>
        </w:tc>
      </w:tr>
      <w:tr w:rsidR="00AD3EDE" w:rsidRPr="002773AD" w14:paraId="6DDB050E" w14:textId="77777777" w:rsidTr="007365F6">
        <w:trPr>
          <w:trHeight w:val="288"/>
        </w:trPr>
        <w:tc>
          <w:tcPr>
            <w:tcW w:w="1250" w:type="pct"/>
            <w:noWrap/>
            <w:hideMark/>
          </w:tcPr>
          <w:p w14:paraId="20737A69" w14:textId="77777777" w:rsidR="00AD3EDE" w:rsidRPr="002773AD" w:rsidRDefault="00AD3EDE" w:rsidP="002773AD">
            <w:pPr>
              <w:pStyle w:val="TableBody"/>
            </w:pPr>
            <w:r w:rsidRPr="002773AD">
              <w:t>2009-10</w:t>
            </w:r>
          </w:p>
        </w:tc>
        <w:tc>
          <w:tcPr>
            <w:tcW w:w="1250" w:type="pct"/>
            <w:noWrap/>
            <w:hideMark/>
          </w:tcPr>
          <w:p w14:paraId="092BCB5D" w14:textId="77777777" w:rsidR="00AD3EDE" w:rsidRPr="002773AD" w:rsidRDefault="00AD3EDE" w:rsidP="002773AD">
            <w:pPr>
              <w:pStyle w:val="TableBody"/>
            </w:pPr>
            <w:r w:rsidRPr="002773AD">
              <w:t>67.6</w:t>
            </w:r>
          </w:p>
        </w:tc>
        <w:tc>
          <w:tcPr>
            <w:tcW w:w="1250" w:type="pct"/>
            <w:noWrap/>
            <w:hideMark/>
          </w:tcPr>
          <w:p w14:paraId="7025719E" w14:textId="77777777" w:rsidR="00AD3EDE" w:rsidRPr="002773AD" w:rsidRDefault="00AD3EDE" w:rsidP="002773AD">
            <w:pPr>
              <w:pStyle w:val="TableBody"/>
            </w:pPr>
            <w:r w:rsidRPr="002773AD">
              <w:t>60.6</w:t>
            </w:r>
          </w:p>
        </w:tc>
        <w:tc>
          <w:tcPr>
            <w:tcW w:w="1250" w:type="pct"/>
            <w:noWrap/>
            <w:hideMark/>
          </w:tcPr>
          <w:p w14:paraId="6784BB7F" w14:textId="77777777" w:rsidR="00AD3EDE" w:rsidRPr="002773AD" w:rsidRDefault="00AD3EDE" w:rsidP="002773AD">
            <w:pPr>
              <w:pStyle w:val="TableBody"/>
            </w:pPr>
            <w:r w:rsidRPr="002773AD">
              <w:t>67.8</w:t>
            </w:r>
          </w:p>
        </w:tc>
      </w:tr>
      <w:tr w:rsidR="00AD3EDE" w:rsidRPr="002773AD" w14:paraId="744BD2C6" w14:textId="77777777" w:rsidTr="007365F6">
        <w:trPr>
          <w:trHeight w:val="288"/>
        </w:trPr>
        <w:tc>
          <w:tcPr>
            <w:tcW w:w="1250" w:type="pct"/>
            <w:noWrap/>
            <w:hideMark/>
          </w:tcPr>
          <w:p w14:paraId="065DD354" w14:textId="77777777" w:rsidR="00AD3EDE" w:rsidRPr="002773AD" w:rsidRDefault="00AD3EDE" w:rsidP="002773AD">
            <w:pPr>
              <w:pStyle w:val="TableBody"/>
            </w:pPr>
            <w:r w:rsidRPr="002773AD">
              <w:t>2010-11</w:t>
            </w:r>
          </w:p>
        </w:tc>
        <w:tc>
          <w:tcPr>
            <w:tcW w:w="1250" w:type="pct"/>
            <w:noWrap/>
            <w:hideMark/>
          </w:tcPr>
          <w:p w14:paraId="5880E24E" w14:textId="77777777" w:rsidR="00AD3EDE" w:rsidRPr="002773AD" w:rsidRDefault="00AD3EDE" w:rsidP="002773AD">
            <w:pPr>
              <w:pStyle w:val="TableBody"/>
            </w:pPr>
            <w:r w:rsidRPr="002773AD">
              <w:t>65.8</w:t>
            </w:r>
          </w:p>
        </w:tc>
        <w:tc>
          <w:tcPr>
            <w:tcW w:w="1250" w:type="pct"/>
            <w:noWrap/>
            <w:hideMark/>
          </w:tcPr>
          <w:p w14:paraId="6376AB4B" w14:textId="77777777" w:rsidR="00AD3EDE" w:rsidRPr="002773AD" w:rsidRDefault="00AD3EDE" w:rsidP="002773AD">
            <w:pPr>
              <w:pStyle w:val="TableBody"/>
            </w:pPr>
            <w:r w:rsidRPr="002773AD">
              <w:t>56.6</w:t>
            </w:r>
          </w:p>
        </w:tc>
        <w:tc>
          <w:tcPr>
            <w:tcW w:w="1250" w:type="pct"/>
            <w:noWrap/>
            <w:hideMark/>
          </w:tcPr>
          <w:p w14:paraId="5A9637BB" w14:textId="77777777" w:rsidR="00AD3EDE" w:rsidRPr="002773AD" w:rsidRDefault="00AD3EDE" w:rsidP="002773AD">
            <w:pPr>
              <w:pStyle w:val="TableBody"/>
            </w:pPr>
            <w:r w:rsidRPr="002773AD">
              <w:t>68.2</w:t>
            </w:r>
          </w:p>
        </w:tc>
      </w:tr>
      <w:tr w:rsidR="00AD3EDE" w:rsidRPr="002773AD" w14:paraId="32DE4410" w14:textId="77777777" w:rsidTr="007365F6">
        <w:trPr>
          <w:trHeight w:val="288"/>
        </w:trPr>
        <w:tc>
          <w:tcPr>
            <w:tcW w:w="1250" w:type="pct"/>
            <w:noWrap/>
            <w:hideMark/>
          </w:tcPr>
          <w:p w14:paraId="1BE1EF51" w14:textId="77777777" w:rsidR="00AD3EDE" w:rsidRPr="002773AD" w:rsidRDefault="00AD3EDE" w:rsidP="002773AD">
            <w:pPr>
              <w:pStyle w:val="TableBody"/>
            </w:pPr>
            <w:r w:rsidRPr="002773AD">
              <w:t>2011-12</w:t>
            </w:r>
          </w:p>
        </w:tc>
        <w:tc>
          <w:tcPr>
            <w:tcW w:w="1250" w:type="pct"/>
            <w:noWrap/>
            <w:hideMark/>
          </w:tcPr>
          <w:p w14:paraId="45A6B3CB" w14:textId="77777777" w:rsidR="00AD3EDE" w:rsidRPr="002773AD" w:rsidRDefault="00AD3EDE" w:rsidP="002773AD">
            <w:pPr>
              <w:pStyle w:val="TableBody"/>
            </w:pPr>
            <w:r w:rsidRPr="002773AD">
              <w:t>62.1</w:t>
            </w:r>
          </w:p>
        </w:tc>
        <w:tc>
          <w:tcPr>
            <w:tcW w:w="1250" w:type="pct"/>
            <w:noWrap/>
            <w:hideMark/>
          </w:tcPr>
          <w:p w14:paraId="274C4385" w14:textId="77777777" w:rsidR="00AD3EDE" w:rsidRPr="002773AD" w:rsidRDefault="00AD3EDE" w:rsidP="002773AD">
            <w:pPr>
              <w:pStyle w:val="TableBody"/>
            </w:pPr>
            <w:r w:rsidRPr="002773AD">
              <w:t>60.9</w:t>
            </w:r>
          </w:p>
        </w:tc>
        <w:tc>
          <w:tcPr>
            <w:tcW w:w="1250" w:type="pct"/>
            <w:noWrap/>
            <w:hideMark/>
          </w:tcPr>
          <w:p w14:paraId="33C717D0" w14:textId="77777777" w:rsidR="00AD3EDE" w:rsidRPr="002773AD" w:rsidRDefault="00AD3EDE" w:rsidP="002773AD">
            <w:pPr>
              <w:pStyle w:val="TableBody"/>
            </w:pPr>
            <w:r w:rsidRPr="002773AD">
              <w:t>71.5</w:t>
            </w:r>
          </w:p>
        </w:tc>
      </w:tr>
      <w:tr w:rsidR="00AD3EDE" w:rsidRPr="002773AD" w14:paraId="4262A1DC" w14:textId="77777777" w:rsidTr="007365F6">
        <w:trPr>
          <w:trHeight w:val="288"/>
        </w:trPr>
        <w:tc>
          <w:tcPr>
            <w:tcW w:w="1250" w:type="pct"/>
            <w:noWrap/>
            <w:hideMark/>
          </w:tcPr>
          <w:p w14:paraId="13E5FA19" w14:textId="77777777" w:rsidR="00AD3EDE" w:rsidRPr="002773AD" w:rsidRDefault="00AD3EDE" w:rsidP="002773AD">
            <w:pPr>
              <w:pStyle w:val="TableBody"/>
            </w:pPr>
            <w:r w:rsidRPr="002773AD">
              <w:t>2012-13</w:t>
            </w:r>
          </w:p>
        </w:tc>
        <w:tc>
          <w:tcPr>
            <w:tcW w:w="1250" w:type="pct"/>
            <w:noWrap/>
            <w:hideMark/>
          </w:tcPr>
          <w:p w14:paraId="78B85437" w14:textId="77777777" w:rsidR="00AD3EDE" w:rsidRPr="002773AD" w:rsidRDefault="00AD3EDE" w:rsidP="002773AD">
            <w:pPr>
              <w:pStyle w:val="TableBody"/>
            </w:pPr>
            <w:r w:rsidRPr="002773AD">
              <w:t>66.6</w:t>
            </w:r>
          </w:p>
        </w:tc>
        <w:tc>
          <w:tcPr>
            <w:tcW w:w="1250" w:type="pct"/>
            <w:noWrap/>
            <w:hideMark/>
          </w:tcPr>
          <w:p w14:paraId="5283B897" w14:textId="77777777" w:rsidR="00AD3EDE" w:rsidRPr="002773AD" w:rsidRDefault="00AD3EDE" w:rsidP="002773AD">
            <w:pPr>
              <w:pStyle w:val="TableBody"/>
            </w:pPr>
            <w:r w:rsidRPr="002773AD">
              <w:t>65.5</w:t>
            </w:r>
          </w:p>
        </w:tc>
        <w:tc>
          <w:tcPr>
            <w:tcW w:w="1250" w:type="pct"/>
            <w:noWrap/>
            <w:hideMark/>
          </w:tcPr>
          <w:p w14:paraId="224D6760" w14:textId="77777777" w:rsidR="00AD3EDE" w:rsidRPr="002773AD" w:rsidRDefault="00AD3EDE" w:rsidP="002773AD">
            <w:pPr>
              <w:pStyle w:val="TableBody"/>
            </w:pPr>
            <w:r w:rsidRPr="002773AD">
              <w:t>81.3</w:t>
            </w:r>
          </w:p>
        </w:tc>
      </w:tr>
      <w:tr w:rsidR="00AD3EDE" w:rsidRPr="002773AD" w14:paraId="164A9CB8" w14:textId="77777777" w:rsidTr="007365F6">
        <w:trPr>
          <w:trHeight w:val="288"/>
        </w:trPr>
        <w:tc>
          <w:tcPr>
            <w:tcW w:w="1250" w:type="pct"/>
            <w:noWrap/>
            <w:hideMark/>
          </w:tcPr>
          <w:p w14:paraId="5CE85E0B" w14:textId="77777777" w:rsidR="00AD3EDE" w:rsidRPr="002773AD" w:rsidRDefault="00AD3EDE" w:rsidP="002773AD">
            <w:pPr>
              <w:pStyle w:val="TableBody"/>
            </w:pPr>
            <w:r w:rsidRPr="002773AD">
              <w:t>2013-14</w:t>
            </w:r>
          </w:p>
        </w:tc>
        <w:tc>
          <w:tcPr>
            <w:tcW w:w="1250" w:type="pct"/>
            <w:noWrap/>
            <w:hideMark/>
          </w:tcPr>
          <w:p w14:paraId="596CC621" w14:textId="77777777" w:rsidR="00AD3EDE" w:rsidRPr="002773AD" w:rsidRDefault="00AD3EDE" w:rsidP="002773AD">
            <w:pPr>
              <w:pStyle w:val="TableBody"/>
            </w:pPr>
            <w:r w:rsidRPr="002773AD">
              <w:t>63.1</w:t>
            </w:r>
          </w:p>
        </w:tc>
        <w:tc>
          <w:tcPr>
            <w:tcW w:w="1250" w:type="pct"/>
            <w:noWrap/>
            <w:hideMark/>
          </w:tcPr>
          <w:p w14:paraId="3CF9BCAD" w14:textId="77777777" w:rsidR="00AD3EDE" w:rsidRPr="002773AD" w:rsidRDefault="00AD3EDE" w:rsidP="002773AD">
            <w:pPr>
              <w:pStyle w:val="TableBody"/>
            </w:pPr>
            <w:r w:rsidRPr="002773AD">
              <w:t>66.7</w:t>
            </w:r>
          </w:p>
        </w:tc>
        <w:tc>
          <w:tcPr>
            <w:tcW w:w="1250" w:type="pct"/>
            <w:noWrap/>
            <w:hideMark/>
          </w:tcPr>
          <w:p w14:paraId="53C806C6" w14:textId="77777777" w:rsidR="00AD3EDE" w:rsidRPr="002773AD" w:rsidRDefault="00AD3EDE" w:rsidP="002773AD">
            <w:pPr>
              <w:pStyle w:val="TableBody"/>
            </w:pPr>
            <w:r w:rsidRPr="002773AD">
              <w:t>80.9</w:t>
            </w:r>
          </w:p>
        </w:tc>
      </w:tr>
      <w:tr w:rsidR="00AD3EDE" w:rsidRPr="002773AD" w14:paraId="6557B5F6" w14:textId="77777777" w:rsidTr="007365F6">
        <w:trPr>
          <w:trHeight w:val="288"/>
        </w:trPr>
        <w:tc>
          <w:tcPr>
            <w:tcW w:w="1250" w:type="pct"/>
            <w:noWrap/>
            <w:hideMark/>
          </w:tcPr>
          <w:p w14:paraId="476AF3D1" w14:textId="77777777" w:rsidR="00AD3EDE" w:rsidRPr="002773AD" w:rsidRDefault="00AD3EDE" w:rsidP="002773AD">
            <w:pPr>
              <w:pStyle w:val="TableBody"/>
            </w:pPr>
            <w:r w:rsidRPr="002773AD">
              <w:t>2014-15</w:t>
            </w:r>
          </w:p>
        </w:tc>
        <w:tc>
          <w:tcPr>
            <w:tcW w:w="1250" w:type="pct"/>
            <w:noWrap/>
            <w:hideMark/>
          </w:tcPr>
          <w:p w14:paraId="6D1882DF" w14:textId="77777777" w:rsidR="00AD3EDE" w:rsidRPr="002773AD" w:rsidRDefault="00AD3EDE" w:rsidP="002773AD">
            <w:pPr>
              <w:pStyle w:val="TableBody"/>
            </w:pPr>
            <w:r w:rsidRPr="002773AD">
              <w:t>63.7</w:t>
            </w:r>
          </w:p>
        </w:tc>
        <w:tc>
          <w:tcPr>
            <w:tcW w:w="1250" w:type="pct"/>
            <w:noWrap/>
            <w:hideMark/>
          </w:tcPr>
          <w:p w14:paraId="60619F11" w14:textId="77777777" w:rsidR="00AD3EDE" w:rsidRPr="002773AD" w:rsidRDefault="00AD3EDE" w:rsidP="002773AD">
            <w:pPr>
              <w:pStyle w:val="TableBody"/>
            </w:pPr>
            <w:r w:rsidRPr="002773AD">
              <w:t>63.6</w:t>
            </w:r>
          </w:p>
        </w:tc>
        <w:tc>
          <w:tcPr>
            <w:tcW w:w="1250" w:type="pct"/>
            <w:noWrap/>
            <w:hideMark/>
          </w:tcPr>
          <w:p w14:paraId="1C204B56" w14:textId="77777777" w:rsidR="00AD3EDE" w:rsidRPr="002773AD" w:rsidRDefault="00AD3EDE" w:rsidP="002773AD">
            <w:pPr>
              <w:pStyle w:val="TableBody"/>
            </w:pPr>
            <w:r w:rsidRPr="002773AD">
              <w:t>78.6</w:t>
            </w:r>
          </w:p>
        </w:tc>
      </w:tr>
      <w:tr w:rsidR="00AD3EDE" w:rsidRPr="002773AD" w14:paraId="6D79FA5D" w14:textId="77777777" w:rsidTr="007365F6">
        <w:trPr>
          <w:trHeight w:val="288"/>
        </w:trPr>
        <w:tc>
          <w:tcPr>
            <w:tcW w:w="1250" w:type="pct"/>
            <w:noWrap/>
            <w:hideMark/>
          </w:tcPr>
          <w:p w14:paraId="70EC90DB" w14:textId="77777777" w:rsidR="00AD3EDE" w:rsidRPr="002773AD" w:rsidRDefault="00AD3EDE" w:rsidP="002773AD">
            <w:pPr>
              <w:pStyle w:val="TableBody"/>
            </w:pPr>
            <w:r w:rsidRPr="002773AD">
              <w:t>2015-16</w:t>
            </w:r>
          </w:p>
        </w:tc>
        <w:tc>
          <w:tcPr>
            <w:tcW w:w="1250" w:type="pct"/>
            <w:noWrap/>
            <w:hideMark/>
          </w:tcPr>
          <w:p w14:paraId="3E7E1061" w14:textId="77777777" w:rsidR="00AD3EDE" w:rsidRPr="002773AD" w:rsidRDefault="00AD3EDE" w:rsidP="002773AD">
            <w:pPr>
              <w:pStyle w:val="TableBody"/>
            </w:pPr>
            <w:r w:rsidRPr="002773AD">
              <w:t>63.8</w:t>
            </w:r>
          </w:p>
        </w:tc>
        <w:tc>
          <w:tcPr>
            <w:tcW w:w="1250" w:type="pct"/>
            <w:noWrap/>
            <w:hideMark/>
          </w:tcPr>
          <w:p w14:paraId="05472598" w14:textId="77777777" w:rsidR="00AD3EDE" w:rsidRPr="002773AD" w:rsidRDefault="00AD3EDE" w:rsidP="002773AD">
            <w:pPr>
              <w:pStyle w:val="TableBody"/>
            </w:pPr>
            <w:r w:rsidRPr="002773AD">
              <w:t>70.5</w:t>
            </w:r>
          </w:p>
        </w:tc>
        <w:tc>
          <w:tcPr>
            <w:tcW w:w="1250" w:type="pct"/>
            <w:noWrap/>
            <w:hideMark/>
          </w:tcPr>
          <w:p w14:paraId="1579EF38" w14:textId="77777777" w:rsidR="00AD3EDE" w:rsidRPr="002773AD" w:rsidRDefault="00AD3EDE" w:rsidP="002773AD">
            <w:pPr>
              <w:pStyle w:val="TableBody"/>
            </w:pPr>
            <w:r w:rsidRPr="002773AD">
              <w:t>83.5</w:t>
            </w:r>
          </w:p>
        </w:tc>
      </w:tr>
      <w:tr w:rsidR="00AD3EDE" w:rsidRPr="002773AD" w14:paraId="05010274" w14:textId="77777777" w:rsidTr="007365F6">
        <w:trPr>
          <w:trHeight w:val="288"/>
        </w:trPr>
        <w:tc>
          <w:tcPr>
            <w:tcW w:w="1250" w:type="pct"/>
            <w:noWrap/>
            <w:hideMark/>
          </w:tcPr>
          <w:p w14:paraId="7B86A1B1" w14:textId="77777777" w:rsidR="00AD3EDE" w:rsidRPr="002773AD" w:rsidRDefault="00AD3EDE" w:rsidP="002773AD">
            <w:pPr>
              <w:pStyle w:val="TableBody"/>
            </w:pPr>
            <w:r w:rsidRPr="002773AD">
              <w:t>2016-17</w:t>
            </w:r>
          </w:p>
        </w:tc>
        <w:tc>
          <w:tcPr>
            <w:tcW w:w="1250" w:type="pct"/>
            <w:noWrap/>
            <w:hideMark/>
          </w:tcPr>
          <w:p w14:paraId="76F5F052" w14:textId="77777777" w:rsidR="00AD3EDE" w:rsidRPr="002773AD" w:rsidRDefault="00AD3EDE" w:rsidP="002773AD">
            <w:pPr>
              <w:pStyle w:val="TableBody"/>
            </w:pPr>
            <w:r w:rsidRPr="002773AD">
              <w:t>73.1</w:t>
            </w:r>
          </w:p>
        </w:tc>
        <w:tc>
          <w:tcPr>
            <w:tcW w:w="1250" w:type="pct"/>
            <w:noWrap/>
            <w:hideMark/>
          </w:tcPr>
          <w:p w14:paraId="54115EB7" w14:textId="77777777" w:rsidR="00AD3EDE" w:rsidRPr="002773AD" w:rsidRDefault="00AD3EDE" w:rsidP="002773AD">
            <w:pPr>
              <w:pStyle w:val="TableBody"/>
            </w:pPr>
            <w:r w:rsidRPr="002773AD">
              <w:t>80.7</w:t>
            </w:r>
          </w:p>
        </w:tc>
        <w:tc>
          <w:tcPr>
            <w:tcW w:w="1250" w:type="pct"/>
            <w:noWrap/>
            <w:hideMark/>
          </w:tcPr>
          <w:p w14:paraId="396B8618" w14:textId="77777777" w:rsidR="00AD3EDE" w:rsidRPr="002773AD" w:rsidRDefault="00AD3EDE" w:rsidP="002773AD">
            <w:pPr>
              <w:pStyle w:val="TableBody"/>
            </w:pPr>
            <w:r w:rsidRPr="002773AD">
              <w:t>85.2</w:t>
            </w:r>
          </w:p>
        </w:tc>
      </w:tr>
      <w:tr w:rsidR="00AD3EDE" w:rsidRPr="002773AD" w14:paraId="7B0CE897" w14:textId="77777777" w:rsidTr="007365F6">
        <w:trPr>
          <w:trHeight w:val="288"/>
        </w:trPr>
        <w:tc>
          <w:tcPr>
            <w:tcW w:w="1250" w:type="pct"/>
            <w:noWrap/>
            <w:hideMark/>
          </w:tcPr>
          <w:p w14:paraId="12C7C6A1" w14:textId="77777777" w:rsidR="00AD3EDE" w:rsidRPr="002773AD" w:rsidRDefault="00AD3EDE" w:rsidP="002773AD">
            <w:pPr>
              <w:pStyle w:val="TableBody"/>
            </w:pPr>
            <w:r w:rsidRPr="002773AD">
              <w:t>2017-18</w:t>
            </w:r>
          </w:p>
        </w:tc>
        <w:tc>
          <w:tcPr>
            <w:tcW w:w="1250" w:type="pct"/>
            <w:noWrap/>
            <w:hideMark/>
          </w:tcPr>
          <w:p w14:paraId="151BC198" w14:textId="77777777" w:rsidR="00AD3EDE" w:rsidRPr="002773AD" w:rsidRDefault="00AD3EDE" w:rsidP="002773AD">
            <w:pPr>
              <w:pStyle w:val="TableBody"/>
            </w:pPr>
            <w:r w:rsidRPr="002773AD">
              <w:t>71.8</w:t>
            </w:r>
          </w:p>
        </w:tc>
        <w:tc>
          <w:tcPr>
            <w:tcW w:w="1250" w:type="pct"/>
            <w:noWrap/>
            <w:hideMark/>
          </w:tcPr>
          <w:p w14:paraId="64DE930C" w14:textId="77777777" w:rsidR="00AD3EDE" w:rsidRPr="002773AD" w:rsidRDefault="00AD3EDE" w:rsidP="002773AD">
            <w:pPr>
              <w:pStyle w:val="TableBody"/>
            </w:pPr>
            <w:r w:rsidRPr="002773AD">
              <w:t>75.0</w:t>
            </w:r>
          </w:p>
        </w:tc>
        <w:tc>
          <w:tcPr>
            <w:tcW w:w="1250" w:type="pct"/>
            <w:noWrap/>
            <w:hideMark/>
          </w:tcPr>
          <w:p w14:paraId="49BC215B" w14:textId="77777777" w:rsidR="00AD3EDE" w:rsidRPr="002773AD" w:rsidRDefault="00AD3EDE" w:rsidP="002773AD">
            <w:pPr>
              <w:pStyle w:val="TableBody"/>
            </w:pPr>
            <w:r w:rsidRPr="002773AD">
              <w:t>91.6</w:t>
            </w:r>
          </w:p>
        </w:tc>
      </w:tr>
      <w:tr w:rsidR="00AD3EDE" w:rsidRPr="002773AD" w14:paraId="6D2A6560" w14:textId="77777777" w:rsidTr="007365F6">
        <w:trPr>
          <w:trHeight w:val="288"/>
        </w:trPr>
        <w:tc>
          <w:tcPr>
            <w:tcW w:w="1250" w:type="pct"/>
            <w:noWrap/>
            <w:hideMark/>
          </w:tcPr>
          <w:p w14:paraId="3943EF0E" w14:textId="77777777" w:rsidR="00AD3EDE" w:rsidRPr="002773AD" w:rsidRDefault="00AD3EDE" w:rsidP="002773AD">
            <w:pPr>
              <w:pStyle w:val="TableBody"/>
            </w:pPr>
            <w:r w:rsidRPr="002773AD">
              <w:t>2018-19</w:t>
            </w:r>
          </w:p>
        </w:tc>
        <w:tc>
          <w:tcPr>
            <w:tcW w:w="1250" w:type="pct"/>
            <w:noWrap/>
            <w:hideMark/>
          </w:tcPr>
          <w:p w14:paraId="7E36ABD9" w14:textId="77777777" w:rsidR="00AD3EDE" w:rsidRPr="002773AD" w:rsidRDefault="00AD3EDE" w:rsidP="002773AD">
            <w:pPr>
              <w:pStyle w:val="TableBody"/>
            </w:pPr>
            <w:r w:rsidRPr="002773AD">
              <w:t>75.1</w:t>
            </w:r>
          </w:p>
        </w:tc>
        <w:tc>
          <w:tcPr>
            <w:tcW w:w="1250" w:type="pct"/>
            <w:noWrap/>
            <w:hideMark/>
          </w:tcPr>
          <w:p w14:paraId="126B93C7" w14:textId="77777777" w:rsidR="00AD3EDE" w:rsidRPr="002773AD" w:rsidRDefault="00AD3EDE" w:rsidP="002773AD">
            <w:pPr>
              <w:pStyle w:val="TableBody"/>
            </w:pPr>
            <w:r w:rsidRPr="002773AD">
              <w:t>77.6</w:t>
            </w:r>
          </w:p>
        </w:tc>
        <w:tc>
          <w:tcPr>
            <w:tcW w:w="1250" w:type="pct"/>
            <w:noWrap/>
            <w:hideMark/>
          </w:tcPr>
          <w:p w14:paraId="4410FB28" w14:textId="77777777" w:rsidR="00AD3EDE" w:rsidRPr="002773AD" w:rsidRDefault="00AD3EDE" w:rsidP="002773AD">
            <w:pPr>
              <w:pStyle w:val="TableBody"/>
            </w:pPr>
            <w:r w:rsidRPr="002773AD">
              <w:t>91.2</w:t>
            </w:r>
          </w:p>
        </w:tc>
      </w:tr>
      <w:tr w:rsidR="00AD3EDE" w:rsidRPr="002773AD" w14:paraId="42912D60" w14:textId="77777777" w:rsidTr="007365F6">
        <w:trPr>
          <w:trHeight w:val="288"/>
        </w:trPr>
        <w:tc>
          <w:tcPr>
            <w:tcW w:w="1250" w:type="pct"/>
            <w:noWrap/>
            <w:hideMark/>
          </w:tcPr>
          <w:p w14:paraId="0E80016C" w14:textId="77777777" w:rsidR="00AD3EDE" w:rsidRPr="002773AD" w:rsidRDefault="00AD3EDE" w:rsidP="002773AD">
            <w:pPr>
              <w:pStyle w:val="TableBody"/>
            </w:pPr>
            <w:r w:rsidRPr="002773AD">
              <w:t>2019-20</w:t>
            </w:r>
          </w:p>
        </w:tc>
        <w:tc>
          <w:tcPr>
            <w:tcW w:w="1250" w:type="pct"/>
            <w:noWrap/>
            <w:hideMark/>
          </w:tcPr>
          <w:p w14:paraId="5FC3554A" w14:textId="77777777" w:rsidR="00AD3EDE" w:rsidRPr="002773AD" w:rsidRDefault="00AD3EDE" w:rsidP="002773AD">
            <w:pPr>
              <w:pStyle w:val="TableBody"/>
            </w:pPr>
            <w:r w:rsidRPr="002773AD">
              <w:t>74.9</w:t>
            </w:r>
          </w:p>
        </w:tc>
        <w:tc>
          <w:tcPr>
            <w:tcW w:w="1250" w:type="pct"/>
            <w:noWrap/>
            <w:hideMark/>
          </w:tcPr>
          <w:p w14:paraId="63ABD58B" w14:textId="77777777" w:rsidR="00AD3EDE" w:rsidRPr="002773AD" w:rsidRDefault="00AD3EDE" w:rsidP="002773AD">
            <w:pPr>
              <w:pStyle w:val="TableBody"/>
            </w:pPr>
            <w:r w:rsidRPr="002773AD">
              <w:t>78.6</w:t>
            </w:r>
          </w:p>
        </w:tc>
        <w:tc>
          <w:tcPr>
            <w:tcW w:w="1250" w:type="pct"/>
            <w:noWrap/>
            <w:hideMark/>
          </w:tcPr>
          <w:p w14:paraId="522C1148" w14:textId="77777777" w:rsidR="00AD3EDE" w:rsidRPr="002773AD" w:rsidRDefault="00AD3EDE" w:rsidP="002773AD">
            <w:pPr>
              <w:pStyle w:val="TableBody"/>
            </w:pPr>
            <w:r w:rsidRPr="002773AD">
              <w:t>89.6</w:t>
            </w:r>
          </w:p>
        </w:tc>
      </w:tr>
      <w:tr w:rsidR="00AD3EDE" w:rsidRPr="002773AD" w14:paraId="029A27BE" w14:textId="77777777" w:rsidTr="007365F6">
        <w:trPr>
          <w:trHeight w:val="288"/>
        </w:trPr>
        <w:tc>
          <w:tcPr>
            <w:tcW w:w="1250" w:type="pct"/>
            <w:noWrap/>
            <w:hideMark/>
          </w:tcPr>
          <w:p w14:paraId="56868514" w14:textId="77777777" w:rsidR="00AD3EDE" w:rsidRPr="002773AD" w:rsidRDefault="00AD3EDE" w:rsidP="002773AD">
            <w:pPr>
              <w:pStyle w:val="TableBody"/>
            </w:pPr>
            <w:r w:rsidRPr="002773AD">
              <w:t>2020-21</w:t>
            </w:r>
          </w:p>
        </w:tc>
        <w:tc>
          <w:tcPr>
            <w:tcW w:w="1250" w:type="pct"/>
            <w:noWrap/>
            <w:hideMark/>
          </w:tcPr>
          <w:p w14:paraId="01AC3BDE" w14:textId="77777777" w:rsidR="00AD3EDE" w:rsidRPr="002773AD" w:rsidRDefault="00AD3EDE" w:rsidP="002773AD">
            <w:pPr>
              <w:pStyle w:val="TableBody"/>
            </w:pPr>
            <w:r w:rsidRPr="002773AD">
              <w:t>73.4</w:t>
            </w:r>
          </w:p>
        </w:tc>
        <w:tc>
          <w:tcPr>
            <w:tcW w:w="1250" w:type="pct"/>
            <w:noWrap/>
            <w:hideMark/>
          </w:tcPr>
          <w:p w14:paraId="478160D4" w14:textId="77777777" w:rsidR="00AD3EDE" w:rsidRPr="002773AD" w:rsidRDefault="00AD3EDE" w:rsidP="002773AD">
            <w:pPr>
              <w:pStyle w:val="TableBody"/>
            </w:pPr>
            <w:r w:rsidRPr="002773AD">
              <w:t>79.7</w:t>
            </w:r>
          </w:p>
        </w:tc>
        <w:tc>
          <w:tcPr>
            <w:tcW w:w="1250" w:type="pct"/>
            <w:noWrap/>
            <w:hideMark/>
          </w:tcPr>
          <w:p w14:paraId="496C932A" w14:textId="77777777" w:rsidR="00AD3EDE" w:rsidRPr="002773AD" w:rsidRDefault="00AD3EDE" w:rsidP="002773AD">
            <w:pPr>
              <w:pStyle w:val="TableBody"/>
            </w:pPr>
            <w:r w:rsidRPr="002773AD">
              <w:t>92.1</w:t>
            </w:r>
          </w:p>
        </w:tc>
      </w:tr>
      <w:tr w:rsidR="00AD3EDE" w:rsidRPr="002773AD" w14:paraId="2A69A41B" w14:textId="77777777" w:rsidTr="007365F6">
        <w:trPr>
          <w:trHeight w:val="288"/>
        </w:trPr>
        <w:tc>
          <w:tcPr>
            <w:tcW w:w="1250" w:type="pct"/>
            <w:noWrap/>
            <w:hideMark/>
          </w:tcPr>
          <w:p w14:paraId="6EF353AD" w14:textId="77777777" w:rsidR="00AD3EDE" w:rsidRPr="002773AD" w:rsidRDefault="00AD3EDE" w:rsidP="002773AD">
            <w:pPr>
              <w:pStyle w:val="TableBody"/>
            </w:pPr>
            <w:r w:rsidRPr="002773AD">
              <w:t>2021-22</w:t>
            </w:r>
          </w:p>
        </w:tc>
        <w:tc>
          <w:tcPr>
            <w:tcW w:w="1250" w:type="pct"/>
            <w:noWrap/>
            <w:hideMark/>
          </w:tcPr>
          <w:p w14:paraId="07DE01C6" w14:textId="77777777" w:rsidR="00AD3EDE" w:rsidRPr="002773AD" w:rsidRDefault="00AD3EDE" w:rsidP="002773AD">
            <w:pPr>
              <w:pStyle w:val="TableBody"/>
            </w:pPr>
            <w:r w:rsidRPr="002773AD">
              <w:t>73.6</w:t>
            </w:r>
          </w:p>
        </w:tc>
        <w:tc>
          <w:tcPr>
            <w:tcW w:w="1250" w:type="pct"/>
            <w:noWrap/>
            <w:hideMark/>
          </w:tcPr>
          <w:p w14:paraId="6AF6BEF3" w14:textId="77777777" w:rsidR="00AD3EDE" w:rsidRPr="002773AD" w:rsidRDefault="00AD3EDE" w:rsidP="002773AD">
            <w:pPr>
              <w:pStyle w:val="TableBody"/>
            </w:pPr>
            <w:r w:rsidRPr="002773AD">
              <w:t>78.2</w:t>
            </w:r>
          </w:p>
        </w:tc>
        <w:tc>
          <w:tcPr>
            <w:tcW w:w="1250" w:type="pct"/>
            <w:noWrap/>
            <w:hideMark/>
          </w:tcPr>
          <w:p w14:paraId="17086F0F" w14:textId="77777777" w:rsidR="00AD3EDE" w:rsidRPr="002773AD" w:rsidRDefault="00AD3EDE" w:rsidP="002773AD">
            <w:pPr>
              <w:pStyle w:val="TableBody"/>
            </w:pPr>
            <w:r w:rsidRPr="002773AD">
              <w:t>84.5</w:t>
            </w:r>
          </w:p>
        </w:tc>
      </w:tr>
      <w:tr w:rsidR="00AD3EDE" w:rsidRPr="002773AD" w14:paraId="101B582E" w14:textId="77777777" w:rsidTr="007365F6">
        <w:trPr>
          <w:trHeight w:val="288"/>
        </w:trPr>
        <w:tc>
          <w:tcPr>
            <w:tcW w:w="1250" w:type="pct"/>
            <w:noWrap/>
            <w:hideMark/>
          </w:tcPr>
          <w:p w14:paraId="31C973A8" w14:textId="77777777" w:rsidR="00AD3EDE" w:rsidRPr="002773AD" w:rsidRDefault="00AD3EDE" w:rsidP="002773AD">
            <w:pPr>
              <w:pStyle w:val="TableBody"/>
            </w:pPr>
            <w:r w:rsidRPr="002773AD">
              <w:t>2022-23</w:t>
            </w:r>
          </w:p>
        </w:tc>
        <w:tc>
          <w:tcPr>
            <w:tcW w:w="1250" w:type="pct"/>
            <w:noWrap/>
            <w:hideMark/>
          </w:tcPr>
          <w:p w14:paraId="1866B153" w14:textId="77777777" w:rsidR="00AD3EDE" w:rsidRPr="002773AD" w:rsidRDefault="00AD3EDE" w:rsidP="002773AD">
            <w:pPr>
              <w:pStyle w:val="TableBody"/>
            </w:pPr>
            <w:r w:rsidRPr="002773AD">
              <w:t>74.9</w:t>
            </w:r>
          </w:p>
        </w:tc>
        <w:tc>
          <w:tcPr>
            <w:tcW w:w="1250" w:type="pct"/>
            <w:noWrap/>
            <w:hideMark/>
          </w:tcPr>
          <w:p w14:paraId="36AD86F5" w14:textId="77777777" w:rsidR="00AD3EDE" w:rsidRPr="002773AD" w:rsidRDefault="00AD3EDE" w:rsidP="002773AD">
            <w:pPr>
              <w:pStyle w:val="TableBody"/>
            </w:pPr>
            <w:r w:rsidRPr="002773AD">
              <w:t>80.3</w:t>
            </w:r>
          </w:p>
        </w:tc>
        <w:tc>
          <w:tcPr>
            <w:tcW w:w="1250" w:type="pct"/>
            <w:noWrap/>
            <w:hideMark/>
          </w:tcPr>
          <w:p w14:paraId="3A1F3B9F" w14:textId="77777777" w:rsidR="00AD3EDE" w:rsidRPr="002773AD" w:rsidRDefault="00AD3EDE" w:rsidP="002773AD">
            <w:pPr>
              <w:pStyle w:val="TableBody"/>
            </w:pPr>
            <w:r w:rsidRPr="002773AD">
              <w:t>81.8</w:t>
            </w:r>
          </w:p>
        </w:tc>
      </w:tr>
      <w:tr w:rsidR="00AD3EDE" w:rsidRPr="002773AD" w14:paraId="51A0F3E0" w14:textId="77777777" w:rsidTr="007365F6">
        <w:trPr>
          <w:trHeight w:val="288"/>
        </w:trPr>
        <w:tc>
          <w:tcPr>
            <w:tcW w:w="1250" w:type="pct"/>
            <w:noWrap/>
            <w:hideMark/>
          </w:tcPr>
          <w:p w14:paraId="04128600" w14:textId="77777777" w:rsidR="00AD3EDE" w:rsidRPr="002773AD" w:rsidRDefault="00AD3EDE" w:rsidP="002773AD">
            <w:pPr>
              <w:pStyle w:val="TableBody"/>
            </w:pPr>
            <w:r w:rsidRPr="002773AD">
              <w:t>2023-24</w:t>
            </w:r>
          </w:p>
        </w:tc>
        <w:tc>
          <w:tcPr>
            <w:tcW w:w="1250" w:type="pct"/>
            <w:noWrap/>
            <w:hideMark/>
          </w:tcPr>
          <w:p w14:paraId="55AB64B2" w14:textId="77777777" w:rsidR="00AD3EDE" w:rsidRPr="002773AD" w:rsidRDefault="00AD3EDE" w:rsidP="002773AD">
            <w:pPr>
              <w:pStyle w:val="TableBody"/>
            </w:pPr>
            <w:r w:rsidRPr="002773AD">
              <w:t>77.3</w:t>
            </w:r>
          </w:p>
        </w:tc>
        <w:tc>
          <w:tcPr>
            <w:tcW w:w="1250" w:type="pct"/>
            <w:noWrap/>
            <w:hideMark/>
          </w:tcPr>
          <w:p w14:paraId="2B42F16F" w14:textId="77777777" w:rsidR="00AD3EDE" w:rsidRPr="002773AD" w:rsidRDefault="00AD3EDE" w:rsidP="002773AD">
            <w:pPr>
              <w:pStyle w:val="TableBody"/>
            </w:pPr>
            <w:r w:rsidRPr="002773AD">
              <w:t>77.8</w:t>
            </w:r>
          </w:p>
        </w:tc>
        <w:tc>
          <w:tcPr>
            <w:tcW w:w="1250" w:type="pct"/>
            <w:noWrap/>
            <w:hideMark/>
          </w:tcPr>
          <w:p w14:paraId="4234F0F6" w14:textId="77777777" w:rsidR="00AD3EDE" w:rsidRPr="002773AD" w:rsidRDefault="00AD3EDE" w:rsidP="002773AD">
            <w:pPr>
              <w:pStyle w:val="TableBody"/>
            </w:pPr>
            <w:r w:rsidRPr="002773AD">
              <w:t>84.3</w:t>
            </w:r>
          </w:p>
        </w:tc>
      </w:tr>
    </w:tbl>
    <w:p w14:paraId="40D8B4B8" w14:textId="77777777" w:rsidR="00335BD7" w:rsidRPr="00157502" w:rsidRDefault="00335BD7" w:rsidP="00D4532A">
      <w:r w:rsidRPr="000C258A">
        <w:rPr>
          <w:rStyle w:val="Strong"/>
        </w:rPr>
        <w:t>Source</w:t>
      </w:r>
      <w:r w:rsidRPr="008C1137">
        <w:t>: Court Services Victoria, unpublished data</w:t>
      </w:r>
    </w:p>
    <w:p w14:paraId="329E3D98" w14:textId="36E0C1D1" w:rsidR="00A4454A" w:rsidRPr="008C1137" w:rsidRDefault="00A4454A" w:rsidP="00210207">
      <w:pPr>
        <w:pStyle w:val="Numbered"/>
      </w:pPr>
      <w:r w:rsidRPr="008C1137">
        <w:t>Since at least 2018–19 (before then for drug offences), approximately 80% of offenders sentenced for each of these three offence categories each year received a prison sentence, and together they comprise around 90% of custodial sentences imposed in the higher courts. This most likely reflects a change in the severity of the types of cases coming before the courts, potentially the result of a decrease in case numbers in the higher courts, such that less serious offending is now being dealt with in the Magistrates’ Court.</w:t>
      </w:r>
      <w:r w:rsidRPr="008C1137">
        <w:rPr>
          <w:rStyle w:val="Superscript"/>
        </w:rPr>
        <w:footnoteReference w:id="104"/>
      </w:r>
      <w:r w:rsidRPr="008C1137">
        <w:t xml:space="preserve"> It could, though, also reflect a more punitive approach to sentencing.</w:t>
      </w:r>
    </w:p>
    <w:p w14:paraId="7BADCF73" w14:textId="77777777" w:rsidR="00A4454A" w:rsidRPr="008C1137" w:rsidRDefault="00A4454A" w:rsidP="0002476E">
      <w:pPr>
        <w:pStyle w:val="Heading4"/>
      </w:pPr>
      <w:r w:rsidRPr="008C1137">
        <w:lastRenderedPageBreak/>
        <w:t>Average custodial sentence lengths in the higher courts</w:t>
      </w:r>
    </w:p>
    <w:p w14:paraId="55FC69CF" w14:textId="16CA842A" w:rsidR="00A4454A" w:rsidRPr="008C1137" w:rsidRDefault="00A4454A" w:rsidP="00210207">
      <w:pPr>
        <w:pStyle w:val="Numbered"/>
      </w:pPr>
      <w:r w:rsidRPr="008C1137">
        <w:t>Table 3</w:t>
      </w:r>
      <w:r w:rsidR="009E33A5">
        <w:t xml:space="preserve"> </w:t>
      </w:r>
      <w:r w:rsidRPr="008C1137">
        <w:t>shows the average custodial sentence length in the higher courts in both 2006–07 and 2023–24, based on the category of the principal offence in the case.</w:t>
      </w:r>
      <w:r w:rsidRPr="008C1137">
        <w:rPr>
          <w:rStyle w:val="Superscript"/>
        </w:rPr>
        <w:footnoteReference w:id="105"/>
      </w:r>
      <w:r w:rsidRPr="008C1137">
        <w:t xml:space="preserve"> The most common specific offence for each offence category has also been included given that the average custodial sentence length can be influenced by the varying level of offence seriousness within each offence category. This means that, even if most sentences within an offence category are short, a few lengthy sentences will increase the average; for example, offences against the person include murder, which carries a maximum penalty of life imprisonment,</w:t>
      </w:r>
      <w:r w:rsidRPr="008C1137">
        <w:rPr>
          <w:rStyle w:val="Superscript"/>
        </w:rPr>
        <w:footnoteReference w:id="106"/>
      </w:r>
      <w:r w:rsidRPr="008C1137">
        <w:t xml:space="preserve"> but the most common principal offence to receive a custodial sentence in this offence category was armed robbery, with a maximum penalty of 25 years’ imprisonment.</w:t>
      </w:r>
      <w:r w:rsidRPr="008C1137">
        <w:rPr>
          <w:rStyle w:val="Superscript"/>
        </w:rPr>
        <w:footnoteReference w:id="107"/>
      </w:r>
      <w:r w:rsidRPr="008C1137">
        <w:t xml:space="preserve"> </w:t>
      </w:r>
    </w:p>
    <w:p w14:paraId="39959516" w14:textId="77777777" w:rsidR="00076085" w:rsidRPr="008C1137" w:rsidRDefault="00076085" w:rsidP="00BE4EDC">
      <w:pPr>
        <w:pStyle w:val="Caption"/>
      </w:pPr>
      <w:r w:rsidRPr="00157502">
        <w:t>Table 3</w:t>
      </w:r>
      <w:r w:rsidRPr="008C1137">
        <w:t>: Average custodial sentence lengths in the higher courts, 2006–07 to 2023–24</w:t>
      </w:r>
    </w:p>
    <w:tbl>
      <w:tblPr>
        <w:tblStyle w:val="Table"/>
        <w:tblW w:w="5000" w:type="pct"/>
        <w:tblLayout w:type="fixed"/>
        <w:tblLook w:val="0020" w:firstRow="1" w:lastRow="0" w:firstColumn="0" w:lastColumn="0" w:noHBand="0" w:noVBand="0"/>
      </w:tblPr>
      <w:tblGrid>
        <w:gridCol w:w="1502"/>
        <w:gridCol w:w="1504"/>
        <w:gridCol w:w="1504"/>
        <w:gridCol w:w="1502"/>
        <w:gridCol w:w="1504"/>
        <w:gridCol w:w="1500"/>
      </w:tblGrid>
      <w:tr w:rsidR="006A0A62" w:rsidRPr="008C1137" w14:paraId="17A507FE" w14:textId="77777777" w:rsidTr="00CF2074">
        <w:trPr>
          <w:trHeight w:val="60"/>
          <w:tblHeader/>
        </w:trPr>
        <w:tc>
          <w:tcPr>
            <w:tcW w:w="833" w:type="pct"/>
          </w:tcPr>
          <w:p w14:paraId="3A85493B" w14:textId="77777777" w:rsidR="00076085" w:rsidRPr="00281603" w:rsidRDefault="00076085" w:rsidP="00281603">
            <w:pPr>
              <w:pStyle w:val="TableHeading"/>
            </w:pPr>
            <w:r w:rsidRPr="00281603">
              <w:t>Offence category</w:t>
            </w:r>
          </w:p>
        </w:tc>
        <w:tc>
          <w:tcPr>
            <w:tcW w:w="834" w:type="pct"/>
          </w:tcPr>
          <w:p w14:paraId="265726EA" w14:textId="77777777" w:rsidR="00076085" w:rsidRPr="00281603" w:rsidRDefault="00076085" w:rsidP="00281603">
            <w:pPr>
              <w:pStyle w:val="TableHeading"/>
            </w:pPr>
            <w:r w:rsidRPr="00281603">
              <w:t>Percentage of prison sentences, 1 July 2006 to 30 June 2024</w:t>
            </w:r>
          </w:p>
        </w:tc>
        <w:tc>
          <w:tcPr>
            <w:tcW w:w="834" w:type="pct"/>
          </w:tcPr>
          <w:p w14:paraId="787CA79C" w14:textId="77777777" w:rsidR="00076085" w:rsidRPr="00281603" w:rsidRDefault="00076085" w:rsidP="00281603">
            <w:pPr>
              <w:pStyle w:val="TableHeading"/>
            </w:pPr>
            <w:r w:rsidRPr="00281603">
              <w:t>Average custodial sentence length, 2006–07</w:t>
            </w:r>
          </w:p>
        </w:tc>
        <w:tc>
          <w:tcPr>
            <w:tcW w:w="833" w:type="pct"/>
          </w:tcPr>
          <w:p w14:paraId="61370C3F" w14:textId="77777777" w:rsidR="00076085" w:rsidRPr="00281603" w:rsidRDefault="00076085" w:rsidP="00281603">
            <w:pPr>
              <w:pStyle w:val="TableHeading"/>
            </w:pPr>
            <w:r w:rsidRPr="00281603">
              <w:t>Average custodial sentence length, 2023–24</w:t>
            </w:r>
          </w:p>
        </w:tc>
        <w:tc>
          <w:tcPr>
            <w:tcW w:w="834" w:type="pct"/>
          </w:tcPr>
          <w:p w14:paraId="17DDC167" w14:textId="77777777" w:rsidR="00076085" w:rsidRPr="00281603" w:rsidRDefault="00076085" w:rsidP="00281603">
            <w:pPr>
              <w:pStyle w:val="TableHeading"/>
            </w:pPr>
            <w:r w:rsidRPr="00281603">
              <w:t>Percentage change in average custodial sentence length, 2006–07 to 2023–24</w:t>
            </w:r>
          </w:p>
        </w:tc>
        <w:tc>
          <w:tcPr>
            <w:tcW w:w="834" w:type="pct"/>
          </w:tcPr>
          <w:p w14:paraId="31515134" w14:textId="77777777" w:rsidR="00076085" w:rsidRPr="00281603" w:rsidRDefault="00076085" w:rsidP="00281603">
            <w:pPr>
              <w:pStyle w:val="TableHeading"/>
            </w:pPr>
            <w:r w:rsidRPr="00281603">
              <w:t>Most common principal offence</w:t>
            </w:r>
          </w:p>
        </w:tc>
      </w:tr>
      <w:tr w:rsidR="006A0A62" w:rsidRPr="008C1137" w14:paraId="5BC3F0A2" w14:textId="77777777" w:rsidTr="00CF2074">
        <w:trPr>
          <w:trHeight w:val="60"/>
        </w:trPr>
        <w:tc>
          <w:tcPr>
            <w:tcW w:w="833" w:type="pct"/>
          </w:tcPr>
          <w:p w14:paraId="3130556B" w14:textId="77777777" w:rsidR="00076085" w:rsidRPr="00C852A8" w:rsidRDefault="00076085" w:rsidP="00C852A8">
            <w:pPr>
              <w:pStyle w:val="TableBody"/>
            </w:pPr>
            <w:r w:rsidRPr="00C852A8">
              <w:t>Person</w:t>
            </w:r>
          </w:p>
        </w:tc>
        <w:tc>
          <w:tcPr>
            <w:tcW w:w="834" w:type="pct"/>
          </w:tcPr>
          <w:p w14:paraId="2649C1EA" w14:textId="77777777" w:rsidR="00076085" w:rsidRPr="008C1137" w:rsidRDefault="00076085" w:rsidP="00390380">
            <w:pPr>
              <w:pStyle w:val="TableBody"/>
            </w:pPr>
            <w:r w:rsidRPr="008C1137">
              <w:t>56%</w:t>
            </w:r>
          </w:p>
        </w:tc>
        <w:tc>
          <w:tcPr>
            <w:tcW w:w="834" w:type="pct"/>
          </w:tcPr>
          <w:p w14:paraId="76A0F1E4" w14:textId="77777777" w:rsidR="00076085" w:rsidRPr="008C1137" w:rsidRDefault="00076085" w:rsidP="00390380">
            <w:pPr>
              <w:pStyle w:val="TableBody"/>
            </w:pPr>
            <w:r w:rsidRPr="008C1137">
              <w:t>4 years and 7 months</w:t>
            </w:r>
          </w:p>
        </w:tc>
        <w:tc>
          <w:tcPr>
            <w:tcW w:w="833" w:type="pct"/>
          </w:tcPr>
          <w:p w14:paraId="176CA766" w14:textId="77777777" w:rsidR="00076085" w:rsidRPr="008C1137" w:rsidRDefault="00076085" w:rsidP="00390380">
            <w:pPr>
              <w:pStyle w:val="TableBody"/>
            </w:pPr>
            <w:r w:rsidRPr="008C1137">
              <w:t>4 years and 11 months</w:t>
            </w:r>
          </w:p>
        </w:tc>
        <w:tc>
          <w:tcPr>
            <w:tcW w:w="834" w:type="pct"/>
          </w:tcPr>
          <w:p w14:paraId="3E5EB95D" w14:textId="77777777" w:rsidR="00076085" w:rsidRPr="008C1137" w:rsidRDefault="00076085" w:rsidP="00390380">
            <w:pPr>
              <w:pStyle w:val="TableBody"/>
            </w:pPr>
            <w:r w:rsidRPr="008C1137">
              <w:t>+6%</w:t>
            </w:r>
          </w:p>
        </w:tc>
        <w:tc>
          <w:tcPr>
            <w:tcW w:w="834" w:type="pct"/>
          </w:tcPr>
          <w:p w14:paraId="52F9FF4C" w14:textId="77777777" w:rsidR="00076085" w:rsidRPr="008C1137" w:rsidRDefault="00076085" w:rsidP="00390380">
            <w:pPr>
              <w:pStyle w:val="TableBody"/>
            </w:pPr>
            <w:r w:rsidRPr="008C1137">
              <w:t>Armed robbery</w:t>
            </w:r>
          </w:p>
        </w:tc>
      </w:tr>
      <w:tr w:rsidR="006A0A62" w:rsidRPr="008C1137" w14:paraId="4CFF123A" w14:textId="77777777" w:rsidTr="00CF2074">
        <w:trPr>
          <w:trHeight w:val="60"/>
        </w:trPr>
        <w:tc>
          <w:tcPr>
            <w:tcW w:w="833" w:type="pct"/>
          </w:tcPr>
          <w:p w14:paraId="06F35185" w14:textId="77777777" w:rsidR="00076085" w:rsidRPr="00C852A8" w:rsidRDefault="00076085" w:rsidP="00C852A8">
            <w:pPr>
              <w:pStyle w:val="TableBody"/>
            </w:pPr>
            <w:r w:rsidRPr="00C852A8">
              <w:t>Property</w:t>
            </w:r>
          </w:p>
        </w:tc>
        <w:tc>
          <w:tcPr>
            <w:tcW w:w="834" w:type="pct"/>
          </w:tcPr>
          <w:p w14:paraId="3F8B068D" w14:textId="77777777" w:rsidR="00076085" w:rsidRPr="008C1137" w:rsidRDefault="00076085" w:rsidP="00390380">
            <w:pPr>
              <w:pStyle w:val="TableBody"/>
            </w:pPr>
            <w:r w:rsidRPr="008C1137">
              <w:t>19%</w:t>
            </w:r>
          </w:p>
        </w:tc>
        <w:tc>
          <w:tcPr>
            <w:tcW w:w="834" w:type="pct"/>
          </w:tcPr>
          <w:p w14:paraId="538721A5" w14:textId="77777777" w:rsidR="00076085" w:rsidRPr="008C1137" w:rsidRDefault="00076085" w:rsidP="00390380">
            <w:pPr>
              <w:pStyle w:val="TableBody"/>
            </w:pPr>
            <w:r w:rsidRPr="008C1137">
              <w:t>2 years and 3 months</w:t>
            </w:r>
          </w:p>
        </w:tc>
        <w:tc>
          <w:tcPr>
            <w:tcW w:w="833" w:type="pct"/>
          </w:tcPr>
          <w:p w14:paraId="0222894B" w14:textId="77777777" w:rsidR="00076085" w:rsidRPr="008C1137" w:rsidRDefault="00076085" w:rsidP="00390380">
            <w:pPr>
              <w:pStyle w:val="TableBody"/>
            </w:pPr>
            <w:r w:rsidRPr="008C1137">
              <w:t>2 years and 11 months</w:t>
            </w:r>
          </w:p>
        </w:tc>
        <w:tc>
          <w:tcPr>
            <w:tcW w:w="834" w:type="pct"/>
          </w:tcPr>
          <w:p w14:paraId="01F9A744" w14:textId="77777777" w:rsidR="00076085" w:rsidRPr="008C1137" w:rsidRDefault="00076085" w:rsidP="00390380">
            <w:pPr>
              <w:pStyle w:val="TableBody"/>
            </w:pPr>
            <w:r w:rsidRPr="008C1137">
              <w:t>+32%</w:t>
            </w:r>
          </w:p>
        </w:tc>
        <w:tc>
          <w:tcPr>
            <w:tcW w:w="834" w:type="pct"/>
          </w:tcPr>
          <w:p w14:paraId="619284D7" w14:textId="77777777" w:rsidR="00076085" w:rsidRPr="008C1137" w:rsidRDefault="00076085" w:rsidP="00390380">
            <w:pPr>
              <w:pStyle w:val="TableBody"/>
            </w:pPr>
            <w:r w:rsidRPr="008C1137">
              <w:t>Aggravated burglary</w:t>
            </w:r>
            <w:r w:rsidRPr="0053159E">
              <w:rPr>
                <w:rStyle w:val="Superscript"/>
              </w:rPr>
              <w:t>a</w:t>
            </w:r>
          </w:p>
        </w:tc>
      </w:tr>
      <w:tr w:rsidR="006A0A62" w:rsidRPr="008C1137" w14:paraId="5E24EBF5" w14:textId="77777777" w:rsidTr="00CF2074">
        <w:trPr>
          <w:trHeight w:val="60"/>
        </w:trPr>
        <w:tc>
          <w:tcPr>
            <w:tcW w:w="833" w:type="pct"/>
          </w:tcPr>
          <w:p w14:paraId="706B235E" w14:textId="77777777" w:rsidR="00076085" w:rsidRPr="00C852A8" w:rsidRDefault="00076085" w:rsidP="00C852A8">
            <w:pPr>
              <w:pStyle w:val="TableBody"/>
            </w:pPr>
            <w:r w:rsidRPr="00C852A8">
              <w:t>Drug</w:t>
            </w:r>
          </w:p>
        </w:tc>
        <w:tc>
          <w:tcPr>
            <w:tcW w:w="834" w:type="pct"/>
          </w:tcPr>
          <w:p w14:paraId="5938C75B" w14:textId="77777777" w:rsidR="00076085" w:rsidRPr="008C1137" w:rsidRDefault="00076085" w:rsidP="00390380">
            <w:pPr>
              <w:pStyle w:val="TableBody"/>
            </w:pPr>
            <w:r w:rsidRPr="008C1137">
              <w:t>18%</w:t>
            </w:r>
          </w:p>
        </w:tc>
        <w:tc>
          <w:tcPr>
            <w:tcW w:w="834" w:type="pct"/>
          </w:tcPr>
          <w:p w14:paraId="7244D1C9" w14:textId="77777777" w:rsidR="00076085" w:rsidRPr="008C1137" w:rsidRDefault="00076085" w:rsidP="00390380">
            <w:pPr>
              <w:pStyle w:val="TableBody"/>
            </w:pPr>
            <w:r w:rsidRPr="008C1137">
              <w:t>3 years and 9 months</w:t>
            </w:r>
          </w:p>
        </w:tc>
        <w:tc>
          <w:tcPr>
            <w:tcW w:w="833" w:type="pct"/>
          </w:tcPr>
          <w:p w14:paraId="55310328" w14:textId="77777777" w:rsidR="00076085" w:rsidRPr="008C1137" w:rsidRDefault="00076085" w:rsidP="00390380">
            <w:pPr>
              <w:pStyle w:val="TableBody"/>
            </w:pPr>
            <w:r w:rsidRPr="008C1137">
              <w:t>5 years</w:t>
            </w:r>
          </w:p>
        </w:tc>
        <w:tc>
          <w:tcPr>
            <w:tcW w:w="834" w:type="pct"/>
          </w:tcPr>
          <w:p w14:paraId="5452E82D" w14:textId="77777777" w:rsidR="00076085" w:rsidRPr="008C1137" w:rsidRDefault="00076085" w:rsidP="00390380">
            <w:pPr>
              <w:pStyle w:val="TableBody"/>
            </w:pPr>
            <w:r w:rsidRPr="008C1137">
              <w:t>+33%</w:t>
            </w:r>
          </w:p>
        </w:tc>
        <w:tc>
          <w:tcPr>
            <w:tcW w:w="834" w:type="pct"/>
          </w:tcPr>
          <w:p w14:paraId="0BA1ED9A" w14:textId="77777777" w:rsidR="00076085" w:rsidRPr="008C1137" w:rsidRDefault="00076085" w:rsidP="00390380">
            <w:pPr>
              <w:pStyle w:val="TableBody"/>
            </w:pPr>
            <w:r w:rsidRPr="008C1137">
              <w:t xml:space="preserve">Trafficking in a non-commercial </w:t>
            </w:r>
            <w:r w:rsidRPr="008C1137">
              <w:lastRenderedPageBreak/>
              <w:t>quantity of a drug of dependence</w:t>
            </w:r>
            <w:r w:rsidRPr="0053159E">
              <w:rPr>
                <w:rStyle w:val="Superscript"/>
              </w:rPr>
              <w:t>b</w:t>
            </w:r>
          </w:p>
        </w:tc>
      </w:tr>
      <w:tr w:rsidR="006A0A62" w:rsidRPr="008C1137" w14:paraId="1F5F2C93" w14:textId="77777777" w:rsidTr="00CF2074">
        <w:trPr>
          <w:trHeight w:val="60"/>
        </w:trPr>
        <w:tc>
          <w:tcPr>
            <w:tcW w:w="833" w:type="pct"/>
          </w:tcPr>
          <w:p w14:paraId="497D0CFD" w14:textId="77777777" w:rsidR="00076085" w:rsidRPr="00C852A8" w:rsidRDefault="00076085" w:rsidP="00C852A8">
            <w:pPr>
              <w:pStyle w:val="TableBody"/>
            </w:pPr>
            <w:r w:rsidRPr="00C852A8">
              <w:lastRenderedPageBreak/>
              <w:t>Public order</w:t>
            </w:r>
          </w:p>
        </w:tc>
        <w:tc>
          <w:tcPr>
            <w:tcW w:w="834" w:type="pct"/>
          </w:tcPr>
          <w:p w14:paraId="5D6830D5" w14:textId="77777777" w:rsidR="00076085" w:rsidRPr="008C1137" w:rsidRDefault="00076085" w:rsidP="00390380">
            <w:pPr>
              <w:pStyle w:val="TableBody"/>
            </w:pPr>
            <w:r w:rsidRPr="008C1137">
              <w:t>3%</w:t>
            </w:r>
          </w:p>
        </w:tc>
        <w:tc>
          <w:tcPr>
            <w:tcW w:w="834" w:type="pct"/>
          </w:tcPr>
          <w:p w14:paraId="01263CF1" w14:textId="77777777" w:rsidR="00076085" w:rsidRPr="008C1137" w:rsidRDefault="00076085" w:rsidP="00390380">
            <w:pPr>
              <w:pStyle w:val="TableBody"/>
            </w:pPr>
            <w:r w:rsidRPr="008C1137">
              <w:t>2 years and 1 month</w:t>
            </w:r>
          </w:p>
        </w:tc>
        <w:tc>
          <w:tcPr>
            <w:tcW w:w="833" w:type="pct"/>
          </w:tcPr>
          <w:p w14:paraId="32FC89B2" w14:textId="77777777" w:rsidR="00076085" w:rsidRPr="008C1137" w:rsidRDefault="00076085" w:rsidP="00390380">
            <w:pPr>
              <w:pStyle w:val="TableBody"/>
            </w:pPr>
            <w:r w:rsidRPr="008C1137">
              <w:t>2 years and 10 months</w:t>
            </w:r>
          </w:p>
        </w:tc>
        <w:tc>
          <w:tcPr>
            <w:tcW w:w="834" w:type="pct"/>
          </w:tcPr>
          <w:p w14:paraId="1D3B4896" w14:textId="77777777" w:rsidR="00076085" w:rsidRPr="008C1137" w:rsidRDefault="00076085" w:rsidP="00390380">
            <w:pPr>
              <w:pStyle w:val="TableBody"/>
            </w:pPr>
            <w:r w:rsidRPr="008C1137">
              <w:t>+38%</w:t>
            </w:r>
          </w:p>
        </w:tc>
        <w:tc>
          <w:tcPr>
            <w:tcW w:w="834" w:type="pct"/>
          </w:tcPr>
          <w:p w14:paraId="065C5616" w14:textId="77777777" w:rsidR="00076085" w:rsidRPr="008C1137" w:rsidRDefault="00076085" w:rsidP="00390380">
            <w:pPr>
              <w:pStyle w:val="TableBody"/>
            </w:pPr>
            <w:r w:rsidRPr="008C1137">
              <w:t>Prohibited person possessing, carrying or using a firearm</w:t>
            </w:r>
            <w:r w:rsidRPr="0053159E">
              <w:rPr>
                <w:rStyle w:val="Superscript"/>
              </w:rPr>
              <w:t>c</w:t>
            </w:r>
          </w:p>
        </w:tc>
      </w:tr>
      <w:tr w:rsidR="006A0A62" w:rsidRPr="008C1137" w14:paraId="049C69FA" w14:textId="77777777" w:rsidTr="00CF2074">
        <w:trPr>
          <w:trHeight w:val="60"/>
        </w:trPr>
        <w:tc>
          <w:tcPr>
            <w:tcW w:w="833" w:type="pct"/>
          </w:tcPr>
          <w:p w14:paraId="213DC36E" w14:textId="77777777" w:rsidR="00076085" w:rsidRPr="00C852A8" w:rsidRDefault="00076085" w:rsidP="00C852A8">
            <w:pPr>
              <w:pStyle w:val="TableBody"/>
            </w:pPr>
            <w:r w:rsidRPr="00C852A8">
              <w:t>Justice procedure</w:t>
            </w:r>
          </w:p>
        </w:tc>
        <w:tc>
          <w:tcPr>
            <w:tcW w:w="834" w:type="pct"/>
          </w:tcPr>
          <w:p w14:paraId="597F21BF" w14:textId="77777777" w:rsidR="00076085" w:rsidRPr="008C1137" w:rsidRDefault="00076085" w:rsidP="00390380">
            <w:pPr>
              <w:pStyle w:val="TableBody"/>
            </w:pPr>
            <w:r w:rsidRPr="008C1137">
              <w:t>3%</w:t>
            </w:r>
          </w:p>
        </w:tc>
        <w:tc>
          <w:tcPr>
            <w:tcW w:w="834" w:type="pct"/>
          </w:tcPr>
          <w:p w14:paraId="7D3E8937" w14:textId="77777777" w:rsidR="00076085" w:rsidRPr="008C1137" w:rsidRDefault="00076085" w:rsidP="00390380">
            <w:pPr>
              <w:pStyle w:val="TableBody"/>
            </w:pPr>
            <w:r w:rsidRPr="008C1137">
              <w:t>1 year and 6 months</w:t>
            </w:r>
          </w:p>
        </w:tc>
        <w:tc>
          <w:tcPr>
            <w:tcW w:w="833" w:type="pct"/>
          </w:tcPr>
          <w:p w14:paraId="63230FFE" w14:textId="77777777" w:rsidR="00076085" w:rsidRPr="008C1137" w:rsidRDefault="00076085" w:rsidP="00390380">
            <w:pPr>
              <w:pStyle w:val="TableBody"/>
            </w:pPr>
            <w:r w:rsidRPr="008C1137">
              <w:t>1 year and 1 month</w:t>
            </w:r>
          </w:p>
        </w:tc>
        <w:tc>
          <w:tcPr>
            <w:tcW w:w="834" w:type="pct"/>
          </w:tcPr>
          <w:p w14:paraId="53297DC8" w14:textId="77777777" w:rsidR="00076085" w:rsidRPr="008C1137" w:rsidRDefault="00076085" w:rsidP="00390380">
            <w:pPr>
              <w:pStyle w:val="TableBody"/>
            </w:pPr>
            <w:r w:rsidRPr="008C1137">
              <w:t>−27%</w:t>
            </w:r>
          </w:p>
        </w:tc>
        <w:tc>
          <w:tcPr>
            <w:tcW w:w="834" w:type="pct"/>
          </w:tcPr>
          <w:p w14:paraId="79CB3AD1" w14:textId="77777777" w:rsidR="00076085" w:rsidRPr="008C1137" w:rsidRDefault="00076085" w:rsidP="00390380">
            <w:pPr>
              <w:pStyle w:val="TableBody"/>
            </w:pPr>
            <w:r w:rsidRPr="008C1137">
              <w:t>Attempt to pervert the course of justice</w:t>
            </w:r>
            <w:r w:rsidRPr="0053159E">
              <w:rPr>
                <w:rStyle w:val="Superscript"/>
              </w:rPr>
              <w:t>d</w:t>
            </w:r>
          </w:p>
        </w:tc>
      </w:tr>
      <w:tr w:rsidR="006A0A62" w:rsidRPr="008C1137" w14:paraId="31060346" w14:textId="77777777" w:rsidTr="00CF2074">
        <w:trPr>
          <w:trHeight w:val="60"/>
        </w:trPr>
        <w:tc>
          <w:tcPr>
            <w:tcW w:w="833" w:type="pct"/>
          </w:tcPr>
          <w:p w14:paraId="7F9A4DA5" w14:textId="77777777" w:rsidR="00076085" w:rsidRPr="00C852A8" w:rsidRDefault="00076085" w:rsidP="00C852A8">
            <w:pPr>
              <w:pStyle w:val="TableBody"/>
            </w:pPr>
            <w:r w:rsidRPr="00C852A8">
              <w:t>Other</w:t>
            </w:r>
          </w:p>
        </w:tc>
        <w:tc>
          <w:tcPr>
            <w:tcW w:w="834" w:type="pct"/>
          </w:tcPr>
          <w:p w14:paraId="5DA1AB20" w14:textId="77777777" w:rsidR="00076085" w:rsidRPr="008C1137" w:rsidRDefault="00076085" w:rsidP="00390380">
            <w:pPr>
              <w:pStyle w:val="TableBody"/>
            </w:pPr>
            <w:r w:rsidRPr="008C1137">
              <w:t>1%</w:t>
            </w:r>
          </w:p>
        </w:tc>
        <w:tc>
          <w:tcPr>
            <w:tcW w:w="834" w:type="pct"/>
          </w:tcPr>
          <w:p w14:paraId="1E2ED1F4" w14:textId="77777777" w:rsidR="00076085" w:rsidRPr="008C1137" w:rsidRDefault="00076085" w:rsidP="00390380">
            <w:pPr>
              <w:pStyle w:val="TableBody"/>
            </w:pPr>
            <w:r w:rsidRPr="008C1137">
              <w:t>2 years and 8 months</w:t>
            </w:r>
          </w:p>
        </w:tc>
        <w:tc>
          <w:tcPr>
            <w:tcW w:w="833" w:type="pct"/>
          </w:tcPr>
          <w:p w14:paraId="053943A1" w14:textId="77777777" w:rsidR="00076085" w:rsidRPr="008C1137" w:rsidRDefault="00076085" w:rsidP="00390380">
            <w:pPr>
              <w:pStyle w:val="TableBody"/>
            </w:pPr>
            <w:r w:rsidRPr="008C1137">
              <w:t>2 years and 6 months</w:t>
            </w:r>
          </w:p>
        </w:tc>
        <w:tc>
          <w:tcPr>
            <w:tcW w:w="834" w:type="pct"/>
          </w:tcPr>
          <w:p w14:paraId="00E41DA2" w14:textId="77777777" w:rsidR="00076085" w:rsidRPr="008C1137" w:rsidRDefault="00076085" w:rsidP="00390380">
            <w:pPr>
              <w:pStyle w:val="TableBody"/>
            </w:pPr>
            <w:r w:rsidRPr="008C1137">
              <w:t>−4%</w:t>
            </w:r>
          </w:p>
        </w:tc>
        <w:tc>
          <w:tcPr>
            <w:tcW w:w="834" w:type="pct"/>
          </w:tcPr>
          <w:p w14:paraId="4A516E6C" w14:textId="77777777" w:rsidR="00076085" w:rsidRPr="008C1137" w:rsidRDefault="00076085" w:rsidP="00390380">
            <w:pPr>
              <w:pStyle w:val="TableBody"/>
            </w:pPr>
            <w:r w:rsidRPr="008C1137">
              <w:t>Aggravated offence of recklessly exposing an emergency worker to risk by driving</w:t>
            </w:r>
            <w:r w:rsidRPr="0053159E">
              <w:rPr>
                <w:rStyle w:val="Superscript"/>
              </w:rPr>
              <w:t>e</w:t>
            </w:r>
          </w:p>
        </w:tc>
      </w:tr>
    </w:tbl>
    <w:p w14:paraId="4EB851CC" w14:textId="77777777" w:rsidR="00076085" w:rsidRPr="008C1137" w:rsidRDefault="00076085" w:rsidP="00D4532A">
      <w:r w:rsidRPr="000C258A">
        <w:rPr>
          <w:rStyle w:val="Strong"/>
        </w:rPr>
        <w:t>Source</w:t>
      </w:r>
      <w:r w:rsidRPr="008C1137">
        <w:t>: Court Services Victoria, unpublished data</w:t>
      </w:r>
    </w:p>
    <w:p w14:paraId="1026CFE3" w14:textId="77777777" w:rsidR="00076085" w:rsidRPr="001C7588" w:rsidRDefault="00076085" w:rsidP="001C7588">
      <w:pPr>
        <w:pStyle w:val="ListParagraph"/>
        <w:numPr>
          <w:ilvl w:val="0"/>
          <w:numId w:val="15"/>
        </w:numPr>
      </w:pPr>
      <w:r w:rsidRPr="001C7588">
        <w:t xml:space="preserve">Aggravated burglary carries a maximum penalty of 25 years’ imprisonment: </w:t>
      </w:r>
      <w:r w:rsidRPr="004850E8">
        <w:rPr>
          <w:i/>
          <w:iCs/>
        </w:rPr>
        <w:t>Crimes Act 1958</w:t>
      </w:r>
      <w:r w:rsidRPr="001C7588">
        <w:t xml:space="preserve"> (Vic) s 77.</w:t>
      </w:r>
    </w:p>
    <w:p w14:paraId="3C01E399" w14:textId="77777777" w:rsidR="00076085" w:rsidRPr="001C7588" w:rsidRDefault="00076085" w:rsidP="001C7588">
      <w:pPr>
        <w:pStyle w:val="ListParagraph"/>
        <w:numPr>
          <w:ilvl w:val="0"/>
          <w:numId w:val="15"/>
        </w:numPr>
      </w:pPr>
      <w:r w:rsidRPr="001C7588">
        <w:t xml:space="preserve">Trafficking in a non-commercial quantity of a drug of dependence carries a maximum penalty of 15 years’ imprisonment: </w:t>
      </w:r>
      <w:r w:rsidRPr="004850E8">
        <w:rPr>
          <w:i/>
          <w:iCs/>
        </w:rPr>
        <w:t>Drugs, Poisons and Controlled Substances Act 1981</w:t>
      </w:r>
      <w:r w:rsidRPr="001C7588">
        <w:t xml:space="preserve"> (Vic) s 71AC(1).</w:t>
      </w:r>
    </w:p>
    <w:p w14:paraId="2F853DE6" w14:textId="77777777" w:rsidR="00076085" w:rsidRPr="001C7588" w:rsidRDefault="00076085" w:rsidP="001C7588">
      <w:pPr>
        <w:pStyle w:val="ListParagraph"/>
        <w:numPr>
          <w:ilvl w:val="0"/>
          <w:numId w:val="15"/>
        </w:numPr>
      </w:pPr>
      <w:r w:rsidRPr="001C7588">
        <w:t xml:space="preserve">The offence of prohibited person possessing, carrying or using a firearm carries a maximum penalty of 10 years’ imprisonment: </w:t>
      </w:r>
      <w:r w:rsidRPr="004850E8">
        <w:rPr>
          <w:i/>
          <w:iCs/>
        </w:rPr>
        <w:t>Firearms Act 1996</w:t>
      </w:r>
      <w:r w:rsidRPr="001C7588">
        <w:t xml:space="preserve"> (Vic) s 5(1).</w:t>
      </w:r>
    </w:p>
    <w:p w14:paraId="25A467D0" w14:textId="77777777" w:rsidR="00076085" w:rsidRPr="001C7588" w:rsidRDefault="00076085" w:rsidP="001C7588">
      <w:pPr>
        <w:pStyle w:val="ListParagraph"/>
        <w:numPr>
          <w:ilvl w:val="0"/>
          <w:numId w:val="15"/>
        </w:numPr>
      </w:pPr>
      <w:r w:rsidRPr="001C7588">
        <w:t xml:space="preserve">Attempt to pervert the course of justice is a common law offence and carries a maximum penalty of 25 years’ imprisonment: </w:t>
      </w:r>
      <w:r w:rsidRPr="00F90060">
        <w:rPr>
          <w:i/>
          <w:iCs/>
        </w:rPr>
        <w:t>Crimes Act 1958</w:t>
      </w:r>
      <w:r w:rsidRPr="001C7588">
        <w:t xml:space="preserve"> (Vic) s 320.</w:t>
      </w:r>
    </w:p>
    <w:p w14:paraId="2F2F6670" w14:textId="77777777" w:rsidR="00076085" w:rsidRPr="001C7588" w:rsidRDefault="00076085" w:rsidP="001C7588">
      <w:pPr>
        <w:pStyle w:val="ListParagraph"/>
        <w:numPr>
          <w:ilvl w:val="0"/>
          <w:numId w:val="15"/>
        </w:numPr>
      </w:pPr>
      <w:r w:rsidRPr="001C7588">
        <w:t xml:space="preserve">The aggravated offence of recklessly exposing an emergency worker to risk by driving carries a maximum penalty of 10 years’ imprisonment </w:t>
      </w:r>
      <w:r w:rsidRPr="001C7588">
        <w:lastRenderedPageBreak/>
        <w:t xml:space="preserve">and is a category 2 offence (meaning that a custodial sentence must be imposed unless exceptional circumstances exist): </w:t>
      </w:r>
      <w:r w:rsidRPr="00B030D9">
        <w:rPr>
          <w:i/>
          <w:iCs/>
        </w:rPr>
        <w:t>Crimes Act 1958</w:t>
      </w:r>
      <w:r w:rsidRPr="001C7588">
        <w:t xml:space="preserve"> (Vic) s 317AF.</w:t>
      </w:r>
    </w:p>
    <w:p w14:paraId="4F740DEE" w14:textId="77777777" w:rsidR="00A4454A" w:rsidRPr="008C1137" w:rsidRDefault="00A4454A" w:rsidP="00210207">
      <w:pPr>
        <w:pStyle w:val="Numbered"/>
      </w:pPr>
      <w:r w:rsidRPr="008C1137">
        <w:t>There were significant increases in the average custodial sentence lengths imposed for public order offences (a 38% increase), drug offences (a 33% increase) and property offences (a 32% increase). There was also a less pronounced increase in average custodial sentence lengths for offences against the person (6%).</w:t>
      </w:r>
    </w:p>
    <w:p w14:paraId="3247343C" w14:textId="482F5645" w:rsidR="00A4454A" w:rsidRPr="008C1137" w:rsidRDefault="00A4454A" w:rsidP="00210207">
      <w:pPr>
        <w:pStyle w:val="Numbered"/>
      </w:pPr>
      <w:r w:rsidRPr="008C1137">
        <w:t>By comparison, average custodial sentence lengths for justice procedure offences and other offences declined (by 27% and 4% respectively). The significant decline in average custodial sentence lengths for justice procedure offences – which include breach of bail offences, breach of intervention order offences and attempt to pervert the course of justice – may be explained by the significant increase in the number of justice procedure offences being dealt with in the higher courts each year (Figure 25). This could suggest that there has been an increase in less serious cases of those offences being sentenced now than previously, and those cases are receiving short prison sentences.</w:t>
      </w:r>
      <w:r w:rsidRPr="008C1137">
        <w:rPr>
          <w:rStyle w:val="Superscript"/>
        </w:rPr>
        <w:footnoteReference w:id="108"/>
      </w:r>
    </w:p>
    <w:p w14:paraId="54281D0F" w14:textId="77777777" w:rsidR="00723E10" w:rsidRPr="008C1137" w:rsidRDefault="00723E10" w:rsidP="00BE4EDC">
      <w:pPr>
        <w:pStyle w:val="Caption"/>
      </w:pPr>
      <w:r w:rsidRPr="00157502">
        <w:t>Figure 25</w:t>
      </w:r>
      <w:r w:rsidRPr="008C1137">
        <w:t>: Number of cases receiving custodial sentences and average custodial sentence lengths for justice procedure offences in the higher courts, 2006–07 to 2023–24</w:t>
      </w:r>
    </w:p>
    <w:tbl>
      <w:tblPr>
        <w:tblStyle w:val="Table"/>
        <w:tblW w:w="5000" w:type="pct"/>
        <w:tblLayout w:type="fixed"/>
        <w:tblLook w:val="04A0" w:firstRow="1" w:lastRow="0" w:firstColumn="1" w:lastColumn="0" w:noHBand="0" w:noVBand="1"/>
      </w:tblPr>
      <w:tblGrid>
        <w:gridCol w:w="3005"/>
        <w:gridCol w:w="3005"/>
        <w:gridCol w:w="3006"/>
      </w:tblGrid>
      <w:tr w:rsidR="00237561" w:rsidRPr="00202025" w14:paraId="4BD87715" w14:textId="77777777" w:rsidTr="00C2229B">
        <w:trPr>
          <w:trHeight w:val="288"/>
          <w:tblHeader/>
        </w:trPr>
        <w:tc>
          <w:tcPr>
            <w:tcW w:w="1666" w:type="pct"/>
            <w:noWrap/>
            <w:hideMark/>
          </w:tcPr>
          <w:p w14:paraId="4E57366E" w14:textId="700F7D3E" w:rsidR="00237561" w:rsidRPr="00202025" w:rsidRDefault="007365F6" w:rsidP="00202025">
            <w:pPr>
              <w:pStyle w:val="TableHeading"/>
            </w:pPr>
            <w:r w:rsidRPr="00202025">
              <w:t>Financial year</w:t>
            </w:r>
          </w:p>
        </w:tc>
        <w:tc>
          <w:tcPr>
            <w:tcW w:w="1666" w:type="pct"/>
            <w:noWrap/>
            <w:hideMark/>
          </w:tcPr>
          <w:p w14:paraId="02CFF035" w14:textId="77777777" w:rsidR="00237561" w:rsidRPr="00202025" w:rsidRDefault="00237561" w:rsidP="00202025">
            <w:pPr>
              <w:pStyle w:val="TableHeading"/>
            </w:pPr>
            <w:r w:rsidRPr="00202025">
              <w:t>Average sentence length (months)</w:t>
            </w:r>
          </w:p>
        </w:tc>
        <w:tc>
          <w:tcPr>
            <w:tcW w:w="1667" w:type="pct"/>
            <w:noWrap/>
            <w:hideMark/>
          </w:tcPr>
          <w:p w14:paraId="7E3ED759" w14:textId="77777777" w:rsidR="00237561" w:rsidRPr="00202025" w:rsidRDefault="00237561" w:rsidP="00202025">
            <w:pPr>
              <w:pStyle w:val="TableHeading"/>
            </w:pPr>
            <w:r w:rsidRPr="00202025">
              <w:t>Number of custodial sentences</w:t>
            </w:r>
          </w:p>
        </w:tc>
      </w:tr>
      <w:tr w:rsidR="00237561" w:rsidRPr="00202025" w14:paraId="4E598E2D" w14:textId="77777777" w:rsidTr="00C2229B">
        <w:trPr>
          <w:trHeight w:val="288"/>
        </w:trPr>
        <w:tc>
          <w:tcPr>
            <w:tcW w:w="1666" w:type="pct"/>
            <w:noWrap/>
            <w:hideMark/>
          </w:tcPr>
          <w:p w14:paraId="4A5D33E0" w14:textId="77777777" w:rsidR="00237561" w:rsidRPr="00202025" w:rsidRDefault="00237561" w:rsidP="00202025">
            <w:pPr>
              <w:pStyle w:val="TableBody"/>
            </w:pPr>
            <w:r w:rsidRPr="00202025">
              <w:t>2006-07</w:t>
            </w:r>
          </w:p>
        </w:tc>
        <w:tc>
          <w:tcPr>
            <w:tcW w:w="1666" w:type="pct"/>
            <w:noWrap/>
            <w:hideMark/>
          </w:tcPr>
          <w:p w14:paraId="749BEAA5" w14:textId="77777777" w:rsidR="00237561" w:rsidRPr="00202025" w:rsidRDefault="00237561" w:rsidP="00202025">
            <w:pPr>
              <w:pStyle w:val="TableBody"/>
            </w:pPr>
            <w:r w:rsidRPr="00202025">
              <w:t>17.2</w:t>
            </w:r>
          </w:p>
        </w:tc>
        <w:tc>
          <w:tcPr>
            <w:tcW w:w="1667" w:type="pct"/>
            <w:noWrap/>
            <w:hideMark/>
          </w:tcPr>
          <w:p w14:paraId="1C85A6B7" w14:textId="77777777" w:rsidR="00237561" w:rsidRPr="00202025" w:rsidRDefault="00237561" w:rsidP="00202025">
            <w:pPr>
              <w:pStyle w:val="TableBody"/>
            </w:pPr>
            <w:r w:rsidRPr="00202025">
              <w:t>10</w:t>
            </w:r>
          </w:p>
        </w:tc>
      </w:tr>
      <w:tr w:rsidR="00237561" w:rsidRPr="00202025" w14:paraId="65DE6789" w14:textId="77777777" w:rsidTr="00C2229B">
        <w:trPr>
          <w:trHeight w:val="288"/>
        </w:trPr>
        <w:tc>
          <w:tcPr>
            <w:tcW w:w="1666" w:type="pct"/>
            <w:noWrap/>
            <w:hideMark/>
          </w:tcPr>
          <w:p w14:paraId="5CB02A10" w14:textId="77777777" w:rsidR="00237561" w:rsidRPr="00202025" w:rsidRDefault="00237561" w:rsidP="00202025">
            <w:pPr>
              <w:pStyle w:val="TableBody"/>
            </w:pPr>
            <w:r w:rsidRPr="00202025">
              <w:t>2007-08</w:t>
            </w:r>
          </w:p>
        </w:tc>
        <w:tc>
          <w:tcPr>
            <w:tcW w:w="1666" w:type="pct"/>
            <w:noWrap/>
            <w:hideMark/>
          </w:tcPr>
          <w:p w14:paraId="6D4AA038" w14:textId="77777777" w:rsidR="00237561" w:rsidRPr="00202025" w:rsidRDefault="00237561" w:rsidP="00202025">
            <w:pPr>
              <w:pStyle w:val="TableBody"/>
            </w:pPr>
            <w:r w:rsidRPr="00202025">
              <w:t>24.4</w:t>
            </w:r>
          </w:p>
        </w:tc>
        <w:tc>
          <w:tcPr>
            <w:tcW w:w="1667" w:type="pct"/>
            <w:noWrap/>
            <w:hideMark/>
          </w:tcPr>
          <w:p w14:paraId="62F18093" w14:textId="77777777" w:rsidR="00237561" w:rsidRPr="00202025" w:rsidRDefault="00237561" w:rsidP="00202025">
            <w:pPr>
              <w:pStyle w:val="TableBody"/>
            </w:pPr>
            <w:r w:rsidRPr="00202025">
              <w:t>11</w:t>
            </w:r>
          </w:p>
        </w:tc>
      </w:tr>
      <w:tr w:rsidR="00237561" w:rsidRPr="00202025" w14:paraId="07884F50" w14:textId="77777777" w:rsidTr="00C2229B">
        <w:trPr>
          <w:trHeight w:val="288"/>
        </w:trPr>
        <w:tc>
          <w:tcPr>
            <w:tcW w:w="1666" w:type="pct"/>
            <w:noWrap/>
            <w:hideMark/>
          </w:tcPr>
          <w:p w14:paraId="2036CE56" w14:textId="77777777" w:rsidR="00237561" w:rsidRPr="00202025" w:rsidRDefault="00237561" w:rsidP="00202025">
            <w:pPr>
              <w:pStyle w:val="TableBody"/>
            </w:pPr>
            <w:r w:rsidRPr="00202025">
              <w:t>2008-09</w:t>
            </w:r>
          </w:p>
        </w:tc>
        <w:tc>
          <w:tcPr>
            <w:tcW w:w="1666" w:type="pct"/>
            <w:noWrap/>
            <w:hideMark/>
          </w:tcPr>
          <w:p w14:paraId="71966B5E" w14:textId="77777777" w:rsidR="00237561" w:rsidRPr="00202025" w:rsidRDefault="00237561" w:rsidP="00202025">
            <w:pPr>
              <w:pStyle w:val="TableBody"/>
            </w:pPr>
            <w:r w:rsidRPr="00202025">
              <w:t>55.4</w:t>
            </w:r>
          </w:p>
        </w:tc>
        <w:tc>
          <w:tcPr>
            <w:tcW w:w="1667" w:type="pct"/>
            <w:noWrap/>
            <w:hideMark/>
          </w:tcPr>
          <w:p w14:paraId="32A1E2D8" w14:textId="77777777" w:rsidR="00237561" w:rsidRPr="00202025" w:rsidRDefault="00237561" w:rsidP="00202025">
            <w:pPr>
              <w:pStyle w:val="TableBody"/>
            </w:pPr>
            <w:r w:rsidRPr="00202025">
              <w:t>22</w:t>
            </w:r>
          </w:p>
        </w:tc>
      </w:tr>
      <w:tr w:rsidR="00237561" w:rsidRPr="00202025" w14:paraId="6FFBA36E" w14:textId="77777777" w:rsidTr="00C2229B">
        <w:trPr>
          <w:trHeight w:val="288"/>
        </w:trPr>
        <w:tc>
          <w:tcPr>
            <w:tcW w:w="1666" w:type="pct"/>
            <w:noWrap/>
            <w:hideMark/>
          </w:tcPr>
          <w:p w14:paraId="1357778C" w14:textId="77777777" w:rsidR="00237561" w:rsidRPr="00202025" w:rsidRDefault="00237561" w:rsidP="00202025">
            <w:pPr>
              <w:pStyle w:val="TableBody"/>
            </w:pPr>
            <w:r w:rsidRPr="00202025">
              <w:t>2009-10</w:t>
            </w:r>
          </w:p>
        </w:tc>
        <w:tc>
          <w:tcPr>
            <w:tcW w:w="1666" w:type="pct"/>
            <w:noWrap/>
            <w:hideMark/>
          </w:tcPr>
          <w:p w14:paraId="1D91F447" w14:textId="77777777" w:rsidR="00237561" w:rsidRPr="00202025" w:rsidRDefault="00237561" w:rsidP="00202025">
            <w:pPr>
              <w:pStyle w:val="TableBody"/>
            </w:pPr>
            <w:r w:rsidRPr="00202025">
              <w:t>48.3</w:t>
            </w:r>
          </w:p>
        </w:tc>
        <w:tc>
          <w:tcPr>
            <w:tcW w:w="1667" w:type="pct"/>
            <w:noWrap/>
            <w:hideMark/>
          </w:tcPr>
          <w:p w14:paraId="03550709" w14:textId="77777777" w:rsidR="00237561" w:rsidRPr="00202025" w:rsidRDefault="00237561" w:rsidP="00202025">
            <w:pPr>
              <w:pStyle w:val="TableBody"/>
            </w:pPr>
            <w:r w:rsidRPr="00202025">
              <w:t>13</w:t>
            </w:r>
          </w:p>
        </w:tc>
      </w:tr>
      <w:tr w:rsidR="00237561" w:rsidRPr="00202025" w14:paraId="3CE3AE85" w14:textId="77777777" w:rsidTr="00C2229B">
        <w:trPr>
          <w:trHeight w:val="288"/>
        </w:trPr>
        <w:tc>
          <w:tcPr>
            <w:tcW w:w="1666" w:type="pct"/>
            <w:noWrap/>
            <w:hideMark/>
          </w:tcPr>
          <w:p w14:paraId="23B9B7E3" w14:textId="77777777" w:rsidR="00237561" w:rsidRPr="00202025" w:rsidRDefault="00237561" w:rsidP="00202025">
            <w:pPr>
              <w:pStyle w:val="TableBody"/>
            </w:pPr>
            <w:r w:rsidRPr="00202025">
              <w:t>2010-11</w:t>
            </w:r>
          </w:p>
        </w:tc>
        <w:tc>
          <w:tcPr>
            <w:tcW w:w="1666" w:type="pct"/>
            <w:noWrap/>
            <w:hideMark/>
          </w:tcPr>
          <w:p w14:paraId="26D052DD" w14:textId="77777777" w:rsidR="00237561" w:rsidRPr="00202025" w:rsidRDefault="00237561" w:rsidP="00202025">
            <w:pPr>
              <w:pStyle w:val="TableBody"/>
            </w:pPr>
            <w:r w:rsidRPr="00202025">
              <w:t>23.9</w:t>
            </w:r>
          </w:p>
        </w:tc>
        <w:tc>
          <w:tcPr>
            <w:tcW w:w="1667" w:type="pct"/>
            <w:noWrap/>
            <w:hideMark/>
          </w:tcPr>
          <w:p w14:paraId="2107A222" w14:textId="77777777" w:rsidR="00237561" w:rsidRPr="00202025" w:rsidRDefault="00237561" w:rsidP="00202025">
            <w:pPr>
              <w:pStyle w:val="TableBody"/>
            </w:pPr>
            <w:r w:rsidRPr="00202025">
              <w:t>10</w:t>
            </w:r>
          </w:p>
        </w:tc>
      </w:tr>
      <w:tr w:rsidR="00237561" w:rsidRPr="00202025" w14:paraId="73489394" w14:textId="77777777" w:rsidTr="00C2229B">
        <w:trPr>
          <w:trHeight w:val="288"/>
        </w:trPr>
        <w:tc>
          <w:tcPr>
            <w:tcW w:w="1666" w:type="pct"/>
            <w:noWrap/>
            <w:hideMark/>
          </w:tcPr>
          <w:p w14:paraId="05AAF8B1" w14:textId="77777777" w:rsidR="00237561" w:rsidRPr="00202025" w:rsidRDefault="00237561" w:rsidP="00202025">
            <w:pPr>
              <w:pStyle w:val="TableBody"/>
            </w:pPr>
            <w:r w:rsidRPr="00202025">
              <w:lastRenderedPageBreak/>
              <w:t>2011-12</w:t>
            </w:r>
          </w:p>
        </w:tc>
        <w:tc>
          <w:tcPr>
            <w:tcW w:w="1666" w:type="pct"/>
            <w:noWrap/>
            <w:hideMark/>
          </w:tcPr>
          <w:p w14:paraId="0B133FA6" w14:textId="77777777" w:rsidR="00237561" w:rsidRPr="00202025" w:rsidRDefault="00237561" w:rsidP="00202025">
            <w:pPr>
              <w:pStyle w:val="TableBody"/>
            </w:pPr>
            <w:r w:rsidRPr="00202025">
              <w:t>60.3</w:t>
            </w:r>
          </w:p>
        </w:tc>
        <w:tc>
          <w:tcPr>
            <w:tcW w:w="1667" w:type="pct"/>
            <w:noWrap/>
            <w:hideMark/>
          </w:tcPr>
          <w:p w14:paraId="7C7D7042" w14:textId="77777777" w:rsidR="00237561" w:rsidRPr="00202025" w:rsidRDefault="00237561" w:rsidP="00202025">
            <w:pPr>
              <w:pStyle w:val="TableBody"/>
            </w:pPr>
            <w:r w:rsidRPr="00202025">
              <w:t>19</w:t>
            </w:r>
          </w:p>
        </w:tc>
      </w:tr>
      <w:tr w:rsidR="00237561" w:rsidRPr="00202025" w14:paraId="1B7FC98C" w14:textId="77777777" w:rsidTr="00C2229B">
        <w:trPr>
          <w:trHeight w:val="288"/>
        </w:trPr>
        <w:tc>
          <w:tcPr>
            <w:tcW w:w="1666" w:type="pct"/>
            <w:noWrap/>
            <w:hideMark/>
          </w:tcPr>
          <w:p w14:paraId="42527B7E" w14:textId="77777777" w:rsidR="00237561" w:rsidRPr="00202025" w:rsidRDefault="00237561" w:rsidP="00202025">
            <w:pPr>
              <w:pStyle w:val="TableBody"/>
            </w:pPr>
            <w:r w:rsidRPr="00202025">
              <w:t>2012-13</w:t>
            </w:r>
          </w:p>
        </w:tc>
        <w:tc>
          <w:tcPr>
            <w:tcW w:w="1666" w:type="pct"/>
            <w:noWrap/>
            <w:hideMark/>
          </w:tcPr>
          <w:p w14:paraId="71586BCF" w14:textId="77777777" w:rsidR="00237561" w:rsidRPr="00202025" w:rsidRDefault="00237561" w:rsidP="00202025">
            <w:pPr>
              <w:pStyle w:val="TableBody"/>
            </w:pPr>
            <w:r w:rsidRPr="00202025">
              <w:t>14.3</w:t>
            </w:r>
          </w:p>
        </w:tc>
        <w:tc>
          <w:tcPr>
            <w:tcW w:w="1667" w:type="pct"/>
            <w:noWrap/>
            <w:hideMark/>
          </w:tcPr>
          <w:p w14:paraId="682CD8A3" w14:textId="77777777" w:rsidR="00237561" w:rsidRPr="00202025" w:rsidRDefault="00237561" w:rsidP="00202025">
            <w:pPr>
              <w:pStyle w:val="TableBody"/>
            </w:pPr>
            <w:r w:rsidRPr="00202025">
              <w:t>39</w:t>
            </w:r>
          </w:p>
        </w:tc>
      </w:tr>
      <w:tr w:rsidR="00237561" w:rsidRPr="00202025" w14:paraId="5233B2C9" w14:textId="77777777" w:rsidTr="00C2229B">
        <w:trPr>
          <w:trHeight w:val="288"/>
        </w:trPr>
        <w:tc>
          <w:tcPr>
            <w:tcW w:w="1666" w:type="pct"/>
            <w:noWrap/>
            <w:hideMark/>
          </w:tcPr>
          <w:p w14:paraId="1063BBA8" w14:textId="77777777" w:rsidR="00237561" w:rsidRPr="00202025" w:rsidRDefault="00237561" w:rsidP="00202025">
            <w:pPr>
              <w:pStyle w:val="TableBody"/>
            </w:pPr>
            <w:r w:rsidRPr="00202025">
              <w:t>2013-14</w:t>
            </w:r>
          </w:p>
        </w:tc>
        <w:tc>
          <w:tcPr>
            <w:tcW w:w="1666" w:type="pct"/>
            <w:noWrap/>
            <w:hideMark/>
          </w:tcPr>
          <w:p w14:paraId="5D22CD8F" w14:textId="77777777" w:rsidR="00237561" w:rsidRPr="00202025" w:rsidRDefault="00237561" w:rsidP="00202025">
            <w:pPr>
              <w:pStyle w:val="TableBody"/>
            </w:pPr>
            <w:r w:rsidRPr="00202025">
              <w:t>13.7</w:t>
            </w:r>
          </w:p>
        </w:tc>
        <w:tc>
          <w:tcPr>
            <w:tcW w:w="1667" w:type="pct"/>
            <w:noWrap/>
            <w:hideMark/>
          </w:tcPr>
          <w:p w14:paraId="1B34C343" w14:textId="77777777" w:rsidR="00237561" w:rsidRPr="00202025" w:rsidRDefault="00237561" w:rsidP="00202025">
            <w:pPr>
              <w:pStyle w:val="TableBody"/>
            </w:pPr>
            <w:r w:rsidRPr="00202025">
              <w:t>38</w:t>
            </w:r>
          </w:p>
        </w:tc>
      </w:tr>
      <w:tr w:rsidR="00237561" w:rsidRPr="00202025" w14:paraId="734167EC" w14:textId="77777777" w:rsidTr="00C2229B">
        <w:trPr>
          <w:trHeight w:val="288"/>
        </w:trPr>
        <w:tc>
          <w:tcPr>
            <w:tcW w:w="1666" w:type="pct"/>
            <w:noWrap/>
            <w:hideMark/>
          </w:tcPr>
          <w:p w14:paraId="245EB3DF" w14:textId="77777777" w:rsidR="00237561" w:rsidRPr="00202025" w:rsidRDefault="00237561" w:rsidP="00202025">
            <w:pPr>
              <w:pStyle w:val="TableBody"/>
            </w:pPr>
            <w:r w:rsidRPr="00202025">
              <w:t>2014-15</w:t>
            </w:r>
          </w:p>
        </w:tc>
        <w:tc>
          <w:tcPr>
            <w:tcW w:w="1666" w:type="pct"/>
            <w:noWrap/>
            <w:hideMark/>
          </w:tcPr>
          <w:p w14:paraId="6027263C" w14:textId="77777777" w:rsidR="00237561" w:rsidRPr="00202025" w:rsidRDefault="00237561" w:rsidP="00202025">
            <w:pPr>
              <w:pStyle w:val="TableBody"/>
            </w:pPr>
            <w:r w:rsidRPr="00202025">
              <w:t>13.8</w:t>
            </w:r>
          </w:p>
        </w:tc>
        <w:tc>
          <w:tcPr>
            <w:tcW w:w="1667" w:type="pct"/>
            <w:noWrap/>
            <w:hideMark/>
          </w:tcPr>
          <w:p w14:paraId="58F2BCCA" w14:textId="77777777" w:rsidR="00237561" w:rsidRPr="00202025" w:rsidRDefault="00237561" w:rsidP="00202025">
            <w:pPr>
              <w:pStyle w:val="TableBody"/>
            </w:pPr>
            <w:r w:rsidRPr="00202025">
              <w:t>35</w:t>
            </w:r>
          </w:p>
        </w:tc>
      </w:tr>
      <w:tr w:rsidR="00237561" w:rsidRPr="00202025" w14:paraId="1F6896C8" w14:textId="77777777" w:rsidTr="00C2229B">
        <w:trPr>
          <w:trHeight w:val="288"/>
        </w:trPr>
        <w:tc>
          <w:tcPr>
            <w:tcW w:w="1666" w:type="pct"/>
            <w:noWrap/>
            <w:hideMark/>
          </w:tcPr>
          <w:p w14:paraId="2F3CC112" w14:textId="77777777" w:rsidR="00237561" w:rsidRPr="00202025" w:rsidRDefault="00237561" w:rsidP="00202025">
            <w:pPr>
              <w:pStyle w:val="TableBody"/>
            </w:pPr>
            <w:r w:rsidRPr="00202025">
              <w:t>2015-16</w:t>
            </w:r>
          </w:p>
        </w:tc>
        <w:tc>
          <w:tcPr>
            <w:tcW w:w="1666" w:type="pct"/>
            <w:noWrap/>
            <w:hideMark/>
          </w:tcPr>
          <w:p w14:paraId="48C79E97" w14:textId="77777777" w:rsidR="00237561" w:rsidRPr="00202025" w:rsidRDefault="00237561" w:rsidP="00202025">
            <w:pPr>
              <w:pStyle w:val="TableBody"/>
            </w:pPr>
            <w:r w:rsidRPr="00202025">
              <w:t>7.5</w:t>
            </w:r>
          </w:p>
        </w:tc>
        <w:tc>
          <w:tcPr>
            <w:tcW w:w="1667" w:type="pct"/>
            <w:noWrap/>
            <w:hideMark/>
          </w:tcPr>
          <w:p w14:paraId="2D1BD289" w14:textId="77777777" w:rsidR="00237561" w:rsidRPr="00202025" w:rsidRDefault="00237561" w:rsidP="00202025">
            <w:pPr>
              <w:pStyle w:val="TableBody"/>
            </w:pPr>
            <w:r w:rsidRPr="00202025">
              <w:t>40</w:t>
            </w:r>
          </w:p>
        </w:tc>
      </w:tr>
      <w:tr w:rsidR="00237561" w:rsidRPr="00202025" w14:paraId="10AA4C7B" w14:textId="77777777" w:rsidTr="00C2229B">
        <w:trPr>
          <w:trHeight w:val="288"/>
        </w:trPr>
        <w:tc>
          <w:tcPr>
            <w:tcW w:w="1666" w:type="pct"/>
            <w:noWrap/>
            <w:hideMark/>
          </w:tcPr>
          <w:p w14:paraId="0A6D354D" w14:textId="77777777" w:rsidR="00237561" w:rsidRPr="00202025" w:rsidRDefault="00237561" w:rsidP="00202025">
            <w:pPr>
              <w:pStyle w:val="TableBody"/>
            </w:pPr>
            <w:r w:rsidRPr="00202025">
              <w:t>2016-17</w:t>
            </w:r>
          </w:p>
        </w:tc>
        <w:tc>
          <w:tcPr>
            <w:tcW w:w="1666" w:type="pct"/>
            <w:noWrap/>
            <w:hideMark/>
          </w:tcPr>
          <w:p w14:paraId="1AA278C2" w14:textId="77777777" w:rsidR="00237561" w:rsidRPr="00202025" w:rsidRDefault="00237561" w:rsidP="00202025">
            <w:pPr>
              <w:pStyle w:val="TableBody"/>
            </w:pPr>
            <w:r w:rsidRPr="00202025">
              <w:t>14.4</w:t>
            </w:r>
          </w:p>
        </w:tc>
        <w:tc>
          <w:tcPr>
            <w:tcW w:w="1667" w:type="pct"/>
            <w:noWrap/>
            <w:hideMark/>
          </w:tcPr>
          <w:p w14:paraId="65FF5D47" w14:textId="77777777" w:rsidR="00237561" w:rsidRPr="00202025" w:rsidRDefault="00237561" w:rsidP="00202025">
            <w:pPr>
              <w:pStyle w:val="TableBody"/>
            </w:pPr>
            <w:r w:rsidRPr="00202025">
              <w:t>57</w:t>
            </w:r>
          </w:p>
        </w:tc>
      </w:tr>
      <w:tr w:rsidR="00237561" w:rsidRPr="00202025" w14:paraId="1807A59C" w14:textId="77777777" w:rsidTr="00C2229B">
        <w:trPr>
          <w:trHeight w:val="288"/>
        </w:trPr>
        <w:tc>
          <w:tcPr>
            <w:tcW w:w="1666" w:type="pct"/>
            <w:noWrap/>
            <w:hideMark/>
          </w:tcPr>
          <w:p w14:paraId="7044BC6F" w14:textId="77777777" w:rsidR="00237561" w:rsidRPr="00202025" w:rsidRDefault="00237561" w:rsidP="00202025">
            <w:pPr>
              <w:pStyle w:val="TableBody"/>
            </w:pPr>
            <w:r w:rsidRPr="00202025">
              <w:t>2017-18</w:t>
            </w:r>
          </w:p>
        </w:tc>
        <w:tc>
          <w:tcPr>
            <w:tcW w:w="1666" w:type="pct"/>
            <w:noWrap/>
            <w:hideMark/>
          </w:tcPr>
          <w:p w14:paraId="17FDDF8B" w14:textId="77777777" w:rsidR="00237561" w:rsidRPr="00202025" w:rsidRDefault="00237561" w:rsidP="00202025">
            <w:pPr>
              <w:pStyle w:val="TableBody"/>
            </w:pPr>
            <w:r w:rsidRPr="00202025">
              <w:t>11.1</w:t>
            </w:r>
          </w:p>
        </w:tc>
        <w:tc>
          <w:tcPr>
            <w:tcW w:w="1667" w:type="pct"/>
            <w:noWrap/>
            <w:hideMark/>
          </w:tcPr>
          <w:p w14:paraId="01759CA9" w14:textId="77777777" w:rsidR="00237561" w:rsidRPr="00202025" w:rsidRDefault="00237561" w:rsidP="00202025">
            <w:pPr>
              <w:pStyle w:val="TableBody"/>
            </w:pPr>
            <w:r w:rsidRPr="00202025">
              <w:t>54</w:t>
            </w:r>
          </w:p>
        </w:tc>
      </w:tr>
      <w:tr w:rsidR="00237561" w:rsidRPr="00202025" w14:paraId="14FA15AD" w14:textId="77777777" w:rsidTr="00C2229B">
        <w:trPr>
          <w:trHeight w:val="288"/>
        </w:trPr>
        <w:tc>
          <w:tcPr>
            <w:tcW w:w="1666" w:type="pct"/>
            <w:noWrap/>
            <w:hideMark/>
          </w:tcPr>
          <w:p w14:paraId="78691D93" w14:textId="77777777" w:rsidR="00237561" w:rsidRPr="00202025" w:rsidRDefault="00237561" w:rsidP="00202025">
            <w:pPr>
              <w:pStyle w:val="TableBody"/>
            </w:pPr>
            <w:r w:rsidRPr="00202025">
              <w:t>2018-19</w:t>
            </w:r>
          </w:p>
        </w:tc>
        <w:tc>
          <w:tcPr>
            <w:tcW w:w="1666" w:type="pct"/>
            <w:noWrap/>
            <w:hideMark/>
          </w:tcPr>
          <w:p w14:paraId="73A075D1" w14:textId="77777777" w:rsidR="00237561" w:rsidRPr="00202025" w:rsidRDefault="00237561" w:rsidP="00202025">
            <w:pPr>
              <w:pStyle w:val="TableBody"/>
            </w:pPr>
            <w:r w:rsidRPr="00202025">
              <w:t>25.2</w:t>
            </w:r>
          </w:p>
        </w:tc>
        <w:tc>
          <w:tcPr>
            <w:tcW w:w="1667" w:type="pct"/>
            <w:noWrap/>
            <w:hideMark/>
          </w:tcPr>
          <w:p w14:paraId="6DD4BA40" w14:textId="77777777" w:rsidR="00237561" w:rsidRPr="00202025" w:rsidRDefault="00237561" w:rsidP="00202025">
            <w:pPr>
              <w:pStyle w:val="TableBody"/>
            </w:pPr>
            <w:r w:rsidRPr="00202025">
              <w:t>77</w:t>
            </w:r>
          </w:p>
        </w:tc>
      </w:tr>
      <w:tr w:rsidR="00237561" w:rsidRPr="00202025" w14:paraId="5D2C0943" w14:textId="77777777" w:rsidTr="00C2229B">
        <w:trPr>
          <w:trHeight w:val="288"/>
        </w:trPr>
        <w:tc>
          <w:tcPr>
            <w:tcW w:w="1666" w:type="pct"/>
            <w:noWrap/>
            <w:hideMark/>
          </w:tcPr>
          <w:p w14:paraId="591E3B07" w14:textId="77777777" w:rsidR="00237561" w:rsidRPr="00202025" w:rsidRDefault="00237561" w:rsidP="00202025">
            <w:pPr>
              <w:pStyle w:val="TableBody"/>
            </w:pPr>
            <w:r w:rsidRPr="00202025">
              <w:t>2019-20</w:t>
            </w:r>
          </w:p>
        </w:tc>
        <w:tc>
          <w:tcPr>
            <w:tcW w:w="1666" w:type="pct"/>
            <w:noWrap/>
            <w:hideMark/>
          </w:tcPr>
          <w:p w14:paraId="77CB69AF" w14:textId="77777777" w:rsidR="00237561" w:rsidRPr="00202025" w:rsidRDefault="00237561" w:rsidP="00202025">
            <w:pPr>
              <w:pStyle w:val="TableBody"/>
            </w:pPr>
            <w:r w:rsidRPr="00202025">
              <w:t>35.7</w:t>
            </w:r>
          </w:p>
        </w:tc>
        <w:tc>
          <w:tcPr>
            <w:tcW w:w="1667" w:type="pct"/>
            <w:noWrap/>
            <w:hideMark/>
          </w:tcPr>
          <w:p w14:paraId="51A25F3A" w14:textId="77777777" w:rsidR="00237561" w:rsidRPr="00202025" w:rsidRDefault="00237561" w:rsidP="00202025">
            <w:pPr>
              <w:pStyle w:val="TableBody"/>
            </w:pPr>
            <w:r w:rsidRPr="00202025">
              <w:t>67</w:t>
            </w:r>
          </w:p>
        </w:tc>
      </w:tr>
      <w:tr w:rsidR="00237561" w:rsidRPr="00202025" w14:paraId="59931FEA" w14:textId="77777777" w:rsidTr="00C2229B">
        <w:trPr>
          <w:trHeight w:val="288"/>
        </w:trPr>
        <w:tc>
          <w:tcPr>
            <w:tcW w:w="1666" w:type="pct"/>
            <w:noWrap/>
            <w:hideMark/>
          </w:tcPr>
          <w:p w14:paraId="7D6C3D55" w14:textId="77777777" w:rsidR="00237561" w:rsidRPr="00202025" w:rsidRDefault="00237561" w:rsidP="00202025">
            <w:pPr>
              <w:pStyle w:val="TableBody"/>
            </w:pPr>
            <w:r w:rsidRPr="00202025">
              <w:t>2020-21</w:t>
            </w:r>
          </w:p>
        </w:tc>
        <w:tc>
          <w:tcPr>
            <w:tcW w:w="1666" w:type="pct"/>
            <w:noWrap/>
            <w:hideMark/>
          </w:tcPr>
          <w:p w14:paraId="3C79D898" w14:textId="77777777" w:rsidR="00237561" w:rsidRPr="00202025" w:rsidRDefault="00237561" w:rsidP="00202025">
            <w:pPr>
              <w:pStyle w:val="TableBody"/>
            </w:pPr>
            <w:r w:rsidRPr="00202025">
              <w:t>16.7</w:t>
            </w:r>
          </w:p>
        </w:tc>
        <w:tc>
          <w:tcPr>
            <w:tcW w:w="1667" w:type="pct"/>
            <w:noWrap/>
            <w:hideMark/>
          </w:tcPr>
          <w:p w14:paraId="29771CA8" w14:textId="77777777" w:rsidR="00237561" w:rsidRPr="00202025" w:rsidRDefault="00237561" w:rsidP="00202025">
            <w:pPr>
              <w:pStyle w:val="TableBody"/>
            </w:pPr>
            <w:r w:rsidRPr="00202025">
              <w:t>41</w:t>
            </w:r>
          </w:p>
        </w:tc>
      </w:tr>
      <w:tr w:rsidR="00237561" w:rsidRPr="00202025" w14:paraId="2163B767" w14:textId="77777777" w:rsidTr="00C2229B">
        <w:trPr>
          <w:trHeight w:val="288"/>
        </w:trPr>
        <w:tc>
          <w:tcPr>
            <w:tcW w:w="1666" w:type="pct"/>
            <w:noWrap/>
            <w:hideMark/>
          </w:tcPr>
          <w:p w14:paraId="7C3C2766" w14:textId="77777777" w:rsidR="00237561" w:rsidRPr="00202025" w:rsidRDefault="00237561" w:rsidP="00202025">
            <w:pPr>
              <w:pStyle w:val="TableBody"/>
            </w:pPr>
            <w:r w:rsidRPr="00202025">
              <w:t>2021-22</w:t>
            </w:r>
          </w:p>
        </w:tc>
        <w:tc>
          <w:tcPr>
            <w:tcW w:w="1666" w:type="pct"/>
            <w:noWrap/>
            <w:hideMark/>
          </w:tcPr>
          <w:p w14:paraId="2AC07AA1" w14:textId="77777777" w:rsidR="00237561" w:rsidRPr="00202025" w:rsidRDefault="00237561" w:rsidP="00202025">
            <w:pPr>
              <w:pStyle w:val="TableBody"/>
            </w:pPr>
            <w:r w:rsidRPr="00202025">
              <w:t>21.7</w:t>
            </w:r>
          </w:p>
        </w:tc>
        <w:tc>
          <w:tcPr>
            <w:tcW w:w="1667" w:type="pct"/>
            <w:noWrap/>
            <w:hideMark/>
          </w:tcPr>
          <w:p w14:paraId="352D2EA8" w14:textId="77777777" w:rsidR="00237561" w:rsidRPr="00202025" w:rsidRDefault="00237561" w:rsidP="00202025">
            <w:pPr>
              <w:pStyle w:val="TableBody"/>
            </w:pPr>
            <w:r w:rsidRPr="00202025">
              <w:t>58</w:t>
            </w:r>
          </w:p>
        </w:tc>
      </w:tr>
      <w:tr w:rsidR="00237561" w:rsidRPr="00202025" w14:paraId="1341CFD3" w14:textId="77777777" w:rsidTr="00C2229B">
        <w:trPr>
          <w:trHeight w:val="288"/>
        </w:trPr>
        <w:tc>
          <w:tcPr>
            <w:tcW w:w="1666" w:type="pct"/>
            <w:noWrap/>
            <w:hideMark/>
          </w:tcPr>
          <w:p w14:paraId="097FB221" w14:textId="77777777" w:rsidR="00237561" w:rsidRPr="00202025" w:rsidRDefault="00237561" w:rsidP="00202025">
            <w:pPr>
              <w:pStyle w:val="TableBody"/>
            </w:pPr>
            <w:r w:rsidRPr="00202025">
              <w:t>2022-23</w:t>
            </w:r>
          </w:p>
        </w:tc>
        <w:tc>
          <w:tcPr>
            <w:tcW w:w="1666" w:type="pct"/>
            <w:noWrap/>
            <w:hideMark/>
          </w:tcPr>
          <w:p w14:paraId="02E148F3" w14:textId="77777777" w:rsidR="00237561" w:rsidRPr="00202025" w:rsidRDefault="00237561" w:rsidP="00202025">
            <w:pPr>
              <w:pStyle w:val="TableBody"/>
            </w:pPr>
            <w:r w:rsidRPr="00202025">
              <w:t>10.1</w:t>
            </w:r>
          </w:p>
        </w:tc>
        <w:tc>
          <w:tcPr>
            <w:tcW w:w="1667" w:type="pct"/>
            <w:noWrap/>
            <w:hideMark/>
          </w:tcPr>
          <w:p w14:paraId="17B84528" w14:textId="77777777" w:rsidR="00237561" w:rsidRPr="00202025" w:rsidRDefault="00237561" w:rsidP="00202025">
            <w:pPr>
              <w:pStyle w:val="TableBody"/>
            </w:pPr>
            <w:r w:rsidRPr="00202025">
              <w:t>57</w:t>
            </w:r>
          </w:p>
        </w:tc>
      </w:tr>
      <w:tr w:rsidR="00237561" w:rsidRPr="00202025" w14:paraId="41AE5BAE" w14:textId="77777777" w:rsidTr="00C2229B">
        <w:trPr>
          <w:trHeight w:val="288"/>
        </w:trPr>
        <w:tc>
          <w:tcPr>
            <w:tcW w:w="1666" w:type="pct"/>
            <w:noWrap/>
            <w:hideMark/>
          </w:tcPr>
          <w:p w14:paraId="5ECE9649" w14:textId="77777777" w:rsidR="00237561" w:rsidRPr="00202025" w:rsidRDefault="00237561" w:rsidP="00202025">
            <w:pPr>
              <w:pStyle w:val="TableBody"/>
            </w:pPr>
            <w:r w:rsidRPr="00202025">
              <w:t>2023-24</w:t>
            </w:r>
          </w:p>
        </w:tc>
        <w:tc>
          <w:tcPr>
            <w:tcW w:w="1666" w:type="pct"/>
            <w:noWrap/>
            <w:hideMark/>
          </w:tcPr>
          <w:p w14:paraId="3668570C" w14:textId="77777777" w:rsidR="00237561" w:rsidRPr="00202025" w:rsidRDefault="00237561" w:rsidP="00202025">
            <w:pPr>
              <w:pStyle w:val="TableBody"/>
            </w:pPr>
            <w:r w:rsidRPr="00202025">
              <w:t>12.6</w:t>
            </w:r>
          </w:p>
        </w:tc>
        <w:tc>
          <w:tcPr>
            <w:tcW w:w="1667" w:type="pct"/>
            <w:noWrap/>
            <w:hideMark/>
          </w:tcPr>
          <w:p w14:paraId="5BE029BF" w14:textId="77777777" w:rsidR="00237561" w:rsidRPr="00202025" w:rsidRDefault="00237561" w:rsidP="00202025">
            <w:pPr>
              <w:pStyle w:val="TableBody"/>
            </w:pPr>
            <w:r w:rsidRPr="00202025">
              <w:t>45</w:t>
            </w:r>
          </w:p>
        </w:tc>
      </w:tr>
    </w:tbl>
    <w:p w14:paraId="051735AF" w14:textId="77777777" w:rsidR="00723E10" w:rsidRPr="00157502" w:rsidRDefault="00723E10" w:rsidP="00D4532A">
      <w:r w:rsidRPr="000C258A">
        <w:rPr>
          <w:rStyle w:val="Strong"/>
        </w:rPr>
        <w:t>Source</w:t>
      </w:r>
      <w:r w:rsidRPr="008C1137">
        <w:t>: Court Services Victoria, unpublished data</w:t>
      </w:r>
    </w:p>
    <w:p w14:paraId="70ABB44A" w14:textId="77777777" w:rsidR="00A4454A" w:rsidRPr="008C1137" w:rsidRDefault="00A4454A" w:rsidP="0002476E">
      <w:pPr>
        <w:pStyle w:val="Heading2"/>
      </w:pPr>
      <w:r w:rsidRPr="008C1137">
        <w:t>Which specific offences most commonly received custodial sentences?</w:t>
      </w:r>
    </w:p>
    <w:p w14:paraId="06307A91" w14:textId="77777777" w:rsidR="00A4454A" w:rsidRPr="008C1137" w:rsidRDefault="00A4454A" w:rsidP="00210207">
      <w:pPr>
        <w:pStyle w:val="Numbered"/>
      </w:pPr>
      <w:r w:rsidRPr="008C1137">
        <w:t xml:space="preserve">During the 20-year period, 147,134 cases resulted in a custodial sentence in Victoria: 122,555 in the Magistrates’ Court and 24,579 in the higher courts. The three most common </w:t>
      </w:r>
      <w:r w:rsidRPr="003B3217">
        <w:rPr>
          <w:rStyle w:val="Italic"/>
        </w:rPr>
        <w:t xml:space="preserve">specific </w:t>
      </w:r>
      <w:r w:rsidRPr="008C1137">
        <w:t xml:space="preserve">principal offences in those cases were: </w:t>
      </w:r>
    </w:p>
    <w:p w14:paraId="0CDAAD93" w14:textId="77777777" w:rsidR="00A4454A" w:rsidRPr="008C1137" w:rsidRDefault="00A4454A" w:rsidP="008C1137">
      <w:pPr>
        <w:pStyle w:val="Bullets"/>
      </w:pPr>
      <w:r w:rsidRPr="003B3217">
        <w:rPr>
          <w:rStyle w:val="Italic"/>
        </w:rPr>
        <w:t>burglary</w:t>
      </w:r>
      <w:r w:rsidRPr="008C1137">
        <w:t xml:space="preserve"> (12,237 custodial sentences), which has a 10-year maximum penalty and accounted for 8% of all custodial sentences during the 20-year period</w:t>
      </w:r>
      <w:r w:rsidRPr="008C1137">
        <w:rPr>
          <w:rStyle w:val="Superscript"/>
        </w:rPr>
        <w:footnoteReference w:id="109"/>
      </w:r>
    </w:p>
    <w:p w14:paraId="3C4189EA" w14:textId="77777777" w:rsidR="00A4454A" w:rsidRPr="008C1137" w:rsidRDefault="00A4454A" w:rsidP="008C1137">
      <w:pPr>
        <w:pStyle w:val="Bullets"/>
      </w:pPr>
      <w:r w:rsidRPr="003B3217">
        <w:rPr>
          <w:rStyle w:val="Italic"/>
        </w:rPr>
        <w:t>unlawful assault</w:t>
      </w:r>
      <w:r w:rsidRPr="008C1137">
        <w:t xml:space="preserve"> (10,311 custodial sentences), which has a 3-month maximum penalty and accounted for 7% of custodial sentences during the 20-year period</w:t>
      </w:r>
      <w:r w:rsidRPr="008C1137">
        <w:rPr>
          <w:rStyle w:val="Superscript"/>
        </w:rPr>
        <w:footnoteReference w:id="110"/>
      </w:r>
      <w:r w:rsidRPr="008C1137">
        <w:t xml:space="preserve"> and</w:t>
      </w:r>
    </w:p>
    <w:p w14:paraId="3954A19C" w14:textId="77777777" w:rsidR="00A4454A" w:rsidRPr="008C1137" w:rsidRDefault="00A4454A" w:rsidP="008C1137">
      <w:pPr>
        <w:pStyle w:val="Bullets"/>
      </w:pPr>
      <w:r w:rsidRPr="003B3217">
        <w:rPr>
          <w:rStyle w:val="Italic"/>
        </w:rPr>
        <w:t>recklessly causing injury</w:t>
      </w:r>
      <w:r w:rsidRPr="008C1137">
        <w:t xml:space="preserve"> (8,144 custodial sentences), which has a 5-year maximum penalty and accounted for 6% of custodial sentences during the 20-year period.</w:t>
      </w:r>
      <w:r w:rsidRPr="008C1137">
        <w:rPr>
          <w:rStyle w:val="Superscript"/>
        </w:rPr>
        <w:footnoteReference w:id="111"/>
      </w:r>
    </w:p>
    <w:p w14:paraId="7EC8C213" w14:textId="26A64E91" w:rsidR="00A4454A" w:rsidRPr="008C1137" w:rsidRDefault="00A4454A" w:rsidP="00210207">
      <w:pPr>
        <w:pStyle w:val="Numbered"/>
      </w:pPr>
      <w:r w:rsidRPr="008C1137">
        <w:lastRenderedPageBreak/>
        <w:t>Figure 26</w:t>
      </w:r>
      <w:r w:rsidR="009E33A5">
        <w:t xml:space="preserve"> </w:t>
      </w:r>
      <w:r w:rsidRPr="008C1137">
        <w:t xml:space="preserve">presents the number of cases where one of those three offences was the principal offence and the case received a custodial sentence. There was a slight decrease in the </w:t>
      </w:r>
      <w:r w:rsidRPr="003B3217">
        <w:rPr>
          <w:rStyle w:val="Italic"/>
        </w:rPr>
        <w:t>number</w:t>
      </w:r>
      <w:r w:rsidRPr="008C1137">
        <w:t xml:space="preserve"> of custodial sentences imposed for a principal offence of burglary each year, but this also co-occurred with a considerable increase in the proportion of these cases resulting in a custodial sentence (from 33% to 51%). This means that there are fewer cases where burglary is the principal proven offence, but more of those cases are receiving a custodial sentence than previously. </w:t>
      </w:r>
    </w:p>
    <w:p w14:paraId="4B615FD8" w14:textId="77777777" w:rsidR="00735D07" w:rsidRPr="008C1137" w:rsidRDefault="00735D07" w:rsidP="00BE4EDC">
      <w:pPr>
        <w:pStyle w:val="Caption"/>
      </w:pPr>
      <w:r w:rsidRPr="00157502">
        <w:t>Figure 26</w:t>
      </w:r>
      <w:r w:rsidRPr="008C1137">
        <w:t>: Number of cases receiving a custodial sentence for a principal offence of burglary, unlawful assault and recklessly causing injury, all courts, 2004–05 to 2023–24</w:t>
      </w:r>
    </w:p>
    <w:tbl>
      <w:tblPr>
        <w:tblStyle w:val="Table"/>
        <w:tblW w:w="5000" w:type="pct"/>
        <w:tblLayout w:type="fixed"/>
        <w:tblLook w:val="04A0" w:firstRow="1" w:lastRow="0" w:firstColumn="1" w:lastColumn="0" w:noHBand="0" w:noVBand="1"/>
      </w:tblPr>
      <w:tblGrid>
        <w:gridCol w:w="2254"/>
        <w:gridCol w:w="2254"/>
        <w:gridCol w:w="2254"/>
        <w:gridCol w:w="2254"/>
      </w:tblGrid>
      <w:tr w:rsidR="0008180B" w:rsidRPr="0008180B" w14:paraId="431CDFB4" w14:textId="77777777" w:rsidTr="0008180B">
        <w:trPr>
          <w:trHeight w:val="294"/>
          <w:tblHeader/>
        </w:trPr>
        <w:tc>
          <w:tcPr>
            <w:tcW w:w="1250" w:type="pct"/>
            <w:noWrap/>
            <w:hideMark/>
          </w:tcPr>
          <w:p w14:paraId="30D1FC40" w14:textId="4280BE3D" w:rsidR="0008180B" w:rsidRPr="0008180B" w:rsidRDefault="0008180B" w:rsidP="0008180B">
            <w:pPr>
              <w:pStyle w:val="TableHeading"/>
            </w:pPr>
            <w:r w:rsidRPr="0008180B">
              <w:t>Financial year</w:t>
            </w:r>
          </w:p>
        </w:tc>
        <w:tc>
          <w:tcPr>
            <w:tcW w:w="1250" w:type="pct"/>
            <w:noWrap/>
            <w:hideMark/>
          </w:tcPr>
          <w:p w14:paraId="02C6FE71" w14:textId="77777777" w:rsidR="0008180B" w:rsidRPr="0008180B" w:rsidRDefault="0008180B" w:rsidP="0008180B">
            <w:pPr>
              <w:pStyle w:val="TableHeading"/>
            </w:pPr>
            <w:r w:rsidRPr="0008180B">
              <w:t>Unlawful assault</w:t>
            </w:r>
          </w:p>
        </w:tc>
        <w:tc>
          <w:tcPr>
            <w:tcW w:w="1250" w:type="pct"/>
            <w:noWrap/>
            <w:hideMark/>
          </w:tcPr>
          <w:p w14:paraId="271BEAB4" w14:textId="77777777" w:rsidR="0008180B" w:rsidRPr="0008180B" w:rsidRDefault="0008180B" w:rsidP="0008180B">
            <w:pPr>
              <w:pStyle w:val="TableHeading"/>
            </w:pPr>
            <w:r w:rsidRPr="0008180B">
              <w:t>Burglary</w:t>
            </w:r>
          </w:p>
        </w:tc>
        <w:tc>
          <w:tcPr>
            <w:tcW w:w="1250" w:type="pct"/>
            <w:noWrap/>
            <w:hideMark/>
          </w:tcPr>
          <w:p w14:paraId="7507B0F7" w14:textId="77777777" w:rsidR="0008180B" w:rsidRPr="0008180B" w:rsidRDefault="0008180B" w:rsidP="0008180B">
            <w:pPr>
              <w:pStyle w:val="TableHeading"/>
            </w:pPr>
            <w:r w:rsidRPr="0008180B">
              <w:t>Recklessly causing injury</w:t>
            </w:r>
          </w:p>
        </w:tc>
      </w:tr>
      <w:tr w:rsidR="0008180B" w:rsidRPr="0008180B" w14:paraId="6885940B" w14:textId="77777777" w:rsidTr="0008180B">
        <w:trPr>
          <w:trHeight w:val="288"/>
        </w:trPr>
        <w:tc>
          <w:tcPr>
            <w:tcW w:w="1250" w:type="pct"/>
            <w:noWrap/>
            <w:hideMark/>
          </w:tcPr>
          <w:p w14:paraId="45BECC7D" w14:textId="77777777" w:rsidR="0008180B" w:rsidRPr="0008180B" w:rsidRDefault="0008180B" w:rsidP="0008180B">
            <w:pPr>
              <w:pStyle w:val="TableBody"/>
            </w:pPr>
            <w:r w:rsidRPr="0008180B">
              <w:t>2004-05</w:t>
            </w:r>
          </w:p>
        </w:tc>
        <w:tc>
          <w:tcPr>
            <w:tcW w:w="1250" w:type="pct"/>
            <w:noWrap/>
            <w:hideMark/>
          </w:tcPr>
          <w:p w14:paraId="43B7B7EB" w14:textId="77777777" w:rsidR="0008180B" w:rsidRPr="0008180B" w:rsidRDefault="0008180B" w:rsidP="0008180B">
            <w:pPr>
              <w:pStyle w:val="TableBody"/>
            </w:pPr>
            <w:r w:rsidRPr="0008180B">
              <w:t>137</w:t>
            </w:r>
          </w:p>
        </w:tc>
        <w:tc>
          <w:tcPr>
            <w:tcW w:w="1250" w:type="pct"/>
            <w:noWrap/>
            <w:hideMark/>
          </w:tcPr>
          <w:p w14:paraId="7A178A69" w14:textId="77777777" w:rsidR="0008180B" w:rsidRPr="0008180B" w:rsidRDefault="0008180B" w:rsidP="0008180B">
            <w:pPr>
              <w:pStyle w:val="TableBody"/>
            </w:pPr>
            <w:r w:rsidRPr="0008180B">
              <w:t>718</w:t>
            </w:r>
          </w:p>
        </w:tc>
        <w:tc>
          <w:tcPr>
            <w:tcW w:w="1250" w:type="pct"/>
            <w:noWrap/>
            <w:hideMark/>
          </w:tcPr>
          <w:p w14:paraId="7425C864" w14:textId="77777777" w:rsidR="0008180B" w:rsidRPr="0008180B" w:rsidRDefault="0008180B" w:rsidP="0008180B">
            <w:pPr>
              <w:pStyle w:val="TableBody"/>
            </w:pPr>
            <w:r w:rsidRPr="0008180B">
              <w:t>185</w:t>
            </w:r>
          </w:p>
        </w:tc>
      </w:tr>
      <w:tr w:rsidR="0008180B" w:rsidRPr="0008180B" w14:paraId="71187EDC" w14:textId="77777777" w:rsidTr="0008180B">
        <w:trPr>
          <w:trHeight w:val="288"/>
        </w:trPr>
        <w:tc>
          <w:tcPr>
            <w:tcW w:w="1250" w:type="pct"/>
            <w:noWrap/>
            <w:hideMark/>
          </w:tcPr>
          <w:p w14:paraId="678D639A" w14:textId="77777777" w:rsidR="0008180B" w:rsidRPr="0008180B" w:rsidRDefault="0008180B" w:rsidP="0008180B">
            <w:pPr>
              <w:pStyle w:val="TableBody"/>
            </w:pPr>
            <w:r w:rsidRPr="0008180B">
              <w:t>2005-06</w:t>
            </w:r>
          </w:p>
        </w:tc>
        <w:tc>
          <w:tcPr>
            <w:tcW w:w="1250" w:type="pct"/>
            <w:noWrap/>
            <w:hideMark/>
          </w:tcPr>
          <w:p w14:paraId="36330395" w14:textId="77777777" w:rsidR="0008180B" w:rsidRPr="0008180B" w:rsidRDefault="0008180B" w:rsidP="0008180B">
            <w:pPr>
              <w:pStyle w:val="TableBody"/>
            </w:pPr>
            <w:r w:rsidRPr="0008180B">
              <w:t>140</w:t>
            </w:r>
          </w:p>
        </w:tc>
        <w:tc>
          <w:tcPr>
            <w:tcW w:w="1250" w:type="pct"/>
            <w:noWrap/>
            <w:hideMark/>
          </w:tcPr>
          <w:p w14:paraId="5E1D2F89" w14:textId="77777777" w:rsidR="0008180B" w:rsidRPr="0008180B" w:rsidRDefault="0008180B" w:rsidP="0008180B">
            <w:pPr>
              <w:pStyle w:val="TableBody"/>
            </w:pPr>
            <w:r w:rsidRPr="0008180B">
              <w:t>654</w:t>
            </w:r>
          </w:p>
        </w:tc>
        <w:tc>
          <w:tcPr>
            <w:tcW w:w="1250" w:type="pct"/>
            <w:noWrap/>
            <w:hideMark/>
          </w:tcPr>
          <w:p w14:paraId="20B594C1" w14:textId="77777777" w:rsidR="0008180B" w:rsidRPr="0008180B" w:rsidRDefault="0008180B" w:rsidP="0008180B">
            <w:pPr>
              <w:pStyle w:val="TableBody"/>
            </w:pPr>
            <w:r w:rsidRPr="0008180B">
              <w:t>182</w:t>
            </w:r>
          </w:p>
        </w:tc>
      </w:tr>
      <w:tr w:rsidR="0008180B" w:rsidRPr="0008180B" w14:paraId="79B4CE38" w14:textId="77777777" w:rsidTr="0008180B">
        <w:trPr>
          <w:trHeight w:val="288"/>
        </w:trPr>
        <w:tc>
          <w:tcPr>
            <w:tcW w:w="1250" w:type="pct"/>
            <w:noWrap/>
            <w:hideMark/>
          </w:tcPr>
          <w:p w14:paraId="53C7BA74" w14:textId="77777777" w:rsidR="0008180B" w:rsidRPr="0008180B" w:rsidRDefault="0008180B" w:rsidP="0008180B">
            <w:pPr>
              <w:pStyle w:val="TableBody"/>
            </w:pPr>
            <w:r w:rsidRPr="0008180B">
              <w:t>2006-07</w:t>
            </w:r>
          </w:p>
        </w:tc>
        <w:tc>
          <w:tcPr>
            <w:tcW w:w="1250" w:type="pct"/>
            <w:noWrap/>
            <w:hideMark/>
          </w:tcPr>
          <w:p w14:paraId="3048C9C9" w14:textId="77777777" w:rsidR="0008180B" w:rsidRPr="0008180B" w:rsidRDefault="0008180B" w:rsidP="0008180B">
            <w:pPr>
              <w:pStyle w:val="TableBody"/>
            </w:pPr>
            <w:r w:rsidRPr="0008180B">
              <w:t>176</w:t>
            </w:r>
          </w:p>
        </w:tc>
        <w:tc>
          <w:tcPr>
            <w:tcW w:w="1250" w:type="pct"/>
            <w:noWrap/>
            <w:hideMark/>
          </w:tcPr>
          <w:p w14:paraId="7371EF18" w14:textId="77777777" w:rsidR="0008180B" w:rsidRPr="0008180B" w:rsidRDefault="0008180B" w:rsidP="0008180B">
            <w:pPr>
              <w:pStyle w:val="TableBody"/>
            </w:pPr>
            <w:r w:rsidRPr="0008180B">
              <w:t>664</w:t>
            </w:r>
          </w:p>
        </w:tc>
        <w:tc>
          <w:tcPr>
            <w:tcW w:w="1250" w:type="pct"/>
            <w:noWrap/>
            <w:hideMark/>
          </w:tcPr>
          <w:p w14:paraId="74EE6C11" w14:textId="77777777" w:rsidR="0008180B" w:rsidRPr="0008180B" w:rsidRDefault="0008180B" w:rsidP="0008180B">
            <w:pPr>
              <w:pStyle w:val="TableBody"/>
            </w:pPr>
            <w:r w:rsidRPr="0008180B">
              <w:t>196</w:t>
            </w:r>
          </w:p>
        </w:tc>
      </w:tr>
      <w:tr w:rsidR="0008180B" w:rsidRPr="0008180B" w14:paraId="38E43D15" w14:textId="77777777" w:rsidTr="0008180B">
        <w:trPr>
          <w:trHeight w:val="288"/>
        </w:trPr>
        <w:tc>
          <w:tcPr>
            <w:tcW w:w="1250" w:type="pct"/>
            <w:noWrap/>
            <w:hideMark/>
          </w:tcPr>
          <w:p w14:paraId="285838E6" w14:textId="77777777" w:rsidR="0008180B" w:rsidRPr="0008180B" w:rsidRDefault="0008180B" w:rsidP="0008180B">
            <w:pPr>
              <w:pStyle w:val="TableBody"/>
            </w:pPr>
            <w:r w:rsidRPr="0008180B">
              <w:t>2007-08</w:t>
            </w:r>
          </w:p>
        </w:tc>
        <w:tc>
          <w:tcPr>
            <w:tcW w:w="1250" w:type="pct"/>
            <w:noWrap/>
            <w:hideMark/>
          </w:tcPr>
          <w:p w14:paraId="5B8BA173" w14:textId="77777777" w:rsidR="0008180B" w:rsidRPr="0008180B" w:rsidRDefault="0008180B" w:rsidP="0008180B">
            <w:pPr>
              <w:pStyle w:val="TableBody"/>
            </w:pPr>
            <w:r w:rsidRPr="0008180B">
              <w:t>157</w:t>
            </w:r>
          </w:p>
        </w:tc>
        <w:tc>
          <w:tcPr>
            <w:tcW w:w="1250" w:type="pct"/>
            <w:noWrap/>
            <w:hideMark/>
          </w:tcPr>
          <w:p w14:paraId="16BDA713" w14:textId="77777777" w:rsidR="0008180B" w:rsidRPr="0008180B" w:rsidRDefault="0008180B" w:rsidP="0008180B">
            <w:pPr>
              <w:pStyle w:val="TableBody"/>
            </w:pPr>
            <w:r w:rsidRPr="0008180B">
              <w:t>584</w:t>
            </w:r>
          </w:p>
        </w:tc>
        <w:tc>
          <w:tcPr>
            <w:tcW w:w="1250" w:type="pct"/>
            <w:noWrap/>
            <w:hideMark/>
          </w:tcPr>
          <w:p w14:paraId="04BF45C5" w14:textId="77777777" w:rsidR="0008180B" w:rsidRPr="0008180B" w:rsidRDefault="0008180B" w:rsidP="0008180B">
            <w:pPr>
              <w:pStyle w:val="TableBody"/>
            </w:pPr>
            <w:r w:rsidRPr="0008180B">
              <w:t>205</w:t>
            </w:r>
          </w:p>
        </w:tc>
      </w:tr>
      <w:tr w:rsidR="0008180B" w:rsidRPr="0008180B" w14:paraId="60763E3E" w14:textId="77777777" w:rsidTr="0008180B">
        <w:trPr>
          <w:trHeight w:val="288"/>
        </w:trPr>
        <w:tc>
          <w:tcPr>
            <w:tcW w:w="1250" w:type="pct"/>
            <w:noWrap/>
            <w:hideMark/>
          </w:tcPr>
          <w:p w14:paraId="2708100B" w14:textId="77777777" w:rsidR="0008180B" w:rsidRPr="0008180B" w:rsidRDefault="0008180B" w:rsidP="0008180B">
            <w:pPr>
              <w:pStyle w:val="TableBody"/>
            </w:pPr>
            <w:r w:rsidRPr="0008180B">
              <w:t>2008-09</w:t>
            </w:r>
          </w:p>
        </w:tc>
        <w:tc>
          <w:tcPr>
            <w:tcW w:w="1250" w:type="pct"/>
            <w:noWrap/>
            <w:hideMark/>
          </w:tcPr>
          <w:p w14:paraId="7B5C3F6C" w14:textId="77777777" w:rsidR="0008180B" w:rsidRPr="0008180B" w:rsidRDefault="0008180B" w:rsidP="0008180B">
            <w:pPr>
              <w:pStyle w:val="TableBody"/>
            </w:pPr>
            <w:r w:rsidRPr="0008180B">
              <w:t>160</w:t>
            </w:r>
          </w:p>
        </w:tc>
        <w:tc>
          <w:tcPr>
            <w:tcW w:w="1250" w:type="pct"/>
            <w:noWrap/>
            <w:hideMark/>
          </w:tcPr>
          <w:p w14:paraId="1CFA12BD" w14:textId="77777777" w:rsidR="0008180B" w:rsidRPr="0008180B" w:rsidRDefault="0008180B" w:rsidP="0008180B">
            <w:pPr>
              <w:pStyle w:val="TableBody"/>
            </w:pPr>
            <w:r w:rsidRPr="0008180B">
              <w:t>605</w:t>
            </w:r>
          </w:p>
        </w:tc>
        <w:tc>
          <w:tcPr>
            <w:tcW w:w="1250" w:type="pct"/>
            <w:noWrap/>
            <w:hideMark/>
          </w:tcPr>
          <w:p w14:paraId="40ADA3EB" w14:textId="77777777" w:rsidR="0008180B" w:rsidRPr="0008180B" w:rsidRDefault="0008180B" w:rsidP="0008180B">
            <w:pPr>
              <w:pStyle w:val="TableBody"/>
            </w:pPr>
            <w:r w:rsidRPr="0008180B">
              <w:t>257</w:t>
            </w:r>
          </w:p>
        </w:tc>
      </w:tr>
      <w:tr w:rsidR="0008180B" w:rsidRPr="0008180B" w14:paraId="3577B497" w14:textId="77777777" w:rsidTr="0008180B">
        <w:trPr>
          <w:trHeight w:val="288"/>
        </w:trPr>
        <w:tc>
          <w:tcPr>
            <w:tcW w:w="1250" w:type="pct"/>
            <w:noWrap/>
            <w:hideMark/>
          </w:tcPr>
          <w:p w14:paraId="333EC27E" w14:textId="77777777" w:rsidR="0008180B" w:rsidRPr="0008180B" w:rsidRDefault="0008180B" w:rsidP="0008180B">
            <w:pPr>
              <w:pStyle w:val="TableBody"/>
            </w:pPr>
            <w:r w:rsidRPr="0008180B">
              <w:t>2009-10</w:t>
            </w:r>
          </w:p>
        </w:tc>
        <w:tc>
          <w:tcPr>
            <w:tcW w:w="1250" w:type="pct"/>
            <w:noWrap/>
            <w:hideMark/>
          </w:tcPr>
          <w:p w14:paraId="09B819D1" w14:textId="77777777" w:rsidR="0008180B" w:rsidRPr="0008180B" w:rsidRDefault="0008180B" w:rsidP="0008180B">
            <w:pPr>
              <w:pStyle w:val="TableBody"/>
            </w:pPr>
            <w:r w:rsidRPr="0008180B">
              <w:t>209</w:t>
            </w:r>
          </w:p>
        </w:tc>
        <w:tc>
          <w:tcPr>
            <w:tcW w:w="1250" w:type="pct"/>
            <w:noWrap/>
            <w:hideMark/>
          </w:tcPr>
          <w:p w14:paraId="76C329AF" w14:textId="77777777" w:rsidR="0008180B" w:rsidRPr="0008180B" w:rsidRDefault="0008180B" w:rsidP="0008180B">
            <w:pPr>
              <w:pStyle w:val="TableBody"/>
            </w:pPr>
            <w:r w:rsidRPr="0008180B">
              <w:t>613</w:t>
            </w:r>
          </w:p>
        </w:tc>
        <w:tc>
          <w:tcPr>
            <w:tcW w:w="1250" w:type="pct"/>
            <w:noWrap/>
            <w:hideMark/>
          </w:tcPr>
          <w:p w14:paraId="382318B5" w14:textId="77777777" w:rsidR="0008180B" w:rsidRPr="0008180B" w:rsidRDefault="0008180B" w:rsidP="0008180B">
            <w:pPr>
              <w:pStyle w:val="TableBody"/>
            </w:pPr>
            <w:r w:rsidRPr="0008180B">
              <w:t>286</w:t>
            </w:r>
          </w:p>
        </w:tc>
      </w:tr>
      <w:tr w:rsidR="0008180B" w:rsidRPr="0008180B" w14:paraId="60E172FB" w14:textId="77777777" w:rsidTr="0008180B">
        <w:trPr>
          <w:trHeight w:val="288"/>
        </w:trPr>
        <w:tc>
          <w:tcPr>
            <w:tcW w:w="1250" w:type="pct"/>
            <w:noWrap/>
            <w:hideMark/>
          </w:tcPr>
          <w:p w14:paraId="4C57E0B8" w14:textId="77777777" w:rsidR="0008180B" w:rsidRPr="0008180B" w:rsidRDefault="0008180B" w:rsidP="0008180B">
            <w:pPr>
              <w:pStyle w:val="TableBody"/>
            </w:pPr>
            <w:r w:rsidRPr="0008180B">
              <w:t>2010-11</w:t>
            </w:r>
          </w:p>
        </w:tc>
        <w:tc>
          <w:tcPr>
            <w:tcW w:w="1250" w:type="pct"/>
            <w:noWrap/>
            <w:hideMark/>
          </w:tcPr>
          <w:p w14:paraId="6254C0D8" w14:textId="77777777" w:rsidR="0008180B" w:rsidRPr="0008180B" w:rsidRDefault="0008180B" w:rsidP="0008180B">
            <w:pPr>
              <w:pStyle w:val="TableBody"/>
            </w:pPr>
            <w:r w:rsidRPr="0008180B">
              <w:t>194</w:t>
            </w:r>
          </w:p>
        </w:tc>
        <w:tc>
          <w:tcPr>
            <w:tcW w:w="1250" w:type="pct"/>
            <w:noWrap/>
            <w:hideMark/>
          </w:tcPr>
          <w:p w14:paraId="6876FBAD" w14:textId="77777777" w:rsidR="0008180B" w:rsidRPr="0008180B" w:rsidRDefault="0008180B" w:rsidP="0008180B">
            <w:pPr>
              <w:pStyle w:val="TableBody"/>
            </w:pPr>
            <w:r w:rsidRPr="0008180B">
              <w:t>556</w:t>
            </w:r>
          </w:p>
        </w:tc>
        <w:tc>
          <w:tcPr>
            <w:tcW w:w="1250" w:type="pct"/>
            <w:noWrap/>
            <w:hideMark/>
          </w:tcPr>
          <w:p w14:paraId="37A21A8D" w14:textId="77777777" w:rsidR="0008180B" w:rsidRPr="0008180B" w:rsidRDefault="0008180B" w:rsidP="0008180B">
            <w:pPr>
              <w:pStyle w:val="TableBody"/>
            </w:pPr>
            <w:r w:rsidRPr="0008180B">
              <w:t>253</w:t>
            </w:r>
          </w:p>
        </w:tc>
      </w:tr>
      <w:tr w:rsidR="0008180B" w:rsidRPr="0008180B" w14:paraId="2294526E" w14:textId="77777777" w:rsidTr="0008180B">
        <w:trPr>
          <w:trHeight w:val="288"/>
        </w:trPr>
        <w:tc>
          <w:tcPr>
            <w:tcW w:w="1250" w:type="pct"/>
            <w:noWrap/>
            <w:hideMark/>
          </w:tcPr>
          <w:p w14:paraId="4404E645" w14:textId="77777777" w:rsidR="0008180B" w:rsidRPr="0008180B" w:rsidRDefault="0008180B" w:rsidP="0008180B">
            <w:pPr>
              <w:pStyle w:val="TableBody"/>
            </w:pPr>
            <w:r w:rsidRPr="0008180B">
              <w:t>2011-12</w:t>
            </w:r>
          </w:p>
        </w:tc>
        <w:tc>
          <w:tcPr>
            <w:tcW w:w="1250" w:type="pct"/>
            <w:noWrap/>
            <w:hideMark/>
          </w:tcPr>
          <w:p w14:paraId="0B02ABCD" w14:textId="77777777" w:rsidR="0008180B" w:rsidRPr="0008180B" w:rsidRDefault="0008180B" w:rsidP="0008180B">
            <w:pPr>
              <w:pStyle w:val="TableBody"/>
            </w:pPr>
            <w:r w:rsidRPr="0008180B">
              <w:t>209</w:t>
            </w:r>
          </w:p>
        </w:tc>
        <w:tc>
          <w:tcPr>
            <w:tcW w:w="1250" w:type="pct"/>
            <w:noWrap/>
            <w:hideMark/>
          </w:tcPr>
          <w:p w14:paraId="00859CEF" w14:textId="77777777" w:rsidR="0008180B" w:rsidRPr="0008180B" w:rsidRDefault="0008180B" w:rsidP="0008180B">
            <w:pPr>
              <w:pStyle w:val="TableBody"/>
            </w:pPr>
            <w:r w:rsidRPr="0008180B">
              <w:t>541</w:t>
            </w:r>
          </w:p>
        </w:tc>
        <w:tc>
          <w:tcPr>
            <w:tcW w:w="1250" w:type="pct"/>
            <w:noWrap/>
            <w:hideMark/>
          </w:tcPr>
          <w:p w14:paraId="20E23EEA" w14:textId="77777777" w:rsidR="0008180B" w:rsidRPr="0008180B" w:rsidRDefault="0008180B" w:rsidP="0008180B">
            <w:pPr>
              <w:pStyle w:val="TableBody"/>
            </w:pPr>
            <w:r w:rsidRPr="0008180B">
              <w:t>327</w:t>
            </w:r>
          </w:p>
        </w:tc>
      </w:tr>
      <w:tr w:rsidR="0008180B" w:rsidRPr="0008180B" w14:paraId="5768D106" w14:textId="77777777" w:rsidTr="0008180B">
        <w:trPr>
          <w:trHeight w:val="288"/>
        </w:trPr>
        <w:tc>
          <w:tcPr>
            <w:tcW w:w="1250" w:type="pct"/>
            <w:noWrap/>
            <w:hideMark/>
          </w:tcPr>
          <w:p w14:paraId="2F2B0683" w14:textId="77777777" w:rsidR="0008180B" w:rsidRPr="0008180B" w:rsidRDefault="0008180B" w:rsidP="0008180B">
            <w:pPr>
              <w:pStyle w:val="TableBody"/>
            </w:pPr>
            <w:r w:rsidRPr="0008180B">
              <w:t>2012-13</w:t>
            </w:r>
          </w:p>
        </w:tc>
        <w:tc>
          <w:tcPr>
            <w:tcW w:w="1250" w:type="pct"/>
            <w:noWrap/>
            <w:hideMark/>
          </w:tcPr>
          <w:p w14:paraId="20A5A8CB" w14:textId="77777777" w:rsidR="0008180B" w:rsidRPr="0008180B" w:rsidRDefault="0008180B" w:rsidP="0008180B">
            <w:pPr>
              <w:pStyle w:val="TableBody"/>
            </w:pPr>
            <w:r w:rsidRPr="0008180B">
              <w:t>320</w:t>
            </w:r>
          </w:p>
        </w:tc>
        <w:tc>
          <w:tcPr>
            <w:tcW w:w="1250" w:type="pct"/>
            <w:noWrap/>
            <w:hideMark/>
          </w:tcPr>
          <w:p w14:paraId="0E4943BC" w14:textId="77777777" w:rsidR="0008180B" w:rsidRPr="0008180B" w:rsidRDefault="0008180B" w:rsidP="0008180B">
            <w:pPr>
              <w:pStyle w:val="TableBody"/>
            </w:pPr>
            <w:r w:rsidRPr="0008180B">
              <w:t>582</w:t>
            </w:r>
          </w:p>
        </w:tc>
        <w:tc>
          <w:tcPr>
            <w:tcW w:w="1250" w:type="pct"/>
            <w:noWrap/>
            <w:hideMark/>
          </w:tcPr>
          <w:p w14:paraId="2BB8462C" w14:textId="77777777" w:rsidR="0008180B" w:rsidRPr="0008180B" w:rsidRDefault="0008180B" w:rsidP="0008180B">
            <w:pPr>
              <w:pStyle w:val="TableBody"/>
            </w:pPr>
            <w:r w:rsidRPr="0008180B">
              <w:t>406</w:t>
            </w:r>
          </w:p>
        </w:tc>
      </w:tr>
      <w:tr w:rsidR="0008180B" w:rsidRPr="0008180B" w14:paraId="6900894B" w14:textId="77777777" w:rsidTr="0008180B">
        <w:trPr>
          <w:trHeight w:val="288"/>
        </w:trPr>
        <w:tc>
          <w:tcPr>
            <w:tcW w:w="1250" w:type="pct"/>
            <w:noWrap/>
            <w:hideMark/>
          </w:tcPr>
          <w:p w14:paraId="6B27BCDD" w14:textId="77777777" w:rsidR="0008180B" w:rsidRPr="0008180B" w:rsidRDefault="0008180B" w:rsidP="0008180B">
            <w:pPr>
              <w:pStyle w:val="TableBody"/>
            </w:pPr>
            <w:r w:rsidRPr="0008180B">
              <w:t>2013-14</w:t>
            </w:r>
          </w:p>
        </w:tc>
        <w:tc>
          <w:tcPr>
            <w:tcW w:w="1250" w:type="pct"/>
            <w:noWrap/>
            <w:hideMark/>
          </w:tcPr>
          <w:p w14:paraId="6E855F2C" w14:textId="77777777" w:rsidR="0008180B" w:rsidRPr="0008180B" w:rsidRDefault="0008180B" w:rsidP="0008180B">
            <w:pPr>
              <w:pStyle w:val="TableBody"/>
            </w:pPr>
            <w:r w:rsidRPr="0008180B">
              <w:t>340</w:t>
            </w:r>
          </w:p>
        </w:tc>
        <w:tc>
          <w:tcPr>
            <w:tcW w:w="1250" w:type="pct"/>
            <w:noWrap/>
            <w:hideMark/>
          </w:tcPr>
          <w:p w14:paraId="0DA1029D" w14:textId="77777777" w:rsidR="0008180B" w:rsidRPr="0008180B" w:rsidRDefault="0008180B" w:rsidP="0008180B">
            <w:pPr>
              <w:pStyle w:val="TableBody"/>
            </w:pPr>
            <w:r w:rsidRPr="0008180B">
              <w:t>559</w:t>
            </w:r>
          </w:p>
        </w:tc>
        <w:tc>
          <w:tcPr>
            <w:tcW w:w="1250" w:type="pct"/>
            <w:noWrap/>
            <w:hideMark/>
          </w:tcPr>
          <w:p w14:paraId="74EDFC9A" w14:textId="77777777" w:rsidR="0008180B" w:rsidRPr="0008180B" w:rsidRDefault="0008180B" w:rsidP="0008180B">
            <w:pPr>
              <w:pStyle w:val="TableBody"/>
            </w:pPr>
            <w:r w:rsidRPr="0008180B">
              <w:t>433</w:t>
            </w:r>
          </w:p>
        </w:tc>
      </w:tr>
      <w:tr w:rsidR="0008180B" w:rsidRPr="0008180B" w14:paraId="53CC1875" w14:textId="77777777" w:rsidTr="0008180B">
        <w:trPr>
          <w:trHeight w:val="288"/>
        </w:trPr>
        <w:tc>
          <w:tcPr>
            <w:tcW w:w="1250" w:type="pct"/>
            <w:noWrap/>
            <w:hideMark/>
          </w:tcPr>
          <w:p w14:paraId="549FEB12" w14:textId="77777777" w:rsidR="0008180B" w:rsidRPr="0008180B" w:rsidRDefault="0008180B" w:rsidP="0008180B">
            <w:pPr>
              <w:pStyle w:val="TableBody"/>
            </w:pPr>
            <w:r w:rsidRPr="0008180B">
              <w:t>2014-15</w:t>
            </w:r>
          </w:p>
        </w:tc>
        <w:tc>
          <w:tcPr>
            <w:tcW w:w="1250" w:type="pct"/>
            <w:noWrap/>
            <w:hideMark/>
          </w:tcPr>
          <w:p w14:paraId="1609EFCD" w14:textId="77777777" w:rsidR="0008180B" w:rsidRPr="0008180B" w:rsidRDefault="0008180B" w:rsidP="0008180B">
            <w:pPr>
              <w:pStyle w:val="TableBody"/>
            </w:pPr>
            <w:r w:rsidRPr="0008180B">
              <w:t>410</w:t>
            </w:r>
          </w:p>
        </w:tc>
        <w:tc>
          <w:tcPr>
            <w:tcW w:w="1250" w:type="pct"/>
            <w:noWrap/>
            <w:hideMark/>
          </w:tcPr>
          <w:p w14:paraId="16415248" w14:textId="77777777" w:rsidR="0008180B" w:rsidRPr="0008180B" w:rsidRDefault="0008180B" w:rsidP="0008180B">
            <w:pPr>
              <w:pStyle w:val="TableBody"/>
            </w:pPr>
            <w:r w:rsidRPr="0008180B">
              <w:t>587</w:t>
            </w:r>
          </w:p>
        </w:tc>
        <w:tc>
          <w:tcPr>
            <w:tcW w:w="1250" w:type="pct"/>
            <w:noWrap/>
            <w:hideMark/>
          </w:tcPr>
          <w:p w14:paraId="62FE6095" w14:textId="77777777" w:rsidR="0008180B" w:rsidRPr="0008180B" w:rsidRDefault="0008180B" w:rsidP="0008180B">
            <w:pPr>
              <w:pStyle w:val="TableBody"/>
            </w:pPr>
            <w:r w:rsidRPr="0008180B">
              <w:t>502</w:t>
            </w:r>
          </w:p>
        </w:tc>
      </w:tr>
      <w:tr w:rsidR="0008180B" w:rsidRPr="0008180B" w14:paraId="5A039A80" w14:textId="77777777" w:rsidTr="0008180B">
        <w:trPr>
          <w:trHeight w:val="288"/>
        </w:trPr>
        <w:tc>
          <w:tcPr>
            <w:tcW w:w="1250" w:type="pct"/>
            <w:noWrap/>
            <w:hideMark/>
          </w:tcPr>
          <w:p w14:paraId="57D322A9" w14:textId="77777777" w:rsidR="0008180B" w:rsidRPr="0008180B" w:rsidRDefault="0008180B" w:rsidP="0008180B">
            <w:pPr>
              <w:pStyle w:val="TableBody"/>
            </w:pPr>
            <w:r w:rsidRPr="0008180B">
              <w:t>2015-16</w:t>
            </w:r>
          </w:p>
        </w:tc>
        <w:tc>
          <w:tcPr>
            <w:tcW w:w="1250" w:type="pct"/>
            <w:noWrap/>
            <w:hideMark/>
          </w:tcPr>
          <w:p w14:paraId="59E58549" w14:textId="77777777" w:rsidR="0008180B" w:rsidRPr="0008180B" w:rsidRDefault="0008180B" w:rsidP="0008180B">
            <w:pPr>
              <w:pStyle w:val="TableBody"/>
            </w:pPr>
            <w:r w:rsidRPr="0008180B">
              <w:t>599</w:t>
            </w:r>
          </w:p>
        </w:tc>
        <w:tc>
          <w:tcPr>
            <w:tcW w:w="1250" w:type="pct"/>
            <w:noWrap/>
            <w:hideMark/>
          </w:tcPr>
          <w:p w14:paraId="55371DD5" w14:textId="77777777" w:rsidR="0008180B" w:rsidRPr="0008180B" w:rsidRDefault="0008180B" w:rsidP="0008180B">
            <w:pPr>
              <w:pStyle w:val="TableBody"/>
            </w:pPr>
            <w:r w:rsidRPr="0008180B">
              <w:t>629</w:t>
            </w:r>
          </w:p>
        </w:tc>
        <w:tc>
          <w:tcPr>
            <w:tcW w:w="1250" w:type="pct"/>
            <w:noWrap/>
            <w:hideMark/>
          </w:tcPr>
          <w:p w14:paraId="3E8045D4" w14:textId="77777777" w:rsidR="0008180B" w:rsidRPr="0008180B" w:rsidRDefault="0008180B" w:rsidP="0008180B">
            <w:pPr>
              <w:pStyle w:val="TableBody"/>
            </w:pPr>
            <w:r w:rsidRPr="0008180B">
              <w:t>558</w:t>
            </w:r>
          </w:p>
        </w:tc>
      </w:tr>
      <w:tr w:rsidR="0008180B" w:rsidRPr="0008180B" w14:paraId="6FEEFA49" w14:textId="77777777" w:rsidTr="0008180B">
        <w:trPr>
          <w:trHeight w:val="288"/>
        </w:trPr>
        <w:tc>
          <w:tcPr>
            <w:tcW w:w="1250" w:type="pct"/>
            <w:noWrap/>
            <w:hideMark/>
          </w:tcPr>
          <w:p w14:paraId="574AFB16" w14:textId="77777777" w:rsidR="0008180B" w:rsidRPr="0008180B" w:rsidRDefault="0008180B" w:rsidP="0008180B">
            <w:pPr>
              <w:pStyle w:val="TableBody"/>
            </w:pPr>
            <w:r w:rsidRPr="0008180B">
              <w:t>2016-17</w:t>
            </w:r>
          </w:p>
        </w:tc>
        <w:tc>
          <w:tcPr>
            <w:tcW w:w="1250" w:type="pct"/>
            <w:noWrap/>
            <w:hideMark/>
          </w:tcPr>
          <w:p w14:paraId="728F6BFB" w14:textId="77777777" w:rsidR="0008180B" w:rsidRPr="0008180B" w:rsidRDefault="0008180B" w:rsidP="0008180B">
            <w:pPr>
              <w:pStyle w:val="TableBody"/>
            </w:pPr>
            <w:r w:rsidRPr="0008180B">
              <w:t>832</w:t>
            </w:r>
          </w:p>
        </w:tc>
        <w:tc>
          <w:tcPr>
            <w:tcW w:w="1250" w:type="pct"/>
            <w:noWrap/>
            <w:hideMark/>
          </w:tcPr>
          <w:p w14:paraId="032E7918" w14:textId="77777777" w:rsidR="0008180B" w:rsidRPr="0008180B" w:rsidRDefault="0008180B" w:rsidP="0008180B">
            <w:pPr>
              <w:pStyle w:val="TableBody"/>
            </w:pPr>
            <w:r w:rsidRPr="0008180B">
              <w:t>683</w:t>
            </w:r>
          </w:p>
        </w:tc>
        <w:tc>
          <w:tcPr>
            <w:tcW w:w="1250" w:type="pct"/>
            <w:noWrap/>
            <w:hideMark/>
          </w:tcPr>
          <w:p w14:paraId="28E83967" w14:textId="77777777" w:rsidR="0008180B" w:rsidRPr="0008180B" w:rsidRDefault="0008180B" w:rsidP="0008180B">
            <w:pPr>
              <w:pStyle w:val="TableBody"/>
            </w:pPr>
            <w:r w:rsidRPr="0008180B">
              <w:t>655</w:t>
            </w:r>
          </w:p>
        </w:tc>
      </w:tr>
      <w:tr w:rsidR="0008180B" w:rsidRPr="0008180B" w14:paraId="08E83C6D" w14:textId="77777777" w:rsidTr="0008180B">
        <w:trPr>
          <w:trHeight w:val="288"/>
        </w:trPr>
        <w:tc>
          <w:tcPr>
            <w:tcW w:w="1250" w:type="pct"/>
            <w:noWrap/>
            <w:hideMark/>
          </w:tcPr>
          <w:p w14:paraId="3E04B982" w14:textId="77777777" w:rsidR="0008180B" w:rsidRPr="0008180B" w:rsidRDefault="0008180B" w:rsidP="0008180B">
            <w:pPr>
              <w:pStyle w:val="TableBody"/>
            </w:pPr>
            <w:r w:rsidRPr="0008180B">
              <w:t>2017-18</w:t>
            </w:r>
          </w:p>
        </w:tc>
        <w:tc>
          <w:tcPr>
            <w:tcW w:w="1250" w:type="pct"/>
            <w:noWrap/>
            <w:hideMark/>
          </w:tcPr>
          <w:p w14:paraId="564D74C9" w14:textId="77777777" w:rsidR="0008180B" w:rsidRPr="0008180B" w:rsidRDefault="0008180B" w:rsidP="0008180B">
            <w:pPr>
              <w:pStyle w:val="TableBody"/>
            </w:pPr>
            <w:r w:rsidRPr="0008180B">
              <w:t>881</w:t>
            </w:r>
          </w:p>
        </w:tc>
        <w:tc>
          <w:tcPr>
            <w:tcW w:w="1250" w:type="pct"/>
            <w:noWrap/>
            <w:hideMark/>
          </w:tcPr>
          <w:p w14:paraId="74862493" w14:textId="77777777" w:rsidR="0008180B" w:rsidRPr="0008180B" w:rsidRDefault="0008180B" w:rsidP="0008180B">
            <w:pPr>
              <w:pStyle w:val="TableBody"/>
            </w:pPr>
            <w:r w:rsidRPr="0008180B">
              <w:t>611</w:t>
            </w:r>
          </w:p>
        </w:tc>
        <w:tc>
          <w:tcPr>
            <w:tcW w:w="1250" w:type="pct"/>
            <w:noWrap/>
            <w:hideMark/>
          </w:tcPr>
          <w:p w14:paraId="59360846" w14:textId="77777777" w:rsidR="0008180B" w:rsidRPr="0008180B" w:rsidRDefault="0008180B" w:rsidP="0008180B">
            <w:pPr>
              <w:pStyle w:val="TableBody"/>
            </w:pPr>
            <w:r w:rsidRPr="0008180B">
              <w:t>584</w:t>
            </w:r>
          </w:p>
        </w:tc>
      </w:tr>
      <w:tr w:rsidR="0008180B" w:rsidRPr="0008180B" w14:paraId="7193052D" w14:textId="77777777" w:rsidTr="0008180B">
        <w:trPr>
          <w:trHeight w:val="288"/>
        </w:trPr>
        <w:tc>
          <w:tcPr>
            <w:tcW w:w="1250" w:type="pct"/>
            <w:noWrap/>
            <w:hideMark/>
          </w:tcPr>
          <w:p w14:paraId="5062D0A7" w14:textId="77777777" w:rsidR="0008180B" w:rsidRPr="0008180B" w:rsidRDefault="0008180B" w:rsidP="0008180B">
            <w:pPr>
              <w:pStyle w:val="TableBody"/>
            </w:pPr>
            <w:r w:rsidRPr="0008180B">
              <w:t>2018-19</w:t>
            </w:r>
          </w:p>
        </w:tc>
        <w:tc>
          <w:tcPr>
            <w:tcW w:w="1250" w:type="pct"/>
            <w:noWrap/>
            <w:hideMark/>
          </w:tcPr>
          <w:p w14:paraId="79EB7334" w14:textId="77777777" w:rsidR="0008180B" w:rsidRPr="0008180B" w:rsidRDefault="0008180B" w:rsidP="0008180B">
            <w:pPr>
              <w:pStyle w:val="TableBody"/>
            </w:pPr>
            <w:r w:rsidRPr="0008180B">
              <w:t>1,094</w:t>
            </w:r>
          </w:p>
        </w:tc>
        <w:tc>
          <w:tcPr>
            <w:tcW w:w="1250" w:type="pct"/>
            <w:noWrap/>
            <w:hideMark/>
          </w:tcPr>
          <w:p w14:paraId="58AF783E" w14:textId="77777777" w:rsidR="0008180B" w:rsidRPr="0008180B" w:rsidRDefault="0008180B" w:rsidP="0008180B">
            <w:pPr>
              <w:pStyle w:val="TableBody"/>
            </w:pPr>
            <w:r w:rsidRPr="0008180B">
              <w:t>770</w:t>
            </w:r>
          </w:p>
        </w:tc>
        <w:tc>
          <w:tcPr>
            <w:tcW w:w="1250" w:type="pct"/>
            <w:noWrap/>
            <w:hideMark/>
          </w:tcPr>
          <w:p w14:paraId="5EA4C128" w14:textId="77777777" w:rsidR="0008180B" w:rsidRPr="0008180B" w:rsidRDefault="0008180B" w:rsidP="0008180B">
            <w:pPr>
              <w:pStyle w:val="TableBody"/>
            </w:pPr>
            <w:r w:rsidRPr="0008180B">
              <w:t>611</w:t>
            </w:r>
          </w:p>
        </w:tc>
      </w:tr>
      <w:tr w:rsidR="0008180B" w:rsidRPr="0008180B" w14:paraId="03C2576B" w14:textId="77777777" w:rsidTr="0008180B">
        <w:trPr>
          <w:trHeight w:val="288"/>
        </w:trPr>
        <w:tc>
          <w:tcPr>
            <w:tcW w:w="1250" w:type="pct"/>
            <w:noWrap/>
            <w:hideMark/>
          </w:tcPr>
          <w:p w14:paraId="303A93E6" w14:textId="77777777" w:rsidR="0008180B" w:rsidRPr="0008180B" w:rsidRDefault="0008180B" w:rsidP="0008180B">
            <w:pPr>
              <w:pStyle w:val="TableBody"/>
            </w:pPr>
            <w:r w:rsidRPr="0008180B">
              <w:t>2019-20</w:t>
            </w:r>
          </w:p>
        </w:tc>
        <w:tc>
          <w:tcPr>
            <w:tcW w:w="1250" w:type="pct"/>
            <w:noWrap/>
            <w:hideMark/>
          </w:tcPr>
          <w:p w14:paraId="52489E78" w14:textId="77777777" w:rsidR="0008180B" w:rsidRPr="0008180B" w:rsidRDefault="0008180B" w:rsidP="0008180B">
            <w:pPr>
              <w:pStyle w:val="TableBody"/>
            </w:pPr>
            <w:r w:rsidRPr="0008180B">
              <w:t>1,060</w:t>
            </w:r>
          </w:p>
        </w:tc>
        <w:tc>
          <w:tcPr>
            <w:tcW w:w="1250" w:type="pct"/>
            <w:noWrap/>
            <w:hideMark/>
          </w:tcPr>
          <w:p w14:paraId="46F4391C" w14:textId="77777777" w:rsidR="0008180B" w:rsidRPr="0008180B" w:rsidRDefault="0008180B" w:rsidP="0008180B">
            <w:pPr>
              <w:pStyle w:val="TableBody"/>
            </w:pPr>
            <w:r w:rsidRPr="0008180B">
              <w:t>723</w:t>
            </w:r>
          </w:p>
        </w:tc>
        <w:tc>
          <w:tcPr>
            <w:tcW w:w="1250" w:type="pct"/>
            <w:noWrap/>
            <w:hideMark/>
          </w:tcPr>
          <w:p w14:paraId="223FC702" w14:textId="77777777" w:rsidR="0008180B" w:rsidRPr="0008180B" w:rsidRDefault="0008180B" w:rsidP="0008180B">
            <w:pPr>
              <w:pStyle w:val="TableBody"/>
            </w:pPr>
            <w:r w:rsidRPr="0008180B">
              <w:t>619</w:t>
            </w:r>
          </w:p>
        </w:tc>
      </w:tr>
      <w:tr w:rsidR="0008180B" w:rsidRPr="0008180B" w14:paraId="71EA5DE4" w14:textId="77777777" w:rsidTr="0008180B">
        <w:trPr>
          <w:trHeight w:val="288"/>
        </w:trPr>
        <w:tc>
          <w:tcPr>
            <w:tcW w:w="1250" w:type="pct"/>
            <w:noWrap/>
            <w:hideMark/>
          </w:tcPr>
          <w:p w14:paraId="51A0667B" w14:textId="77777777" w:rsidR="0008180B" w:rsidRPr="0008180B" w:rsidRDefault="0008180B" w:rsidP="0008180B">
            <w:pPr>
              <w:pStyle w:val="TableBody"/>
            </w:pPr>
            <w:r w:rsidRPr="0008180B">
              <w:t>2020-21</w:t>
            </w:r>
          </w:p>
        </w:tc>
        <w:tc>
          <w:tcPr>
            <w:tcW w:w="1250" w:type="pct"/>
            <w:noWrap/>
            <w:hideMark/>
          </w:tcPr>
          <w:p w14:paraId="118868E2" w14:textId="77777777" w:rsidR="0008180B" w:rsidRPr="0008180B" w:rsidRDefault="0008180B" w:rsidP="0008180B">
            <w:pPr>
              <w:pStyle w:val="TableBody"/>
            </w:pPr>
            <w:r w:rsidRPr="0008180B">
              <w:t>860</w:t>
            </w:r>
          </w:p>
        </w:tc>
        <w:tc>
          <w:tcPr>
            <w:tcW w:w="1250" w:type="pct"/>
            <w:noWrap/>
            <w:hideMark/>
          </w:tcPr>
          <w:p w14:paraId="392C64AB" w14:textId="77777777" w:rsidR="0008180B" w:rsidRPr="0008180B" w:rsidRDefault="0008180B" w:rsidP="0008180B">
            <w:pPr>
              <w:pStyle w:val="TableBody"/>
            </w:pPr>
            <w:r w:rsidRPr="0008180B">
              <w:t>602</w:t>
            </w:r>
          </w:p>
        </w:tc>
        <w:tc>
          <w:tcPr>
            <w:tcW w:w="1250" w:type="pct"/>
            <w:noWrap/>
            <w:hideMark/>
          </w:tcPr>
          <w:p w14:paraId="771EC14B" w14:textId="77777777" w:rsidR="0008180B" w:rsidRPr="0008180B" w:rsidRDefault="0008180B" w:rsidP="0008180B">
            <w:pPr>
              <w:pStyle w:val="TableBody"/>
            </w:pPr>
            <w:r w:rsidRPr="0008180B">
              <w:t>502</w:t>
            </w:r>
          </w:p>
        </w:tc>
      </w:tr>
      <w:tr w:rsidR="0008180B" w:rsidRPr="0008180B" w14:paraId="273552BD" w14:textId="77777777" w:rsidTr="0008180B">
        <w:trPr>
          <w:trHeight w:val="288"/>
        </w:trPr>
        <w:tc>
          <w:tcPr>
            <w:tcW w:w="1250" w:type="pct"/>
            <w:noWrap/>
            <w:hideMark/>
          </w:tcPr>
          <w:p w14:paraId="4720F993" w14:textId="77777777" w:rsidR="0008180B" w:rsidRPr="0008180B" w:rsidRDefault="0008180B" w:rsidP="0008180B">
            <w:pPr>
              <w:pStyle w:val="TableBody"/>
            </w:pPr>
            <w:r w:rsidRPr="0008180B">
              <w:t>2021-22</w:t>
            </w:r>
          </w:p>
        </w:tc>
        <w:tc>
          <w:tcPr>
            <w:tcW w:w="1250" w:type="pct"/>
            <w:noWrap/>
            <w:hideMark/>
          </w:tcPr>
          <w:p w14:paraId="57135F15" w14:textId="77777777" w:rsidR="0008180B" w:rsidRPr="0008180B" w:rsidRDefault="0008180B" w:rsidP="0008180B">
            <w:pPr>
              <w:pStyle w:val="TableBody"/>
            </w:pPr>
            <w:r w:rsidRPr="0008180B">
              <w:t>960</w:t>
            </w:r>
          </w:p>
        </w:tc>
        <w:tc>
          <w:tcPr>
            <w:tcW w:w="1250" w:type="pct"/>
            <w:noWrap/>
            <w:hideMark/>
          </w:tcPr>
          <w:p w14:paraId="1D338AF0" w14:textId="77777777" w:rsidR="0008180B" w:rsidRPr="0008180B" w:rsidRDefault="0008180B" w:rsidP="0008180B">
            <w:pPr>
              <w:pStyle w:val="TableBody"/>
            </w:pPr>
            <w:r w:rsidRPr="0008180B">
              <w:t>498</w:t>
            </w:r>
          </w:p>
        </w:tc>
        <w:tc>
          <w:tcPr>
            <w:tcW w:w="1250" w:type="pct"/>
            <w:noWrap/>
            <w:hideMark/>
          </w:tcPr>
          <w:p w14:paraId="5D65D8A6" w14:textId="77777777" w:rsidR="0008180B" w:rsidRPr="0008180B" w:rsidRDefault="0008180B" w:rsidP="0008180B">
            <w:pPr>
              <w:pStyle w:val="TableBody"/>
            </w:pPr>
            <w:r w:rsidRPr="0008180B">
              <w:t>519</w:t>
            </w:r>
          </w:p>
        </w:tc>
      </w:tr>
      <w:tr w:rsidR="0008180B" w:rsidRPr="0008180B" w14:paraId="3A583D90" w14:textId="77777777" w:rsidTr="0008180B">
        <w:trPr>
          <w:trHeight w:val="288"/>
        </w:trPr>
        <w:tc>
          <w:tcPr>
            <w:tcW w:w="1250" w:type="pct"/>
            <w:noWrap/>
            <w:hideMark/>
          </w:tcPr>
          <w:p w14:paraId="43B3EEDB" w14:textId="77777777" w:rsidR="0008180B" w:rsidRPr="0008180B" w:rsidRDefault="0008180B" w:rsidP="0008180B">
            <w:pPr>
              <w:pStyle w:val="TableBody"/>
            </w:pPr>
            <w:r w:rsidRPr="0008180B">
              <w:t>2022-23</w:t>
            </w:r>
          </w:p>
        </w:tc>
        <w:tc>
          <w:tcPr>
            <w:tcW w:w="1250" w:type="pct"/>
            <w:noWrap/>
            <w:hideMark/>
          </w:tcPr>
          <w:p w14:paraId="68DF2B5C" w14:textId="77777777" w:rsidR="0008180B" w:rsidRPr="0008180B" w:rsidRDefault="0008180B" w:rsidP="0008180B">
            <w:pPr>
              <w:pStyle w:val="TableBody"/>
            </w:pPr>
            <w:r w:rsidRPr="0008180B">
              <w:t>904</w:t>
            </w:r>
          </w:p>
        </w:tc>
        <w:tc>
          <w:tcPr>
            <w:tcW w:w="1250" w:type="pct"/>
            <w:noWrap/>
            <w:hideMark/>
          </w:tcPr>
          <w:p w14:paraId="548F6686" w14:textId="77777777" w:rsidR="0008180B" w:rsidRPr="0008180B" w:rsidRDefault="0008180B" w:rsidP="0008180B">
            <w:pPr>
              <w:pStyle w:val="TableBody"/>
            </w:pPr>
            <w:r w:rsidRPr="0008180B">
              <w:t>569</w:t>
            </w:r>
          </w:p>
        </w:tc>
        <w:tc>
          <w:tcPr>
            <w:tcW w:w="1250" w:type="pct"/>
            <w:noWrap/>
            <w:hideMark/>
          </w:tcPr>
          <w:p w14:paraId="1C5D176C" w14:textId="77777777" w:rsidR="0008180B" w:rsidRPr="0008180B" w:rsidRDefault="0008180B" w:rsidP="0008180B">
            <w:pPr>
              <w:pStyle w:val="TableBody"/>
            </w:pPr>
            <w:r w:rsidRPr="0008180B">
              <w:t>471</w:t>
            </w:r>
          </w:p>
        </w:tc>
      </w:tr>
      <w:tr w:rsidR="0008180B" w:rsidRPr="0008180B" w14:paraId="454638AF" w14:textId="77777777" w:rsidTr="0008180B">
        <w:trPr>
          <w:trHeight w:val="294"/>
        </w:trPr>
        <w:tc>
          <w:tcPr>
            <w:tcW w:w="1250" w:type="pct"/>
            <w:noWrap/>
            <w:hideMark/>
          </w:tcPr>
          <w:p w14:paraId="663E810C" w14:textId="77777777" w:rsidR="0008180B" w:rsidRPr="0008180B" w:rsidRDefault="0008180B" w:rsidP="0008180B">
            <w:pPr>
              <w:pStyle w:val="TableBody"/>
            </w:pPr>
            <w:r w:rsidRPr="0008180B">
              <w:t>2023-24</w:t>
            </w:r>
          </w:p>
        </w:tc>
        <w:tc>
          <w:tcPr>
            <w:tcW w:w="1250" w:type="pct"/>
            <w:noWrap/>
            <w:hideMark/>
          </w:tcPr>
          <w:p w14:paraId="06E98AFF" w14:textId="77777777" w:rsidR="0008180B" w:rsidRPr="0008180B" w:rsidRDefault="0008180B" w:rsidP="0008180B">
            <w:pPr>
              <w:pStyle w:val="TableBody"/>
            </w:pPr>
            <w:r w:rsidRPr="0008180B">
              <w:t>669</w:t>
            </w:r>
          </w:p>
        </w:tc>
        <w:tc>
          <w:tcPr>
            <w:tcW w:w="1250" w:type="pct"/>
            <w:noWrap/>
            <w:hideMark/>
          </w:tcPr>
          <w:p w14:paraId="4885FFC0" w14:textId="77777777" w:rsidR="0008180B" w:rsidRPr="0008180B" w:rsidRDefault="0008180B" w:rsidP="0008180B">
            <w:pPr>
              <w:pStyle w:val="TableBody"/>
            </w:pPr>
            <w:r w:rsidRPr="0008180B">
              <w:t>489</w:t>
            </w:r>
          </w:p>
        </w:tc>
        <w:tc>
          <w:tcPr>
            <w:tcW w:w="1250" w:type="pct"/>
            <w:noWrap/>
            <w:hideMark/>
          </w:tcPr>
          <w:p w14:paraId="57B13B8B" w14:textId="77777777" w:rsidR="0008180B" w:rsidRPr="0008180B" w:rsidRDefault="0008180B" w:rsidP="0008180B">
            <w:pPr>
              <w:pStyle w:val="TableBody"/>
            </w:pPr>
            <w:r w:rsidRPr="0008180B">
              <w:t>393</w:t>
            </w:r>
          </w:p>
        </w:tc>
      </w:tr>
    </w:tbl>
    <w:p w14:paraId="22E5A8F6" w14:textId="77777777" w:rsidR="00735D07" w:rsidRPr="00157502" w:rsidRDefault="00735D07" w:rsidP="00D4532A">
      <w:r w:rsidRPr="000C258A">
        <w:rPr>
          <w:rStyle w:val="Strong"/>
        </w:rPr>
        <w:t>Source</w:t>
      </w:r>
      <w:r w:rsidRPr="008C1137">
        <w:t>: Court Services Victoria, unpublished data</w:t>
      </w:r>
    </w:p>
    <w:p w14:paraId="76CA3C06" w14:textId="77777777" w:rsidR="00A4454A" w:rsidRPr="008C1137" w:rsidRDefault="00A4454A" w:rsidP="00210207">
      <w:pPr>
        <w:pStyle w:val="Numbered"/>
      </w:pPr>
      <w:r w:rsidRPr="008C1137">
        <w:t xml:space="preserve">The number of custodial sentences for cases where unlawful assault was the principal offence increased almost 700% between 2004–05 and 2018–19 (from 137 cases to 1,094), but the proportion of those cases that resulted in a custodial sentence was </w:t>
      </w:r>
      <w:r w:rsidRPr="008C1137">
        <w:lastRenderedPageBreak/>
        <w:t xml:space="preserve">actually quite stable, ranging from 7% to 15% each year. This suggests that sentencing for unlawful assault has not changed so much as the sheer volume of cases with a principal offence of unlawful assault (which increased from 1,989 cases in 2004–05 to 6,107 cases in 2023–24). </w:t>
      </w:r>
    </w:p>
    <w:p w14:paraId="476DAC63" w14:textId="77777777" w:rsidR="00A4454A" w:rsidRPr="008C1137" w:rsidRDefault="00A4454A" w:rsidP="00210207">
      <w:pPr>
        <w:pStyle w:val="Numbered"/>
      </w:pPr>
      <w:r w:rsidRPr="008C1137">
        <w:t>Finally, there was an increase in both</w:t>
      </w:r>
      <w:r w:rsidRPr="003B3217">
        <w:rPr>
          <w:rStyle w:val="Italic"/>
        </w:rPr>
        <w:t xml:space="preserve"> </w:t>
      </w:r>
      <w:r w:rsidRPr="008C1137">
        <w:t>the number of custodial sentences for recklessly causing injury (from 185 in 2004–05 to a peak of 655 in 2016–17) and the proportion of all cases with a principal offence of recklessly causing injury that received a custodial sentence (from 11% in 2004–05 to 27% in 2023–24).</w:t>
      </w:r>
    </w:p>
    <w:p w14:paraId="557B35B2" w14:textId="77777777" w:rsidR="00A4454A" w:rsidRPr="008C1137" w:rsidRDefault="00A4454A" w:rsidP="0002476E">
      <w:pPr>
        <w:pStyle w:val="Heading2"/>
      </w:pPr>
      <w:r w:rsidRPr="008C1137">
        <w:t xml:space="preserve">Ages of offenders sentenced to imprisonment </w:t>
      </w:r>
    </w:p>
    <w:p w14:paraId="72C7BE6F" w14:textId="65A18CCB" w:rsidR="00A4454A" w:rsidRPr="008C1137" w:rsidRDefault="00A4454A" w:rsidP="00210207">
      <w:pPr>
        <w:pStyle w:val="Numbered"/>
      </w:pPr>
      <w:r w:rsidRPr="008C1137">
        <w:t>During the 20-year period, the offender’s age at sentencing could be determined for 146,792 cases resulting in a custodial sentence in Victoria. Offenders’ ages in those cases are presented in Figure 27, categorised into four age groups: aged 18 to 24, aged 25 to 39, aged 40 to 59 and aged 60 and over. Each age group saw markedly different trends over the 20-year period:</w:t>
      </w:r>
    </w:p>
    <w:p w14:paraId="73E1A12E" w14:textId="77777777" w:rsidR="00A4454A" w:rsidRPr="008C1137" w:rsidRDefault="00A4454A" w:rsidP="008C1137">
      <w:pPr>
        <w:pStyle w:val="Bullets"/>
      </w:pPr>
      <w:r w:rsidRPr="008C1137">
        <w:t xml:space="preserve">offenders aged </w:t>
      </w:r>
      <w:r w:rsidRPr="000C258A">
        <w:rPr>
          <w:rStyle w:val="Strong"/>
        </w:rPr>
        <w:t>25 to 39</w:t>
      </w:r>
      <w:r w:rsidRPr="008C1137">
        <w:t xml:space="preserve"> received the largest proportion of all custodial sentences each year (between 55% and 61%), and the number of cases receiving a custodial sentence increased by almost 1,000 (from 3,135 in 2004–05 to 4,083 in 2023–24)</w:t>
      </w:r>
    </w:p>
    <w:p w14:paraId="31F16177" w14:textId="77777777" w:rsidR="00A4454A" w:rsidRPr="008C1137" w:rsidRDefault="00A4454A" w:rsidP="008C1137">
      <w:pPr>
        <w:pStyle w:val="Bullets"/>
      </w:pPr>
      <w:r w:rsidRPr="008C1137">
        <w:t xml:space="preserve">for younger offenders (aged </w:t>
      </w:r>
      <w:r w:rsidRPr="000C258A">
        <w:rPr>
          <w:rStyle w:val="Strong"/>
        </w:rPr>
        <w:t>18 to 24</w:t>
      </w:r>
      <w:r w:rsidRPr="008C1137">
        <w:t xml:space="preserve">), there was a 31% reduction in the number of cases receiving custodial sentences from 2004–05 to 2023–24. There was also a decline in the </w:t>
      </w:r>
      <w:r w:rsidRPr="003B3217">
        <w:rPr>
          <w:rStyle w:val="Italic"/>
        </w:rPr>
        <w:t>proportion</w:t>
      </w:r>
      <w:r w:rsidRPr="008C1137">
        <w:t xml:space="preserve"> of all custodial sentences imposed on offenders aged 18 to 24 (falling from 21% of all custodial sentences to 10%)</w:t>
      </w:r>
    </w:p>
    <w:p w14:paraId="1434E089" w14:textId="77777777" w:rsidR="00A4454A" w:rsidRPr="008C1137" w:rsidRDefault="00A4454A" w:rsidP="008C1137">
      <w:pPr>
        <w:pStyle w:val="Bullets"/>
      </w:pPr>
      <w:r w:rsidRPr="008C1137">
        <w:t xml:space="preserve">the number of cases where custodial sentences were imposed on offenders aged </w:t>
      </w:r>
      <w:r w:rsidRPr="000C258A">
        <w:rPr>
          <w:rStyle w:val="Strong"/>
        </w:rPr>
        <w:t>40 to 59</w:t>
      </w:r>
      <w:r w:rsidRPr="008C1137">
        <w:t xml:space="preserve"> more than doubled, as did the </w:t>
      </w:r>
      <w:r w:rsidRPr="008C1137">
        <w:lastRenderedPageBreak/>
        <w:t>number of cases involving offenders in this age group.</w:t>
      </w:r>
      <w:r w:rsidRPr="008C1137">
        <w:rPr>
          <w:rStyle w:val="Superscript"/>
        </w:rPr>
        <w:footnoteReference w:id="112"/>
      </w:r>
      <w:r w:rsidRPr="008C1137">
        <w:t xml:space="preserve"> The proportion of all custodial sentences imposed on offenders in this age group increased from 18% to 32%</w:t>
      </w:r>
    </w:p>
    <w:p w14:paraId="4B969420" w14:textId="77777777" w:rsidR="00A4454A" w:rsidRPr="008C1137" w:rsidRDefault="00A4454A" w:rsidP="008C1137">
      <w:pPr>
        <w:pStyle w:val="Bullets"/>
      </w:pPr>
      <w:r w:rsidRPr="008C1137">
        <w:t xml:space="preserve">the number of cases where custodial sentences were imposed on older offenders (aged </w:t>
      </w:r>
      <w:r w:rsidRPr="000C258A">
        <w:rPr>
          <w:rStyle w:val="Strong"/>
        </w:rPr>
        <w:t>60 and over</w:t>
      </w:r>
      <w:r w:rsidRPr="008C1137">
        <w:t>) almost doubled (so too did the number of cases involving older offenders generally), albeit the proportion of all custodial sentences imposed on offenders in this age group remained stable, at around 2%.</w:t>
      </w:r>
      <w:r w:rsidRPr="008C1137">
        <w:rPr>
          <w:rStyle w:val="Superscript"/>
        </w:rPr>
        <w:footnoteReference w:id="113"/>
      </w:r>
      <w:r w:rsidRPr="008C1137">
        <w:t xml:space="preserve"> </w:t>
      </w:r>
    </w:p>
    <w:p w14:paraId="2C766D3E" w14:textId="77777777" w:rsidR="00D62FA8" w:rsidRPr="008C1137" w:rsidRDefault="00D62FA8" w:rsidP="00BE4EDC">
      <w:pPr>
        <w:pStyle w:val="Caption"/>
      </w:pPr>
      <w:r w:rsidRPr="00157502">
        <w:t>Figure 27</w:t>
      </w:r>
      <w:r w:rsidRPr="008C1137">
        <w:t>: Number of cases receiving a custodial sentence, by age group, all courts, 2004–05 to 2023–24</w:t>
      </w:r>
    </w:p>
    <w:tbl>
      <w:tblPr>
        <w:tblStyle w:val="Table"/>
        <w:tblW w:w="5000" w:type="pct"/>
        <w:tblLook w:val="04A0" w:firstRow="1" w:lastRow="0" w:firstColumn="1" w:lastColumn="0" w:noHBand="0" w:noVBand="1"/>
      </w:tblPr>
      <w:tblGrid>
        <w:gridCol w:w="1786"/>
        <w:gridCol w:w="1727"/>
        <w:gridCol w:w="1727"/>
        <w:gridCol w:w="1727"/>
        <w:gridCol w:w="2049"/>
      </w:tblGrid>
      <w:tr w:rsidR="00777D99" w:rsidRPr="00A71048" w14:paraId="6A032733" w14:textId="77777777" w:rsidTr="00A71048">
        <w:trPr>
          <w:trHeight w:val="288"/>
          <w:tblHeader/>
        </w:trPr>
        <w:tc>
          <w:tcPr>
            <w:tcW w:w="807" w:type="pct"/>
            <w:noWrap/>
            <w:hideMark/>
          </w:tcPr>
          <w:p w14:paraId="24B8F0DD" w14:textId="77777777" w:rsidR="00777D99" w:rsidRPr="00A71048" w:rsidRDefault="00777D99" w:rsidP="00A71048">
            <w:pPr>
              <w:pStyle w:val="TableHeading"/>
            </w:pPr>
            <w:r w:rsidRPr="00A71048">
              <w:t>Financial year</w:t>
            </w:r>
          </w:p>
        </w:tc>
        <w:tc>
          <w:tcPr>
            <w:tcW w:w="1081" w:type="pct"/>
            <w:noWrap/>
            <w:hideMark/>
          </w:tcPr>
          <w:p w14:paraId="35290EA2" w14:textId="77777777" w:rsidR="00777D99" w:rsidRPr="00A71048" w:rsidRDefault="00777D99" w:rsidP="00A71048">
            <w:pPr>
              <w:pStyle w:val="TableHeading"/>
            </w:pPr>
            <w:r w:rsidRPr="00A71048">
              <w:t>Age 18 to 24</w:t>
            </w:r>
          </w:p>
        </w:tc>
        <w:tc>
          <w:tcPr>
            <w:tcW w:w="1081" w:type="pct"/>
            <w:noWrap/>
            <w:hideMark/>
          </w:tcPr>
          <w:p w14:paraId="0D418101" w14:textId="77777777" w:rsidR="00777D99" w:rsidRPr="00A71048" w:rsidRDefault="00777D99" w:rsidP="00A71048">
            <w:pPr>
              <w:pStyle w:val="TableHeading"/>
            </w:pPr>
            <w:r w:rsidRPr="00A71048">
              <w:t>Age 25 to 39</w:t>
            </w:r>
          </w:p>
        </w:tc>
        <w:tc>
          <w:tcPr>
            <w:tcW w:w="1081" w:type="pct"/>
            <w:noWrap/>
            <w:hideMark/>
          </w:tcPr>
          <w:p w14:paraId="0A8F2CD6" w14:textId="77777777" w:rsidR="00777D99" w:rsidRPr="00A71048" w:rsidRDefault="00777D99" w:rsidP="00A71048">
            <w:pPr>
              <w:pStyle w:val="TableHeading"/>
            </w:pPr>
            <w:r w:rsidRPr="00A71048">
              <w:t>Age 40 to 59</w:t>
            </w:r>
          </w:p>
        </w:tc>
        <w:tc>
          <w:tcPr>
            <w:tcW w:w="949" w:type="pct"/>
            <w:noWrap/>
            <w:hideMark/>
          </w:tcPr>
          <w:p w14:paraId="1643BB95" w14:textId="1FA8E72A" w:rsidR="00777D99" w:rsidRPr="00A71048" w:rsidRDefault="00777D99" w:rsidP="00A71048">
            <w:pPr>
              <w:pStyle w:val="TableHeading"/>
            </w:pPr>
            <w:r w:rsidRPr="00A71048">
              <w:t>Age 60</w:t>
            </w:r>
            <w:r w:rsidR="008915EB">
              <w:t xml:space="preserve"> and over</w:t>
            </w:r>
          </w:p>
        </w:tc>
      </w:tr>
      <w:tr w:rsidR="00777D99" w:rsidRPr="00A71048" w14:paraId="27DFB6F5" w14:textId="77777777" w:rsidTr="00A71048">
        <w:trPr>
          <w:trHeight w:val="288"/>
        </w:trPr>
        <w:tc>
          <w:tcPr>
            <w:tcW w:w="807" w:type="pct"/>
            <w:noWrap/>
            <w:hideMark/>
          </w:tcPr>
          <w:p w14:paraId="1603ACBE" w14:textId="77777777" w:rsidR="00777D99" w:rsidRPr="00A71048" w:rsidRDefault="00777D99" w:rsidP="00A71048">
            <w:pPr>
              <w:pStyle w:val="TableBody"/>
            </w:pPr>
            <w:r w:rsidRPr="00A71048">
              <w:t>2004-05</w:t>
            </w:r>
          </w:p>
        </w:tc>
        <w:tc>
          <w:tcPr>
            <w:tcW w:w="1081" w:type="pct"/>
            <w:noWrap/>
            <w:hideMark/>
          </w:tcPr>
          <w:p w14:paraId="35751390" w14:textId="77777777" w:rsidR="00777D99" w:rsidRPr="00A71048" w:rsidRDefault="00777D99" w:rsidP="00A71048">
            <w:pPr>
              <w:pStyle w:val="TableBody"/>
            </w:pPr>
            <w:r w:rsidRPr="00A71048">
              <w:t>1,094</w:t>
            </w:r>
          </w:p>
        </w:tc>
        <w:tc>
          <w:tcPr>
            <w:tcW w:w="1081" w:type="pct"/>
            <w:noWrap/>
            <w:hideMark/>
          </w:tcPr>
          <w:p w14:paraId="5446B960" w14:textId="77777777" w:rsidR="00777D99" w:rsidRPr="00A71048" w:rsidRDefault="00777D99" w:rsidP="00A71048">
            <w:pPr>
              <w:pStyle w:val="TableBody"/>
            </w:pPr>
            <w:r w:rsidRPr="00A71048">
              <w:t>3,135</w:t>
            </w:r>
          </w:p>
        </w:tc>
        <w:tc>
          <w:tcPr>
            <w:tcW w:w="1081" w:type="pct"/>
            <w:noWrap/>
            <w:hideMark/>
          </w:tcPr>
          <w:p w14:paraId="23A4C8F8" w14:textId="77777777" w:rsidR="00777D99" w:rsidRPr="00A71048" w:rsidRDefault="00777D99" w:rsidP="00A71048">
            <w:pPr>
              <w:pStyle w:val="TableBody"/>
            </w:pPr>
            <w:r w:rsidRPr="00A71048">
              <w:t>960</w:t>
            </w:r>
          </w:p>
        </w:tc>
        <w:tc>
          <w:tcPr>
            <w:tcW w:w="949" w:type="pct"/>
            <w:noWrap/>
            <w:hideMark/>
          </w:tcPr>
          <w:p w14:paraId="7A1B5381" w14:textId="77777777" w:rsidR="00777D99" w:rsidRPr="00A71048" w:rsidRDefault="00777D99" w:rsidP="00A71048">
            <w:pPr>
              <w:pStyle w:val="TableBody"/>
            </w:pPr>
            <w:r w:rsidRPr="00A71048">
              <w:t>91</w:t>
            </w:r>
          </w:p>
        </w:tc>
      </w:tr>
      <w:tr w:rsidR="00777D99" w:rsidRPr="00A71048" w14:paraId="47792B98" w14:textId="77777777" w:rsidTr="00A71048">
        <w:trPr>
          <w:trHeight w:val="288"/>
        </w:trPr>
        <w:tc>
          <w:tcPr>
            <w:tcW w:w="807" w:type="pct"/>
            <w:noWrap/>
            <w:hideMark/>
          </w:tcPr>
          <w:p w14:paraId="4C7A9751" w14:textId="77777777" w:rsidR="00777D99" w:rsidRPr="00A71048" w:rsidRDefault="00777D99" w:rsidP="00A71048">
            <w:pPr>
              <w:pStyle w:val="TableBody"/>
            </w:pPr>
            <w:r w:rsidRPr="00A71048">
              <w:t>2005-06</w:t>
            </w:r>
          </w:p>
        </w:tc>
        <w:tc>
          <w:tcPr>
            <w:tcW w:w="1081" w:type="pct"/>
            <w:noWrap/>
            <w:hideMark/>
          </w:tcPr>
          <w:p w14:paraId="5D990626" w14:textId="77777777" w:rsidR="00777D99" w:rsidRPr="00A71048" w:rsidRDefault="00777D99" w:rsidP="00A71048">
            <w:pPr>
              <w:pStyle w:val="TableBody"/>
            </w:pPr>
            <w:r w:rsidRPr="00A71048">
              <w:t>1,049</w:t>
            </w:r>
          </w:p>
        </w:tc>
        <w:tc>
          <w:tcPr>
            <w:tcW w:w="1081" w:type="pct"/>
            <w:noWrap/>
            <w:hideMark/>
          </w:tcPr>
          <w:p w14:paraId="50A1EAD7" w14:textId="77777777" w:rsidR="00777D99" w:rsidRPr="00A71048" w:rsidRDefault="00777D99" w:rsidP="00A71048">
            <w:pPr>
              <w:pStyle w:val="TableBody"/>
            </w:pPr>
            <w:r w:rsidRPr="00A71048">
              <w:t>3,234</w:t>
            </w:r>
          </w:p>
        </w:tc>
        <w:tc>
          <w:tcPr>
            <w:tcW w:w="1081" w:type="pct"/>
            <w:noWrap/>
            <w:hideMark/>
          </w:tcPr>
          <w:p w14:paraId="1F8526F1" w14:textId="77777777" w:rsidR="00777D99" w:rsidRPr="00A71048" w:rsidRDefault="00777D99" w:rsidP="00A71048">
            <w:pPr>
              <w:pStyle w:val="TableBody"/>
            </w:pPr>
            <w:r w:rsidRPr="00A71048">
              <w:t>968</w:t>
            </w:r>
          </w:p>
        </w:tc>
        <w:tc>
          <w:tcPr>
            <w:tcW w:w="949" w:type="pct"/>
            <w:noWrap/>
            <w:hideMark/>
          </w:tcPr>
          <w:p w14:paraId="3B631A17" w14:textId="77777777" w:rsidR="00777D99" w:rsidRPr="00A71048" w:rsidRDefault="00777D99" w:rsidP="00A71048">
            <w:pPr>
              <w:pStyle w:val="TableBody"/>
            </w:pPr>
            <w:r w:rsidRPr="00A71048">
              <w:t>78</w:t>
            </w:r>
          </w:p>
        </w:tc>
      </w:tr>
      <w:tr w:rsidR="00777D99" w:rsidRPr="00A71048" w14:paraId="1C66394D" w14:textId="77777777" w:rsidTr="00A71048">
        <w:trPr>
          <w:trHeight w:val="288"/>
        </w:trPr>
        <w:tc>
          <w:tcPr>
            <w:tcW w:w="807" w:type="pct"/>
            <w:noWrap/>
            <w:hideMark/>
          </w:tcPr>
          <w:p w14:paraId="0E8A3E7D" w14:textId="77777777" w:rsidR="00777D99" w:rsidRPr="00A71048" w:rsidRDefault="00777D99" w:rsidP="00A71048">
            <w:pPr>
              <w:pStyle w:val="TableBody"/>
            </w:pPr>
            <w:r w:rsidRPr="00A71048">
              <w:t>2006-07</w:t>
            </w:r>
          </w:p>
        </w:tc>
        <w:tc>
          <w:tcPr>
            <w:tcW w:w="1081" w:type="pct"/>
            <w:noWrap/>
            <w:hideMark/>
          </w:tcPr>
          <w:p w14:paraId="5C069FA2" w14:textId="77777777" w:rsidR="00777D99" w:rsidRPr="00A71048" w:rsidRDefault="00777D99" w:rsidP="00A71048">
            <w:pPr>
              <w:pStyle w:val="TableBody"/>
            </w:pPr>
            <w:r w:rsidRPr="00A71048">
              <w:t>990</w:t>
            </w:r>
          </w:p>
        </w:tc>
        <w:tc>
          <w:tcPr>
            <w:tcW w:w="1081" w:type="pct"/>
            <w:noWrap/>
            <w:hideMark/>
          </w:tcPr>
          <w:p w14:paraId="0E76B678" w14:textId="77777777" w:rsidR="00777D99" w:rsidRPr="00A71048" w:rsidRDefault="00777D99" w:rsidP="00A71048">
            <w:pPr>
              <w:pStyle w:val="TableBody"/>
            </w:pPr>
            <w:r w:rsidRPr="00A71048">
              <w:t>3,173</w:t>
            </w:r>
          </w:p>
        </w:tc>
        <w:tc>
          <w:tcPr>
            <w:tcW w:w="1081" w:type="pct"/>
            <w:noWrap/>
            <w:hideMark/>
          </w:tcPr>
          <w:p w14:paraId="0F85BE2B" w14:textId="77777777" w:rsidR="00777D99" w:rsidRPr="00A71048" w:rsidRDefault="00777D99" w:rsidP="00A71048">
            <w:pPr>
              <w:pStyle w:val="TableBody"/>
            </w:pPr>
            <w:r w:rsidRPr="00A71048">
              <w:t>1,063</w:t>
            </w:r>
          </w:p>
        </w:tc>
        <w:tc>
          <w:tcPr>
            <w:tcW w:w="949" w:type="pct"/>
            <w:noWrap/>
            <w:hideMark/>
          </w:tcPr>
          <w:p w14:paraId="69E48F1F" w14:textId="77777777" w:rsidR="00777D99" w:rsidRPr="00A71048" w:rsidRDefault="00777D99" w:rsidP="00A71048">
            <w:pPr>
              <w:pStyle w:val="TableBody"/>
            </w:pPr>
            <w:r w:rsidRPr="00A71048">
              <w:t>87</w:t>
            </w:r>
          </w:p>
        </w:tc>
      </w:tr>
      <w:tr w:rsidR="00777D99" w:rsidRPr="00A71048" w14:paraId="0B8ACEEF" w14:textId="77777777" w:rsidTr="00A71048">
        <w:trPr>
          <w:trHeight w:val="288"/>
        </w:trPr>
        <w:tc>
          <w:tcPr>
            <w:tcW w:w="807" w:type="pct"/>
            <w:noWrap/>
            <w:hideMark/>
          </w:tcPr>
          <w:p w14:paraId="18B10868" w14:textId="77777777" w:rsidR="00777D99" w:rsidRPr="00A71048" w:rsidRDefault="00777D99" w:rsidP="00A71048">
            <w:pPr>
              <w:pStyle w:val="TableBody"/>
            </w:pPr>
            <w:r w:rsidRPr="00A71048">
              <w:t>2007-08</w:t>
            </w:r>
          </w:p>
        </w:tc>
        <w:tc>
          <w:tcPr>
            <w:tcW w:w="1081" w:type="pct"/>
            <w:noWrap/>
            <w:hideMark/>
          </w:tcPr>
          <w:p w14:paraId="0E2C9B43" w14:textId="77777777" w:rsidR="00777D99" w:rsidRPr="00A71048" w:rsidRDefault="00777D99" w:rsidP="00A71048">
            <w:pPr>
              <w:pStyle w:val="TableBody"/>
            </w:pPr>
            <w:r w:rsidRPr="00A71048">
              <w:t>931</w:t>
            </w:r>
          </w:p>
        </w:tc>
        <w:tc>
          <w:tcPr>
            <w:tcW w:w="1081" w:type="pct"/>
            <w:noWrap/>
            <w:hideMark/>
          </w:tcPr>
          <w:p w14:paraId="529712BB" w14:textId="77777777" w:rsidR="00777D99" w:rsidRPr="00A71048" w:rsidRDefault="00777D99" w:rsidP="00A71048">
            <w:pPr>
              <w:pStyle w:val="TableBody"/>
            </w:pPr>
            <w:r w:rsidRPr="00A71048">
              <w:t>3,079</w:t>
            </w:r>
          </w:p>
        </w:tc>
        <w:tc>
          <w:tcPr>
            <w:tcW w:w="1081" w:type="pct"/>
            <w:noWrap/>
            <w:hideMark/>
          </w:tcPr>
          <w:p w14:paraId="333B0620" w14:textId="77777777" w:rsidR="00777D99" w:rsidRPr="00A71048" w:rsidRDefault="00777D99" w:rsidP="00A71048">
            <w:pPr>
              <w:pStyle w:val="TableBody"/>
            </w:pPr>
            <w:r w:rsidRPr="00A71048">
              <w:t>1,106</w:t>
            </w:r>
          </w:p>
        </w:tc>
        <w:tc>
          <w:tcPr>
            <w:tcW w:w="949" w:type="pct"/>
            <w:noWrap/>
            <w:hideMark/>
          </w:tcPr>
          <w:p w14:paraId="6BFBFD3B" w14:textId="77777777" w:rsidR="00777D99" w:rsidRPr="00A71048" w:rsidRDefault="00777D99" w:rsidP="00A71048">
            <w:pPr>
              <w:pStyle w:val="TableBody"/>
            </w:pPr>
            <w:r w:rsidRPr="00A71048">
              <w:t>100</w:t>
            </w:r>
          </w:p>
        </w:tc>
      </w:tr>
      <w:tr w:rsidR="00777D99" w:rsidRPr="00A71048" w14:paraId="0CCDA471" w14:textId="77777777" w:rsidTr="00A71048">
        <w:trPr>
          <w:trHeight w:val="288"/>
        </w:trPr>
        <w:tc>
          <w:tcPr>
            <w:tcW w:w="807" w:type="pct"/>
            <w:noWrap/>
            <w:hideMark/>
          </w:tcPr>
          <w:p w14:paraId="673155F4" w14:textId="77777777" w:rsidR="00777D99" w:rsidRPr="00A71048" w:rsidRDefault="00777D99" w:rsidP="00A71048">
            <w:pPr>
              <w:pStyle w:val="TableBody"/>
            </w:pPr>
            <w:r w:rsidRPr="00A71048">
              <w:t>2008-09</w:t>
            </w:r>
          </w:p>
        </w:tc>
        <w:tc>
          <w:tcPr>
            <w:tcW w:w="1081" w:type="pct"/>
            <w:noWrap/>
            <w:hideMark/>
          </w:tcPr>
          <w:p w14:paraId="32DCFB58" w14:textId="77777777" w:rsidR="00777D99" w:rsidRPr="00A71048" w:rsidRDefault="00777D99" w:rsidP="00A71048">
            <w:pPr>
              <w:pStyle w:val="TableBody"/>
            </w:pPr>
            <w:r w:rsidRPr="00A71048">
              <w:t>953</w:t>
            </w:r>
          </w:p>
        </w:tc>
        <w:tc>
          <w:tcPr>
            <w:tcW w:w="1081" w:type="pct"/>
            <w:noWrap/>
            <w:hideMark/>
          </w:tcPr>
          <w:p w14:paraId="3C50E0CF" w14:textId="77777777" w:rsidR="00777D99" w:rsidRPr="00A71048" w:rsidRDefault="00777D99" w:rsidP="00A71048">
            <w:pPr>
              <w:pStyle w:val="TableBody"/>
            </w:pPr>
            <w:r w:rsidRPr="00A71048">
              <w:t>3,169</w:t>
            </w:r>
          </w:p>
        </w:tc>
        <w:tc>
          <w:tcPr>
            <w:tcW w:w="1081" w:type="pct"/>
            <w:noWrap/>
            <w:hideMark/>
          </w:tcPr>
          <w:p w14:paraId="7F17D0B2" w14:textId="77777777" w:rsidR="00777D99" w:rsidRPr="00A71048" w:rsidRDefault="00777D99" w:rsidP="00A71048">
            <w:pPr>
              <w:pStyle w:val="TableBody"/>
            </w:pPr>
            <w:r w:rsidRPr="00A71048">
              <w:t>1,177</w:t>
            </w:r>
          </w:p>
        </w:tc>
        <w:tc>
          <w:tcPr>
            <w:tcW w:w="949" w:type="pct"/>
            <w:noWrap/>
            <w:hideMark/>
          </w:tcPr>
          <w:p w14:paraId="679E46ED" w14:textId="77777777" w:rsidR="00777D99" w:rsidRPr="00A71048" w:rsidRDefault="00777D99" w:rsidP="00A71048">
            <w:pPr>
              <w:pStyle w:val="TableBody"/>
            </w:pPr>
            <w:r w:rsidRPr="00A71048">
              <w:t>113</w:t>
            </w:r>
          </w:p>
        </w:tc>
      </w:tr>
      <w:tr w:rsidR="00777D99" w:rsidRPr="00A71048" w14:paraId="2AB4C3BC" w14:textId="77777777" w:rsidTr="00A71048">
        <w:trPr>
          <w:trHeight w:val="288"/>
        </w:trPr>
        <w:tc>
          <w:tcPr>
            <w:tcW w:w="807" w:type="pct"/>
            <w:noWrap/>
            <w:hideMark/>
          </w:tcPr>
          <w:p w14:paraId="482A45E3" w14:textId="77777777" w:rsidR="00777D99" w:rsidRPr="00A71048" w:rsidRDefault="00777D99" w:rsidP="00A71048">
            <w:pPr>
              <w:pStyle w:val="TableBody"/>
            </w:pPr>
            <w:r w:rsidRPr="00A71048">
              <w:t>2009-10</w:t>
            </w:r>
          </w:p>
        </w:tc>
        <w:tc>
          <w:tcPr>
            <w:tcW w:w="1081" w:type="pct"/>
            <w:noWrap/>
            <w:hideMark/>
          </w:tcPr>
          <w:p w14:paraId="22FAFDCE" w14:textId="77777777" w:rsidR="00777D99" w:rsidRPr="00A71048" w:rsidRDefault="00777D99" w:rsidP="00A71048">
            <w:pPr>
              <w:pStyle w:val="TableBody"/>
            </w:pPr>
            <w:r w:rsidRPr="00A71048">
              <w:t>1,141</w:t>
            </w:r>
          </w:p>
        </w:tc>
        <w:tc>
          <w:tcPr>
            <w:tcW w:w="1081" w:type="pct"/>
            <w:noWrap/>
            <w:hideMark/>
          </w:tcPr>
          <w:p w14:paraId="7C00EB17" w14:textId="77777777" w:rsidR="00777D99" w:rsidRPr="00A71048" w:rsidRDefault="00777D99" w:rsidP="00A71048">
            <w:pPr>
              <w:pStyle w:val="TableBody"/>
            </w:pPr>
            <w:r w:rsidRPr="00A71048">
              <w:t>3,484</w:t>
            </w:r>
          </w:p>
        </w:tc>
        <w:tc>
          <w:tcPr>
            <w:tcW w:w="1081" w:type="pct"/>
            <w:noWrap/>
            <w:hideMark/>
          </w:tcPr>
          <w:p w14:paraId="5ABA8DB4" w14:textId="77777777" w:rsidR="00777D99" w:rsidRPr="00A71048" w:rsidRDefault="00777D99" w:rsidP="00A71048">
            <w:pPr>
              <w:pStyle w:val="TableBody"/>
            </w:pPr>
            <w:r w:rsidRPr="00A71048">
              <w:t>1,324</w:t>
            </w:r>
          </w:p>
        </w:tc>
        <w:tc>
          <w:tcPr>
            <w:tcW w:w="949" w:type="pct"/>
            <w:noWrap/>
            <w:hideMark/>
          </w:tcPr>
          <w:p w14:paraId="563A809D" w14:textId="77777777" w:rsidR="00777D99" w:rsidRPr="00A71048" w:rsidRDefault="00777D99" w:rsidP="00A71048">
            <w:pPr>
              <w:pStyle w:val="TableBody"/>
            </w:pPr>
            <w:r w:rsidRPr="00A71048">
              <w:t>121</w:t>
            </w:r>
          </w:p>
        </w:tc>
      </w:tr>
      <w:tr w:rsidR="00777D99" w:rsidRPr="00A71048" w14:paraId="06D6CD89" w14:textId="77777777" w:rsidTr="00A71048">
        <w:trPr>
          <w:trHeight w:val="288"/>
        </w:trPr>
        <w:tc>
          <w:tcPr>
            <w:tcW w:w="807" w:type="pct"/>
            <w:noWrap/>
            <w:hideMark/>
          </w:tcPr>
          <w:p w14:paraId="73C5CE26" w14:textId="77777777" w:rsidR="00777D99" w:rsidRPr="00A71048" w:rsidRDefault="00777D99" w:rsidP="00A71048">
            <w:pPr>
              <w:pStyle w:val="TableBody"/>
            </w:pPr>
            <w:r w:rsidRPr="00A71048">
              <w:t>2010-11</w:t>
            </w:r>
          </w:p>
        </w:tc>
        <w:tc>
          <w:tcPr>
            <w:tcW w:w="1081" w:type="pct"/>
            <w:noWrap/>
            <w:hideMark/>
          </w:tcPr>
          <w:p w14:paraId="020DFC7A" w14:textId="77777777" w:rsidR="00777D99" w:rsidRPr="00A71048" w:rsidRDefault="00777D99" w:rsidP="00A71048">
            <w:pPr>
              <w:pStyle w:val="TableBody"/>
            </w:pPr>
            <w:r w:rsidRPr="00A71048">
              <w:t>996</w:t>
            </w:r>
          </w:p>
        </w:tc>
        <w:tc>
          <w:tcPr>
            <w:tcW w:w="1081" w:type="pct"/>
            <w:noWrap/>
            <w:hideMark/>
          </w:tcPr>
          <w:p w14:paraId="6A0CB796" w14:textId="77777777" w:rsidR="00777D99" w:rsidRPr="00A71048" w:rsidRDefault="00777D99" w:rsidP="00A71048">
            <w:pPr>
              <w:pStyle w:val="TableBody"/>
            </w:pPr>
            <w:r w:rsidRPr="00A71048">
              <w:t>3,083</w:t>
            </w:r>
          </w:p>
        </w:tc>
        <w:tc>
          <w:tcPr>
            <w:tcW w:w="1081" w:type="pct"/>
            <w:noWrap/>
            <w:hideMark/>
          </w:tcPr>
          <w:p w14:paraId="62B8FC31" w14:textId="77777777" w:rsidR="00777D99" w:rsidRPr="00A71048" w:rsidRDefault="00777D99" w:rsidP="00A71048">
            <w:pPr>
              <w:pStyle w:val="TableBody"/>
            </w:pPr>
            <w:r w:rsidRPr="00A71048">
              <w:t>1,225</w:t>
            </w:r>
          </w:p>
        </w:tc>
        <w:tc>
          <w:tcPr>
            <w:tcW w:w="949" w:type="pct"/>
            <w:noWrap/>
            <w:hideMark/>
          </w:tcPr>
          <w:p w14:paraId="3314DDE0" w14:textId="77777777" w:rsidR="00777D99" w:rsidRPr="00A71048" w:rsidRDefault="00777D99" w:rsidP="00A71048">
            <w:pPr>
              <w:pStyle w:val="TableBody"/>
            </w:pPr>
            <w:r w:rsidRPr="00A71048">
              <w:t>117</w:t>
            </w:r>
          </w:p>
        </w:tc>
      </w:tr>
      <w:tr w:rsidR="00777D99" w:rsidRPr="00A71048" w14:paraId="2347248F" w14:textId="77777777" w:rsidTr="00A71048">
        <w:trPr>
          <w:trHeight w:val="288"/>
        </w:trPr>
        <w:tc>
          <w:tcPr>
            <w:tcW w:w="807" w:type="pct"/>
            <w:noWrap/>
            <w:hideMark/>
          </w:tcPr>
          <w:p w14:paraId="7997AC73" w14:textId="77777777" w:rsidR="00777D99" w:rsidRPr="00A71048" w:rsidRDefault="00777D99" w:rsidP="00A71048">
            <w:pPr>
              <w:pStyle w:val="TableBody"/>
            </w:pPr>
            <w:r w:rsidRPr="00A71048">
              <w:t>2011-12</w:t>
            </w:r>
          </w:p>
        </w:tc>
        <w:tc>
          <w:tcPr>
            <w:tcW w:w="1081" w:type="pct"/>
            <w:noWrap/>
            <w:hideMark/>
          </w:tcPr>
          <w:p w14:paraId="67E7237B" w14:textId="77777777" w:rsidR="00777D99" w:rsidRPr="00A71048" w:rsidRDefault="00777D99" w:rsidP="00A71048">
            <w:pPr>
              <w:pStyle w:val="TableBody"/>
            </w:pPr>
            <w:r w:rsidRPr="00A71048">
              <w:t>1,034</w:t>
            </w:r>
          </w:p>
        </w:tc>
        <w:tc>
          <w:tcPr>
            <w:tcW w:w="1081" w:type="pct"/>
            <w:noWrap/>
            <w:hideMark/>
          </w:tcPr>
          <w:p w14:paraId="33A57113" w14:textId="77777777" w:rsidR="00777D99" w:rsidRPr="00A71048" w:rsidRDefault="00777D99" w:rsidP="00A71048">
            <w:pPr>
              <w:pStyle w:val="TableBody"/>
            </w:pPr>
            <w:r w:rsidRPr="00A71048">
              <w:t>3,170</w:t>
            </w:r>
          </w:p>
        </w:tc>
        <w:tc>
          <w:tcPr>
            <w:tcW w:w="1081" w:type="pct"/>
            <w:noWrap/>
            <w:hideMark/>
          </w:tcPr>
          <w:p w14:paraId="084671E3" w14:textId="77777777" w:rsidR="00777D99" w:rsidRPr="00A71048" w:rsidRDefault="00777D99" w:rsidP="00A71048">
            <w:pPr>
              <w:pStyle w:val="TableBody"/>
            </w:pPr>
            <w:r w:rsidRPr="00A71048">
              <w:t>1,359</w:t>
            </w:r>
          </w:p>
        </w:tc>
        <w:tc>
          <w:tcPr>
            <w:tcW w:w="949" w:type="pct"/>
            <w:noWrap/>
            <w:hideMark/>
          </w:tcPr>
          <w:p w14:paraId="5E64DB23" w14:textId="77777777" w:rsidR="00777D99" w:rsidRPr="00A71048" w:rsidRDefault="00777D99" w:rsidP="00A71048">
            <w:pPr>
              <w:pStyle w:val="TableBody"/>
            </w:pPr>
            <w:r w:rsidRPr="00A71048">
              <w:t>94</w:t>
            </w:r>
          </w:p>
        </w:tc>
      </w:tr>
      <w:tr w:rsidR="00777D99" w:rsidRPr="00A71048" w14:paraId="2A26974A" w14:textId="77777777" w:rsidTr="00A71048">
        <w:trPr>
          <w:trHeight w:val="288"/>
        </w:trPr>
        <w:tc>
          <w:tcPr>
            <w:tcW w:w="807" w:type="pct"/>
            <w:noWrap/>
            <w:hideMark/>
          </w:tcPr>
          <w:p w14:paraId="7B523A4B" w14:textId="77777777" w:rsidR="00777D99" w:rsidRPr="00A71048" w:rsidRDefault="00777D99" w:rsidP="00A71048">
            <w:pPr>
              <w:pStyle w:val="TableBody"/>
            </w:pPr>
            <w:r w:rsidRPr="00A71048">
              <w:t>2012-13</w:t>
            </w:r>
          </w:p>
        </w:tc>
        <w:tc>
          <w:tcPr>
            <w:tcW w:w="1081" w:type="pct"/>
            <w:noWrap/>
            <w:hideMark/>
          </w:tcPr>
          <w:p w14:paraId="73BFABC7" w14:textId="77777777" w:rsidR="00777D99" w:rsidRPr="00A71048" w:rsidRDefault="00777D99" w:rsidP="00A71048">
            <w:pPr>
              <w:pStyle w:val="TableBody"/>
            </w:pPr>
            <w:r w:rsidRPr="00A71048">
              <w:t>1,160</w:t>
            </w:r>
          </w:p>
        </w:tc>
        <w:tc>
          <w:tcPr>
            <w:tcW w:w="1081" w:type="pct"/>
            <w:noWrap/>
            <w:hideMark/>
          </w:tcPr>
          <w:p w14:paraId="66CC512B" w14:textId="77777777" w:rsidR="00777D99" w:rsidRPr="00A71048" w:rsidRDefault="00777D99" w:rsidP="00A71048">
            <w:pPr>
              <w:pStyle w:val="TableBody"/>
            </w:pPr>
            <w:r w:rsidRPr="00A71048">
              <w:t>3,685</w:t>
            </w:r>
          </w:p>
        </w:tc>
        <w:tc>
          <w:tcPr>
            <w:tcW w:w="1081" w:type="pct"/>
            <w:noWrap/>
            <w:hideMark/>
          </w:tcPr>
          <w:p w14:paraId="43E99218" w14:textId="77777777" w:rsidR="00777D99" w:rsidRPr="00A71048" w:rsidRDefault="00777D99" w:rsidP="00A71048">
            <w:pPr>
              <w:pStyle w:val="TableBody"/>
            </w:pPr>
            <w:r w:rsidRPr="00A71048">
              <w:t>1,609</w:t>
            </w:r>
          </w:p>
        </w:tc>
        <w:tc>
          <w:tcPr>
            <w:tcW w:w="949" w:type="pct"/>
            <w:noWrap/>
            <w:hideMark/>
          </w:tcPr>
          <w:p w14:paraId="68E69BFB" w14:textId="77777777" w:rsidR="00777D99" w:rsidRPr="00A71048" w:rsidRDefault="00777D99" w:rsidP="00A71048">
            <w:pPr>
              <w:pStyle w:val="TableBody"/>
            </w:pPr>
            <w:r w:rsidRPr="00A71048">
              <w:t>137</w:t>
            </w:r>
          </w:p>
        </w:tc>
      </w:tr>
      <w:tr w:rsidR="00777D99" w:rsidRPr="00A71048" w14:paraId="7F62557D" w14:textId="77777777" w:rsidTr="00A71048">
        <w:trPr>
          <w:trHeight w:val="288"/>
        </w:trPr>
        <w:tc>
          <w:tcPr>
            <w:tcW w:w="807" w:type="pct"/>
            <w:noWrap/>
            <w:hideMark/>
          </w:tcPr>
          <w:p w14:paraId="2586BAB7" w14:textId="77777777" w:rsidR="00777D99" w:rsidRPr="00A71048" w:rsidRDefault="00777D99" w:rsidP="00A71048">
            <w:pPr>
              <w:pStyle w:val="TableBody"/>
            </w:pPr>
            <w:r w:rsidRPr="00A71048">
              <w:t>2013-14</w:t>
            </w:r>
          </w:p>
        </w:tc>
        <w:tc>
          <w:tcPr>
            <w:tcW w:w="1081" w:type="pct"/>
            <w:noWrap/>
            <w:hideMark/>
          </w:tcPr>
          <w:p w14:paraId="09C7A030" w14:textId="77777777" w:rsidR="00777D99" w:rsidRPr="00A71048" w:rsidRDefault="00777D99" w:rsidP="00A71048">
            <w:pPr>
              <w:pStyle w:val="TableBody"/>
            </w:pPr>
            <w:r w:rsidRPr="00A71048">
              <w:t>1,188</w:t>
            </w:r>
          </w:p>
        </w:tc>
        <w:tc>
          <w:tcPr>
            <w:tcW w:w="1081" w:type="pct"/>
            <w:noWrap/>
            <w:hideMark/>
          </w:tcPr>
          <w:p w14:paraId="7B39DA3F" w14:textId="77777777" w:rsidR="00777D99" w:rsidRPr="00A71048" w:rsidRDefault="00777D99" w:rsidP="00A71048">
            <w:pPr>
              <w:pStyle w:val="TableBody"/>
            </w:pPr>
            <w:r w:rsidRPr="00A71048">
              <w:t>3,842</w:t>
            </w:r>
          </w:p>
        </w:tc>
        <w:tc>
          <w:tcPr>
            <w:tcW w:w="1081" w:type="pct"/>
            <w:noWrap/>
            <w:hideMark/>
          </w:tcPr>
          <w:p w14:paraId="7AB53608" w14:textId="77777777" w:rsidR="00777D99" w:rsidRPr="00A71048" w:rsidRDefault="00777D99" w:rsidP="00A71048">
            <w:pPr>
              <w:pStyle w:val="TableBody"/>
            </w:pPr>
            <w:r w:rsidRPr="00A71048">
              <w:t>1,609</w:t>
            </w:r>
          </w:p>
        </w:tc>
        <w:tc>
          <w:tcPr>
            <w:tcW w:w="949" w:type="pct"/>
            <w:noWrap/>
            <w:hideMark/>
          </w:tcPr>
          <w:p w14:paraId="50E7C870" w14:textId="77777777" w:rsidR="00777D99" w:rsidRPr="00A71048" w:rsidRDefault="00777D99" w:rsidP="00A71048">
            <w:pPr>
              <w:pStyle w:val="TableBody"/>
            </w:pPr>
            <w:r w:rsidRPr="00A71048">
              <w:t>154</w:t>
            </w:r>
          </w:p>
        </w:tc>
      </w:tr>
      <w:tr w:rsidR="00777D99" w:rsidRPr="00A71048" w14:paraId="64CCFC4C" w14:textId="77777777" w:rsidTr="00A71048">
        <w:trPr>
          <w:trHeight w:val="288"/>
        </w:trPr>
        <w:tc>
          <w:tcPr>
            <w:tcW w:w="807" w:type="pct"/>
            <w:noWrap/>
            <w:hideMark/>
          </w:tcPr>
          <w:p w14:paraId="7A769664" w14:textId="77777777" w:rsidR="00777D99" w:rsidRPr="00A71048" w:rsidRDefault="00777D99" w:rsidP="00A71048">
            <w:pPr>
              <w:pStyle w:val="TableBody"/>
            </w:pPr>
            <w:r w:rsidRPr="00A71048">
              <w:t>2014-15</w:t>
            </w:r>
          </w:p>
        </w:tc>
        <w:tc>
          <w:tcPr>
            <w:tcW w:w="1081" w:type="pct"/>
            <w:noWrap/>
            <w:hideMark/>
          </w:tcPr>
          <w:p w14:paraId="4484D1B5" w14:textId="77777777" w:rsidR="00777D99" w:rsidRPr="00A71048" w:rsidRDefault="00777D99" w:rsidP="00A71048">
            <w:pPr>
              <w:pStyle w:val="TableBody"/>
            </w:pPr>
            <w:r w:rsidRPr="00A71048">
              <w:t>1,153</w:t>
            </w:r>
          </w:p>
        </w:tc>
        <w:tc>
          <w:tcPr>
            <w:tcW w:w="1081" w:type="pct"/>
            <w:noWrap/>
            <w:hideMark/>
          </w:tcPr>
          <w:p w14:paraId="191F6E21" w14:textId="77777777" w:rsidR="00777D99" w:rsidRPr="00A71048" w:rsidRDefault="00777D99" w:rsidP="00A71048">
            <w:pPr>
              <w:pStyle w:val="TableBody"/>
            </w:pPr>
            <w:r w:rsidRPr="00A71048">
              <w:t>4,080</w:t>
            </w:r>
          </w:p>
        </w:tc>
        <w:tc>
          <w:tcPr>
            <w:tcW w:w="1081" w:type="pct"/>
            <w:noWrap/>
            <w:hideMark/>
          </w:tcPr>
          <w:p w14:paraId="375166CD" w14:textId="77777777" w:rsidR="00777D99" w:rsidRPr="00A71048" w:rsidRDefault="00777D99" w:rsidP="00A71048">
            <w:pPr>
              <w:pStyle w:val="TableBody"/>
            </w:pPr>
            <w:r w:rsidRPr="00A71048">
              <w:t>1,766</w:t>
            </w:r>
          </w:p>
        </w:tc>
        <w:tc>
          <w:tcPr>
            <w:tcW w:w="949" w:type="pct"/>
            <w:noWrap/>
            <w:hideMark/>
          </w:tcPr>
          <w:p w14:paraId="016B7710" w14:textId="77777777" w:rsidR="00777D99" w:rsidRPr="00A71048" w:rsidRDefault="00777D99" w:rsidP="00A71048">
            <w:pPr>
              <w:pStyle w:val="TableBody"/>
            </w:pPr>
            <w:r w:rsidRPr="00A71048">
              <w:t>143</w:t>
            </w:r>
          </w:p>
        </w:tc>
      </w:tr>
      <w:tr w:rsidR="00777D99" w:rsidRPr="00A71048" w14:paraId="15BB1F80" w14:textId="77777777" w:rsidTr="00A71048">
        <w:trPr>
          <w:trHeight w:val="288"/>
        </w:trPr>
        <w:tc>
          <w:tcPr>
            <w:tcW w:w="807" w:type="pct"/>
            <w:noWrap/>
            <w:hideMark/>
          </w:tcPr>
          <w:p w14:paraId="26F7DC1B" w14:textId="77777777" w:rsidR="00777D99" w:rsidRPr="00A71048" w:rsidRDefault="00777D99" w:rsidP="00A71048">
            <w:pPr>
              <w:pStyle w:val="TableBody"/>
            </w:pPr>
            <w:r w:rsidRPr="00A71048">
              <w:t>2015-16</w:t>
            </w:r>
          </w:p>
        </w:tc>
        <w:tc>
          <w:tcPr>
            <w:tcW w:w="1081" w:type="pct"/>
            <w:noWrap/>
            <w:hideMark/>
          </w:tcPr>
          <w:p w14:paraId="51690556" w14:textId="77777777" w:rsidR="00777D99" w:rsidRPr="00A71048" w:rsidRDefault="00777D99" w:rsidP="00A71048">
            <w:pPr>
              <w:pStyle w:val="TableBody"/>
            </w:pPr>
            <w:r w:rsidRPr="00A71048">
              <w:t>1,312</w:t>
            </w:r>
          </w:p>
        </w:tc>
        <w:tc>
          <w:tcPr>
            <w:tcW w:w="1081" w:type="pct"/>
            <w:noWrap/>
            <w:hideMark/>
          </w:tcPr>
          <w:p w14:paraId="51A10AEF" w14:textId="77777777" w:rsidR="00777D99" w:rsidRPr="00A71048" w:rsidRDefault="00777D99" w:rsidP="00A71048">
            <w:pPr>
              <w:pStyle w:val="TableBody"/>
            </w:pPr>
            <w:r w:rsidRPr="00A71048">
              <w:t>4,639</w:t>
            </w:r>
          </w:p>
        </w:tc>
        <w:tc>
          <w:tcPr>
            <w:tcW w:w="1081" w:type="pct"/>
            <w:noWrap/>
            <w:hideMark/>
          </w:tcPr>
          <w:p w14:paraId="6B3FAFFC" w14:textId="77777777" w:rsidR="00777D99" w:rsidRPr="00A71048" w:rsidRDefault="00777D99" w:rsidP="00A71048">
            <w:pPr>
              <w:pStyle w:val="TableBody"/>
            </w:pPr>
            <w:r w:rsidRPr="00A71048">
              <w:t>1,985</w:t>
            </w:r>
          </w:p>
        </w:tc>
        <w:tc>
          <w:tcPr>
            <w:tcW w:w="949" w:type="pct"/>
            <w:noWrap/>
            <w:hideMark/>
          </w:tcPr>
          <w:p w14:paraId="296222B2" w14:textId="77777777" w:rsidR="00777D99" w:rsidRPr="00A71048" w:rsidRDefault="00777D99" w:rsidP="00A71048">
            <w:pPr>
              <w:pStyle w:val="TableBody"/>
            </w:pPr>
            <w:r w:rsidRPr="00A71048">
              <w:t>176</w:t>
            </w:r>
          </w:p>
        </w:tc>
      </w:tr>
      <w:tr w:rsidR="00777D99" w:rsidRPr="00A71048" w14:paraId="1FE26FFC" w14:textId="77777777" w:rsidTr="00A71048">
        <w:trPr>
          <w:trHeight w:val="288"/>
        </w:trPr>
        <w:tc>
          <w:tcPr>
            <w:tcW w:w="807" w:type="pct"/>
            <w:noWrap/>
            <w:hideMark/>
          </w:tcPr>
          <w:p w14:paraId="46B42068" w14:textId="77777777" w:rsidR="00777D99" w:rsidRPr="00A71048" w:rsidRDefault="00777D99" w:rsidP="00A71048">
            <w:pPr>
              <w:pStyle w:val="TableBody"/>
            </w:pPr>
            <w:r w:rsidRPr="00A71048">
              <w:t>2016-17</w:t>
            </w:r>
          </w:p>
        </w:tc>
        <w:tc>
          <w:tcPr>
            <w:tcW w:w="1081" w:type="pct"/>
            <w:noWrap/>
            <w:hideMark/>
          </w:tcPr>
          <w:p w14:paraId="5D74281D" w14:textId="77777777" w:rsidR="00777D99" w:rsidRPr="00A71048" w:rsidRDefault="00777D99" w:rsidP="00A71048">
            <w:pPr>
              <w:pStyle w:val="TableBody"/>
            </w:pPr>
            <w:r w:rsidRPr="00A71048">
              <w:t>1,423</w:t>
            </w:r>
          </w:p>
        </w:tc>
        <w:tc>
          <w:tcPr>
            <w:tcW w:w="1081" w:type="pct"/>
            <w:noWrap/>
            <w:hideMark/>
          </w:tcPr>
          <w:p w14:paraId="0B65FB3E" w14:textId="77777777" w:rsidR="00777D99" w:rsidRPr="00A71048" w:rsidRDefault="00777D99" w:rsidP="00A71048">
            <w:pPr>
              <w:pStyle w:val="TableBody"/>
            </w:pPr>
            <w:r w:rsidRPr="00A71048">
              <w:t>5,240</w:t>
            </w:r>
          </w:p>
        </w:tc>
        <w:tc>
          <w:tcPr>
            <w:tcW w:w="1081" w:type="pct"/>
            <w:noWrap/>
            <w:hideMark/>
          </w:tcPr>
          <w:p w14:paraId="1AE719C0" w14:textId="77777777" w:rsidR="00777D99" w:rsidRPr="00A71048" w:rsidRDefault="00777D99" w:rsidP="00A71048">
            <w:pPr>
              <w:pStyle w:val="TableBody"/>
            </w:pPr>
            <w:r w:rsidRPr="00A71048">
              <w:t>2,279</w:t>
            </w:r>
          </w:p>
        </w:tc>
        <w:tc>
          <w:tcPr>
            <w:tcW w:w="949" w:type="pct"/>
            <w:noWrap/>
            <w:hideMark/>
          </w:tcPr>
          <w:p w14:paraId="3E62CCBE" w14:textId="77777777" w:rsidR="00777D99" w:rsidRPr="00A71048" w:rsidRDefault="00777D99" w:rsidP="00A71048">
            <w:pPr>
              <w:pStyle w:val="TableBody"/>
            </w:pPr>
            <w:r w:rsidRPr="00A71048">
              <w:t>173</w:t>
            </w:r>
          </w:p>
        </w:tc>
      </w:tr>
      <w:tr w:rsidR="00777D99" w:rsidRPr="00A71048" w14:paraId="6D2910CC" w14:textId="77777777" w:rsidTr="00A71048">
        <w:trPr>
          <w:trHeight w:val="288"/>
        </w:trPr>
        <w:tc>
          <w:tcPr>
            <w:tcW w:w="807" w:type="pct"/>
            <w:noWrap/>
            <w:hideMark/>
          </w:tcPr>
          <w:p w14:paraId="4CEECB72" w14:textId="77777777" w:rsidR="00777D99" w:rsidRPr="00A71048" w:rsidRDefault="00777D99" w:rsidP="00A71048">
            <w:pPr>
              <w:pStyle w:val="TableBody"/>
            </w:pPr>
            <w:r w:rsidRPr="00A71048">
              <w:t>2017-18</w:t>
            </w:r>
          </w:p>
        </w:tc>
        <w:tc>
          <w:tcPr>
            <w:tcW w:w="1081" w:type="pct"/>
            <w:noWrap/>
            <w:hideMark/>
          </w:tcPr>
          <w:p w14:paraId="6E47D191" w14:textId="77777777" w:rsidR="00777D99" w:rsidRPr="00A71048" w:rsidRDefault="00777D99" w:rsidP="00A71048">
            <w:pPr>
              <w:pStyle w:val="TableBody"/>
            </w:pPr>
            <w:r w:rsidRPr="00A71048">
              <w:t>1,324</w:t>
            </w:r>
          </w:p>
        </w:tc>
        <w:tc>
          <w:tcPr>
            <w:tcW w:w="1081" w:type="pct"/>
            <w:noWrap/>
            <w:hideMark/>
          </w:tcPr>
          <w:p w14:paraId="12F7A583" w14:textId="77777777" w:rsidR="00777D99" w:rsidRPr="00A71048" w:rsidRDefault="00777D99" w:rsidP="00A71048">
            <w:pPr>
              <w:pStyle w:val="TableBody"/>
            </w:pPr>
            <w:r w:rsidRPr="00A71048">
              <w:t>5,482</w:t>
            </w:r>
          </w:p>
        </w:tc>
        <w:tc>
          <w:tcPr>
            <w:tcW w:w="1081" w:type="pct"/>
            <w:noWrap/>
            <w:hideMark/>
          </w:tcPr>
          <w:p w14:paraId="45FE6560" w14:textId="77777777" w:rsidR="00777D99" w:rsidRPr="00A71048" w:rsidRDefault="00777D99" w:rsidP="00A71048">
            <w:pPr>
              <w:pStyle w:val="TableBody"/>
            </w:pPr>
            <w:r w:rsidRPr="00A71048">
              <w:t>2,431</w:t>
            </w:r>
          </w:p>
        </w:tc>
        <w:tc>
          <w:tcPr>
            <w:tcW w:w="949" w:type="pct"/>
            <w:noWrap/>
            <w:hideMark/>
          </w:tcPr>
          <w:p w14:paraId="6562604C" w14:textId="77777777" w:rsidR="00777D99" w:rsidRPr="00A71048" w:rsidRDefault="00777D99" w:rsidP="00A71048">
            <w:pPr>
              <w:pStyle w:val="TableBody"/>
            </w:pPr>
            <w:r w:rsidRPr="00A71048">
              <w:t>176</w:t>
            </w:r>
          </w:p>
        </w:tc>
      </w:tr>
      <w:tr w:rsidR="00777D99" w:rsidRPr="00A71048" w14:paraId="0CC1E49F" w14:textId="77777777" w:rsidTr="00A71048">
        <w:trPr>
          <w:trHeight w:val="288"/>
        </w:trPr>
        <w:tc>
          <w:tcPr>
            <w:tcW w:w="807" w:type="pct"/>
            <w:noWrap/>
            <w:hideMark/>
          </w:tcPr>
          <w:p w14:paraId="5B7648E9" w14:textId="77777777" w:rsidR="00777D99" w:rsidRPr="00A71048" w:rsidRDefault="00777D99" w:rsidP="00A71048">
            <w:pPr>
              <w:pStyle w:val="TableBody"/>
            </w:pPr>
            <w:r w:rsidRPr="00A71048">
              <w:t>2018-19</w:t>
            </w:r>
          </w:p>
        </w:tc>
        <w:tc>
          <w:tcPr>
            <w:tcW w:w="1081" w:type="pct"/>
            <w:noWrap/>
            <w:hideMark/>
          </w:tcPr>
          <w:p w14:paraId="062D726E" w14:textId="77777777" w:rsidR="00777D99" w:rsidRPr="00A71048" w:rsidRDefault="00777D99" w:rsidP="00A71048">
            <w:pPr>
              <w:pStyle w:val="TableBody"/>
            </w:pPr>
            <w:r w:rsidRPr="00A71048">
              <w:t>1,577</w:t>
            </w:r>
          </w:p>
        </w:tc>
        <w:tc>
          <w:tcPr>
            <w:tcW w:w="1081" w:type="pct"/>
            <w:noWrap/>
            <w:hideMark/>
          </w:tcPr>
          <w:p w14:paraId="0F9F9797" w14:textId="77777777" w:rsidR="00777D99" w:rsidRPr="00A71048" w:rsidRDefault="00777D99" w:rsidP="00A71048">
            <w:pPr>
              <w:pStyle w:val="TableBody"/>
            </w:pPr>
            <w:r w:rsidRPr="00A71048">
              <w:t>6,344</w:t>
            </w:r>
          </w:p>
        </w:tc>
        <w:tc>
          <w:tcPr>
            <w:tcW w:w="1081" w:type="pct"/>
            <w:noWrap/>
            <w:hideMark/>
          </w:tcPr>
          <w:p w14:paraId="3312538F" w14:textId="77777777" w:rsidR="00777D99" w:rsidRPr="00A71048" w:rsidRDefault="00777D99" w:rsidP="00A71048">
            <w:pPr>
              <w:pStyle w:val="TableBody"/>
            </w:pPr>
            <w:r w:rsidRPr="00A71048">
              <w:t>3,054</w:t>
            </w:r>
          </w:p>
        </w:tc>
        <w:tc>
          <w:tcPr>
            <w:tcW w:w="949" w:type="pct"/>
            <w:noWrap/>
            <w:hideMark/>
          </w:tcPr>
          <w:p w14:paraId="0316636F" w14:textId="77777777" w:rsidR="00777D99" w:rsidRPr="00A71048" w:rsidRDefault="00777D99" w:rsidP="00A71048">
            <w:pPr>
              <w:pStyle w:val="TableBody"/>
            </w:pPr>
            <w:r w:rsidRPr="00A71048">
              <w:t>190</w:t>
            </w:r>
          </w:p>
        </w:tc>
      </w:tr>
      <w:tr w:rsidR="00777D99" w:rsidRPr="00A71048" w14:paraId="25DFDC07" w14:textId="77777777" w:rsidTr="00A71048">
        <w:trPr>
          <w:trHeight w:val="288"/>
        </w:trPr>
        <w:tc>
          <w:tcPr>
            <w:tcW w:w="807" w:type="pct"/>
            <w:noWrap/>
            <w:hideMark/>
          </w:tcPr>
          <w:p w14:paraId="056C5835" w14:textId="77777777" w:rsidR="00777D99" w:rsidRPr="00A71048" w:rsidRDefault="00777D99" w:rsidP="00A71048">
            <w:pPr>
              <w:pStyle w:val="TableBody"/>
            </w:pPr>
            <w:r w:rsidRPr="00A71048">
              <w:t>2019-20</w:t>
            </w:r>
          </w:p>
        </w:tc>
        <w:tc>
          <w:tcPr>
            <w:tcW w:w="1081" w:type="pct"/>
            <w:noWrap/>
            <w:hideMark/>
          </w:tcPr>
          <w:p w14:paraId="6246FB94" w14:textId="77777777" w:rsidR="00777D99" w:rsidRPr="00A71048" w:rsidRDefault="00777D99" w:rsidP="00A71048">
            <w:pPr>
              <w:pStyle w:val="TableBody"/>
            </w:pPr>
            <w:r w:rsidRPr="00A71048">
              <w:t>1,513</w:t>
            </w:r>
          </w:p>
        </w:tc>
        <w:tc>
          <w:tcPr>
            <w:tcW w:w="1081" w:type="pct"/>
            <w:noWrap/>
            <w:hideMark/>
          </w:tcPr>
          <w:p w14:paraId="104EE601" w14:textId="77777777" w:rsidR="00777D99" w:rsidRPr="00A71048" w:rsidRDefault="00777D99" w:rsidP="00A71048">
            <w:pPr>
              <w:pStyle w:val="TableBody"/>
            </w:pPr>
            <w:r w:rsidRPr="00A71048">
              <w:t>6,224</w:t>
            </w:r>
          </w:p>
        </w:tc>
        <w:tc>
          <w:tcPr>
            <w:tcW w:w="1081" w:type="pct"/>
            <w:noWrap/>
            <w:hideMark/>
          </w:tcPr>
          <w:p w14:paraId="0B8B970E" w14:textId="77777777" w:rsidR="00777D99" w:rsidRPr="00A71048" w:rsidRDefault="00777D99" w:rsidP="00A71048">
            <w:pPr>
              <w:pStyle w:val="TableBody"/>
            </w:pPr>
            <w:r w:rsidRPr="00A71048">
              <w:t>2,894</w:t>
            </w:r>
          </w:p>
        </w:tc>
        <w:tc>
          <w:tcPr>
            <w:tcW w:w="949" w:type="pct"/>
            <w:noWrap/>
            <w:hideMark/>
          </w:tcPr>
          <w:p w14:paraId="1FA11426" w14:textId="77777777" w:rsidR="00777D99" w:rsidRPr="00A71048" w:rsidRDefault="00777D99" w:rsidP="00A71048">
            <w:pPr>
              <w:pStyle w:val="TableBody"/>
            </w:pPr>
            <w:r w:rsidRPr="00A71048">
              <w:t>192</w:t>
            </w:r>
          </w:p>
        </w:tc>
      </w:tr>
      <w:tr w:rsidR="00777D99" w:rsidRPr="00A71048" w14:paraId="5C75BD7C" w14:textId="77777777" w:rsidTr="00A71048">
        <w:trPr>
          <w:trHeight w:val="288"/>
        </w:trPr>
        <w:tc>
          <w:tcPr>
            <w:tcW w:w="807" w:type="pct"/>
            <w:noWrap/>
            <w:hideMark/>
          </w:tcPr>
          <w:p w14:paraId="1808B2B1" w14:textId="77777777" w:rsidR="00777D99" w:rsidRPr="00A71048" w:rsidRDefault="00777D99" w:rsidP="00A71048">
            <w:pPr>
              <w:pStyle w:val="TableBody"/>
            </w:pPr>
            <w:r w:rsidRPr="00A71048">
              <w:t>2020-21</w:t>
            </w:r>
          </w:p>
        </w:tc>
        <w:tc>
          <w:tcPr>
            <w:tcW w:w="1081" w:type="pct"/>
            <w:noWrap/>
            <w:hideMark/>
          </w:tcPr>
          <w:p w14:paraId="3E6361BF" w14:textId="77777777" w:rsidR="00777D99" w:rsidRPr="00A71048" w:rsidRDefault="00777D99" w:rsidP="00A71048">
            <w:pPr>
              <w:pStyle w:val="TableBody"/>
            </w:pPr>
            <w:r w:rsidRPr="00A71048">
              <w:t>1,152</w:t>
            </w:r>
          </w:p>
        </w:tc>
        <w:tc>
          <w:tcPr>
            <w:tcW w:w="1081" w:type="pct"/>
            <w:noWrap/>
            <w:hideMark/>
          </w:tcPr>
          <w:p w14:paraId="353FB27B" w14:textId="77777777" w:rsidR="00777D99" w:rsidRPr="00A71048" w:rsidRDefault="00777D99" w:rsidP="00A71048">
            <w:pPr>
              <w:pStyle w:val="TableBody"/>
            </w:pPr>
            <w:r w:rsidRPr="00A71048">
              <w:t>5,246</w:t>
            </w:r>
          </w:p>
        </w:tc>
        <w:tc>
          <w:tcPr>
            <w:tcW w:w="1081" w:type="pct"/>
            <w:noWrap/>
            <w:hideMark/>
          </w:tcPr>
          <w:p w14:paraId="0CDE616F" w14:textId="77777777" w:rsidR="00777D99" w:rsidRPr="00A71048" w:rsidRDefault="00777D99" w:rsidP="00A71048">
            <w:pPr>
              <w:pStyle w:val="TableBody"/>
            </w:pPr>
            <w:r w:rsidRPr="00A71048">
              <w:t>2,494</w:t>
            </w:r>
          </w:p>
        </w:tc>
        <w:tc>
          <w:tcPr>
            <w:tcW w:w="949" w:type="pct"/>
            <w:noWrap/>
            <w:hideMark/>
          </w:tcPr>
          <w:p w14:paraId="63E6747F" w14:textId="77777777" w:rsidR="00777D99" w:rsidRPr="00A71048" w:rsidRDefault="00777D99" w:rsidP="00A71048">
            <w:pPr>
              <w:pStyle w:val="TableBody"/>
            </w:pPr>
            <w:r w:rsidRPr="00A71048">
              <w:t>125</w:t>
            </w:r>
          </w:p>
        </w:tc>
      </w:tr>
      <w:tr w:rsidR="00777D99" w:rsidRPr="00A71048" w14:paraId="0D802574" w14:textId="77777777" w:rsidTr="00A71048">
        <w:trPr>
          <w:trHeight w:val="288"/>
        </w:trPr>
        <w:tc>
          <w:tcPr>
            <w:tcW w:w="807" w:type="pct"/>
            <w:noWrap/>
            <w:hideMark/>
          </w:tcPr>
          <w:p w14:paraId="2BF31AF6" w14:textId="77777777" w:rsidR="00777D99" w:rsidRPr="00A71048" w:rsidRDefault="00777D99" w:rsidP="00A71048">
            <w:pPr>
              <w:pStyle w:val="TableBody"/>
            </w:pPr>
            <w:r w:rsidRPr="00A71048">
              <w:t>2021-22</w:t>
            </w:r>
          </w:p>
        </w:tc>
        <w:tc>
          <w:tcPr>
            <w:tcW w:w="1081" w:type="pct"/>
            <w:noWrap/>
            <w:hideMark/>
          </w:tcPr>
          <w:p w14:paraId="77E7E358" w14:textId="77777777" w:rsidR="00777D99" w:rsidRPr="00A71048" w:rsidRDefault="00777D99" w:rsidP="00A71048">
            <w:pPr>
              <w:pStyle w:val="TableBody"/>
            </w:pPr>
            <w:r w:rsidRPr="00A71048">
              <w:t>1,026</w:t>
            </w:r>
          </w:p>
        </w:tc>
        <w:tc>
          <w:tcPr>
            <w:tcW w:w="1081" w:type="pct"/>
            <w:noWrap/>
            <w:hideMark/>
          </w:tcPr>
          <w:p w14:paraId="7D3A93BE" w14:textId="77777777" w:rsidR="00777D99" w:rsidRPr="00A71048" w:rsidRDefault="00777D99" w:rsidP="00A71048">
            <w:pPr>
              <w:pStyle w:val="TableBody"/>
            </w:pPr>
            <w:r w:rsidRPr="00A71048">
              <w:t>4,939</w:t>
            </w:r>
          </w:p>
        </w:tc>
        <w:tc>
          <w:tcPr>
            <w:tcW w:w="1081" w:type="pct"/>
            <w:noWrap/>
            <w:hideMark/>
          </w:tcPr>
          <w:p w14:paraId="343765E1" w14:textId="77777777" w:rsidR="00777D99" w:rsidRPr="00A71048" w:rsidRDefault="00777D99" w:rsidP="00A71048">
            <w:pPr>
              <w:pStyle w:val="TableBody"/>
            </w:pPr>
            <w:r w:rsidRPr="00A71048">
              <w:t>2,611</w:t>
            </w:r>
          </w:p>
        </w:tc>
        <w:tc>
          <w:tcPr>
            <w:tcW w:w="949" w:type="pct"/>
            <w:noWrap/>
            <w:hideMark/>
          </w:tcPr>
          <w:p w14:paraId="07C6BA04" w14:textId="77777777" w:rsidR="00777D99" w:rsidRPr="00A71048" w:rsidRDefault="00777D99" w:rsidP="00A71048">
            <w:pPr>
              <w:pStyle w:val="TableBody"/>
            </w:pPr>
            <w:r w:rsidRPr="00A71048">
              <w:t>146</w:t>
            </w:r>
          </w:p>
        </w:tc>
      </w:tr>
      <w:tr w:rsidR="00777D99" w:rsidRPr="00A71048" w14:paraId="41F9E004" w14:textId="77777777" w:rsidTr="00A71048">
        <w:trPr>
          <w:trHeight w:val="288"/>
        </w:trPr>
        <w:tc>
          <w:tcPr>
            <w:tcW w:w="807" w:type="pct"/>
            <w:noWrap/>
            <w:hideMark/>
          </w:tcPr>
          <w:p w14:paraId="08299934" w14:textId="77777777" w:rsidR="00777D99" w:rsidRPr="00A71048" w:rsidRDefault="00777D99" w:rsidP="00A71048">
            <w:pPr>
              <w:pStyle w:val="TableBody"/>
            </w:pPr>
            <w:r w:rsidRPr="00A71048">
              <w:t>2022-23</w:t>
            </w:r>
          </w:p>
        </w:tc>
        <w:tc>
          <w:tcPr>
            <w:tcW w:w="1081" w:type="pct"/>
            <w:noWrap/>
            <w:hideMark/>
          </w:tcPr>
          <w:p w14:paraId="7E4FFEF8" w14:textId="77777777" w:rsidR="00777D99" w:rsidRPr="00A71048" w:rsidRDefault="00777D99" w:rsidP="00A71048">
            <w:pPr>
              <w:pStyle w:val="TableBody"/>
            </w:pPr>
            <w:r w:rsidRPr="00A71048">
              <w:t>921</w:t>
            </w:r>
          </w:p>
        </w:tc>
        <w:tc>
          <w:tcPr>
            <w:tcW w:w="1081" w:type="pct"/>
            <w:noWrap/>
            <w:hideMark/>
          </w:tcPr>
          <w:p w14:paraId="497493DA" w14:textId="77777777" w:rsidR="00777D99" w:rsidRPr="00A71048" w:rsidRDefault="00777D99" w:rsidP="00A71048">
            <w:pPr>
              <w:pStyle w:val="TableBody"/>
            </w:pPr>
            <w:r w:rsidRPr="00A71048">
              <w:t>4,960</w:t>
            </w:r>
          </w:p>
        </w:tc>
        <w:tc>
          <w:tcPr>
            <w:tcW w:w="1081" w:type="pct"/>
            <w:noWrap/>
            <w:hideMark/>
          </w:tcPr>
          <w:p w14:paraId="032BCD19" w14:textId="77777777" w:rsidR="00777D99" w:rsidRPr="00A71048" w:rsidRDefault="00777D99" w:rsidP="00A71048">
            <w:pPr>
              <w:pStyle w:val="TableBody"/>
            </w:pPr>
            <w:r w:rsidRPr="00A71048">
              <w:t>2,778</w:t>
            </w:r>
          </w:p>
        </w:tc>
        <w:tc>
          <w:tcPr>
            <w:tcW w:w="949" w:type="pct"/>
            <w:noWrap/>
            <w:hideMark/>
          </w:tcPr>
          <w:p w14:paraId="2CF53DE5" w14:textId="77777777" w:rsidR="00777D99" w:rsidRPr="00A71048" w:rsidRDefault="00777D99" w:rsidP="00A71048">
            <w:pPr>
              <w:pStyle w:val="TableBody"/>
            </w:pPr>
            <w:r w:rsidRPr="00A71048">
              <w:t>182</w:t>
            </w:r>
          </w:p>
        </w:tc>
      </w:tr>
      <w:tr w:rsidR="00777D99" w:rsidRPr="00A71048" w14:paraId="0281C4FA" w14:textId="77777777" w:rsidTr="00A71048">
        <w:trPr>
          <w:trHeight w:val="288"/>
        </w:trPr>
        <w:tc>
          <w:tcPr>
            <w:tcW w:w="807" w:type="pct"/>
            <w:noWrap/>
            <w:hideMark/>
          </w:tcPr>
          <w:p w14:paraId="2A13D94A" w14:textId="77777777" w:rsidR="00777D99" w:rsidRPr="00A71048" w:rsidRDefault="00777D99" w:rsidP="00A71048">
            <w:pPr>
              <w:pStyle w:val="TableBody"/>
            </w:pPr>
            <w:r w:rsidRPr="00A71048">
              <w:t>2023-24</w:t>
            </w:r>
          </w:p>
        </w:tc>
        <w:tc>
          <w:tcPr>
            <w:tcW w:w="1081" w:type="pct"/>
            <w:noWrap/>
            <w:hideMark/>
          </w:tcPr>
          <w:p w14:paraId="584D0449" w14:textId="77777777" w:rsidR="00777D99" w:rsidRPr="00A71048" w:rsidRDefault="00777D99" w:rsidP="00A71048">
            <w:pPr>
              <w:pStyle w:val="TableBody"/>
            </w:pPr>
            <w:r w:rsidRPr="00A71048">
              <w:t>753</w:t>
            </w:r>
          </w:p>
        </w:tc>
        <w:tc>
          <w:tcPr>
            <w:tcW w:w="1081" w:type="pct"/>
            <w:noWrap/>
            <w:hideMark/>
          </w:tcPr>
          <w:p w14:paraId="63E2A6ED" w14:textId="77777777" w:rsidR="00777D99" w:rsidRPr="00A71048" w:rsidRDefault="00777D99" w:rsidP="00A71048">
            <w:pPr>
              <w:pStyle w:val="TableBody"/>
            </w:pPr>
            <w:r w:rsidRPr="00A71048">
              <w:t>4,083</w:t>
            </w:r>
          </w:p>
        </w:tc>
        <w:tc>
          <w:tcPr>
            <w:tcW w:w="1081" w:type="pct"/>
            <w:noWrap/>
            <w:hideMark/>
          </w:tcPr>
          <w:p w14:paraId="7369EE54" w14:textId="77777777" w:rsidR="00777D99" w:rsidRPr="00A71048" w:rsidRDefault="00777D99" w:rsidP="00A71048">
            <w:pPr>
              <w:pStyle w:val="TableBody"/>
            </w:pPr>
            <w:r w:rsidRPr="00A71048">
              <w:t>2,365</w:t>
            </w:r>
          </w:p>
        </w:tc>
        <w:tc>
          <w:tcPr>
            <w:tcW w:w="949" w:type="pct"/>
            <w:noWrap/>
            <w:hideMark/>
          </w:tcPr>
          <w:p w14:paraId="226D563C" w14:textId="77777777" w:rsidR="00777D99" w:rsidRPr="00A71048" w:rsidRDefault="00777D99" w:rsidP="00A71048">
            <w:pPr>
              <w:pStyle w:val="TableBody"/>
            </w:pPr>
            <w:r w:rsidRPr="00A71048">
              <w:t>159</w:t>
            </w:r>
          </w:p>
        </w:tc>
      </w:tr>
    </w:tbl>
    <w:p w14:paraId="63F1518A" w14:textId="77777777" w:rsidR="00D62FA8" w:rsidRPr="00157502" w:rsidRDefault="00D62FA8" w:rsidP="00D4532A">
      <w:r w:rsidRPr="000C258A">
        <w:rPr>
          <w:rStyle w:val="Strong"/>
        </w:rPr>
        <w:t>Source</w:t>
      </w:r>
      <w:r w:rsidRPr="008C1137">
        <w:t>: Court Services Victoria, unpublished data</w:t>
      </w:r>
    </w:p>
    <w:p w14:paraId="6ABD7DD8" w14:textId="0BC23814" w:rsidR="00A4454A" w:rsidRPr="008C1137" w:rsidRDefault="00A4454A" w:rsidP="0002476E">
      <w:pPr>
        <w:pStyle w:val="Heading3"/>
      </w:pPr>
      <w:r w:rsidRPr="008C1137">
        <w:lastRenderedPageBreak/>
        <w:t>Older offenders sentenced to imprisonment</w:t>
      </w:r>
    </w:p>
    <w:p w14:paraId="0291A8BB" w14:textId="77777777" w:rsidR="00A4454A" w:rsidRPr="008C1137" w:rsidRDefault="00A4454A" w:rsidP="00210207">
      <w:pPr>
        <w:pStyle w:val="Numbered"/>
      </w:pPr>
      <w:r w:rsidRPr="008C1137">
        <w:t>Older offenders (aged 60 and over) sentenced to imprisonment are a unique cohort.</w:t>
      </w:r>
      <w:r w:rsidRPr="008C1137">
        <w:rPr>
          <w:rStyle w:val="Superscript"/>
        </w:rPr>
        <w:footnoteReference w:id="114"/>
      </w:r>
      <w:r w:rsidRPr="008C1137">
        <w:t xml:space="preserve"> In our reference period, just 4% of all older offenders sentenced between 2004–05 and 2023–24 received a custodial sentence (2,754 cases). However, where older offenders </w:t>
      </w:r>
      <w:r w:rsidRPr="003B3217">
        <w:rPr>
          <w:rStyle w:val="Italic"/>
        </w:rPr>
        <w:t>were</w:t>
      </w:r>
      <w:r w:rsidRPr="008C1137">
        <w:t xml:space="preserve"> sentenced to imprisonment, their offence profile was quite distinct from the offence profiles of other age groups:</w:t>
      </w:r>
    </w:p>
    <w:p w14:paraId="2902B892" w14:textId="77777777" w:rsidR="00A4454A" w:rsidRPr="008C1137" w:rsidRDefault="00A4454A" w:rsidP="008C1137">
      <w:pPr>
        <w:pStyle w:val="Bullets"/>
      </w:pPr>
      <w:r w:rsidRPr="008C1137">
        <w:t>the most common principal offence for older offenders receiving a custodial sentence was indecent act with or in the presence of a child aged under 16</w:t>
      </w:r>
      <w:r w:rsidRPr="008C1137">
        <w:rPr>
          <w:rStyle w:val="Superscript"/>
        </w:rPr>
        <w:footnoteReference w:id="115"/>
      </w:r>
      <w:r w:rsidRPr="008C1137">
        <w:t xml:space="preserve"> (150 cases), followed by sexual penetration of a child aged 12 to under 16</w:t>
      </w:r>
      <w:r w:rsidRPr="008C1137">
        <w:rPr>
          <w:rStyle w:val="Superscript"/>
        </w:rPr>
        <w:footnoteReference w:id="116"/>
      </w:r>
      <w:r w:rsidRPr="008C1137">
        <w:t xml:space="preserve"> (114 cases)</w:t>
      </w:r>
    </w:p>
    <w:p w14:paraId="686F7A14" w14:textId="77777777" w:rsidR="00A4454A" w:rsidRPr="008C1137" w:rsidRDefault="00A4454A" w:rsidP="008C1137">
      <w:pPr>
        <w:pStyle w:val="Bullets"/>
      </w:pPr>
      <w:r w:rsidRPr="008C1137">
        <w:t>of the 2,754 cases where a custodial sentence was imposed on an older offender, 27% involved a principal offence that was repealed, suggesting a high proportion of historical offending. Almost all (98%) of those repealed principal offences were sexual assault offences, and there was often a significant delay between offending and sentence. Within our reference period, the longest delay between offending and sentence was over 50 years</w:t>
      </w:r>
      <w:r w:rsidRPr="008C1137">
        <w:rPr>
          <w:rStyle w:val="Superscript"/>
        </w:rPr>
        <w:footnoteReference w:id="117"/>
      </w:r>
      <w:r w:rsidRPr="008C1137">
        <w:t xml:space="preserve"> and</w:t>
      </w:r>
    </w:p>
    <w:p w14:paraId="17AB3539" w14:textId="01A3390B" w:rsidR="00A4454A" w:rsidRPr="008C1137" w:rsidRDefault="00A4454A" w:rsidP="008C1137">
      <w:pPr>
        <w:pStyle w:val="Bullets"/>
      </w:pPr>
      <w:r w:rsidRPr="008C1137">
        <w:t xml:space="preserve">as shown in Figure 28, the average custodial sentence length was significantly longer for older offenders than for younger offenders, suggesting that where older </w:t>
      </w:r>
      <w:r w:rsidRPr="008C1137">
        <w:lastRenderedPageBreak/>
        <w:t>offenders are sentenced to imprisonment, it is generally for more serious offending.</w:t>
      </w:r>
      <w:r w:rsidRPr="008C1137">
        <w:rPr>
          <w:rStyle w:val="Superscript"/>
        </w:rPr>
        <w:footnoteReference w:id="118"/>
      </w:r>
    </w:p>
    <w:p w14:paraId="1E258B06" w14:textId="77777777" w:rsidR="00A4454A" w:rsidRPr="008C1137" w:rsidRDefault="00A4454A" w:rsidP="00210207">
      <w:pPr>
        <w:pStyle w:val="Numbered"/>
      </w:pPr>
      <w:r w:rsidRPr="008C1137">
        <w:t>Figure 28 shows the average custodial sentence length (in months) for each age group between 2006–07 and 2023–24.</w:t>
      </w:r>
      <w:r w:rsidRPr="008C1137">
        <w:rPr>
          <w:rStyle w:val="Superscript"/>
        </w:rPr>
        <w:footnoteReference w:id="119"/>
      </w:r>
      <w:r w:rsidRPr="008C1137">
        <w:t xml:space="preserve"> Average custodial sentence lengths for offenders aged 18 to 39 were relatively stable over the period. There was a significant fall in average custodial sentence lengths for offenders aged 40 to 59, from 22.1 months in 2006–07 to 14.3 months in 2023–24. This is likely, at least in part, due to the significant increases in case numbers for this age group, resulting in an array of more and less serious offences coming before the courts.</w:t>
      </w:r>
    </w:p>
    <w:p w14:paraId="525856AC" w14:textId="77777777" w:rsidR="00237D49" w:rsidRPr="008C1137" w:rsidRDefault="00237D49" w:rsidP="00BE4EDC">
      <w:pPr>
        <w:pStyle w:val="Caption"/>
      </w:pPr>
      <w:r w:rsidRPr="00157502">
        <w:t>Figure 28</w:t>
      </w:r>
      <w:r w:rsidRPr="008C1137">
        <w:t>: Average custodial sentence lengths (in months), by age group, all courts, 2006–07 to 2023–24</w:t>
      </w:r>
    </w:p>
    <w:tbl>
      <w:tblPr>
        <w:tblStyle w:val="Table"/>
        <w:tblW w:w="5000" w:type="pct"/>
        <w:tblLook w:val="04A0" w:firstRow="1" w:lastRow="0" w:firstColumn="1" w:lastColumn="0" w:noHBand="0" w:noVBand="1"/>
      </w:tblPr>
      <w:tblGrid>
        <w:gridCol w:w="1804"/>
        <w:gridCol w:w="1803"/>
        <w:gridCol w:w="1803"/>
        <w:gridCol w:w="1803"/>
        <w:gridCol w:w="1803"/>
      </w:tblGrid>
      <w:tr w:rsidR="00C4131E" w:rsidRPr="00D12E22" w14:paraId="13F8850E" w14:textId="77777777" w:rsidTr="00D12E22">
        <w:trPr>
          <w:trHeight w:val="288"/>
          <w:tblHeader/>
        </w:trPr>
        <w:tc>
          <w:tcPr>
            <w:tcW w:w="1000" w:type="pct"/>
            <w:noWrap/>
            <w:hideMark/>
          </w:tcPr>
          <w:p w14:paraId="650D6E00" w14:textId="77777777" w:rsidR="00C4131E" w:rsidRPr="00D12E22" w:rsidRDefault="00C4131E" w:rsidP="00D12E22">
            <w:pPr>
              <w:pStyle w:val="TableHeading"/>
            </w:pPr>
            <w:r w:rsidRPr="00D12E22">
              <w:t>Financial year</w:t>
            </w:r>
          </w:p>
        </w:tc>
        <w:tc>
          <w:tcPr>
            <w:tcW w:w="1000" w:type="pct"/>
            <w:noWrap/>
            <w:hideMark/>
          </w:tcPr>
          <w:p w14:paraId="77CA3AC9" w14:textId="77777777" w:rsidR="00C4131E" w:rsidRPr="00D12E22" w:rsidRDefault="00C4131E" w:rsidP="00D12E22">
            <w:pPr>
              <w:pStyle w:val="TableHeading"/>
            </w:pPr>
            <w:r w:rsidRPr="00D12E22">
              <w:t>18 to 24</w:t>
            </w:r>
          </w:p>
        </w:tc>
        <w:tc>
          <w:tcPr>
            <w:tcW w:w="1000" w:type="pct"/>
            <w:noWrap/>
            <w:hideMark/>
          </w:tcPr>
          <w:p w14:paraId="243E2F80" w14:textId="77777777" w:rsidR="00C4131E" w:rsidRPr="00D12E22" w:rsidRDefault="00C4131E" w:rsidP="00D12E22">
            <w:pPr>
              <w:pStyle w:val="TableHeading"/>
            </w:pPr>
            <w:r w:rsidRPr="00D12E22">
              <w:t>25 to 39</w:t>
            </w:r>
          </w:p>
        </w:tc>
        <w:tc>
          <w:tcPr>
            <w:tcW w:w="1000" w:type="pct"/>
            <w:noWrap/>
            <w:hideMark/>
          </w:tcPr>
          <w:p w14:paraId="00B10C5C" w14:textId="77777777" w:rsidR="00C4131E" w:rsidRPr="00D12E22" w:rsidRDefault="00C4131E" w:rsidP="00D12E22">
            <w:pPr>
              <w:pStyle w:val="TableHeading"/>
            </w:pPr>
            <w:r w:rsidRPr="00D12E22">
              <w:t>40 to 59</w:t>
            </w:r>
          </w:p>
        </w:tc>
        <w:tc>
          <w:tcPr>
            <w:tcW w:w="1000" w:type="pct"/>
            <w:noWrap/>
            <w:hideMark/>
          </w:tcPr>
          <w:p w14:paraId="2333C425" w14:textId="6C2F6D22" w:rsidR="00C4131E" w:rsidRPr="00D12E22" w:rsidRDefault="00C4131E" w:rsidP="00D12E22">
            <w:pPr>
              <w:pStyle w:val="TableHeading"/>
            </w:pPr>
            <w:r w:rsidRPr="00D12E22">
              <w:t>60</w:t>
            </w:r>
            <w:r w:rsidR="00BB37B1">
              <w:t xml:space="preserve"> and over</w:t>
            </w:r>
          </w:p>
        </w:tc>
      </w:tr>
      <w:tr w:rsidR="00C4131E" w:rsidRPr="00D12E22" w14:paraId="733F058C" w14:textId="77777777" w:rsidTr="00D12E22">
        <w:trPr>
          <w:trHeight w:val="288"/>
        </w:trPr>
        <w:tc>
          <w:tcPr>
            <w:tcW w:w="1000" w:type="pct"/>
            <w:noWrap/>
            <w:hideMark/>
          </w:tcPr>
          <w:p w14:paraId="399C3F1B" w14:textId="77777777" w:rsidR="00C4131E" w:rsidRPr="00D12E22" w:rsidRDefault="00C4131E" w:rsidP="00D12E22">
            <w:pPr>
              <w:pStyle w:val="TableBody"/>
            </w:pPr>
            <w:r w:rsidRPr="00D12E22">
              <w:t>2006-07</w:t>
            </w:r>
          </w:p>
        </w:tc>
        <w:tc>
          <w:tcPr>
            <w:tcW w:w="1000" w:type="pct"/>
            <w:noWrap/>
            <w:hideMark/>
          </w:tcPr>
          <w:p w14:paraId="52A2D235" w14:textId="77777777" w:rsidR="00C4131E" w:rsidRPr="00D12E22" w:rsidRDefault="00C4131E" w:rsidP="00D12E22">
            <w:pPr>
              <w:pStyle w:val="TableBody"/>
            </w:pPr>
            <w:r w:rsidRPr="00D12E22">
              <w:t>12.3</w:t>
            </w:r>
          </w:p>
        </w:tc>
        <w:tc>
          <w:tcPr>
            <w:tcW w:w="1000" w:type="pct"/>
            <w:noWrap/>
            <w:hideMark/>
          </w:tcPr>
          <w:p w14:paraId="4B672CEB" w14:textId="77777777" w:rsidR="00C4131E" w:rsidRPr="00D12E22" w:rsidRDefault="00C4131E" w:rsidP="00D12E22">
            <w:pPr>
              <w:pStyle w:val="TableBody"/>
            </w:pPr>
            <w:r w:rsidRPr="00D12E22">
              <w:t>11.7</w:t>
            </w:r>
          </w:p>
        </w:tc>
        <w:tc>
          <w:tcPr>
            <w:tcW w:w="1000" w:type="pct"/>
            <w:noWrap/>
            <w:hideMark/>
          </w:tcPr>
          <w:p w14:paraId="50332244" w14:textId="77777777" w:rsidR="00C4131E" w:rsidRPr="00D12E22" w:rsidRDefault="00C4131E" w:rsidP="00D12E22">
            <w:pPr>
              <w:pStyle w:val="TableBody"/>
            </w:pPr>
            <w:r w:rsidRPr="00D12E22">
              <w:t>22.1</w:t>
            </w:r>
          </w:p>
        </w:tc>
        <w:tc>
          <w:tcPr>
            <w:tcW w:w="1000" w:type="pct"/>
            <w:noWrap/>
            <w:hideMark/>
          </w:tcPr>
          <w:p w14:paraId="54B65DF3" w14:textId="77777777" w:rsidR="00C4131E" w:rsidRPr="00D12E22" w:rsidRDefault="00C4131E" w:rsidP="00D12E22">
            <w:pPr>
              <w:pStyle w:val="TableBody"/>
            </w:pPr>
            <w:r w:rsidRPr="00D12E22">
              <w:t>36.3</w:t>
            </w:r>
          </w:p>
        </w:tc>
      </w:tr>
      <w:tr w:rsidR="00C4131E" w:rsidRPr="00D12E22" w14:paraId="077309A6" w14:textId="77777777" w:rsidTr="00D12E22">
        <w:trPr>
          <w:trHeight w:val="288"/>
        </w:trPr>
        <w:tc>
          <w:tcPr>
            <w:tcW w:w="1000" w:type="pct"/>
            <w:noWrap/>
            <w:hideMark/>
          </w:tcPr>
          <w:p w14:paraId="53C4B6A2" w14:textId="77777777" w:rsidR="00C4131E" w:rsidRPr="00D12E22" w:rsidRDefault="00C4131E" w:rsidP="00D12E22">
            <w:pPr>
              <w:pStyle w:val="TableBody"/>
            </w:pPr>
            <w:r w:rsidRPr="00D12E22">
              <w:t>2007-08</w:t>
            </w:r>
          </w:p>
        </w:tc>
        <w:tc>
          <w:tcPr>
            <w:tcW w:w="1000" w:type="pct"/>
            <w:noWrap/>
            <w:hideMark/>
          </w:tcPr>
          <w:p w14:paraId="57DDEE51" w14:textId="77777777" w:rsidR="00C4131E" w:rsidRPr="00D12E22" w:rsidRDefault="00C4131E" w:rsidP="00D12E22">
            <w:pPr>
              <w:pStyle w:val="TableBody"/>
            </w:pPr>
            <w:r w:rsidRPr="00D12E22">
              <w:t>11.0</w:t>
            </w:r>
          </w:p>
        </w:tc>
        <w:tc>
          <w:tcPr>
            <w:tcW w:w="1000" w:type="pct"/>
            <w:noWrap/>
            <w:hideMark/>
          </w:tcPr>
          <w:p w14:paraId="780C8A1D" w14:textId="77777777" w:rsidR="00C4131E" w:rsidRPr="00D12E22" w:rsidRDefault="00C4131E" w:rsidP="00D12E22">
            <w:pPr>
              <w:pStyle w:val="TableBody"/>
            </w:pPr>
            <w:r w:rsidRPr="00D12E22">
              <w:t>13.3</w:t>
            </w:r>
          </w:p>
        </w:tc>
        <w:tc>
          <w:tcPr>
            <w:tcW w:w="1000" w:type="pct"/>
            <w:noWrap/>
            <w:hideMark/>
          </w:tcPr>
          <w:p w14:paraId="141B81EF" w14:textId="77777777" w:rsidR="00C4131E" w:rsidRPr="00D12E22" w:rsidRDefault="00C4131E" w:rsidP="00D12E22">
            <w:pPr>
              <w:pStyle w:val="TableBody"/>
            </w:pPr>
            <w:r w:rsidRPr="00D12E22">
              <w:t>23.3</w:t>
            </w:r>
          </w:p>
        </w:tc>
        <w:tc>
          <w:tcPr>
            <w:tcW w:w="1000" w:type="pct"/>
            <w:noWrap/>
            <w:hideMark/>
          </w:tcPr>
          <w:p w14:paraId="7E5469FD" w14:textId="77777777" w:rsidR="00C4131E" w:rsidRPr="00D12E22" w:rsidRDefault="00C4131E" w:rsidP="00D12E22">
            <w:pPr>
              <w:pStyle w:val="TableBody"/>
            </w:pPr>
            <w:r w:rsidRPr="00D12E22">
              <w:t>38.6</w:t>
            </w:r>
          </w:p>
        </w:tc>
      </w:tr>
      <w:tr w:rsidR="00C4131E" w:rsidRPr="00D12E22" w14:paraId="0333B960" w14:textId="77777777" w:rsidTr="00D12E22">
        <w:trPr>
          <w:trHeight w:val="288"/>
        </w:trPr>
        <w:tc>
          <w:tcPr>
            <w:tcW w:w="1000" w:type="pct"/>
            <w:noWrap/>
            <w:hideMark/>
          </w:tcPr>
          <w:p w14:paraId="6345C6CC" w14:textId="77777777" w:rsidR="00C4131E" w:rsidRPr="00D12E22" w:rsidRDefault="00C4131E" w:rsidP="00D12E22">
            <w:pPr>
              <w:pStyle w:val="TableBody"/>
            </w:pPr>
            <w:r w:rsidRPr="00D12E22">
              <w:t>2008-09</w:t>
            </w:r>
          </w:p>
        </w:tc>
        <w:tc>
          <w:tcPr>
            <w:tcW w:w="1000" w:type="pct"/>
            <w:noWrap/>
            <w:hideMark/>
          </w:tcPr>
          <w:p w14:paraId="70783C3B" w14:textId="77777777" w:rsidR="00C4131E" w:rsidRPr="00D12E22" w:rsidRDefault="00C4131E" w:rsidP="00D12E22">
            <w:pPr>
              <w:pStyle w:val="TableBody"/>
            </w:pPr>
            <w:r w:rsidRPr="00D12E22">
              <w:t>12.3</w:t>
            </w:r>
          </w:p>
        </w:tc>
        <w:tc>
          <w:tcPr>
            <w:tcW w:w="1000" w:type="pct"/>
            <w:noWrap/>
            <w:hideMark/>
          </w:tcPr>
          <w:p w14:paraId="4FAB9B65" w14:textId="77777777" w:rsidR="00C4131E" w:rsidRPr="00D12E22" w:rsidRDefault="00C4131E" w:rsidP="00D12E22">
            <w:pPr>
              <w:pStyle w:val="TableBody"/>
            </w:pPr>
            <w:r w:rsidRPr="00D12E22">
              <w:t>12.8</w:t>
            </w:r>
          </w:p>
        </w:tc>
        <w:tc>
          <w:tcPr>
            <w:tcW w:w="1000" w:type="pct"/>
            <w:noWrap/>
            <w:hideMark/>
          </w:tcPr>
          <w:p w14:paraId="05754431" w14:textId="77777777" w:rsidR="00C4131E" w:rsidRPr="00D12E22" w:rsidRDefault="00C4131E" w:rsidP="00D12E22">
            <w:pPr>
              <w:pStyle w:val="TableBody"/>
            </w:pPr>
            <w:r w:rsidRPr="00D12E22">
              <w:t>20.2</w:t>
            </w:r>
          </w:p>
        </w:tc>
        <w:tc>
          <w:tcPr>
            <w:tcW w:w="1000" w:type="pct"/>
            <w:noWrap/>
            <w:hideMark/>
          </w:tcPr>
          <w:p w14:paraId="7EC5BEC0" w14:textId="77777777" w:rsidR="00C4131E" w:rsidRPr="00D12E22" w:rsidRDefault="00C4131E" w:rsidP="00D12E22">
            <w:pPr>
              <w:pStyle w:val="TableBody"/>
            </w:pPr>
            <w:r w:rsidRPr="00D12E22">
              <w:t>41.4</w:t>
            </w:r>
          </w:p>
        </w:tc>
      </w:tr>
      <w:tr w:rsidR="00C4131E" w:rsidRPr="00D12E22" w14:paraId="22A236B8" w14:textId="77777777" w:rsidTr="00D12E22">
        <w:trPr>
          <w:trHeight w:val="288"/>
        </w:trPr>
        <w:tc>
          <w:tcPr>
            <w:tcW w:w="1000" w:type="pct"/>
            <w:noWrap/>
            <w:hideMark/>
          </w:tcPr>
          <w:p w14:paraId="725B4175" w14:textId="77777777" w:rsidR="00C4131E" w:rsidRPr="00D12E22" w:rsidRDefault="00C4131E" w:rsidP="00D12E22">
            <w:pPr>
              <w:pStyle w:val="TableBody"/>
            </w:pPr>
            <w:r w:rsidRPr="00D12E22">
              <w:t>2009-10</w:t>
            </w:r>
          </w:p>
        </w:tc>
        <w:tc>
          <w:tcPr>
            <w:tcW w:w="1000" w:type="pct"/>
            <w:noWrap/>
            <w:hideMark/>
          </w:tcPr>
          <w:p w14:paraId="13C5299F" w14:textId="77777777" w:rsidR="00C4131E" w:rsidRPr="00D12E22" w:rsidRDefault="00C4131E" w:rsidP="00D12E22">
            <w:pPr>
              <w:pStyle w:val="TableBody"/>
            </w:pPr>
            <w:r w:rsidRPr="00D12E22">
              <w:t>14.9</w:t>
            </w:r>
          </w:p>
        </w:tc>
        <w:tc>
          <w:tcPr>
            <w:tcW w:w="1000" w:type="pct"/>
            <w:noWrap/>
            <w:hideMark/>
          </w:tcPr>
          <w:p w14:paraId="0DDA63ED" w14:textId="77777777" w:rsidR="00C4131E" w:rsidRPr="00D12E22" w:rsidRDefault="00C4131E" w:rsidP="00D12E22">
            <w:pPr>
              <w:pStyle w:val="TableBody"/>
            </w:pPr>
            <w:r w:rsidRPr="00D12E22">
              <w:t>12.5</w:t>
            </w:r>
          </w:p>
        </w:tc>
        <w:tc>
          <w:tcPr>
            <w:tcW w:w="1000" w:type="pct"/>
            <w:noWrap/>
            <w:hideMark/>
          </w:tcPr>
          <w:p w14:paraId="0E383732" w14:textId="77777777" w:rsidR="00C4131E" w:rsidRPr="00D12E22" w:rsidRDefault="00C4131E" w:rsidP="00D12E22">
            <w:pPr>
              <w:pStyle w:val="TableBody"/>
            </w:pPr>
            <w:r w:rsidRPr="00D12E22">
              <w:t>21.2</w:t>
            </w:r>
          </w:p>
        </w:tc>
        <w:tc>
          <w:tcPr>
            <w:tcW w:w="1000" w:type="pct"/>
            <w:noWrap/>
            <w:hideMark/>
          </w:tcPr>
          <w:p w14:paraId="1DAA2034" w14:textId="77777777" w:rsidR="00C4131E" w:rsidRPr="00D12E22" w:rsidRDefault="00C4131E" w:rsidP="00D12E22">
            <w:pPr>
              <w:pStyle w:val="TableBody"/>
            </w:pPr>
            <w:r w:rsidRPr="00D12E22">
              <w:t>52.9</w:t>
            </w:r>
          </w:p>
        </w:tc>
      </w:tr>
      <w:tr w:rsidR="00C4131E" w:rsidRPr="00D12E22" w14:paraId="7BC56AB4" w14:textId="77777777" w:rsidTr="00D12E22">
        <w:trPr>
          <w:trHeight w:val="288"/>
        </w:trPr>
        <w:tc>
          <w:tcPr>
            <w:tcW w:w="1000" w:type="pct"/>
            <w:noWrap/>
            <w:hideMark/>
          </w:tcPr>
          <w:p w14:paraId="441A03CA" w14:textId="77777777" w:rsidR="00C4131E" w:rsidRPr="00D12E22" w:rsidRDefault="00C4131E" w:rsidP="00D12E22">
            <w:pPr>
              <w:pStyle w:val="TableBody"/>
            </w:pPr>
            <w:r w:rsidRPr="00D12E22">
              <w:t>2010-11</w:t>
            </w:r>
          </w:p>
        </w:tc>
        <w:tc>
          <w:tcPr>
            <w:tcW w:w="1000" w:type="pct"/>
            <w:noWrap/>
            <w:hideMark/>
          </w:tcPr>
          <w:p w14:paraId="71F4F862" w14:textId="77777777" w:rsidR="00C4131E" w:rsidRPr="00D12E22" w:rsidRDefault="00C4131E" w:rsidP="00D12E22">
            <w:pPr>
              <w:pStyle w:val="TableBody"/>
            </w:pPr>
            <w:r w:rsidRPr="00D12E22">
              <w:t>13.0</w:t>
            </w:r>
          </w:p>
        </w:tc>
        <w:tc>
          <w:tcPr>
            <w:tcW w:w="1000" w:type="pct"/>
            <w:noWrap/>
            <w:hideMark/>
          </w:tcPr>
          <w:p w14:paraId="5DE9CD0C" w14:textId="77777777" w:rsidR="00C4131E" w:rsidRPr="00D12E22" w:rsidRDefault="00C4131E" w:rsidP="00D12E22">
            <w:pPr>
              <w:pStyle w:val="TableBody"/>
            </w:pPr>
            <w:r w:rsidRPr="00D12E22">
              <w:t>13.8</w:t>
            </w:r>
          </w:p>
        </w:tc>
        <w:tc>
          <w:tcPr>
            <w:tcW w:w="1000" w:type="pct"/>
            <w:noWrap/>
            <w:hideMark/>
          </w:tcPr>
          <w:p w14:paraId="6D6C3287" w14:textId="77777777" w:rsidR="00C4131E" w:rsidRPr="00D12E22" w:rsidRDefault="00C4131E" w:rsidP="00D12E22">
            <w:pPr>
              <w:pStyle w:val="TableBody"/>
            </w:pPr>
            <w:r w:rsidRPr="00D12E22">
              <w:t>23.3</w:t>
            </w:r>
          </w:p>
        </w:tc>
        <w:tc>
          <w:tcPr>
            <w:tcW w:w="1000" w:type="pct"/>
            <w:noWrap/>
            <w:hideMark/>
          </w:tcPr>
          <w:p w14:paraId="6ADB57D5" w14:textId="77777777" w:rsidR="00C4131E" w:rsidRPr="00D12E22" w:rsidRDefault="00C4131E" w:rsidP="00D12E22">
            <w:pPr>
              <w:pStyle w:val="TableBody"/>
            </w:pPr>
            <w:r w:rsidRPr="00D12E22">
              <w:t>38.6</w:t>
            </w:r>
          </w:p>
        </w:tc>
      </w:tr>
      <w:tr w:rsidR="00C4131E" w:rsidRPr="00D12E22" w14:paraId="417E0942" w14:textId="77777777" w:rsidTr="00D12E22">
        <w:trPr>
          <w:trHeight w:val="288"/>
        </w:trPr>
        <w:tc>
          <w:tcPr>
            <w:tcW w:w="1000" w:type="pct"/>
            <w:noWrap/>
            <w:hideMark/>
          </w:tcPr>
          <w:p w14:paraId="5F9B83FC" w14:textId="77777777" w:rsidR="00C4131E" w:rsidRPr="00D12E22" w:rsidRDefault="00C4131E" w:rsidP="00D12E22">
            <w:pPr>
              <w:pStyle w:val="TableBody"/>
            </w:pPr>
            <w:r w:rsidRPr="00D12E22">
              <w:t>2011-12</w:t>
            </w:r>
          </w:p>
        </w:tc>
        <w:tc>
          <w:tcPr>
            <w:tcW w:w="1000" w:type="pct"/>
            <w:noWrap/>
            <w:hideMark/>
          </w:tcPr>
          <w:p w14:paraId="46A3C93F" w14:textId="77777777" w:rsidR="00C4131E" w:rsidRPr="00D12E22" w:rsidRDefault="00C4131E" w:rsidP="00D12E22">
            <w:pPr>
              <w:pStyle w:val="TableBody"/>
            </w:pPr>
            <w:r w:rsidRPr="00D12E22">
              <w:t>13.7</w:t>
            </w:r>
          </w:p>
        </w:tc>
        <w:tc>
          <w:tcPr>
            <w:tcW w:w="1000" w:type="pct"/>
            <w:noWrap/>
            <w:hideMark/>
          </w:tcPr>
          <w:p w14:paraId="146C5B31" w14:textId="77777777" w:rsidR="00C4131E" w:rsidRPr="00D12E22" w:rsidRDefault="00C4131E" w:rsidP="00D12E22">
            <w:pPr>
              <w:pStyle w:val="TableBody"/>
            </w:pPr>
            <w:r w:rsidRPr="00D12E22">
              <w:t>13.3</w:t>
            </w:r>
          </w:p>
        </w:tc>
        <w:tc>
          <w:tcPr>
            <w:tcW w:w="1000" w:type="pct"/>
            <w:noWrap/>
            <w:hideMark/>
          </w:tcPr>
          <w:p w14:paraId="1BF33075" w14:textId="77777777" w:rsidR="00C4131E" w:rsidRPr="00D12E22" w:rsidRDefault="00C4131E" w:rsidP="00D12E22">
            <w:pPr>
              <w:pStyle w:val="TableBody"/>
            </w:pPr>
            <w:r w:rsidRPr="00D12E22">
              <w:t>21.7</w:t>
            </w:r>
          </w:p>
        </w:tc>
        <w:tc>
          <w:tcPr>
            <w:tcW w:w="1000" w:type="pct"/>
            <w:noWrap/>
            <w:hideMark/>
          </w:tcPr>
          <w:p w14:paraId="5B96C12F" w14:textId="77777777" w:rsidR="00C4131E" w:rsidRPr="00D12E22" w:rsidRDefault="00C4131E" w:rsidP="00D12E22">
            <w:pPr>
              <w:pStyle w:val="TableBody"/>
            </w:pPr>
            <w:r w:rsidRPr="00D12E22">
              <w:t>38.1</w:t>
            </w:r>
          </w:p>
        </w:tc>
      </w:tr>
      <w:tr w:rsidR="00C4131E" w:rsidRPr="00D12E22" w14:paraId="6D2567FF" w14:textId="77777777" w:rsidTr="00D12E22">
        <w:trPr>
          <w:trHeight w:val="288"/>
        </w:trPr>
        <w:tc>
          <w:tcPr>
            <w:tcW w:w="1000" w:type="pct"/>
            <w:noWrap/>
            <w:hideMark/>
          </w:tcPr>
          <w:p w14:paraId="1B35F302" w14:textId="77777777" w:rsidR="00C4131E" w:rsidRPr="00D12E22" w:rsidRDefault="00C4131E" w:rsidP="00D12E22">
            <w:pPr>
              <w:pStyle w:val="TableBody"/>
            </w:pPr>
            <w:r w:rsidRPr="00D12E22">
              <w:t>2012-13</w:t>
            </w:r>
          </w:p>
        </w:tc>
        <w:tc>
          <w:tcPr>
            <w:tcW w:w="1000" w:type="pct"/>
            <w:noWrap/>
            <w:hideMark/>
          </w:tcPr>
          <w:p w14:paraId="4672C3AA" w14:textId="77777777" w:rsidR="00C4131E" w:rsidRPr="00D12E22" w:rsidRDefault="00C4131E" w:rsidP="00D12E22">
            <w:pPr>
              <w:pStyle w:val="TableBody"/>
            </w:pPr>
            <w:r w:rsidRPr="00D12E22">
              <w:t>12.1</w:t>
            </w:r>
          </w:p>
        </w:tc>
        <w:tc>
          <w:tcPr>
            <w:tcW w:w="1000" w:type="pct"/>
            <w:noWrap/>
            <w:hideMark/>
          </w:tcPr>
          <w:p w14:paraId="3BC9304B" w14:textId="77777777" w:rsidR="00C4131E" w:rsidRPr="00D12E22" w:rsidRDefault="00C4131E" w:rsidP="00D12E22">
            <w:pPr>
              <w:pStyle w:val="TableBody"/>
            </w:pPr>
            <w:r w:rsidRPr="00D12E22">
              <w:t>12.4</w:t>
            </w:r>
          </w:p>
        </w:tc>
        <w:tc>
          <w:tcPr>
            <w:tcW w:w="1000" w:type="pct"/>
            <w:noWrap/>
            <w:hideMark/>
          </w:tcPr>
          <w:p w14:paraId="304E776D" w14:textId="77777777" w:rsidR="00C4131E" w:rsidRPr="00D12E22" w:rsidRDefault="00C4131E" w:rsidP="00D12E22">
            <w:pPr>
              <w:pStyle w:val="TableBody"/>
            </w:pPr>
            <w:r w:rsidRPr="00D12E22">
              <w:t>18.0</w:t>
            </w:r>
          </w:p>
        </w:tc>
        <w:tc>
          <w:tcPr>
            <w:tcW w:w="1000" w:type="pct"/>
            <w:noWrap/>
            <w:hideMark/>
          </w:tcPr>
          <w:p w14:paraId="4D4863B1" w14:textId="77777777" w:rsidR="00C4131E" w:rsidRPr="00D12E22" w:rsidRDefault="00C4131E" w:rsidP="00D12E22">
            <w:pPr>
              <w:pStyle w:val="TableBody"/>
            </w:pPr>
            <w:r w:rsidRPr="00D12E22">
              <w:t>39.2</w:t>
            </w:r>
          </w:p>
        </w:tc>
      </w:tr>
      <w:tr w:rsidR="00C4131E" w:rsidRPr="00D12E22" w14:paraId="5B002701" w14:textId="77777777" w:rsidTr="00D12E22">
        <w:trPr>
          <w:trHeight w:val="288"/>
        </w:trPr>
        <w:tc>
          <w:tcPr>
            <w:tcW w:w="1000" w:type="pct"/>
            <w:noWrap/>
            <w:hideMark/>
          </w:tcPr>
          <w:p w14:paraId="4F1394A7" w14:textId="77777777" w:rsidR="00C4131E" w:rsidRPr="00D12E22" w:rsidRDefault="00C4131E" w:rsidP="00D12E22">
            <w:pPr>
              <w:pStyle w:val="TableBody"/>
            </w:pPr>
            <w:r w:rsidRPr="00D12E22">
              <w:t>2013-14</w:t>
            </w:r>
          </w:p>
        </w:tc>
        <w:tc>
          <w:tcPr>
            <w:tcW w:w="1000" w:type="pct"/>
            <w:noWrap/>
            <w:hideMark/>
          </w:tcPr>
          <w:p w14:paraId="188C34A8" w14:textId="77777777" w:rsidR="00C4131E" w:rsidRPr="00D12E22" w:rsidRDefault="00C4131E" w:rsidP="00D12E22">
            <w:pPr>
              <w:pStyle w:val="TableBody"/>
            </w:pPr>
            <w:r w:rsidRPr="00D12E22">
              <w:t>11.8</w:t>
            </w:r>
          </w:p>
        </w:tc>
        <w:tc>
          <w:tcPr>
            <w:tcW w:w="1000" w:type="pct"/>
            <w:noWrap/>
            <w:hideMark/>
          </w:tcPr>
          <w:p w14:paraId="55CCC64E" w14:textId="77777777" w:rsidR="00C4131E" w:rsidRPr="00D12E22" w:rsidRDefault="00C4131E" w:rsidP="00D12E22">
            <w:pPr>
              <w:pStyle w:val="TableBody"/>
            </w:pPr>
            <w:r w:rsidRPr="00D12E22">
              <w:t>11.7</w:t>
            </w:r>
          </w:p>
        </w:tc>
        <w:tc>
          <w:tcPr>
            <w:tcW w:w="1000" w:type="pct"/>
            <w:noWrap/>
            <w:hideMark/>
          </w:tcPr>
          <w:p w14:paraId="2BE07DCC" w14:textId="77777777" w:rsidR="00C4131E" w:rsidRPr="00D12E22" w:rsidRDefault="00C4131E" w:rsidP="00D12E22">
            <w:pPr>
              <w:pStyle w:val="TableBody"/>
            </w:pPr>
            <w:r w:rsidRPr="00D12E22">
              <w:t>18.2</w:t>
            </w:r>
          </w:p>
        </w:tc>
        <w:tc>
          <w:tcPr>
            <w:tcW w:w="1000" w:type="pct"/>
            <w:noWrap/>
            <w:hideMark/>
          </w:tcPr>
          <w:p w14:paraId="5E46BE52" w14:textId="77777777" w:rsidR="00C4131E" w:rsidRPr="00D12E22" w:rsidRDefault="00C4131E" w:rsidP="00D12E22">
            <w:pPr>
              <w:pStyle w:val="TableBody"/>
            </w:pPr>
            <w:r w:rsidRPr="00D12E22">
              <w:t>33.2</w:t>
            </w:r>
          </w:p>
        </w:tc>
      </w:tr>
      <w:tr w:rsidR="00C4131E" w:rsidRPr="00D12E22" w14:paraId="1ABAEF29" w14:textId="77777777" w:rsidTr="00D12E22">
        <w:trPr>
          <w:trHeight w:val="288"/>
        </w:trPr>
        <w:tc>
          <w:tcPr>
            <w:tcW w:w="1000" w:type="pct"/>
            <w:noWrap/>
            <w:hideMark/>
          </w:tcPr>
          <w:p w14:paraId="2FE53BB0" w14:textId="77777777" w:rsidR="00C4131E" w:rsidRPr="00D12E22" w:rsidRDefault="00C4131E" w:rsidP="00D12E22">
            <w:pPr>
              <w:pStyle w:val="TableBody"/>
            </w:pPr>
            <w:r w:rsidRPr="00D12E22">
              <w:t>2014-15</w:t>
            </w:r>
          </w:p>
        </w:tc>
        <w:tc>
          <w:tcPr>
            <w:tcW w:w="1000" w:type="pct"/>
            <w:noWrap/>
            <w:hideMark/>
          </w:tcPr>
          <w:p w14:paraId="31E04EEE" w14:textId="77777777" w:rsidR="00C4131E" w:rsidRPr="00D12E22" w:rsidRDefault="00C4131E" w:rsidP="00D12E22">
            <w:pPr>
              <w:pStyle w:val="TableBody"/>
            </w:pPr>
            <w:r w:rsidRPr="00D12E22">
              <w:t>8.7</w:t>
            </w:r>
          </w:p>
        </w:tc>
        <w:tc>
          <w:tcPr>
            <w:tcW w:w="1000" w:type="pct"/>
            <w:noWrap/>
            <w:hideMark/>
          </w:tcPr>
          <w:p w14:paraId="0540CB8B" w14:textId="77777777" w:rsidR="00C4131E" w:rsidRPr="00D12E22" w:rsidRDefault="00C4131E" w:rsidP="00D12E22">
            <w:pPr>
              <w:pStyle w:val="TableBody"/>
            </w:pPr>
            <w:r w:rsidRPr="00D12E22">
              <w:t>10.4</w:t>
            </w:r>
          </w:p>
        </w:tc>
        <w:tc>
          <w:tcPr>
            <w:tcW w:w="1000" w:type="pct"/>
            <w:noWrap/>
            <w:hideMark/>
          </w:tcPr>
          <w:p w14:paraId="21CD4720" w14:textId="77777777" w:rsidR="00C4131E" w:rsidRPr="00D12E22" w:rsidRDefault="00C4131E" w:rsidP="00D12E22">
            <w:pPr>
              <w:pStyle w:val="TableBody"/>
            </w:pPr>
            <w:r w:rsidRPr="00D12E22">
              <w:t>14.3</w:t>
            </w:r>
          </w:p>
        </w:tc>
        <w:tc>
          <w:tcPr>
            <w:tcW w:w="1000" w:type="pct"/>
            <w:noWrap/>
            <w:hideMark/>
          </w:tcPr>
          <w:p w14:paraId="5B2E4FDE" w14:textId="77777777" w:rsidR="00C4131E" w:rsidRPr="00D12E22" w:rsidRDefault="00C4131E" w:rsidP="00D12E22">
            <w:pPr>
              <w:pStyle w:val="TableBody"/>
            </w:pPr>
            <w:r w:rsidRPr="00D12E22">
              <w:t>33.5</w:t>
            </w:r>
          </w:p>
        </w:tc>
      </w:tr>
      <w:tr w:rsidR="00C4131E" w:rsidRPr="00D12E22" w14:paraId="0459BBE1" w14:textId="77777777" w:rsidTr="00D12E22">
        <w:trPr>
          <w:trHeight w:val="288"/>
        </w:trPr>
        <w:tc>
          <w:tcPr>
            <w:tcW w:w="1000" w:type="pct"/>
            <w:noWrap/>
            <w:hideMark/>
          </w:tcPr>
          <w:p w14:paraId="1075C6DF" w14:textId="77777777" w:rsidR="00C4131E" w:rsidRPr="00D12E22" w:rsidRDefault="00C4131E" w:rsidP="00D12E22">
            <w:pPr>
              <w:pStyle w:val="TableBody"/>
            </w:pPr>
            <w:r w:rsidRPr="00D12E22">
              <w:t>2015-16</w:t>
            </w:r>
          </w:p>
        </w:tc>
        <w:tc>
          <w:tcPr>
            <w:tcW w:w="1000" w:type="pct"/>
            <w:noWrap/>
            <w:hideMark/>
          </w:tcPr>
          <w:p w14:paraId="57C72F97" w14:textId="77777777" w:rsidR="00C4131E" w:rsidRPr="00D12E22" w:rsidRDefault="00C4131E" w:rsidP="00D12E22">
            <w:pPr>
              <w:pStyle w:val="TableBody"/>
            </w:pPr>
            <w:r w:rsidRPr="00D12E22">
              <w:t>8.4</w:t>
            </w:r>
          </w:p>
        </w:tc>
        <w:tc>
          <w:tcPr>
            <w:tcW w:w="1000" w:type="pct"/>
            <w:noWrap/>
            <w:hideMark/>
          </w:tcPr>
          <w:p w14:paraId="0F799DE2" w14:textId="77777777" w:rsidR="00C4131E" w:rsidRPr="00D12E22" w:rsidRDefault="00C4131E" w:rsidP="00D12E22">
            <w:pPr>
              <w:pStyle w:val="TableBody"/>
            </w:pPr>
            <w:r w:rsidRPr="00D12E22">
              <w:t>9.2</w:t>
            </w:r>
          </w:p>
        </w:tc>
        <w:tc>
          <w:tcPr>
            <w:tcW w:w="1000" w:type="pct"/>
            <w:noWrap/>
            <w:hideMark/>
          </w:tcPr>
          <w:p w14:paraId="47AA9B67" w14:textId="77777777" w:rsidR="00C4131E" w:rsidRPr="00D12E22" w:rsidRDefault="00C4131E" w:rsidP="00D12E22">
            <w:pPr>
              <w:pStyle w:val="TableBody"/>
            </w:pPr>
            <w:r w:rsidRPr="00D12E22">
              <w:t>13.1</w:t>
            </w:r>
          </w:p>
        </w:tc>
        <w:tc>
          <w:tcPr>
            <w:tcW w:w="1000" w:type="pct"/>
            <w:noWrap/>
            <w:hideMark/>
          </w:tcPr>
          <w:p w14:paraId="77189003" w14:textId="77777777" w:rsidR="00C4131E" w:rsidRPr="00D12E22" w:rsidRDefault="00C4131E" w:rsidP="00D12E22">
            <w:pPr>
              <w:pStyle w:val="TableBody"/>
            </w:pPr>
            <w:r w:rsidRPr="00D12E22">
              <w:t>34.4</w:t>
            </w:r>
          </w:p>
        </w:tc>
      </w:tr>
      <w:tr w:rsidR="00C4131E" w:rsidRPr="00D12E22" w14:paraId="3660F2EE" w14:textId="77777777" w:rsidTr="00D12E22">
        <w:trPr>
          <w:trHeight w:val="288"/>
        </w:trPr>
        <w:tc>
          <w:tcPr>
            <w:tcW w:w="1000" w:type="pct"/>
            <w:noWrap/>
            <w:hideMark/>
          </w:tcPr>
          <w:p w14:paraId="018952BA" w14:textId="77777777" w:rsidR="00C4131E" w:rsidRPr="00D12E22" w:rsidRDefault="00C4131E" w:rsidP="00D12E22">
            <w:pPr>
              <w:pStyle w:val="TableBody"/>
            </w:pPr>
            <w:r w:rsidRPr="00D12E22">
              <w:t>2016-17</w:t>
            </w:r>
          </w:p>
        </w:tc>
        <w:tc>
          <w:tcPr>
            <w:tcW w:w="1000" w:type="pct"/>
            <w:noWrap/>
            <w:hideMark/>
          </w:tcPr>
          <w:p w14:paraId="6B3F403E" w14:textId="77777777" w:rsidR="00C4131E" w:rsidRPr="00D12E22" w:rsidRDefault="00C4131E" w:rsidP="00D12E22">
            <w:pPr>
              <w:pStyle w:val="TableBody"/>
            </w:pPr>
            <w:r w:rsidRPr="00D12E22">
              <w:t>11.0</w:t>
            </w:r>
          </w:p>
        </w:tc>
        <w:tc>
          <w:tcPr>
            <w:tcW w:w="1000" w:type="pct"/>
            <w:noWrap/>
            <w:hideMark/>
          </w:tcPr>
          <w:p w14:paraId="74908B66" w14:textId="77777777" w:rsidR="00C4131E" w:rsidRPr="00D12E22" w:rsidRDefault="00C4131E" w:rsidP="00D12E22">
            <w:pPr>
              <w:pStyle w:val="TableBody"/>
            </w:pPr>
            <w:r w:rsidRPr="00D12E22">
              <w:t>10.7</w:t>
            </w:r>
          </w:p>
        </w:tc>
        <w:tc>
          <w:tcPr>
            <w:tcW w:w="1000" w:type="pct"/>
            <w:noWrap/>
            <w:hideMark/>
          </w:tcPr>
          <w:p w14:paraId="6840B213" w14:textId="77777777" w:rsidR="00C4131E" w:rsidRPr="00D12E22" w:rsidRDefault="00C4131E" w:rsidP="00D12E22">
            <w:pPr>
              <w:pStyle w:val="TableBody"/>
            </w:pPr>
            <w:r w:rsidRPr="00D12E22">
              <w:t>11.5</w:t>
            </w:r>
          </w:p>
        </w:tc>
        <w:tc>
          <w:tcPr>
            <w:tcW w:w="1000" w:type="pct"/>
            <w:noWrap/>
            <w:hideMark/>
          </w:tcPr>
          <w:p w14:paraId="14FC8402" w14:textId="77777777" w:rsidR="00C4131E" w:rsidRPr="00D12E22" w:rsidRDefault="00C4131E" w:rsidP="00D12E22">
            <w:pPr>
              <w:pStyle w:val="TableBody"/>
            </w:pPr>
            <w:r w:rsidRPr="00D12E22">
              <w:t>40.8</w:t>
            </w:r>
          </w:p>
        </w:tc>
      </w:tr>
      <w:tr w:rsidR="00C4131E" w:rsidRPr="00D12E22" w14:paraId="255EFF7E" w14:textId="77777777" w:rsidTr="00D12E22">
        <w:trPr>
          <w:trHeight w:val="288"/>
        </w:trPr>
        <w:tc>
          <w:tcPr>
            <w:tcW w:w="1000" w:type="pct"/>
            <w:noWrap/>
            <w:hideMark/>
          </w:tcPr>
          <w:p w14:paraId="405462C3" w14:textId="77777777" w:rsidR="00C4131E" w:rsidRPr="00D12E22" w:rsidRDefault="00C4131E" w:rsidP="00D12E22">
            <w:pPr>
              <w:pStyle w:val="TableBody"/>
            </w:pPr>
            <w:r w:rsidRPr="00D12E22">
              <w:t>2017-18</w:t>
            </w:r>
          </w:p>
        </w:tc>
        <w:tc>
          <w:tcPr>
            <w:tcW w:w="1000" w:type="pct"/>
            <w:noWrap/>
            <w:hideMark/>
          </w:tcPr>
          <w:p w14:paraId="0F5E152D" w14:textId="77777777" w:rsidR="00C4131E" w:rsidRPr="00D12E22" w:rsidRDefault="00C4131E" w:rsidP="00D12E22">
            <w:pPr>
              <w:pStyle w:val="TableBody"/>
            </w:pPr>
            <w:r w:rsidRPr="00D12E22">
              <w:t>11.1</w:t>
            </w:r>
          </w:p>
        </w:tc>
        <w:tc>
          <w:tcPr>
            <w:tcW w:w="1000" w:type="pct"/>
            <w:noWrap/>
            <w:hideMark/>
          </w:tcPr>
          <w:p w14:paraId="275F1200" w14:textId="77777777" w:rsidR="00C4131E" w:rsidRPr="00D12E22" w:rsidRDefault="00C4131E" w:rsidP="00D12E22">
            <w:pPr>
              <w:pStyle w:val="TableBody"/>
            </w:pPr>
            <w:r w:rsidRPr="00D12E22">
              <w:t>10.4</w:t>
            </w:r>
          </w:p>
        </w:tc>
        <w:tc>
          <w:tcPr>
            <w:tcW w:w="1000" w:type="pct"/>
            <w:noWrap/>
            <w:hideMark/>
          </w:tcPr>
          <w:p w14:paraId="05425BC0" w14:textId="77777777" w:rsidR="00C4131E" w:rsidRPr="00D12E22" w:rsidRDefault="00C4131E" w:rsidP="00D12E22">
            <w:pPr>
              <w:pStyle w:val="TableBody"/>
            </w:pPr>
            <w:r w:rsidRPr="00D12E22">
              <w:t>12.0</w:t>
            </w:r>
          </w:p>
        </w:tc>
        <w:tc>
          <w:tcPr>
            <w:tcW w:w="1000" w:type="pct"/>
            <w:noWrap/>
            <w:hideMark/>
          </w:tcPr>
          <w:p w14:paraId="5DC68EBE" w14:textId="77777777" w:rsidR="00C4131E" w:rsidRPr="00D12E22" w:rsidRDefault="00C4131E" w:rsidP="00D12E22">
            <w:pPr>
              <w:pStyle w:val="TableBody"/>
            </w:pPr>
            <w:r w:rsidRPr="00D12E22">
              <w:t>41.3</w:t>
            </w:r>
          </w:p>
        </w:tc>
      </w:tr>
      <w:tr w:rsidR="00C4131E" w:rsidRPr="00D12E22" w14:paraId="29FF9AAB" w14:textId="77777777" w:rsidTr="00D12E22">
        <w:trPr>
          <w:trHeight w:val="288"/>
        </w:trPr>
        <w:tc>
          <w:tcPr>
            <w:tcW w:w="1000" w:type="pct"/>
            <w:noWrap/>
            <w:hideMark/>
          </w:tcPr>
          <w:p w14:paraId="487C50E7" w14:textId="77777777" w:rsidR="00C4131E" w:rsidRPr="00D12E22" w:rsidRDefault="00C4131E" w:rsidP="00D12E22">
            <w:pPr>
              <w:pStyle w:val="TableBody"/>
            </w:pPr>
            <w:r w:rsidRPr="00D12E22">
              <w:t>2018-19</w:t>
            </w:r>
          </w:p>
        </w:tc>
        <w:tc>
          <w:tcPr>
            <w:tcW w:w="1000" w:type="pct"/>
            <w:noWrap/>
            <w:hideMark/>
          </w:tcPr>
          <w:p w14:paraId="47B1E49D" w14:textId="77777777" w:rsidR="00C4131E" w:rsidRPr="00D12E22" w:rsidRDefault="00C4131E" w:rsidP="00D12E22">
            <w:pPr>
              <w:pStyle w:val="TableBody"/>
            </w:pPr>
            <w:r w:rsidRPr="00D12E22">
              <w:t>9.4</w:t>
            </w:r>
          </w:p>
        </w:tc>
        <w:tc>
          <w:tcPr>
            <w:tcW w:w="1000" w:type="pct"/>
            <w:noWrap/>
            <w:hideMark/>
          </w:tcPr>
          <w:p w14:paraId="0E9C375A" w14:textId="77777777" w:rsidR="00C4131E" w:rsidRPr="00D12E22" w:rsidRDefault="00C4131E" w:rsidP="00D12E22">
            <w:pPr>
              <w:pStyle w:val="TableBody"/>
            </w:pPr>
            <w:r w:rsidRPr="00D12E22">
              <w:t>9.5</w:t>
            </w:r>
          </w:p>
        </w:tc>
        <w:tc>
          <w:tcPr>
            <w:tcW w:w="1000" w:type="pct"/>
            <w:noWrap/>
            <w:hideMark/>
          </w:tcPr>
          <w:p w14:paraId="1A0422C8" w14:textId="77777777" w:rsidR="00C4131E" w:rsidRPr="00D12E22" w:rsidRDefault="00C4131E" w:rsidP="00D12E22">
            <w:pPr>
              <w:pStyle w:val="TableBody"/>
            </w:pPr>
            <w:r w:rsidRPr="00D12E22">
              <w:t>11.5</w:t>
            </w:r>
          </w:p>
        </w:tc>
        <w:tc>
          <w:tcPr>
            <w:tcW w:w="1000" w:type="pct"/>
            <w:noWrap/>
            <w:hideMark/>
          </w:tcPr>
          <w:p w14:paraId="2BB71724" w14:textId="77777777" w:rsidR="00C4131E" w:rsidRPr="00D12E22" w:rsidRDefault="00C4131E" w:rsidP="00D12E22">
            <w:pPr>
              <w:pStyle w:val="TableBody"/>
            </w:pPr>
            <w:r w:rsidRPr="00D12E22">
              <w:t>31.1</w:t>
            </w:r>
          </w:p>
        </w:tc>
      </w:tr>
      <w:tr w:rsidR="00C4131E" w:rsidRPr="00D12E22" w14:paraId="342E5C0C" w14:textId="77777777" w:rsidTr="00D12E22">
        <w:trPr>
          <w:trHeight w:val="288"/>
        </w:trPr>
        <w:tc>
          <w:tcPr>
            <w:tcW w:w="1000" w:type="pct"/>
            <w:noWrap/>
            <w:hideMark/>
          </w:tcPr>
          <w:p w14:paraId="4DDD5CC0" w14:textId="77777777" w:rsidR="00C4131E" w:rsidRPr="00D12E22" w:rsidRDefault="00C4131E" w:rsidP="00D12E22">
            <w:pPr>
              <w:pStyle w:val="TableBody"/>
            </w:pPr>
            <w:r w:rsidRPr="00D12E22">
              <w:t>2019-20</w:t>
            </w:r>
          </w:p>
        </w:tc>
        <w:tc>
          <w:tcPr>
            <w:tcW w:w="1000" w:type="pct"/>
            <w:noWrap/>
            <w:hideMark/>
          </w:tcPr>
          <w:p w14:paraId="7AA9CB36" w14:textId="77777777" w:rsidR="00C4131E" w:rsidRPr="00D12E22" w:rsidRDefault="00C4131E" w:rsidP="00D12E22">
            <w:pPr>
              <w:pStyle w:val="TableBody"/>
            </w:pPr>
            <w:r w:rsidRPr="00D12E22">
              <w:t>9.5</w:t>
            </w:r>
          </w:p>
        </w:tc>
        <w:tc>
          <w:tcPr>
            <w:tcW w:w="1000" w:type="pct"/>
            <w:noWrap/>
            <w:hideMark/>
          </w:tcPr>
          <w:p w14:paraId="5EE5E0A2" w14:textId="77777777" w:rsidR="00C4131E" w:rsidRPr="00D12E22" w:rsidRDefault="00C4131E" w:rsidP="00D12E22">
            <w:pPr>
              <w:pStyle w:val="TableBody"/>
            </w:pPr>
            <w:r w:rsidRPr="00D12E22">
              <w:t>9.1</w:t>
            </w:r>
          </w:p>
        </w:tc>
        <w:tc>
          <w:tcPr>
            <w:tcW w:w="1000" w:type="pct"/>
            <w:noWrap/>
            <w:hideMark/>
          </w:tcPr>
          <w:p w14:paraId="33E7972C" w14:textId="77777777" w:rsidR="00C4131E" w:rsidRPr="00D12E22" w:rsidRDefault="00C4131E" w:rsidP="00D12E22">
            <w:pPr>
              <w:pStyle w:val="TableBody"/>
            </w:pPr>
            <w:r w:rsidRPr="00D12E22">
              <w:t>11.1</w:t>
            </w:r>
          </w:p>
        </w:tc>
        <w:tc>
          <w:tcPr>
            <w:tcW w:w="1000" w:type="pct"/>
            <w:noWrap/>
            <w:hideMark/>
          </w:tcPr>
          <w:p w14:paraId="569F312C" w14:textId="77777777" w:rsidR="00C4131E" w:rsidRPr="00D12E22" w:rsidRDefault="00C4131E" w:rsidP="00D12E22">
            <w:pPr>
              <w:pStyle w:val="TableBody"/>
            </w:pPr>
            <w:r w:rsidRPr="00D12E22">
              <w:t>35.6</w:t>
            </w:r>
          </w:p>
        </w:tc>
      </w:tr>
      <w:tr w:rsidR="00C4131E" w:rsidRPr="00D12E22" w14:paraId="2D201351" w14:textId="77777777" w:rsidTr="00D12E22">
        <w:trPr>
          <w:trHeight w:val="288"/>
        </w:trPr>
        <w:tc>
          <w:tcPr>
            <w:tcW w:w="1000" w:type="pct"/>
            <w:noWrap/>
            <w:hideMark/>
          </w:tcPr>
          <w:p w14:paraId="718E03E2" w14:textId="77777777" w:rsidR="00C4131E" w:rsidRPr="00D12E22" w:rsidRDefault="00C4131E" w:rsidP="00D12E22">
            <w:pPr>
              <w:pStyle w:val="TableBody"/>
            </w:pPr>
            <w:r w:rsidRPr="00D12E22">
              <w:t>2020-21</w:t>
            </w:r>
          </w:p>
        </w:tc>
        <w:tc>
          <w:tcPr>
            <w:tcW w:w="1000" w:type="pct"/>
            <w:noWrap/>
            <w:hideMark/>
          </w:tcPr>
          <w:p w14:paraId="5727EC89" w14:textId="77777777" w:rsidR="00C4131E" w:rsidRPr="00D12E22" w:rsidRDefault="00C4131E" w:rsidP="00D12E22">
            <w:pPr>
              <w:pStyle w:val="TableBody"/>
            </w:pPr>
            <w:r w:rsidRPr="00D12E22">
              <w:t>10.1</w:t>
            </w:r>
          </w:p>
        </w:tc>
        <w:tc>
          <w:tcPr>
            <w:tcW w:w="1000" w:type="pct"/>
            <w:noWrap/>
            <w:hideMark/>
          </w:tcPr>
          <w:p w14:paraId="31AA24E1" w14:textId="77777777" w:rsidR="00C4131E" w:rsidRPr="00D12E22" w:rsidRDefault="00C4131E" w:rsidP="00D12E22">
            <w:pPr>
              <w:pStyle w:val="TableBody"/>
            </w:pPr>
            <w:r w:rsidRPr="00D12E22">
              <w:t>8.1</w:t>
            </w:r>
          </w:p>
        </w:tc>
        <w:tc>
          <w:tcPr>
            <w:tcW w:w="1000" w:type="pct"/>
            <w:noWrap/>
            <w:hideMark/>
          </w:tcPr>
          <w:p w14:paraId="67558ECC" w14:textId="77777777" w:rsidR="00C4131E" w:rsidRPr="00D12E22" w:rsidRDefault="00C4131E" w:rsidP="00D12E22">
            <w:pPr>
              <w:pStyle w:val="TableBody"/>
            </w:pPr>
            <w:r w:rsidRPr="00D12E22">
              <w:t>8.4</w:t>
            </w:r>
          </w:p>
        </w:tc>
        <w:tc>
          <w:tcPr>
            <w:tcW w:w="1000" w:type="pct"/>
            <w:noWrap/>
            <w:hideMark/>
          </w:tcPr>
          <w:p w14:paraId="585417C0" w14:textId="77777777" w:rsidR="00C4131E" w:rsidRPr="00D12E22" w:rsidRDefault="00C4131E" w:rsidP="00D12E22">
            <w:pPr>
              <w:pStyle w:val="TableBody"/>
            </w:pPr>
            <w:r w:rsidRPr="00D12E22">
              <w:t>31.8</w:t>
            </w:r>
          </w:p>
        </w:tc>
      </w:tr>
      <w:tr w:rsidR="00C4131E" w:rsidRPr="00D12E22" w14:paraId="5F182427" w14:textId="77777777" w:rsidTr="00D12E22">
        <w:trPr>
          <w:trHeight w:val="288"/>
        </w:trPr>
        <w:tc>
          <w:tcPr>
            <w:tcW w:w="1000" w:type="pct"/>
            <w:noWrap/>
            <w:hideMark/>
          </w:tcPr>
          <w:p w14:paraId="4291D9DA" w14:textId="77777777" w:rsidR="00C4131E" w:rsidRPr="00D12E22" w:rsidRDefault="00C4131E" w:rsidP="00D12E22">
            <w:pPr>
              <w:pStyle w:val="TableBody"/>
            </w:pPr>
            <w:r w:rsidRPr="00D12E22">
              <w:t>2021-22</w:t>
            </w:r>
          </w:p>
        </w:tc>
        <w:tc>
          <w:tcPr>
            <w:tcW w:w="1000" w:type="pct"/>
            <w:noWrap/>
            <w:hideMark/>
          </w:tcPr>
          <w:p w14:paraId="72A0A41A" w14:textId="77777777" w:rsidR="00C4131E" w:rsidRPr="00D12E22" w:rsidRDefault="00C4131E" w:rsidP="00D12E22">
            <w:pPr>
              <w:pStyle w:val="TableBody"/>
            </w:pPr>
            <w:r w:rsidRPr="00D12E22">
              <w:t>10.0</w:t>
            </w:r>
          </w:p>
        </w:tc>
        <w:tc>
          <w:tcPr>
            <w:tcW w:w="1000" w:type="pct"/>
            <w:noWrap/>
            <w:hideMark/>
          </w:tcPr>
          <w:p w14:paraId="17C47CB9" w14:textId="77777777" w:rsidR="00C4131E" w:rsidRPr="00D12E22" w:rsidRDefault="00C4131E" w:rsidP="00D12E22">
            <w:pPr>
              <w:pStyle w:val="TableBody"/>
            </w:pPr>
            <w:r w:rsidRPr="00D12E22">
              <w:t>9.6</w:t>
            </w:r>
          </w:p>
        </w:tc>
        <w:tc>
          <w:tcPr>
            <w:tcW w:w="1000" w:type="pct"/>
            <w:noWrap/>
            <w:hideMark/>
          </w:tcPr>
          <w:p w14:paraId="67F181AC" w14:textId="77777777" w:rsidR="00C4131E" w:rsidRPr="00D12E22" w:rsidRDefault="00C4131E" w:rsidP="00D12E22">
            <w:pPr>
              <w:pStyle w:val="TableBody"/>
            </w:pPr>
            <w:r w:rsidRPr="00D12E22">
              <w:t>9.7</w:t>
            </w:r>
          </w:p>
        </w:tc>
        <w:tc>
          <w:tcPr>
            <w:tcW w:w="1000" w:type="pct"/>
            <w:noWrap/>
            <w:hideMark/>
          </w:tcPr>
          <w:p w14:paraId="370893BA" w14:textId="77777777" w:rsidR="00C4131E" w:rsidRPr="00D12E22" w:rsidRDefault="00C4131E" w:rsidP="00D12E22">
            <w:pPr>
              <w:pStyle w:val="TableBody"/>
            </w:pPr>
            <w:r w:rsidRPr="00D12E22">
              <w:t>36.4</w:t>
            </w:r>
          </w:p>
        </w:tc>
      </w:tr>
      <w:tr w:rsidR="00C4131E" w:rsidRPr="00D12E22" w14:paraId="795B3258" w14:textId="77777777" w:rsidTr="00D12E22">
        <w:trPr>
          <w:trHeight w:val="288"/>
        </w:trPr>
        <w:tc>
          <w:tcPr>
            <w:tcW w:w="1000" w:type="pct"/>
            <w:noWrap/>
            <w:hideMark/>
          </w:tcPr>
          <w:p w14:paraId="3C2FE75A" w14:textId="77777777" w:rsidR="00C4131E" w:rsidRPr="00D12E22" w:rsidRDefault="00C4131E" w:rsidP="00D12E22">
            <w:pPr>
              <w:pStyle w:val="TableBody"/>
            </w:pPr>
            <w:r w:rsidRPr="00D12E22">
              <w:t>2022-23</w:t>
            </w:r>
          </w:p>
        </w:tc>
        <w:tc>
          <w:tcPr>
            <w:tcW w:w="1000" w:type="pct"/>
            <w:noWrap/>
            <w:hideMark/>
          </w:tcPr>
          <w:p w14:paraId="3CF7F36A" w14:textId="77777777" w:rsidR="00C4131E" w:rsidRPr="00D12E22" w:rsidRDefault="00C4131E" w:rsidP="00D12E22">
            <w:pPr>
              <w:pStyle w:val="TableBody"/>
            </w:pPr>
            <w:r w:rsidRPr="00D12E22">
              <w:t>11.0</w:t>
            </w:r>
          </w:p>
        </w:tc>
        <w:tc>
          <w:tcPr>
            <w:tcW w:w="1000" w:type="pct"/>
            <w:noWrap/>
            <w:hideMark/>
          </w:tcPr>
          <w:p w14:paraId="0F41F6C3" w14:textId="77777777" w:rsidR="00C4131E" w:rsidRPr="00D12E22" w:rsidRDefault="00C4131E" w:rsidP="00D12E22">
            <w:pPr>
              <w:pStyle w:val="TableBody"/>
            </w:pPr>
            <w:r w:rsidRPr="00D12E22">
              <w:t>10.7</w:t>
            </w:r>
          </w:p>
        </w:tc>
        <w:tc>
          <w:tcPr>
            <w:tcW w:w="1000" w:type="pct"/>
            <w:noWrap/>
            <w:hideMark/>
          </w:tcPr>
          <w:p w14:paraId="70A454BA" w14:textId="77777777" w:rsidR="00C4131E" w:rsidRPr="00D12E22" w:rsidRDefault="00C4131E" w:rsidP="00D12E22">
            <w:pPr>
              <w:pStyle w:val="TableBody"/>
            </w:pPr>
            <w:r w:rsidRPr="00D12E22">
              <w:t>12.4</w:t>
            </w:r>
          </w:p>
        </w:tc>
        <w:tc>
          <w:tcPr>
            <w:tcW w:w="1000" w:type="pct"/>
            <w:noWrap/>
            <w:hideMark/>
          </w:tcPr>
          <w:p w14:paraId="6B53651E" w14:textId="77777777" w:rsidR="00C4131E" w:rsidRPr="00D12E22" w:rsidRDefault="00C4131E" w:rsidP="00D12E22">
            <w:pPr>
              <w:pStyle w:val="TableBody"/>
            </w:pPr>
            <w:r w:rsidRPr="00D12E22">
              <w:t>25.3</w:t>
            </w:r>
          </w:p>
        </w:tc>
      </w:tr>
      <w:tr w:rsidR="00C4131E" w:rsidRPr="00D12E22" w14:paraId="7F5CAB84" w14:textId="77777777" w:rsidTr="00D12E22">
        <w:trPr>
          <w:trHeight w:val="288"/>
        </w:trPr>
        <w:tc>
          <w:tcPr>
            <w:tcW w:w="1000" w:type="pct"/>
            <w:noWrap/>
            <w:hideMark/>
          </w:tcPr>
          <w:p w14:paraId="3AA76350" w14:textId="77777777" w:rsidR="00C4131E" w:rsidRPr="00D12E22" w:rsidRDefault="00C4131E" w:rsidP="00D12E22">
            <w:pPr>
              <w:pStyle w:val="TableBody"/>
            </w:pPr>
            <w:r w:rsidRPr="00D12E22">
              <w:t>2023-24</w:t>
            </w:r>
          </w:p>
        </w:tc>
        <w:tc>
          <w:tcPr>
            <w:tcW w:w="1000" w:type="pct"/>
            <w:noWrap/>
            <w:hideMark/>
          </w:tcPr>
          <w:p w14:paraId="2EAC242A" w14:textId="77777777" w:rsidR="00C4131E" w:rsidRPr="00D12E22" w:rsidRDefault="00C4131E" w:rsidP="00D12E22">
            <w:pPr>
              <w:pStyle w:val="TableBody"/>
            </w:pPr>
            <w:r w:rsidRPr="00D12E22">
              <w:t>12.6</w:t>
            </w:r>
          </w:p>
        </w:tc>
        <w:tc>
          <w:tcPr>
            <w:tcW w:w="1000" w:type="pct"/>
            <w:noWrap/>
            <w:hideMark/>
          </w:tcPr>
          <w:p w14:paraId="1CF4197B" w14:textId="77777777" w:rsidR="00C4131E" w:rsidRPr="00D12E22" w:rsidRDefault="00C4131E" w:rsidP="00D12E22">
            <w:pPr>
              <w:pStyle w:val="TableBody"/>
            </w:pPr>
            <w:r w:rsidRPr="00D12E22">
              <w:t>11.5</w:t>
            </w:r>
          </w:p>
        </w:tc>
        <w:tc>
          <w:tcPr>
            <w:tcW w:w="1000" w:type="pct"/>
            <w:noWrap/>
            <w:hideMark/>
          </w:tcPr>
          <w:p w14:paraId="5B823C54" w14:textId="77777777" w:rsidR="00C4131E" w:rsidRPr="00D12E22" w:rsidRDefault="00C4131E" w:rsidP="00D12E22">
            <w:pPr>
              <w:pStyle w:val="TableBody"/>
            </w:pPr>
            <w:r w:rsidRPr="00D12E22">
              <w:t>14.3</w:t>
            </w:r>
          </w:p>
        </w:tc>
        <w:tc>
          <w:tcPr>
            <w:tcW w:w="1000" w:type="pct"/>
            <w:noWrap/>
            <w:hideMark/>
          </w:tcPr>
          <w:p w14:paraId="2E5148A5" w14:textId="77777777" w:rsidR="00C4131E" w:rsidRPr="00D12E22" w:rsidRDefault="00C4131E" w:rsidP="00D12E22">
            <w:pPr>
              <w:pStyle w:val="TableBody"/>
            </w:pPr>
            <w:r w:rsidRPr="00D12E22">
              <w:t>32.2</w:t>
            </w:r>
          </w:p>
        </w:tc>
      </w:tr>
    </w:tbl>
    <w:p w14:paraId="3D676011" w14:textId="77777777" w:rsidR="00237D49" w:rsidRPr="00157502" w:rsidRDefault="00237D49" w:rsidP="00D4532A">
      <w:r w:rsidRPr="000C258A">
        <w:rPr>
          <w:rStyle w:val="Strong"/>
        </w:rPr>
        <w:t>Source</w:t>
      </w:r>
      <w:r w:rsidRPr="008C1137">
        <w:t>: Court Services Victoria, unpublished data</w:t>
      </w:r>
    </w:p>
    <w:p w14:paraId="21532B51" w14:textId="77777777" w:rsidR="00A4454A" w:rsidRPr="008C1137" w:rsidRDefault="00A4454A" w:rsidP="00210207">
      <w:pPr>
        <w:pStyle w:val="Numbered"/>
      </w:pPr>
      <w:r w:rsidRPr="008C1137">
        <w:lastRenderedPageBreak/>
        <w:t>For older offenders (aged 60 and over), average custodial sentence lengths were markedly higher than for offenders in other age groups, ranging from a low of 25.3 months (in 2022–23) to a high of 52.9 months (in 2009–10). Given that the number of custodial sentences imposed remained low, this indicates that custodial sentences are generally reserved for more serious offending by older offenders.</w:t>
      </w:r>
    </w:p>
    <w:p w14:paraId="0EB17681" w14:textId="77777777" w:rsidR="00A4454A" w:rsidRPr="008C1137" w:rsidRDefault="00A4454A" w:rsidP="0002476E">
      <w:pPr>
        <w:pStyle w:val="Heading2"/>
      </w:pPr>
      <w:r w:rsidRPr="008C1137">
        <w:t>Time served on remand and time served prison sentences</w:t>
      </w:r>
    </w:p>
    <w:p w14:paraId="491BEF8E" w14:textId="77777777" w:rsidR="00A4454A" w:rsidRPr="008C1137" w:rsidRDefault="00A4454A" w:rsidP="00210207">
      <w:pPr>
        <w:pStyle w:val="Numbered"/>
      </w:pPr>
      <w:r w:rsidRPr="008C1137">
        <w:t xml:space="preserve">People may be sentenced after being held on remand prior to trial, prior to sentencing or both. Some receive what is known as a </w:t>
      </w:r>
      <w:r w:rsidRPr="003B3217">
        <w:rPr>
          <w:rStyle w:val="Italic"/>
        </w:rPr>
        <w:t>time served prison sentence</w:t>
      </w:r>
      <w:r w:rsidRPr="008C1137">
        <w:t>, a sentence equal to the amount of time spent on remand, followed by immediate release, either with or without a CCO.</w:t>
      </w:r>
      <w:r w:rsidRPr="008C1137">
        <w:rPr>
          <w:rStyle w:val="Superscript"/>
        </w:rPr>
        <w:footnoteReference w:id="120"/>
      </w:r>
      <w:r w:rsidRPr="008C1137">
        <w:t xml:space="preserve"> In 2020, we found that time served prison sentences had increased from 5% to 20% of all prison sentences in the 7 years to 30 June 2018, and we suggested that this increase was due to changes in bail laws.</w:t>
      </w:r>
      <w:r w:rsidRPr="008C1137">
        <w:rPr>
          <w:rStyle w:val="Superscript"/>
        </w:rPr>
        <w:footnoteReference w:id="121"/>
      </w:r>
      <w:r w:rsidRPr="008C1137">
        <w:t xml:space="preserve"> This section presents court data on time served on remand that was reckoned by the court when imposing a custodial sentence between 1 July 2016 and 30 June 2024, including the number of cases where courts imposed a time served prison sentence.</w:t>
      </w:r>
      <w:r w:rsidRPr="008C1137">
        <w:rPr>
          <w:rStyle w:val="Superscript"/>
        </w:rPr>
        <w:footnoteReference w:id="122"/>
      </w:r>
      <w:r w:rsidRPr="008C1137">
        <w:t xml:space="preserve"> </w:t>
      </w:r>
    </w:p>
    <w:p w14:paraId="4FC1F95F" w14:textId="77777777" w:rsidR="00A4454A" w:rsidRPr="008C1137" w:rsidRDefault="00A4454A" w:rsidP="0002476E">
      <w:pPr>
        <w:pStyle w:val="Heading4"/>
      </w:pPr>
      <w:r w:rsidRPr="008C1137">
        <w:lastRenderedPageBreak/>
        <w:t>What proportion of people spend time on remand before being sentenced to imprisonment?</w:t>
      </w:r>
    </w:p>
    <w:p w14:paraId="5F8882BB" w14:textId="77777777" w:rsidR="00A4454A" w:rsidRPr="008C1137" w:rsidRDefault="00A4454A" w:rsidP="00210207">
      <w:pPr>
        <w:pStyle w:val="Numbered"/>
      </w:pPr>
      <w:r w:rsidRPr="008C1137">
        <w:t>Figure 29 shows the proportion of people who were sentenced to imprisonment after spending at least one day on remand (as determined by a court declaring at least one day of the prison sentence as pre-sentence detention).</w:t>
      </w:r>
      <w:r w:rsidRPr="008C1137">
        <w:rPr>
          <w:rStyle w:val="Superscript"/>
        </w:rPr>
        <w:footnoteReference w:id="123"/>
      </w:r>
      <w:r w:rsidRPr="008C1137">
        <w:t xml:space="preserve"> Note that Figure 29 does </w:t>
      </w:r>
      <w:r w:rsidRPr="003B3217">
        <w:rPr>
          <w:rStyle w:val="Italic"/>
        </w:rPr>
        <w:t xml:space="preserve">not </w:t>
      </w:r>
      <w:r w:rsidRPr="008C1137">
        <w:t xml:space="preserve">include people who had spent time on remand but received a non-custodial sentence or were ultimately found not guilty. </w:t>
      </w:r>
    </w:p>
    <w:p w14:paraId="130C3C3E" w14:textId="77777777" w:rsidR="00A4454A" w:rsidRPr="008C1137" w:rsidRDefault="00A4454A" w:rsidP="00BE4EDC">
      <w:pPr>
        <w:pStyle w:val="Caption"/>
      </w:pPr>
      <w:r w:rsidRPr="00157502">
        <w:t>Figure 29</w:t>
      </w:r>
      <w:r w:rsidRPr="008C1137">
        <w:t>: Proportion of people who were sentenced to imprisonment after spending at least one day on remand, all courts, 2016–17 to 2023–24</w:t>
      </w:r>
    </w:p>
    <w:tbl>
      <w:tblPr>
        <w:tblStyle w:val="Table"/>
        <w:tblW w:w="5000" w:type="pct"/>
        <w:tblLook w:val="04A0" w:firstRow="1" w:lastRow="0" w:firstColumn="1" w:lastColumn="0" w:noHBand="0" w:noVBand="1"/>
      </w:tblPr>
      <w:tblGrid>
        <w:gridCol w:w="2730"/>
        <w:gridCol w:w="6286"/>
      </w:tblGrid>
      <w:tr w:rsidR="00EC5266" w:rsidRPr="00EC5266" w14:paraId="03010D32" w14:textId="033CA698" w:rsidTr="00C35F26">
        <w:trPr>
          <w:trHeight w:val="288"/>
          <w:tblHeader/>
        </w:trPr>
        <w:tc>
          <w:tcPr>
            <w:tcW w:w="1514" w:type="pct"/>
            <w:noWrap/>
            <w:hideMark/>
          </w:tcPr>
          <w:p w14:paraId="096F0435" w14:textId="6647598B" w:rsidR="00EC5266" w:rsidRPr="00EC5266" w:rsidRDefault="00EC5266" w:rsidP="00EC5266">
            <w:pPr>
              <w:pStyle w:val="TableHeading"/>
            </w:pPr>
            <w:r w:rsidRPr="00EC5266">
              <w:t>Financial year</w:t>
            </w:r>
          </w:p>
        </w:tc>
        <w:tc>
          <w:tcPr>
            <w:tcW w:w="3486" w:type="pct"/>
          </w:tcPr>
          <w:p w14:paraId="48CFBD4E" w14:textId="19CEDB45" w:rsidR="00EC5266" w:rsidRPr="00EC5266" w:rsidRDefault="00EC5266" w:rsidP="00EC5266">
            <w:pPr>
              <w:pStyle w:val="TableHeading"/>
            </w:pPr>
            <w:r>
              <w:t>Percentage</w:t>
            </w:r>
            <w:r w:rsidRPr="00EC5266">
              <w:t xml:space="preserve"> of custodial cases with time on remand</w:t>
            </w:r>
          </w:p>
        </w:tc>
      </w:tr>
      <w:tr w:rsidR="00EC5266" w:rsidRPr="00EC5266" w14:paraId="451C538A" w14:textId="2523C241" w:rsidTr="00C35F26">
        <w:trPr>
          <w:trHeight w:val="288"/>
        </w:trPr>
        <w:tc>
          <w:tcPr>
            <w:tcW w:w="1514" w:type="pct"/>
            <w:noWrap/>
            <w:hideMark/>
          </w:tcPr>
          <w:p w14:paraId="5A63E385" w14:textId="77777777" w:rsidR="00EC5266" w:rsidRPr="00EC5266" w:rsidRDefault="00EC5266" w:rsidP="00EC5266">
            <w:pPr>
              <w:pStyle w:val="TableBody"/>
            </w:pPr>
            <w:r w:rsidRPr="00EC5266">
              <w:t>2016-17</w:t>
            </w:r>
          </w:p>
        </w:tc>
        <w:tc>
          <w:tcPr>
            <w:tcW w:w="3486" w:type="pct"/>
          </w:tcPr>
          <w:p w14:paraId="67E0108D" w14:textId="19E7E25E" w:rsidR="00EC5266" w:rsidRPr="00EC5266" w:rsidRDefault="00EC5266" w:rsidP="00EC5266">
            <w:pPr>
              <w:pStyle w:val="TableBody"/>
            </w:pPr>
            <w:r w:rsidRPr="00EC5266">
              <w:t>75%</w:t>
            </w:r>
          </w:p>
        </w:tc>
      </w:tr>
      <w:tr w:rsidR="00EC5266" w:rsidRPr="00EC5266" w14:paraId="08BDA5D7" w14:textId="6FE3EE43" w:rsidTr="00C35F26">
        <w:trPr>
          <w:trHeight w:val="288"/>
        </w:trPr>
        <w:tc>
          <w:tcPr>
            <w:tcW w:w="1514" w:type="pct"/>
            <w:noWrap/>
            <w:hideMark/>
          </w:tcPr>
          <w:p w14:paraId="6ABDA707" w14:textId="77777777" w:rsidR="00EC5266" w:rsidRPr="00EC5266" w:rsidRDefault="00EC5266" w:rsidP="00EC5266">
            <w:pPr>
              <w:pStyle w:val="TableBody"/>
            </w:pPr>
            <w:r w:rsidRPr="00EC5266">
              <w:t>2017-18</w:t>
            </w:r>
          </w:p>
        </w:tc>
        <w:tc>
          <w:tcPr>
            <w:tcW w:w="3486" w:type="pct"/>
          </w:tcPr>
          <w:p w14:paraId="1638706F" w14:textId="0E3E21FA" w:rsidR="00EC5266" w:rsidRPr="00EC5266" w:rsidRDefault="00EC5266" w:rsidP="00EC5266">
            <w:pPr>
              <w:pStyle w:val="TableBody"/>
            </w:pPr>
            <w:r w:rsidRPr="00EC5266">
              <w:t>75%</w:t>
            </w:r>
          </w:p>
        </w:tc>
      </w:tr>
      <w:tr w:rsidR="00EC5266" w:rsidRPr="00EC5266" w14:paraId="2235F8F9" w14:textId="00AA2A86" w:rsidTr="00C35F26">
        <w:trPr>
          <w:trHeight w:val="288"/>
        </w:trPr>
        <w:tc>
          <w:tcPr>
            <w:tcW w:w="1514" w:type="pct"/>
            <w:noWrap/>
            <w:hideMark/>
          </w:tcPr>
          <w:p w14:paraId="6E8FEAF7" w14:textId="77777777" w:rsidR="00EC5266" w:rsidRPr="00EC5266" w:rsidRDefault="00EC5266" w:rsidP="00EC5266">
            <w:pPr>
              <w:pStyle w:val="TableBody"/>
            </w:pPr>
            <w:r w:rsidRPr="00EC5266">
              <w:t>2018-19</w:t>
            </w:r>
          </w:p>
        </w:tc>
        <w:tc>
          <w:tcPr>
            <w:tcW w:w="3486" w:type="pct"/>
          </w:tcPr>
          <w:p w14:paraId="1B2DFAB9" w14:textId="4DF84CD8" w:rsidR="00EC5266" w:rsidRPr="00EC5266" w:rsidRDefault="00EC5266" w:rsidP="00EC5266">
            <w:pPr>
              <w:pStyle w:val="TableBody"/>
            </w:pPr>
            <w:r w:rsidRPr="00EC5266">
              <w:t>82%</w:t>
            </w:r>
          </w:p>
        </w:tc>
      </w:tr>
      <w:tr w:rsidR="00EC5266" w:rsidRPr="00EC5266" w14:paraId="2761D92F" w14:textId="49A8E44E" w:rsidTr="00C35F26">
        <w:trPr>
          <w:trHeight w:val="288"/>
        </w:trPr>
        <w:tc>
          <w:tcPr>
            <w:tcW w:w="1514" w:type="pct"/>
            <w:noWrap/>
            <w:hideMark/>
          </w:tcPr>
          <w:p w14:paraId="0B9D2A06" w14:textId="77777777" w:rsidR="00EC5266" w:rsidRPr="00EC5266" w:rsidRDefault="00EC5266" w:rsidP="00EC5266">
            <w:pPr>
              <w:pStyle w:val="TableBody"/>
            </w:pPr>
            <w:r w:rsidRPr="00EC5266">
              <w:t>2019-20</w:t>
            </w:r>
          </w:p>
        </w:tc>
        <w:tc>
          <w:tcPr>
            <w:tcW w:w="3486" w:type="pct"/>
          </w:tcPr>
          <w:p w14:paraId="6F4B60CB" w14:textId="39CD517E" w:rsidR="00EC5266" w:rsidRPr="00EC5266" w:rsidRDefault="00EC5266" w:rsidP="00EC5266">
            <w:pPr>
              <w:pStyle w:val="TableBody"/>
            </w:pPr>
            <w:r w:rsidRPr="00EC5266">
              <w:t>86%</w:t>
            </w:r>
          </w:p>
        </w:tc>
      </w:tr>
      <w:tr w:rsidR="00EC5266" w:rsidRPr="00EC5266" w14:paraId="74196563" w14:textId="14BC3175" w:rsidTr="00C35F26">
        <w:trPr>
          <w:trHeight w:val="288"/>
        </w:trPr>
        <w:tc>
          <w:tcPr>
            <w:tcW w:w="1514" w:type="pct"/>
            <w:noWrap/>
            <w:hideMark/>
          </w:tcPr>
          <w:p w14:paraId="6FD5B1F8" w14:textId="77777777" w:rsidR="00EC5266" w:rsidRPr="00EC5266" w:rsidRDefault="00EC5266" w:rsidP="00EC5266">
            <w:pPr>
              <w:pStyle w:val="TableBody"/>
            </w:pPr>
            <w:r w:rsidRPr="00EC5266">
              <w:t>2020-21</w:t>
            </w:r>
          </w:p>
        </w:tc>
        <w:tc>
          <w:tcPr>
            <w:tcW w:w="3486" w:type="pct"/>
          </w:tcPr>
          <w:p w14:paraId="12C21173" w14:textId="3A24283E" w:rsidR="00EC5266" w:rsidRPr="00EC5266" w:rsidRDefault="00EC5266" w:rsidP="00EC5266">
            <w:pPr>
              <w:pStyle w:val="TableBody"/>
            </w:pPr>
            <w:r w:rsidRPr="00EC5266">
              <w:t>89%</w:t>
            </w:r>
          </w:p>
        </w:tc>
      </w:tr>
      <w:tr w:rsidR="00EC5266" w:rsidRPr="00EC5266" w14:paraId="54DD77C0" w14:textId="1828A699" w:rsidTr="00C35F26">
        <w:trPr>
          <w:trHeight w:val="288"/>
        </w:trPr>
        <w:tc>
          <w:tcPr>
            <w:tcW w:w="1514" w:type="pct"/>
            <w:noWrap/>
            <w:hideMark/>
          </w:tcPr>
          <w:p w14:paraId="0D536F32" w14:textId="77777777" w:rsidR="00EC5266" w:rsidRPr="00EC5266" w:rsidRDefault="00EC5266" w:rsidP="00EC5266">
            <w:pPr>
              <w:pStyle w:val="TableBody"/>
            </w:pPr>
            <w:r w:rsidRPr="00EC5266">
              <w:t>2021-22</w:t>
            </w:r>
          </w:p>
        </w:tc>
        <w:tc>
          <w:tcPr>
            <w:tcW w:w="3486" w:type="pct"/>
          </w:tcPr>
          <w:p w14:paraId="6A8BE76A" w14:textId="1439B151" w:rsidR="00EC5266" w:rsidRPr="00EC5266" w:rsidRDefault="00EC5266" w:rsidP="00EC5266">
            <w:pPr>
              <w:pStyle w:val="TableBody"/>
            </w:pPr>
            <w:r w:rsidRPr="00EC5266">
              <w:t>88%</w:t>
            </w:r>
          </w:p>
        </w:tc>
      </w:tr>
      <w:tr w:rsidR="00EC5266" w:rsidRPr="00EC5266" w14:paraId="15BBA073" w14:textId="045421CF" w:rsidTr="00C35F26">
        <w:trPr>
          <w:trHeight w:val="288"/>
        </w:trPr>
        <w:tc>
          <w:tcPr>
            <w:tcW w:w="1514" w:type="pct"/>
            <w:noWrap/>
            <w:hideMark/>
          </w:tcPr>
          <w:p w14:paraId="4F47EF7E" w14:textId="77777777" w:rsidR="00EC5266" w:rsidRPr="00EC5266" w:rsidRDefault="00EC5266" w:rsidP="00EC5266">
            <w:pPr>
              <w:pStyle w:val="TableBody"/>
            </w:pPr>
            <w:r w:rsidRPr="00EC5266">
              <w:t>2022-23</w:t>
            </w:r>
          </w:p>
        </w:tc>
        <w:tc>
          <w:tcPr>
            <w:tcW w:w="3486" w:type="pct"/>
          </w:tcPr>
          <w:p w14:paraId="2AA1AA36" w14:textId="170BB34F" w:rsidR="00EC5266" w:rsidRPr="00EC5266" w:rsidRDefault="00EC5266" w:rsidP="00EC5266">
            <w:pPr>
              <w:pStyle w:val="TableBody"/>
            </w:pPr>
            <w:r w:rsidRPr="00EC5266">
              <w:t>85%</w:t>
            </w:r>
          </w:p>
        </w:tc>
      </w:tr>
      <w:tr w:rsidR="00EC5266" w:rsidRPr="00EC5266" w14:paraId="5BFAE11F" w14:textId="36EAA16F" w:rsidTr="00C35F26">
        <w:trPr>
          <w:trHeight w:val="288"/>
        </w:trPr>
        <w:tc>
          <w:tcPr>
            <w:tcW w:w="1514" w:type="pct"/>
            <w:noWrap/>
            <w:hideMark/>
          </w:tcPr>
          <w:p w14:paraId="5A070FED" w14:textId="77777777" w:rsidR="00EC5266" w:rsidRPr="00EC5266" w:rsidRDefault="00EC5266" w:rsidP="00EC5266">
            <w:pPr>
              <w:pStyle w:val="TableBody"/>
            </w:pPr>
            <w:r w:rsidRPr="00EC5266">
              <w:t>2023-24</w:t>
            </w:r>
          </w:p>
        </w:tc>
        <w:tc>
          <w:tcPr>
            <w:tcW w:w="3486" w:type="pct"/>
          </w:tcPr>
          <w:p w14:paraId="624000F4" w14:textId="4C71847B" w:rsidR="00EC5266" w:rsidRPr="00EC5266" w:rsidRDefault="00EC5266" w:rsidP="00EC5266">
            <w:pPr>
              <w:pStyle w:val="TableBody"/>
            </w:pPr>
            <w:r w:rsidRPr="00EC5266">
              <w:t>83%</w:t>
            </w:r>
          </w:p>
        </w:tc>
      </w:tr>
    </w:tbl>
    <w:p w14:paraId="789C3D09" w14:textId="77777777" w:rsidR="00A4454A" w:rsidRPr="008C1137" w:rsidRDefault="00A4454A" w:rsidP="00D4532A">
      <w:r w:rsidRPr="000C258A">
        <w:rPr>
          <w:rStyle w:val="Strong"/>
        </w:rPr>
        <w:t>Source</w:t>
      </w:r>
      <w:r w:rsidRPr="008C1137">
        <w:t>: Court Services Victoria, unpublished data</w:t>
      </w:r>
    </w:p>
    <w:p w14:paraId="1CDE89BE" w14:textId="77777777" w:rsidR="00A4454A" w:rsidRPr="008C1137" w:rsidRDefault="00A4454A" w:rsidP="00210207">
      <w:pPr>
        <w:pStyle w:val="Numbered"/>
      </w:pPr>
      <w:r w:rsidRPr="008C1137">
        <w:t xml:space="preserve">From 2016–17 to 2020–21, the proportion of people who were sentenced to imprisonment after spending any time on remand increased from 75% to 89%, dropping slightly since then to 83%. These increases and decreases track closely with similar increases and decreases in the unsentenced prisoner population. </w:t>
      </w:r>
    </w:p>
    <w:p w14:paraId="20570116" w14:textId="77777777" w:rsidR="00A4454A" w:rsidRPr="008C1137" w:rsidRDefault="00A4454A" w:rsidP="0002476E">
      <w:pPr>
        <w:pStyle w:val="Heading3"/>
      </w:pPr>
      <w:r w:rsidRPr="008C1137">
        <w:t>Number of time served prison sentences</w:t>
      </w:r>
    </w:p>
    <w:p w14:paraId="44D17246" w14:textId="77777777" w:rsidR="00A4454A" w:rsidRPr="008C1137" w:rsidRDefault="00A4454A" w:rsidP="00210207">
      <w:pPr>
        <w:pStyle w:val="Numbered"/>
      </w:pPr>
      <w:r w:rsidRPr="008C1137">
        <w:t xml:space="preserve">Figure 30 presents the number of custodial sentences imposed from 2016–17 to 2023–24 by whether imprisonment lengths were longer than, roughly equal to, or shorter than the time an offender spent on remand (as measured by the length of pre-sentence detention reckoned by the courts). Also included is the number of </w:t>
      </w:r>
      <w:r w:rsidRPr="008C1137">
        <w:lastRenderedPageBreak/>
        <w:t xml:space="preserve">custodial sentences in cases where there was no pre-sentence detention reckoned as time served. </w:t>
      </w:r>
    </w:p>
    <w:p w14:paraId="3219B3A2" w14:textId="77777777" w:rsidR="00A4454A" w:rsidRPr="008C1137" w:rsidRDefault="00A4454A" w:rsidP="00BE4EDC">
      <w:pPr>
        <w:pStyle w:val="Caption"/>
      </w:pPr>
      <w:r w:rsidRPr="00157502">
        <w:t>Figure 30</w:t>
      </w:r>
      <w:r w:rsidRPr="008C1137">
        <w:t>: All custodial sentences imposed, by whether imprisonment lengths were more than, less than or equal to the reckoned time spent on remand, all courts, 2016–17 to 2023–24</w:t>
      </w:r>
    </w:p>
    <w:tbl>
      <w:tblPr>
        <w:tblStyle w:val="Table"/>
        <w:tblW w:w="5000" w:type="pct"/>
        <w:tblLayout w:type="fixed"/>
        <w:tblLook w:val="04A0" w:firstRow="1" w:lastRow="0" w:firstColumn="1" w:lastColumn="0" w:noHBand="0" w:noVBand="1"/>
      </w:tblPr>
      <w:tblGrid>
        <w:gridCol w:w="1804"/>
        <w:gridCol w:w="1803"/>
        <w:gridCol w:w="1803"/>
        <w:gridCol w:w="1803"/>
        <w:gridCol w:w="1803"/>
      </w:tblGrid>
      <w:tr w:rsidR="002C46F0" w:rsidRPr="002C46F0" w14:paraId="027454DE" w14:textId="77777777" w:rsidTr="00E86E4B">
        <w:trPr>
          <w:trHeight w:val="288"/>
          <w:tblHeader/>
        </w:trPr>
        <w:tc>
          <w:tcPr>
            <w:tcW w:w="1000" w:type="pct"/>
            <w:noWrap/>
            <w:hideMark/>
          </w:tcPr>
          <w:p w14:paraId="765C48B3" w14:textId="7146932A" w:rsidR="002C46F0" w:rsidRPr="002C46F0" w:rsidRDefault="002C46F0" w:rsidP="002C46F0">
            <w:pPr>
              <w:pStyle w:val="TableHeading"/>
            </w:pPr>
            <w:r w:rsidRPr="00202025">
              <w:t>Financial year</w:t>
            </w:r>
          </w:p>
        </w:tc>
        <w:tc>
          <w:tcPr>
            <w:tcW w:w="1000" w:type="pct"/>
            <w:noWrap/>
            <w:hideMark/>
          </w:tcPr>
          <w:p w14:paraId="4D5DEF2A" w14:textId="77777777" w:rsidR="002C46F0" w:rsidRPr="002C46F0" w:rsidRDefault="002C46F0" w:rsidP="002C46F0">
            <w:pPr>
              <w:pStyle w:val="TableHeading"/>
            </w:pPr>
            <w:r w:rsidRPr="002C46F0">
              <w:t>No pre-sentence detention</w:t>
            </w:r>
          </w:p>
        </w:tc>
        <w:tc>
          <w:tcPr>
            <w:tcW w:w="1000" w:type="pct"/>
            <w:noWrap/>
            <w:hideMark/>
          </w:tcPr>
          <w:p w14:paraId="27AD0D14" w14:textId="77777777" w:rsidR="002C46F0" w:rsidRPr="002C46F0" w:rsidRDefault="002C46F0" w:rsidP="002C46F0">
            <w:pPr>
              <w:pStyle w:val="TableHeading"/>
            </w:pPr>
            <w:r w:rsidRPr="002C46F0">
              <w:t>Prison term more than time on remand</w:t>
            </w:r>
          </w:p>
        </w:tc>
        <w:tc>
          <w:tcPr>
            <w:tcW w:w="1000" w:type="pct"/>
            <w:noWrap/>
            <w:hideMark/>
          </w:tcPr>
          <w:p w14:paraId="34DB848B" w14:textId="77777777" w:rsidR="002C46F0" w:rsidRPr="002C46F0" w:rsidRDefault="002C46F0" w:rsidP="002C46F0">
            <w:pPr>
              <w:pStyle w:val="TableHeading"/>
            </w:pPr>
            <w:r w:rsidRPr="002C46F0">
              <w:t>Prison term equal to time on remand</w:t>
            </w:r>
          </w:p>
        </w:tc>
        <w:tc>
          <w:tcPr>
            <w:tcW w:w="1000" w:type="pct"/>
            <w:noWrap/>
            <w:hideMark/>
          </w:tcPr>
          <w:p w14:paraId="64789EE3" w14:textId="77777777" w:rsidR="002C46F0" w:rsidRPr="002C46F0" w:rsidRDefault="002C46F0" w:rsidP="002C46F0">
            <w:pPr>
              <w:pStyle w:val="TableHeading"/>
            </w:pPr>
            <w:r w:rsidRPr="002C46F0">
              <w:t>Prison term less than time on remand</w:t>
            </w:r>
          </w:p>
        </w:tc>
      </w:tr>
      <w:tr w:rsidR="002C46F0" w:rsidRPr="002C46F0" w14:paraId="3AA1243F" w14:textId="77777777" w:rsidTr="002C46F0">
        <w:trPr>
          <w:trHeight w:val="288"/>
        </w:trPr>
        <w:tc>
          <w:tcPr>
            <w:tcW w:w="1000" w:type="pct"/>
            <w:noWrap/>
            <w:hideMark/>
          </w:tcPr>
          <w:p w14:paraId="43E8796D" w14:textId="77777777" w:rsidR="002C46F0" w:rsidRPr="002C46F0" w:rsidRDefault="002C46F0" w:rsidP="002C46F0">
            <w:pPr>
              <w:pStyle w:val="TableBody"/>
            </w:pPr>
            <w:r w:rsidRPr="002C46F0">
              <w:t>2016-17</w:t>
            </w:r>
          </w:p>
        </w:tc>
        <w:tc>
          <w:tcPr>
            <w:tcW w:w="1000" w:type="pct"/>
            <w:noWrap/>
            <w:hideMark/>
          </w:tcPr>
          <w:p w14:paraId="48872DF4" w14:textId="77777777" w:rsidR="002C46F0" w:rsidRPr="002C46F0" w:rsidRDefault="002C46F0" w:rsidP="002C46F0">
            <w:pPr>
              <w:pStyle w:val="TableBody"/>
            </w:pPr>
            <w:r w:rsidRPr="002C46F0">
              <w:t>2,317</w:t>
            </w:r>
          </w:p>
        </w:tc>
        <w:tc>
          <w:tcPr>
            <w:tcW w:w="1000" w:type="pct"/>
            <w:noWrap/>
            <w:hideMark/>
          </w:tcPr>
          <w:p w14:paraId="04FAD4F1" w14:textId="77777777" w:rsidR="002C46F0" w:rsidRPr="002C46F0" w:rsidRDefault="002C46F0" w:rsidP="002C46F0">
            <w:pPr>
              <w:pStyle w:val="TableBody"/>
            </w:pPr>
            <w:r w:rsidRPr="002C46F0">
              <w:t>4,319</w:t>
            </w:r>
          </w:p>
        </w:tc>
        <w:tc>
          <w:tcPr>
            <w:tcW w:w="1000" w:type="pct"/>
            <w:noWrap/>
            <w:hideMark/>
          </w:tcPr>
          <w:p w14:paraId="25C7D939" w14:textId="77777777" w:rsidR="002C46F0" w:rsidRPr="002C46F0" w:rsidRDefault="002C46F0" w:rsidP="002C46F0">
            <w:pPr>
              <w:pStyle w:val="TableBody"/>
            </w:pPr>
            <w:r w:rsidRPr="002C46F0">
              <w:t>2,217</w:t>
            </w:r>
          </w:p>
        </w:tc>
        <w:tc>
          <w:tcPr>
            <w:tcW w:w="1000" w:type="pct"/>
            <w:noWrap/>
            <w:hideMark/>
          </w:tcPr>
          <w:p w14:paraId="7EE537F8" w14:textId="77777777" w:rsidR="002C46F0" w:rsidRPr="002C46F0" w:rsidRDefault="002C46F0" w:rsidP="002C46F0">
            <w:pPr>
              <w:pStyle w:val="TableBody"/>
            </w:pPr>
            <w:r w:rsidRPr="002C46F0">
              <w:t>280</w:t>
            </w:r>
          </w:p>
        </w:tc>
      </w:tr>
      <w:tr w:rsidR="002C46F0" w:rsidRPr="002C46F0" w14:paraId="51A2ED27" w14:textId="77777777" w:rsidTr="002C46F0">
        <w:trPr>
          <w:trHeight w:val="288"/>
        </w:trPr>
        <w:tc>
          <w:tcPr>
            <w:tcW w:w="1000" w:type="pct"/>
            <w:noWrap/>
            <w:hideMark/>
          </w:tcPr>
          <w:p w14:paraId="52F8682A" w14:textId="77777777" w:rsidR="002C46F0" w:rsidRPr="002C46F0" w:rsidRDefault="002C46F0" w:rsidP="002C46F0">
            <w:pPr>
              <w:pStyle w:val="TableBody"/>
            </w:pPr>
            <w:r w:rsidRPr="002C46F0">
              <w:t>2017-18</w:t>
            </w:r>
          </w:p>
        </w:tc>
        <w:tc>
          <w:tcPr>
            <w:tcW w:w="1000" w:type="pct"/>
            <w:noWrap/>
            <w:hideMark/>
          </w:tcPr>
          <w:p w14:paraId="1EC106F3" w14:textId="77777777" w:rsidR="002C46F0" w:rsidRPr="002C46F0" w:rsidRDefault="002C46F0" w:rsidP="002C46F0">
            <w:pPr>
              <w:pStyle w:val="TableBody"/>
            </w:pPr>
            <w:r w:rsidRPr="002C46F0">
              <w:t>2,367</w:t>
            </w:r>
          </w:p>
        </w:tc>
        <w:tc>
          <w:tcPr>
            <w:tcW w:w="1000" w:type="pct"/>
            <w:noWrap/>
            <w:hideMark/>
          </w:tcPr>
          <w:p w14:paraId="6E345D22" w14:textId="77777777" w:rsidR="002C46F0" w:rsidRPr="002C46F0" w:rsidRDefault="002C46F0" w:rsidP="002C46F0">
            <w:pPr>
              <w:pStyle w:val="TableBody"/>
            </w:pPr>
            <w:r w:rsidRPr="002C46F0">
              <w:t>4,461</w:t>
            </w:r>
          </w:p>
        </w:tc>
        <w:tc>
          <w:tcPr>
            <w:tcW w:w="1000" w:type="pct"/>
            <w:noWrap/>
            <w:hideMark/>
          </w:tcPr>
          <w:p w14:paraId="69E5DEC8" w14:textId="77777777" w:rsidR="002C46F0" w:rsidRPr="002C46F0" w:rsidRDefault="002C46F0" w:rsidP="002C46F0">
            <w:pPr>
              <w:pStyle w:val="TableBody"/>
            </w:pPr>
            <w:r w:rsidRPr="002C46F0">
              <w:t>2,246</w:t>
            </w:r>
          </w:p>
        </w:tc>
        <w:tc>
          <w:tcPr>
            <w:tcW w:w="1000" w:type="pct"/>
            <w:noWrap/>
            <w:hideMark/>
          </w:tcPr>
          <w:p w14:paraId="32A07B32" w14:textId="77777777" w:rsidR="002C46F0" w:rsidRPr="002C46F0" w:rsidRDefault="002C46F0" w:rsidP="002C46F0">
            <w:pPr>
              <w:pStyle w:val="TableBody"/>
            </w:pPr>
            <w:r w:rsidRPr="002C46F0">
              <w:t>360</w:t>
            </w:r>
          </w:p>
        </w:tc>
      </w:tr>
      <w:tr w:rsidR="002C46F0" w:rsidRPr="002C46F0" w14:paraId="1943FBF3" w14:textId="77777777" w:rsidTr="002C46F0">
        <w:trPr>
          <w:trHeight w:val="288"/>
        </w:trPr>
        <w:tc>
          <w:tcPr>
            <w:tcW w:w="1000" w:type="pct"/>
            <w:noWrap/>
            <w:hideMark/>
          </w:tcPr>
          <w:p w14:paraId="7270CFA6" w14:textId="77777777" w:rsidR="002C46F0" w:rsidRPr="002C46F0" w:rsidRDefault="002C46F0" w:rsidP="002C46F0">
            <w:pPr>
              <w:pStyle w:val="TableBody"/>
            </w:pPr>
            <w:r w:rsidRPr="002C46F0">
              <w:t>2018-19</w:t>
            </w:r>
          </w:p>
        </w:tc>
        <w:tc>
          <w:tcPr>
            <w:tcW w:w="1000" w:type="pct"/>
            <w:noWrap/>
            <w:hideMark/>
          </w:tcPr>
          <w:p w14:paraId="6CDB1561" w14:textId="77777777" w:rsidR="002C46F0" w:rsidRPr="002C46F0" w:rsidRDefault="002C46F0" w:rsidP="002C46F0">
            <w:pPr>
              <w:pStyle w:val="TableBody"/>
            </w:pPr>
            <w:r w:rsidRPr="002C46F0">
              <w:t>2,007</w:t>
            </w:r>
          </w:p>
        </w:tc>
        <w:tc>
          <w:tcPr>
            <w:tcW w:w="1000" w:type="pct"/>
            <w:noWrap/>
            <w:hideMark/>
          </w:tcPr>
          <w:p w14:paraId="2BD010AB" w14:textId="77777777" w:rsidR="002C46F0" w:rsidRPr="002C46F0" w:rsidRDefault="002C46F0" w:rsidP="002C46F0">
            <w:pPr>
              <w:pStyle w:val="TableBody"/>
            </w:pPr>
            <w:r w:rsidRPr="002C46F0">
              <w:t>5,195</w:t>
            </w:r>
          </w:p>
        </w:tc>
        <w:tc>
          <w:tcPr>
            <w:tcW w:w="1000" w:type="pct"/>
            <w:noWrap/>
            <w:hideMark/>
          </w:tcPr>
          <w:p w14:paraId="681C2F49" w14:textId="77777777" w:rsidR="002C46F0" w:rsidRPr="002C46F0" w:rsidRDefault="002C46F0" w:rsidP="002C46F0">
            <w:pPr>
              <w:pStyle w:val="TableBody"/>
            </w:pPr>
            <w:r w:rsidRPr="002C46F0">
              <w:t>3,499</w:t>
            </w:r>
          </w:p>
        </w:tc>
        <w:tc>
          <w:tcPr>
            <w:tcW w:w="1000" w:type="pct"/>
            <w:noWrap/>
            <w:hideMark/>
          </w:tcPr>
          <w:p w14:paraId="1C4EE215" w14:textId="77777777" w:rsidR="002C46F0" w:rsidRPr="002C46F0" w:rsidRDefault="002C46F0" w:rsidP="002C46F0">
            <w:pPr>
              <w:pStyle w:val="TableBody"/>
            </w:pPr>
            <w:r w:rsidRPr="002C46F0">
              <w:t>479</w:t>
            </w:r>
          </w:p>
        </w:tc>
      </w:tr>
      <w:tr w:rsidR="002C46F0" w:rsidRPr="002C46F0" w14:paraId="6593481B" w14:textId="77777777" w:rsidTr="002C46F0">
        <w:trPr>
          <w:trHeight w:val="288"/>
        </w:trPr>
        <w:tc>
          <w:tcPr>
            <w:tcW w:w="1000" w:type="pct"/>
            <w:noWrap/>
            <w:hideMark/>
          </w:tcPr>
          <w:p w14:paraId="60255538" w14:textId="77777777" w:rsidR="002C46F0" w:rsidRPr="002C46F0" w:rsidRDefault="002C46F0" w:rsidP="002C46F0">
            <w:pPr>
              <w:pStyle w:val="TableBody"/>
            </w:pPr>
            <w:r w:rsidRPr="002C46F0">
              <w:t>2019-20</w:t>
            </w:r>
          </w:p>
        </w:tc>
        <w:tc>
          <w:tcPr>
            <w:tcW w:w="1000" w:type="pct"/>
            <w:noWrap/>
            <w:hideMark/>
          </w:tcPr>
          <w:p w14:paraId="13432B2D" w14:textId="77777777" w:rsidR="002C46F0" w:rsidRPr="002C46F0" w:rsidRDefault="002C46F0" w:rsidP="002C46F0">
            <w:pPr>
              <w:pStyle w:val="TableBody"/>
            </w:pPr>
            <w:r w:rsidRPr="002C46F0">
              <w:t>1,565</w:t>
            </w:r>
          </w:p>
        </w:tc>
        <w:tc>
          <w:tcPr>
            <w:tcW w:w="1000" w:type="pct"/>
            <w:noWrap/>
            <w:hideMark/>
          </w:tcPr>
          <w:p w14:paraId="12DC0B0F" w14:textId="77777777" w:rsidR="002C46F0" w:rsidRPr="002C46F0" w:rsidRDefault="002C46F0" w:rsidP="002C46F0">
            <w:pPr>
              <w:pStyle w:val="TableBody"/>
            </w:pPr>
            <w:r w:rsidRPr="002C46F0">
              <w:t>4,985</w:t>
            </w:r>
          </w:p>
        </w:tc>
        <w:tc>
          <w:tcPr>
            <w:tcW w:w="1000" w:type="pct"/>
            <w:noWrap/>
            <w:hideMark/>
          </w:tcPr>
          <w:p w14:paraId="1EA0EA49" w14:textId="77777777" w:rsidR="002C46F0" w:rsidRPr="002C46F0" w:rsidRDefault="002C46F0" w:rsidP="002C46F0">
            <w:pPr>
              <w:pStyle w:val="TableBody"/>
            </w:pPr>
            <w:r w:rsidRPr="002C46F0">
              <w:t>3,810</w:t>
            </w:r>
          </w:p>
        </w:tc>
        <w:tc>
          <w:tcPr>
            <w:tcW w:w="1000" w:type="pct"/>
            <w:noWrap/>
            <w:hideMark/>
          </w:tcPr>
          <w:p w14:paraId="1E48AFF7" w14:textId="77777777" w:rsidR="002C46F0" w:rsidRPr="002C46F0" w:rsidRDefault="002C46F0" w:rsidP="002C46F0">
            <w:pPr>
              <w:pStyle w:val="TableBody"/>
            </w:pPr>
            <w:r w:rsidRPr="002C46F0">
              <w:t>481</w:t>
            </w:r>
          </w:p>
        </w:tc>
      </w:tr>
      <w:tr w:rsidR="002C46F0" w:rsidRPr="002C46F0" w14:paraId="16C45340" w14:textId="77777777" w:rsidTr="002C46F0">
        <w:trPr>
          <w:trHeight w:val="288"/>
        </w:trPr>
        <w:tc>
          <w:tcPr>
            <w:tcW w:w="1000" w:type="pct"/>
            <w:noWrap/>
            <w:hideMark/>
          </w:tcPr>
          <w:p w14:paraId="5E42288C" w14:textId="77777777" w:rsidR="002C46F0" w:rsidRPr="002C46F0" w:rsidRDefault="002C46F0" w:rsidP="002C46F0">
            <w:pPr>
              <w:pStyle w:val="TableBody"/>
            </w:pPr>
            <w:r w:rsidRPr="002C46F0">
              <w:t>2020-21</w:t>
            </w:r>
          </w:p>
        </w:tc>
        <w:tc>
          <w:tcPr>
            <w:tcW w:w="1000" w:type="pct"/>
            <w:noWrap/>
            <w:hideMark/>
          </w:tcPr>
          <w:p w14:paraId="2B1A5C8D" w14:textId="77777777" w:rsidR="002C46F0" w:rsidRPr="002C46F0" w:rsidRDefault="002C46F0" w:rsidP="002C46F0">
            <w:pPr>
              <w:pStyle w:val="TableBody"/>
            </w:pPr>
            <w:r w:rsidRPr="002C46F0">
              <w:t>1,018</w:t>
            </w:r>
          </w:p>
        </w:tc>
        <w:tc>
          <w:tcPr>
            <w:tcW w:w="1000" w:type="pct"/>
            <w:noWrap/>
            <w:hideMark/>
          </w:tcPr>
          <w:p w14:paraId="2D5D50F6" w14:textId="77777777" w:rsidR="002C46F0" w:rsidRPr="002C46F0" w:rsidRDefault="002C46F0" w:rsidP="002C46F0">
            <w:pPr>
              <w:pStyle w:val="TableBody"/>
            </w:pPr>
            <w:r w:rsidRPr="002C46F0">
              <w:t>4,462</w:t>
            </w:r>
          </w:p>
        </w:tc>
        <w:tc>
          <w:tcPr>
            <w:tcW w:w="1000" w:type="pct"/>
            <w:noWrap/>
            <w:hideMark/>
          </w:tcPr>
          <w:p w14:paraId="6FF7A8A2" w14:textId="77777777" w:rsidR="002C46F0" w:rsidRPr="002C46F0" w:rsidRDefault="002C46F0" w:rsidP="002C46F0">
            <w:pPr>
              <w:pStyle w:val="TableBody"/>
            </w:pPr>
            <w:r w:rsidRPr="002C46F0">
              <w:t>3,111</w:t>
            </w:r>
          </w:p>
        </w:tc>
        <w:tc>
          <w:tcPr>
            <w:tcW w:w="1000" w:type="pct"/>
            <w:noWrap/>
            <w:hideMark/>
          </w:tcPr>
          <w:p w14:paraId="0B0D42B2" w14:textId="77777777" w:rsidR="002C46F0" w:rsidRPr="002C46F0" w:rsidRDefault="002C46F0" w:rsidP="002C46F0">
            <w:pPr>
              <w:pStyle w:val="TableBody"/>
            </w:pPr>
            <w:r w:rsidRPr="002C46F0">
              <w:t>445</w:t>
            </w:r>
          </w:p>
        </w:tc>
      </w:tr>
      <w:tr w:rsidR="002C46F0" w:rsidRPr="002C46F0" w14:paraId="398A0FE3" w14:textId="77777777" w:rsidTr="002C46F0">
        <w:trPr>
          <w:trHeight w:val="288"/>
        </w:trPr>
        <w:tc>
          <w:tcPr>
            <w:tcW w:w="1000" w:type="pct"/>
            <w:noWrap/>
            <w:hideMark/>
          </w:tcPr>
          <w:p w14:paraId="04BA74A7" w14:textId="77777777" w:rsidR="002C46F0" w:rsidRPr="002C46F0" w:rsidRDefault="002C46F0" w:rsidP="002C46F0">
            <w:pPr>
              <w:pStyle w:val="TableBody"/>
            </w:pPr>
            <w:r w:rsidRPr="002C46F0">
              <w:t>2021-22</w:t>
            </w:r>
          </w:p>
        </w:tc>
        <w:tc>
          <w:tcPr>
            <w:tcW w:w="1000" w:type="pct"/>
            <w:noWrap/>
            <w:hideMark/>
          </w:tcPr>
          <w:p w14:paraId="0019D934" w14:textId="77777777" w:rsidR="002C46F0" w:rsidRPr="002C46F0" w:rsidRDefault="002C46F0" w:rsidP="002C46F0">
            <w:pPr>
              <w:pStyle w:val="TableBody"/>
            </w:pPr>
            <w:r w:rsidRPr="002C46F0">
              <w:t>1,077</w:t>
            </w:r>
          </w:p>
        </w:tc>
        <w:tc>
          <w:tcPr>
            <w:tcW w:w="1000" w:type="pct"/>
            <w:noWrap/>
            <w:hideMark/>
          </w:tcPr>
          <w:p w14:paraId="7AAE4BA5" w14:textId="77777777" w:rsidR="002C46F0" w:rsidRPr="002C46F0" w:rsidRDefault="002C46F0" w:rsidP="002C46F0">
            <w:pPr>
              <w:pStyle w:val="TableBody"/>
            </w:pPr>
            <w:r w:rsidRPr="002C46F0">
              <w:t>4,176</w:t>
            </w:r>
          </w:p>
        </w:tc>
        <w:tc>
          <w:tcPr>
            <w:tcW w:w="1000" w:type="pct"/>
            <w:noWrap/>
            <w:hideMark/>
          </w:tcPr>
          <w:p w14:paraId="0B98FC25" w14:textId="77777777" w:rsidR="002C46F0" w:rsidRPr="002C46F0" w:rsidRDefault="002C46F0" w:rsidP="002C46F0">
            <w:pPr>
              <w:pStyle w:val="TableBody"/>
            </w:pPr>
            <w:r w:rsidRPr="002C46F0">
              <w:t>2,945</w:t>
            </w:r>
          </w:p>
        </w:tc>
        <w:tc>
          <w:tcPr>
            <w:tcW w:w="1000" w:type="pct"/>
            <w:noWrap/>
            <w:hideMark/>
          </w:tcPr>
          <w:p w14:paraId="070DDAA8" w14:textId="77777777" w:rsidR="002C46F0" w:rsidRPr="002C46F0" w:rsidRDefault="002C46F0" w:rsidP="002C46F0">
            <w:pPr>
              <w:pStyle w:val="TableBody"/>
            </w:pPr>
            <w:r w:rsidRPr="002C46F0">
              <w:t>542</w:t>
            </w:r>
          </w:p>
        </w:tc>
      </w:tr>
      <w:tr w:rsidR="002C46F0" w:rsidRPr="002C46F0" w14:paraId="43217ACF" w14:textId="77777777" w:rsidTr="002C46F0">
        <w:trPr>
          <w:trHeight w:val="288"/>
        </w:trPr>
        <w:tc>
          <w:tcPr>
            <w:tcW w:w="1000" w:type="pct"/>
            <w:noWrap/>
            <w:hideMark/>
          </w:tcPr>
          <w:p w14:paraId="00903B6E" w14:textId="77777777" w:rsidR="002C46F0" w:rsidRPr="002C46F0" w:rsidRDefault="002C46F0" w:rsidP="002C46F0">
            <w:pPr>
              <w:pStyle w:val="TableBody"/>
            </w:pPr>
            <w:r w:rsidRPr="002C46F0">
              <w:t>2022-23</w:t>
            </w:r>
          </w:p>
        </w:tc>
        <w:tc>
          <w:tcPr>
            <w:tcW w:w="1000" w:type="pct"/>
            <w:noWrap/>
            <w:hideMark/>
          </w:tcPr>
          <w:p w14:paraId="384494C6" w14:textId="77777777" w:rsidR="002C46F0" w:rsidRPr="002C46F0" w:rsidRDefault="002C46F0" w:rsidP="002C46F0">
            <w:pPr>
              <w:pStyle w:val="TableBody"/>
            </w:pPr>
            <w:r w:rsidRPr="002C46F0">
              <w:t>1,299</w:t>
            </w:r>
          </w:p>
        </w:tc>
        <w:tc>
          <w:tcPr>
            <w:tcW w:w="1000" w:type="pct"/>
            <w:noWrap/>
            <w:hideMark/>
          </w:tcPr>
          <w:p w14:paraId="3A0C310B" w14:textId="77777777" w:rsidR="002C46F0" w:rsidRPr="002C46F0" w:rsidRDefault="002C46F0" w:rsidP="002C46F0">
            <w:pPr>
              <w:pStyle w:val="TableBody"/>
            </w:pPr>
            <w:r w:rsidRPr="002C46F0">
              <w:t>4,218</w:t>
            </w:r>
          </w:p>
        </w:tc>
        <w:tc>
          <w:tcPr>
            <w:tcW w:w="1000" w:type="pct"/>
            <w:noWrap/>
            <w:hideMark/>
          </w:tcPr>
          <w:p w14:paraId="00C25262" w14:textId="77777777" w:rsidR="002C46F0" w:rsidRPr="002C46F0" w:rsidRDefault="002C46F0" w:rsidP="002C46F0">
            <w:pPr>
              <w:pStyle w:val="TableBody"/>
            </w:pPr>
            <w:r w:rsidRPr="002C46F0">
              <w:t>2,812</w:t>
            </w:r>
          </w:p>
        </w:tc>
        <w:tc>
          <w:tcPr>
            <w:tcW w:w="1000" w:type="pct"/>
            <w:noWrap/>
            <w:hideMark/>
          </w:tcPr>
          <w:p w14:paraId="39DF35D8" w14:textId="77777777" w:rsidR="002C46F0" w:rsidRPr="002C46F0" w:rsidRDefault="002C46F0" w:rsidP="002C46F0">
            <w:pPr>
              <w:pStyle w:val="TableBody"/>
            </w:pPr>
            <w:r w:rsidRPr="002C46F0">
              <w:t>526</w:t>
            </w:r>
          </w:p>
        </w:tc>
      </w:tr>
      <w:tr w:rsidR="002C46F0" w:rsidRPr="002C46F0" w14:paraId="3E4F1B08" w14:textId="77777777" w:rsidTr="002C46F0">
        <w:trPr>
          <w:trHeight w:val="288"/>
        </w:trPr>
        <w:tc>
          <w:tcPr>
            <w:tcW w:w="1000" w:type="pct"/>
            <w:noWrap/>
            <w:hideMark/>
          </w:tcPr>
          <w:p w14:paraId="7671263F" w14:textId="77777777" w:rsidR="002C46F0" w:rsidRPr="002C46F0" w:rsidRDefault="002C46F0" w:rsidP="002C46F0">
            <w:pPr>
              <w:pStyle w:val="TableBody"/>
            </w:pPr>
            <w:r w:rsidRPr="002C46F0">
              <w:t>2023-24</w:t>
            </w:r>
          </w:p>
        </w:tc>
        <w:tc>
          <w:tcPr>
            <w:tcW w:w="1000" w:type="pct"/>
            <w:noWrap/>
            <w:hideMark/>
          </w:tcPr>
          <w:p w14:paraId="6DD530ED" w14:textId="77777777" w:rsidR="002C46F0" w:rsidRPr="002C46F0" w:rsidRDefault="002C46F0" w:rsidP="002C46F0">
            <w:pPr>
              <w:pStyle w:val="TableBody"/>
            </w:pPr>
            <w:r w:rsidRPr="002C46F0">
              <w:t>1,289</w:t>
            </w:r>
          </w:p>
        </w:tc>
        <w:tc>
          <w:tcPr>
            <w:tcW w:w="1000" w:type="pct"/>
            <w:noWrap/>
            <w:hideMark/>
          </w:tcPr>
          <w:p w14:paraId="26C2DF9F" w14:textId="77777777" w:rsidR="002C46F0" w:rsidRPr="002C46F0" w:rsidRDefault="002C46F0" w:rsidP="002C46F0">
            <w:pPr>
              <w:pStyle w:val="TableBody"/>
            </w:pPr>
            <w:r w:rsidRPr="002C46F0">
              <w:t>3,538</w:t>
            </w:r>
          </w:p>
        </w:tc>
        <w:tc>
          <w:tcPr>
            <w:tcW w:w="1000" w:type="pct"/>
            <w:noWrap/>
            <w:hideMark/>
          </w:tcPr>
          <w:p w14:paraId="1D09A36A" w14:textId="77777777" w:rsidR="002C46F0" w:rsidRPr="002C46F0" w:rsidRDefault="002C46F0" w:rsidP="002C46F0">
            <w:pPr>
              <w:pStyle w:val="TableBody"/>
            </w:pPr>
            <w:r w:rsidRPr="002C46F0">
              <w:t>2,125</w:t>
            </w:r>
          </w:p>
        </w:tc>
        <w:tc>
          <w:tcPr>
            <w:tcW w:w="1000" w:type="pct"/>
            <w:noWrap/>
            <w:hideMark/>
          </w:tcPr>
          <w:p w14:paraId="15CEEC62" w14:textId="77777777" w:rsidR="002C46F0" w:rsidRPr="002C46F0" w:rsidRDefault="002C46F0" w:rsidP="002C46F0">
            <w:pPr>
              <w:pStyle w:val="TableBody"/>
            </w:pPr>
            <w:r w:rsidRPr="002C46F0">
              <w:t>420</w:t>
            </w:r>
          </w:p>
        </w:tc>
      </w:tr>
    </w:tbl>
    <w:p w14:paraId="5528F4F3" w14:textId="77777777" w:rsidR="00A4454A" w:rsidRPr="008C1137" w:rsidRDefault="00A4454A" w:rsidP="00D4532A">
      <w:r w:rsidRPr="000C258A">
        <w:rPr>
          <w:rStyle w:val="Strong"/>
        </w:rPr>
        <w:t>Source</w:t>
      </w:r>
      <w:r w:rsidRPr="008C1137">
        <w:t>: Court Services Victoria, unpublished data</w:t>
      </w:r>
    </w:p>
    <w:p w14:paraId="1F49E50C" w14:textId="77777777" w:rsidR="00A4454A" w:rsidRPr="008C1137" w:rsidRDefault="00A4454A" w:rsidP="00210207">
      <w:pPr>
        <w:pStyle w:val="Numbered"/>
      </w:pPr>
      <w:r w:rsidRPr="008C1137">
        <w:t>For cases where an offender received a custodial sentence:</w:t>
      </w:r>
    </w:p>
    <w:p w14:paraId="70E4BDDF" w14:textId="77777777" w:rsidR="00A4454A" w:rsidRPr="008C1137" w:rsidRDefault="00A4454A" w:rsidP="008C1137">
      <w:pPr>
        <w:pStyle w:val="Bullets"/>
      </w:pPr>
      <w:r w:rsidRPr="003B3217">
        <w:rPr>
          <w:rStyle w:val="Italic"/>
        </w:rPr>
        <w:t>prison sentences with no time served on remand</w:t>
      </w:r>
      <w:r w:rsidRPr="008C1137">
        <w:t xml:space="preserve"> decreased by 48%, from 2,317 cases in 2016–17 to 1,289 cases in 2023–24</w:t>
      </w:r>
    </w:p>
    <w:p w14:paraId="1254FCEA" w14:textId="77777777" w:rsidR="00A4454A" w:rsidRPr="008C1137" w:rsidRDefault="00A4454A" w:rsidP="008C1137">
      <w:pPr>
        <w:pStyle w:val="Bullets"/>
      </w:pPr>
      <w:r w:rsidRPr="003B3217">
        <w:rPr>
          <w:rStyle w:val="Italic"/>
        </w:rPr>
        <w:t>prison sentences less than the time served on remand</w:t>
      </w:r>
      <w:r w:rsidRPr="008C1137">
        <w:t xml:space="preserve"> comprised the smallest proportion of all custodial sentences each year (between 3% and 6%). Despite the low proportions, this suggests that in the eight-year period, just over 3,500 offenders spent </w:t>
      </w:r>
      <w:r w:rsidRPr="003B3217">
        <w:rPr>
          <w:rStyle w:val="Italic"/>
        </w:rPr>
        <w:t>more</w:t>
      </w:r>
      <w:r w:rsidRPr="008C1137">
        <w:t xml:space="preserve"> time on remand than the ultimate sentence they received</w:t>
      </w:r>
      <w:r w:rsidRPr="008C1137">
        <w:rPr>
          <w:rStyle w:val="Superscript"/>
        </w:rPr>
        <w:footnoteReference w:id="124"/>
      </w:r>
      <w:r w:rsidRPr="008C1137">
        <w:t xml:space="preserve"> </w:t>
      </w:r>
    </w:p>
    <w:p w14:paraId="61775BDF" w14:textId="77777777" w:rsidR="00A4454A" w:rsidRPr="008C1137" w:rsidRDefault="00A4454A" w:rsidP="008C1137">
      <w:pPr>
        <w:pStyle w:val="Bullets"/>
      </w:pPr>
      <w:r w:rsidRPr="003B3217">
        <w:rPr>
          <w:rStyle w:val="Italic"/>
        </w:rPr>
        <w:t>prison sentences longer than the time served on remand</w:t>
      </w:r>
      <w:r w:rsidRPr="008C1137">
        <w:t xml:space="preserve"> comprised the largest proportion of custodial sentences, </w:t>
      </w:r>
      <w:r w:rsidRPr="008C1137">
        <w:lastRenderedPageBreak/>
        <w:t>ranging between 46% and 49% of all custodial sentences each year and</w:t>
      </w:r>
    </w:p>
    <w:p w14:paraId="3B0C6310" w14:textId="77777777" w:rsidR="00A4454A" w:rsidRPr="008C1137" w:rsidRDefault="00A4454A" w:rsidP="008C1137">
      <w:pPr>
        <w:pStyle w:val="Bullets"/>
      </w:pPr>
      <w:r w:rsidRPr="003B3217">
        <w:rPr>
          <w:rStyle w:val="Italic"/>
        </w:rPr>
        <w:t>prison sentences equal to the time served on remand</w:t>
      </w:r>
      <w:r w:rsidRPr="008C1137">
        <w:t xml:space="preserve"> fluctuated between 2,125 cases and 3,810 cases (peaking in 2019–20), or between 24% and 35% of all prison sentences. The number of time served prison sentences grew markedly in the 4 years to 2019–20, before showing a downward trend to 30 June 2024 (mirroring trends in the unsentenced prisoner population).</w:t>
      </w:r>
    </w:p>
    <w:p w14:paraId="6541299D" w14:textId="77777777" w:rsidR="00A4454A" w:rsidRPr="008C1137" w:rsidRDefault="00A4454A" w:rsidP="0002476E">
      <w:pPr>
        <w:pStyle w:val="Heading3"/>
      </w:pPr>
      <w:r w:rsidRPr="008C1137">
        <w:t>Lengths of time served prison sentences</w:t>
      </w:r>
    </w:p>
    <w:p w14:paraId="0FE64CD9" w14:textId="67C3BECD" w:rsidR="00A4454A" w:rsidRPr="008C1137" w:rsidRDefault="00A4454A" w:rsidP="00210207">
      <w:pPr>
        <w:pStyle w:val="Numbered"/>
      </w:pPr>
      <w:r w:rsidRPr="008C1137">
        <w:t>The vast majority of time served prison sentences depicted in Figure 30</w:t>
      </w:r>
      <w:r w:rsidR="009E33A5">
        <w:t xml:space="preserve"> </w:t>
      </w:r>
      <w:r w:rsidRPr="008C1137">
        <w:t>were imposed in the Magistrates’ Court (between 95% and 98% each year) and were very short in length.</w:t>
      </w:r>
      <w:r w:rsidRPr="008C1137">
        <w:rPr>
          <w:rStyle w:val="Superscript"/>
        </w:rPr>
        <w:footnoteReference w:id="125"/>
      </w:r>
      <w:r w:rsidRPr="008C1137">
        <w:t xml:space="preserve"> Over the eight-year period, the median length of time served prison sentences in the Magistrates’ Court ranged between 4 and 6 weeks (1.1 to 1.6 months). The median length of the few time served prison sentences imposed in the higher courts was longer, at between 2 and 5 months.</w:t>
      </w:r>
    </w:p>
    <w:p w14:paraId="111EC806" w14:textId="30BFB907" w:rsidR="00A4454A" w:rsidRPr="008C1137" w:rsidRDefault="00A4454A" w:rsidP="00210207">
      <w:pPr>
        <w:pStyle w:val="Numbered"/>
      </w:pPr>
      <w:r w:rsidRPr="008C1137">
        <w:t>Given that most time served prison sentences are very short in length, and short prison sentences make up the majority of custodial sentences imposed in Victorian courts (see Figure 18), Figure 31</w:t>
      </w:r>
      <w:r w:rsidR="009E33A5">
        <w:t xml:space="preserve"> </w:t>
      </w:r>
      <w:r w:rsidRPr="008C1137">
        <w:t xml:space="preserve">shows the proportion of </w:t>
      </w:r>
      <w:r w:rsidRPr="003B3217">
        <w:rPr>
          <w:rStyle w:val="Italic"/>
        </w:rPr>
        <w:t>short</w:t>
      </w:r>
      <w:r w:rsidRPr="008C1137">
        <w:t xml:space="preserve"> prison sentences (less than 6 months) that were </w:t>
      </w:r>
      <w:r w:rsidRPr="003B3217">
        <w:rPr>
          <w:rStyle w:val="Italic"/>
        </w:rPr>
        <w:t>time served</w:t>
      </w:r>
      <w:r w:rsidRPr="008C1137">
        <w:t xml:space="preserve"> prison sentences. This is important to examine because several jurisdictions have considered abolishing, or have actually abolished, short prison sentences, consistently defining them as </w:t>
      </w:r>
      <w:r w:rsidRPr="008C1137">
        <w:lastRenderedPageBreak/>
        <w:t>prison sentences of 6 months or less.</w:t>
      </w:r>
      <w:r w:rsidRPr="008C1137">
        <w:rPr>
          <w:rStyle w:val="Superscript"/>
        </w:rPr>
        <w:footnoteReference w:id="126"/>
      </w:r>
      <w:r w:rsidRPr="008C1137">
        <w:t xml:space="preserve"> In that context, it is useful to consider the composition of short sentences in Victoria, that is, how many do not require the offender to serve additional time in prison after sentence.</w:t>
      </w:r>
    </w:p>
    <w:p w14:paraId="64EC4194" w14:textId="77777777" w:rsidR="00A4454A" w:rsidRPr="008C1137" w:rsidRDefault="00A4454A" w:rsidP="00BE4EDC">
      <w:pPr>
        <w:pStyle w:val="Caption"/>
      </w:pPr>
      <w:r w:rsidRPr="00157502">
        <w:t>Figure 31</w:t>
      </w:r>
      <w:r w:rsidRPr="008C1137">
        <w:t>: Proportion of short prison sentences (less than 6 months) that were time served prison sentences, all courts, 2016–17 to 2023–24</w:t>
      </w:r>
    </w:p>
    <w:tbl>
      <w:tblPr>
        <w:tblStyle w:val="Table"/>
        <w:tblW w:w="5000" w:type="pct"/>
        <w:tblLayout w:type="fixed"/>
        <w:tblLook w:val="04A0" w:firstRow="1" w:lastRow="0" w:firstColumn="1" w:lastColumn="0" w:noHBand="0" w:noVBand="1"/>
      </w:tblPr>
      <w:tblGrid>
        <w:gridCol w:w="3005"/>
        <w:gridCol w:w="3005"/>
        <w:gridCol w:w="3006"/>
      </w:tblGrid>
      <w:tr w:rsidR="0047075C" w:rsidRPr="00447843" w14:paraId="4EA4998C" w14:textId="77777777" w:rsidTr="00F30354">
        <w:trPr>
          <w:trHeight w:val="20"/>
          <w:tblHeader/>
        </w:trPr>
        <w:tc>
          <w:tcPr>
            <w:tcW w:w="1666" w:type="pct"/>
            <w:noWrap/>
            <w:hideMark/>
          </w:tcPr>
          <w:p w14:paraId="365EBDC1" w14:textId="77777777" w:rsidR="0047075C" w:rsidRPr="00135288" w:rsidRDefault="0047075C" w:rsidP="002054FC">
            <w:pPr>
              <w:pStyle w:val="TableHeading"/>
            </w:pPr>
            <w:r w:rsidRPr="00135288">
              <w:t>Financial year</w:t>
            </w:r>
          </w:p>
        </w:tc>
        <w:tc>
          <w:tcPr>
            <w:tcW w:w="1666" w:type="pct"/>
          </w:tcPr>
          <w:p w14:paraId="006B5AC2" w14:textId="4BC5B27E" w:rsidR="0047075C" w:rsidRPr="00135288" w:rsidRDefault="0047075C" w:rsidP="002054FC">
            <w:pPr>
              <w:pStyle w:val="TableHeading"/>
            </w:pPr>
            <w:r>
              <w:t>Number</w:t>
            </w:r>
          </w:p>
        </w:tc>
        <w:tc>
          <w:tcPr>
            <w:tcW w:w="1667" w:type="pct"/>
            <w:noWrap/>
            <w:hideMark/>
          </w:tcPr>
          <w:p w14:paraId="6BA25BB2" w14:textId="1A45BCDE" w:rsidR="0047075C" w:rsidRPr="00135288" w:rsidRDefault="0047075C" w:rsidP="002054FC">
            <w:pPr>
              <w:pStyle w:val="TableHeading"/>
            </w:pPr>
            <w:r w:rsidRPr="00135288">
              <w:t>Proportion of sentences less than 6 months that were time served</w:t>
            </w:r>
          </w:p>
        </w:tc>
      </w:tr>
      <w:tr w:rsidR="0047075C" w:rsidRPr="00447843" w14:paraId="59E343F5" w14:textId="77777777" w:rsidTr="00397BEA">
        <w:trPr>
          <w:trHeight w:val="20"/>
        </w:trPr>
        <w:tc>
          <w:tcPr>
            <w:tcW w:w="1666" w:type="pct"/>
            <w:hideMark/>
          </w:tcPr>
          <w:p w14:paraId="1BA380A1" w14:textId="5F2C572D" w:rsidR="0047075C" w:rsidRPr="00135288" w:rsidRDefault="0047075C" w:rsidP="00906ADE">
            <w:pPr>
              <w:pStyle w:val="TableBody"/>
            </w:pPr>
            <w:r w:rsidRPr="00135288">
              <w:t>2016-17</w:t>
            </w:r>
          </w:p>
        </w:tc>
        <w:tc>
          <w:tcPr>
            <w:tcW w:w="1666" w:type="pct"/>
          </w:tcPr>
          <w:p w14:paraId="664994FA" w14:textId="175820E0" w:rsidR="0047075C" w:rsidRPr="00A85956" w:rsidRDefault="00782C9D" w:rsidP="00A85956">
            <w:pPr>
              <w:pStyle w:val="TableBody"/>
            </w:pPr>
            <w:r w:rsidRPr="00135288">
              <w:t>2,051</w:t>
            </w:r>
          </w:p>
        </w:tc>
        <w:tc>
          <w:tcPr>
            <w:tcW w:w="1667" w:type="pct"/>
            <w:noWrap/>
            <w:hideMark/>
          </w:tcPr>
          <w:p w14:paraId="6A8A6220" w14:textId="31856A3E" w:rsidR="0047075C" w:rsidRPr="00A85956" w:rsidRDefault="0047075C" w:rsidP="00A85956">
            <w:pPr>
              <w:pStyle w:val="TableBody"/>
            </w:pPr>
            <w:r w:rsidRPr="00A85956">
              <w:t>37%</w:t>
            </w:r>
          </w:p>
        </w:tc>
      </w:tr>
      <w:tr w:rsidR="0047075C" w:rsidRPr="00447843" w14:paraId="4A2A3D2A" w14:textId="77777777" w:rsidTr="00397BEA">
        <w:trPr>
          <w:trHeight w:val="20"/>
        </w:trPr>
        <w:tc>
          <w:tcPr>
            <w:tcW w:w="1666" w:type="pct"/>
            <w:hideMark/>
          </w:tcPr>
          <w:p w14:paraId="7EB30224" w14:textId="64CFEC7B" w:rsidR="0047075C" w:rsidRPr="00135288" w:rsidRDefault="0047075C" w:rsidP="00906ADE">
            <w:pPr>
              <w:pStyle w:val="TableBody"/>
            </w:pPr>
            <w:r w:rsidRPr="00135288">
              <w:t xml:space="preserve">2017-18 </w:t>
            </w:r>
          </w:p>
        </w:tc>
        <w:tc>
          <w:tcPr>
            <w:tcW w:w="1666" w:type="pct"/>
          </w:tcPr>
          <w:p w14:paraId="07C71A60" w14:textId="0B4FD4DB" w:rsidR="0047075C" w:rsidRPr="00A85956" w:rsidRDefault="00782C9D" w:rsidP="00A85956">
            <w:pPr>
              <w:pStyle w:val="TableBody"/>
            </w:pPr>
            <w:r w:rsidRPr="00135288">
              <w:t>2,117</w:t>
            </w:r>
          </w:p>
        </w:tc>
        <w:tc>
          <w:tcPr>
            <w:tcW w:w="1667" w:type="pct"/>
            <w:noWrap/>
            <w:hideMark/>
          </w:tcPr>
          <w:p w14:paraId="34660DC0" w14:textId="2FE538F7" w:rsidR="0047075C" w:rsidRPr="00A85956" w:rsidRDefault="0047075C" w:rsidP="00A85956">
            <w:pPr>
              <w:pStyle w:val="TableBody"/>
            </w:pPr>
            <w:r w:rsidRPr="00A85956">
              <w:t>36%</w:t>
            </w:r>
          </w:p>
        </w:tc>
      </w:tr>
      <w:tr w:rsidR="0047075C" w:rsidRPr="00447843" w14:paraId="3F914456" w14:textId="77777777" w:rsidTr="00397BEA">
        <w:trPr>
          <w:trHeight w:val="20"/>
        </w:trPr>
        <w:tc>
          <w:tcPr>
            <w:tcW w:w="1666" w:type="pct"/>
            <w:hideMark/>
          </w:tcPr>
          <w:p w14:paraId="517959DC" w14:textId="3CF128A6" w:rsidR="0047075C" w:rsidRPr="00135288" w:rsidRDefault="0047075C" w:rsidP="00906ADE">
            <w:pPr>
              <w:pStyle w:val="TableBody"/>
            </w:pPr>
            <w:r w:rsidRPr="00135288">
              <w:t xml:space="preserve">2018-19 </w:t>
            </w:r>
          </w:p>
        </w:tc>
        <w:tc>
          <w:tcPr>
            <w:tcW w:w="1666" w:type="pct"/>
          </w:tcPr>
          <w:p w14:paraId="77E04031" w14:textId="29DF3CFB" w:rsidR="0047075C" w:rsidRPr="00A85956" w:rsidRDefault="00782C9D" w:rsidP="00A85956">
            <w:pPr>
              <w:pStyle w:val="TableBody"/>
            </w:pPr>
            <w:r w:rsidRPr="00135288">
              <w:t>3,267</w:t>
            </w:r>
          </w:p>
        </w:tc>
        <w:tc>
          <w:tcPr>
            <w:tcW w:w="1667" w:type="pct"/>
            <w:noWrap/>
            <w:hideMark/>
          </w:tcPr>
          <w:p w14:paraId="37793273" w14:textId="7C4B82A7" w:rsidR="0047075C" w:rsidRPr="00A85956" w:rsidRDefault="0047075C" w:rsidP="00A85956">
            <w:pPr>
              <w:pStyle w:val="TableBody"/>
            </w:pPr>
            <w:r w:rsidRPr="00A85956">
              <w:t>44%</w:t>
            </w:r>
          </w:p>
        </w:tc>
      </w:tr>
      <w:tr w:rsidR="0047075C" w:rsidRPr="00447843" w14:paraId="34B8A676" w14:textId="77777777" w:rsidTr="00397BEA">
        <w:trPr>
          <w:trHeight w:val="20"/>
        </w:trPr>
        <w:tc>
          <w:tcPr>
            <w:tcW w:w="1666" w:type="pct"/>
            <w:hideMark/>
          </w:tcPr>
          <w:p w14:paraId="42F779EC" w14:textId="544FFC26" w:rsidR="0047075C" w:rsidRPr="00135288" w:rsidRDefault="0047075C" w:rsidP="00906ADE">
            <w:pPr>
              <w:pStyle w:val="TableBody"/>
            </w:pPr>
            <w:r w:rsidRPr="00135288">
              <w:t xml:space="preserve">2019-20 </w:t>
            </w:r>
          </w:p>
        </w:tc>
        <w:tc>
          <w:tcPr>
            <w:tcW w:w="1666" w:type="pct"/>
          </w:tcPr>
          <w:p w14:paraId="65B925C3" w14:textId="3445D39A" w:rsidR="0047075C" w:rsidRPr="00A85956" w:rsidRDefault="00782C9D" w:rsidP="00A85956">
            <w:pPr>
              <w:pStyle w:val="TableBody"/>
            </w:pPr>
            <w:r w:rsidRPr="00135288">
              <w:t>3,533</w:t>
            </w:r>
          </w:p>
        </w:tc>
        <w:tc>
          <w:tcPr>
            <w:tcW w:w="1667" w:type="pct"/>
            <w:noWrap/>
            <w:hideMark/>
          </w:tcPr>
          <w:p w14:paraId="2B0D350B" w14:textId="710B9DFF" w:rsidR="0047075C" w:rsidRPr="00A85956" w:rsidRDefault="0047075C" w:rsidP="00A85956">
            <w:pPr>
              <w:pStyle w:val="TableBody"/>
            </w:pPr>
            <w:r w:rsidRPr="00A85956">
              <w:t>49%</w:t>
            </w:r>
          </w:p>
        </w:tc>
      </w:tr>
      <w:tr w:rsidR="0047075C" w:rsidRPr="00447843" w14:paraId="23E3E868" w14:textId="77777777" w:rsidTr="00397BEA">
        <w:trPr>
          <w:trHeight w:val="20"/>
        </w:trPr>
        <w:tc>
          <w:tcPr>
            <w:tcW w:w="1666" w:type="pct"/>
            <w:hideMark/>
          </w:tcPr>
          <w:p w14:paraId="2AD6D0F0" w14:textId="25AA4CB6" w:rsidR="0047075C" w:rsidRPr="00135288" w:rsidRDefault="0047075C" w:rsidP="00906ADE">
            <w:pPr>
              <w:pStyle w:val="TableBody"/>
            </w:pPr>
            <w:r w:rsidRPr="00135288">
              <w:t xml:space="preserve">2020-21 </w:t>
            </w:r>
          </w:p>
        </w:tc>
        <w:tc>
          <w:tcPr>
            <w:tcW w:w="1666" w:type="pct"/>
          </w:tcPr>
          <w:p w14:paraId="651D559A" w14:textId="788212B6" w:rsidR="0047075C" w:rsidRPr="00A85956" w:rsidRDefault="00782C9D" w:rsidP="00A85956">
            <w:pPr>
              <w:pStyle w:val="TableBody"/>
            </w:pPr>
            <w:r w:rsidRPr="00135288">
              <w:t>2,939</w:t>
            </w:r>
          </w:p>
        </w:tc>
        <w:tc>
          <w:tcPr>
            <w:tcW w:w="1667" w:type="pct"/>
            <w:noWrap/>
            <w:hideMark/>
          </w:tcPr>
          <w:p w14:paraId="0E1A5963" w14:textId="0AEA99DC" w:rsidR="0047075C" w:rsidRPr="00A85956" w:rsidRDefault="0047075C" w:rsidP="00A85956">
            <w:pPr>
              <w:pStyle w:val="TableBody"/>
            </w:pPr>
            <w:r w:rsidRPr="00A85956">
              <w:t>47%</w:t>
            </w:r>
          </w:p>
        </w:tc>
      </w:tr>
      <w:tr w:rsidR="0047075C" w:rsidRPr="00447843" w14:paraId="693186EC" w14:textId="77777777" w:rsidTr="00397BEA">
        <w:trPr>
          <w:trHeight w:val="20"/>
        </w:trPr>
        <w:tc>
          <w:tcPr>
            <w:tcW w:w="1666" w:type="pct"/>
            <w:hideMark/>
          </w:tcPr>
          <w:p w14:paraId="7957B585" w14:textId="6833162A" w:rsidR="0047075C" w:rsidRPr="00135288" w:rsidRDefault="0047075C" w:rsidP="00906ADE">
            <w:pPr>
              <w:pStyle w:val="TableBody"/>
            </w:pPr>
            <w:r w:rsidRPr="00135288">
              <w:t xml:space="preserve">2021-22 </w:t>
            </w:r>
          </w:p>
        </w:tc>
        <w:tc>
          <w:tcPr>
            <w:tcW w:w="1666" w:type="pct"/>
          </w:tcPr>
          <w:p w14:paraId="44487A04" w14:textId="536CC3D9" w:rsidR="0047075C" w:rsidRPr="00A85956" w:rsidRDefault="00782C9D" w:rsidP="00A85956">
            <w:pPr>
              <w:pStyle w:val="TableBody"/>
            </w:pPr>
            <w:r w:rsidRPr="00135288">
              <w:t>2,670</w:t>
            </w:r>
          </w:p>
        </w:tc>
        <w:tc>
          <w:tcPr>
            <w:tcW w:w="1667" w:type="pct"/>
            <w:noWrap/>
            <w:hideMark/>
          </w:tcPr>
          <w:p w14:paraId="34DBA40E" w14:textId="3169D621" w:rsidR="0047075C" w:rsidRPr="00A85956" w:rsidRDefault="0047075C" w:rsidP="00A85956">
            <w:pPr>
              <w:pStyle w:val="TableBody"/>
            </w:pPr>
            <w:r w:rsidRPr="00A85956">
              <w:t>47%</w:t>
            </w:r>
          </w:p>
        </w:tc>
      </w:tr>
      <w:tr w:rsidR="0047075C" w:rsidRPr="00447843" w14:paraId="66E5063A" w14:textId="77777777" w:rsidTr="00397BEA">
        <w:trPr>
          <w:trHeight w:val="20"/>
        </w:trPr>
        <w:tc>
          <w:tcPr>
            <w:tcW w:w="1666" w:type="pct"/>
            <w:hideMark/>
          </w:tcPr>
          <w:p w14:paraId="2C1203C5" w14:textId="3AA5B157" w:rsidR="0047075C" w:rsidRPr="00135288" w:rsidRDefault="0047075C" w:rsidP="00906ADE">
            <w:pPr>
              <w:pStyle w:val="TableBody"/>
            </w:pPr>
            <w:r w:rsidRPr="00135288">
              <w:t xml:space="preserve">2022-23 </w:t>
            </w:r>
          </w:p>
        </w:tc>
        <w:tc>
          <w:tcPr>
            <w:tcW w:w="1666" w:type="pct"/>
          </w:tcPr>
          <w:p w14:paraId="15AD0166" w14:textId="62088384" w:rsidR="0047075C" w:rsidRPr="00A85956" w:rsidRDefault="00782C9D" w:rsidP="00A85956">
            <w:pPr>
              <w:pStyle w:val="TableBody"/>
            </w:pPr>
            <w:r w:rsidRPr="00135288">
              <w:t>2,588</w:t>
            </w:r>
          </w:p>
        </w:tc>
        <w:tc>
          <w:tcPr>
            <w:tcW w:w="1667" w:type="pct"/>
            <w:noWrap/>
            <w:hideMark/>
          </w:tcPr>
          <w:p w14:paraId="4A2775F5" w14:textId="2B7DD6FA" w:rsidR="0047075C" w:rsidRPr="00A85956" w:rsidRDefault="0047075C" w:rsidP="00A85956">
            <w:pPr>
              <w:pStyle w:val="TableBody"/>
            </w:pPr>
            <w:r w:rsidRPr="00A85956">
              <w:t>46%</w:t>
            </w:r>
          </w:p>
        </w:tc>
      </w:tr>
      <w:tr w:rsidR="0047075C" w:rsidRPr="00447843" w14:paraId="246AC58B" w14:textId="77777777" w:rsidTr="00397BEA">
        <w:trPr>
          <w:trHeight w:val="20"/>
        </w:trPr>
        <w:tc>
          <w:tcPr>
            <w:tcW w:w="1666" w:type="pct"/>
            <w:hideMark/>
          </w:tcPr>
          <w:p w14:paraId="7B2CD12F" w14:textId="7072CDC8" w:rsidR="0047075C" w:rsidRPr="00135288" w:rsidRDefault="0047075C" w:rsidP="00906ADE">
            <w:pPr>
              <w:pStyle w:val="TableBody"/>
            </w:pPr>
            <w:r w:rsidRPr="00135288">
              <w:t xml:space="preserve">2023-24 </w:t>
            </w:r>
          </w:p>
        </w:tc>
        <w:tc>
          <w:tcPr>
            <w:tcW w:w="1666" w:type="pct"/>
          </w:tcPr>
          <w:p w14:paraId="1CEF9DEC" w14:textId="3770CB0E" w:rsidR="0047075C" w:rsidRPr="00A85956" w:rsidRDefault="00782C9D" w:rsidP="00A85956">
            <w:pPr>
              <w:pStyle w:val="TableBody"/>
            </w:pPr>
            <w:r w:rsidRPr="00135288">
              <w:t>1,948</w:t>
            </w:r>
          </w:p>
        </w:tc>
        <w:tc>
          <w:tcPr>
            <w:tcW w:w="1667" w:type="pct"/>
            <w:noWrap/>
            <w:hideMark/>
          </w:tcPr>
          <w:p w14:paraId="0161EA6B" w14:textId="291B71F5" w:rsidR="0047075C" w:rsidRPr="00A85956" w:rsidRDefault="0047075C" w:rsidP="00A85956">
            <w:pPr>
              <w:pStyle w:val="TableBody"/>
            </w:pPr>
            <w:r w:rsidRPr="00A85956">
              <w:t>44%</w:t>
            </w:r>
          </w:p>
        </w:tc>
      </w:tr>
    </w:tbl>
    <w:p w14:paraId="55DEB7E3" w14:textId="77777777" w:rsidR="00A4454A" w:rsidRPr="008C1137" w:rsidRDefault="00A4454A" w:rsidP="00D4532A">
      <w:r w:rsidRPr="000C258A">
        <w:rPr>
          <w:rStyle w:val="Strong"/>
        </w:rPr>
        <w:t>Source</w:t>
      </w:r>
      <w:r w:rsidRPr="008C1137">
        <w:t>: Court Services Victoria, unpublished data</w:t>
      </w:r>
    </w:p>
    <w:p w14:paraId="5C4173AD" w14:textId="77777777" w:rsidR="00A4454A" w:rsidRPr="008C1137" w:rsidRDefault="00A4454A" w:rsidP="00210207">
      <w:pPr>
        <w:pStyle w:val="Numbered"/>
      </w:pPr>
      <w:r w:rsidRPr="008C1137">
        <w:t>Between 1 July 2016 and 30 June 2024, around 40% of short prison sentences (less than 6 months) were time served prison sentences, and this proportion grew over time (from 37% in 2016–17 to 44% in 2023–24), reaching a peak in 2019–20. Further, just over 31,000 prison sentences of less than 3 months were imposed during this eight-year period, and between 47% (in 2016–17) and 59% (in 2021–22) of those were time served prison sentences.</w:t>
      </w:r>
    </w:p>
    <w:p w14:paraId="55FFA97C" w14:textId="77777777" w:rsidR="00A4454A" w:rsidRPr="008C1137" w:rsidRDefault="00A4454A" w:rsidP="00210207">
      <w:pPr>
        <w:pStyle w:val="Numbered"/>
      </w:pPr>
      <w:r w:rsidRPr="008C1137">
        <w:t>Essentially, while there are fewer short prison sentences since a peak in 2020–21, a significant proportion of short prison sentences continue to be time served prison sentences.</w:t>
      </w:r>
    </w:p>
    <w:p w14:paraId="3356C56D" w14:textId="77777777" w:rsidR="00304763" w:rsidRPr="000C258A" w:rsidRDefault="00304763" w:rsidP="00B5476D">
      <w:pPr>
        <w:rPr>
          <w:rStyle w:val="Strong"/>
        </w:rPr>
      </w:pPr>
      <w:r w:rsidRPr="000C258A">
        <w:rPr>
          <w:rStyle w:val="Strong"/>
        </w:rPr>
        <w:t>40% of short prison sentences are time served prison sentences</w:t>
      </w:r>
    </w:p>
    <w:p w14:paraId="4C15DAA1" w14:textId="77777777" w:rsidR="00A4454A" w:rsidRPr="008C1137" w:rsidRDefault="00A4454A" w:rsidP="0002476E">
      <w:pPr>
        <w:pStyle w:val="Heading4"/>
      </w:pPr>
      <w:r w:rsidRPr="008C1137">
        <w:lastRenderedPageBreak/>
        <w:t>Time served prison sentences combined with community correction orders</w:t>
      </w:r>
    </w:p>
    <w:p w14:paraId="7D71317E" w14:textId="77777777" w:rsidR="00A4454A" w:rsidRPr="008C1137" w:rsidRDefault="00A4454A" w:rsidP="00210207">
      <w:pPr>
        <w:pStyle w:val="Numbered"/>
      </w:pPr>
      <w:r w:rsidRPr="008C1137">
        <w:t>Figure 32 presents the number of time served prison sentences by whether or not the offender was subject to a CCO after release from custody (that is, the number of combined orders). In 2016–17 and 2017–18, there were almost an identical number of time served prison sentences with and without a CCO. Subsequently, though, there was a marked increase in the number of time served prison sentences without a CCO (imprisonment-only sentences). In 2019–20, two-thirds of all time served prison sentences (66%) did not require the offender to serve a CCO on release from custody.</w:t>
      </w:r>
    </w:p>
    <w:p w14:paraId="7A84BB43" w14:textId="77777777" w:rsidR="00A4454A" w:rsidRPr="008C1137" w:rsidRDefault="00A4454A" w:rsidP="00BE4EDC">
      <w:pPr>
        <w:pStyle w:val="Caption"/>
      </w:pPr>
      <w:r w:rsidRPr="00157502">
        <w:t>Figure 32</w:t>
      </w:r>
      <w:r w:rsidRPr="008C1137">
        <w:t>: Time served prison sentences with and without a CCO, all courts, 2016–17 to 2023–24</w:t>
      </w:r>
    </w:p>
    <w:tbl>
      <w:tblPr>
        <w:tblStyle w:val="Table"/>
        <w:tblW w:w="5000" w:type="pct"/>
        <w:tblLayout w:type="fixed"/>
        <w:tblLook w:val="04A0" w:firstRow="1" w:lastRow="0" w:firstColumn="1" w:lastColumn="0" w:noHBand="0" w:noVBand="1"/>
      </w:tblPr>
      <w:tblGrid>
        <w:gridCol w:w="3005"/>
        <w:gridCol w:w="3005"/>
        <w:gridCol w:w="3006"/>
      </w:tblGrid>
      <w:tr w:rsidR="006B57B1" w:rsidRPr="006B57B1" w14:paraId="4BBC284C" w14:textId="77777777" w:rsidTr="00420238">
        <w:trPr>
          <w:trHeight w:val="288"/>
          <w:tblHeader/>
        </w:trPr>
        <w:tc>
          <w:tcPr>
            <w:tcW w:w="1666" w:type="pct"/>
            <w:noWrap/>
            <w:hideMark/>
          </w:tcPr>
          <w:p w14:paraId="59DA02C3" w14:textId="15FBD337" w:rsidR="006B57B1" w:rsidRPr="005841DD" w:rsidRDefault="00D814EB" w:rsidP="005841DD">
            <w:pPr>
              <w:pStyle w:val="TableHeading"/>
            </w:pPr>
            <w:r>
              <w:t>Financial year</w:t>
            </w:r>
          </w:p>
        </w:tc>
        <w:tc>
          <w:tcPr>
            <w:tcW w:w="1666" w:type="pct"/>
            <w:noWrap/>
            <w:hideMark/>
          </w:tcPr>
          <w:p w14:paraId="1BA8E0B0" w14:textId="77777777" w:rsidR="006B57B1" w:rsidRPr="005841DD" w:rsidRDefault="006B57B1" w:rsidP="005841DD">
            <w:pPr>
              <w:pStyle w:val="TableHeading"/>
            </w:pPr>
            <w:r w:rsidRPr="005841DD">
              <w:t>Time served prison sentence (imprisonment only)</w:t>
            </w:r>
          </w:p>
        </w:tc>
        <w:tc>
          <w:tcPr>
            <w:tcW w:w="1667" w:type="pct"/>
            <w:noWrap/>
            <w:hideMark/>
          </w:tcPr>
          <w:p w14:paraId="38C07E5B" w14:textId="77777777" w:rsidR="006B57B1" w:rsidRPr="005841DD" w:rsidRDefault="006B57B1" w:rsidP="005841DD">
            <w:pPr>
              <w:pStyle w:val="TableHeading"/>
            </w:pPr>
            <w:r w:rsidRPr="005841DD">
              <w:t>Time served prison sentence (combined with community order)</w:t>
            </w:r>
          </w:p>
        </w:tc>
      </w:tr>
      <w:tr w:rsidR="006B57B1" w:rsidRPr="006B57B1" w14:paraId="62A6CE7A" w14:textId="77777777" w:rsidTr="00420238">
        <w:trPr>
          <w:trHeight w:val="288"/>
        </w:trPr>
        <w:tc>
          <w:tcPr>
            <w:tcW w:w="1666" w:type="pct"/>
            <w:noWrap/>
            <w:hideMark/>
          </w:tcPr>
          <w:p w14:paraId="0C62D124" w14:textId="77777777" w:rsidR="006B57B1" w:rsidRPr="006B57B1" w:rsidRDefault="006B57B1" w:rsidP="00906ADE">
            <w:pPr>
              <w:pStyle w:val="TableBody"/>
            </w:pPr>
            <w:r w:rsidRPr="006B57B1">
              <w:t>2016-17</w:t>
            </w:r>
          </w:p>
        </w:tc>
        <w:tc>
          <w:tcPr>
            <w:tcW w:w="1666" w:type="pct"/>
            <w:noWrap/>
            <w:hideMark/>
          </w:tcPr>
          <w:p w14:paraId="45FE0A46" w14:textId="77777777" w:rsidR="006B57B1" w:rsidRPr="00A85956" w:rsidRDefault="006B57B1" w:rsidP="00A85956">
            <w:pPr>
              <w:pStyle w:val="TableBody"/>
            </w:pPr>
            <w:r w:rsidRPr="00A85956">
              <w:t>1,153</w:t>
            </w:r>
          </w:p>
        </w:tc>
        <w:tc>
          <w:tcPr>
            <w:tcW w:w="1667" w:type="pct"/>
            <w:noWrap/>
            <w:hideMark/>
          </w:tcPr>
          <w:p w14:paraId="3DDD021C" w14:textId="77777777" w:rsidR="006B57B1" w:rsidRPr="00A85956" w:rsidRDefault="006B57B1" w:rsidP="00A85956">
            <w:pPr>
              <w:pStyle w:val="TableBody"/>
            </w:pPr>
            <w:r w:rsidRPr="00A85956">
              <w:t>1,061</w:t>
            </w:r>
          </w:p>
        </w:tc>
      </w:tr>
      <w:tr w:rsidR="006B57B1" w:rsidRPr="006B57B1" w14:paraId="3B063CD8" w14:textId="77777777" w:rsidTr="00420238">
        <w:trPr>
          <w:trHeight w:val="288"/>
        </w:trPr>
        <w:tc>
          <w:tcPr>
            <w:tcW w:w="1666" w:type="pct"/>
            <w:noWrap/>
            <w:hideMark/>
          </w:tcPr>
          <w:p w14:paraId="344C0426" w14:textId="77777777" w:rsidR="006B57B1" w:rsidRPr="006B57B1" w:rsidRDefault="006B57B1" w:rsidP="00906ADE">
            <w:pPr>
              <w:pStyle w:val="TableBody"/>
            </w:pPr>
            <w:r w:rsidRPr="006B57B1">
              <w:t>2017-18</w:t>
            </w:r>
          </w:p>
        </w:tc>
        <w:tc>
          <w:tcPr>
            <w:tcW w:w="1666" w:type="pct"/>
            <w:noWrap/>
            <w:hideMark/>
          </w:tcPr>
          <w:p w14:paraId="6347F9DF" w14:textId="77777777" w:rsidR="006B57B1" w:rsidRPr="00A85956" w:rsidRDefault="006B57B1" w:rsidP="00A85956">
            <w:pPr>
              <w:pStyle w:val="TableBody"/>
            </w:pPr>
            <w:r w:rsidRPr="00A85956">
              <w:t>1,238</w:t>
            </w:r>
          </w:p>
        </w:tc>
        <w:tc>
          <w:tcPr>
            <w:tcW w:w="1667" w:type="pct"/>
            <w:noWrap/>
            <w:hideMark/>
          </w:tcPr>
          <w:p w14:paraId="5B49D892" w14:textId="77777777" w:rsidR="006B57B1" w:rsidRPr="00A85956" w:rsidRDefault="006B57B1" w:rsidP="00A85956">
            <w:pPr>
              <w:pStyle w:val="TableBody"/>
            </w:pPr>
            <w:r w:rsidRPr="00A85956">
              <w:t>1,007</w:t>
            </w:r>
          </w:p>
        </w:tc>
      </w:tr>
      <w:tr w:rsidR="006B57B1" w:rsidRPr="006B57B1" w14:paraId="25120335" w14:textId="77777777" w:rsidTr="00420238">
        <w:trPr>
          <w:trHeight w:val="288"/>
        </w:trPr>
        <w:tc>
          <w:tcPr>
            <w:tcW w:w="1666" w:type="pct"/>
            <w:noWrap/>
            <w:hideMark/>
          </w:tcPr>
          <w:p w14:paraId="79590235" w14:textId="77777777" w:rsidR="006B57B1" w:rsidRPr="006B57B1" w:rsidRDefault="006B57B1" w:rsidP="00906ADE">
            <w:pPr>
              <w:pStyle w:val="TableBody"/>
            </w:pPr>
            <w:r w:rsidRPr="006B57B1">
              <w:t>2018-19</w:t>
            </w:r>
          </w:p>
        </w:tc>
        <w:tc>
          <w:tcPr>
            <w:tcW w:w="1666" w:type="pct"/>
            <w:noWrap/>
            <w:hideMark/>
          </w:tcPr>
          <w:p w14:paraId="66B69FFD" w14:textId="77777777" w:rsidR="006B57B1" w:rsidRPr="00A85956" w:rsidRDefault="006B57B1" w:rsidP="00A85956">
            <w:pPr>
              <w:pStyle w:val="TableBody"/>
            </w:pPr>
            <w:r w:rsidRPr="00A85956">
              <w:t>2,159</w:t>
            </w:r>
          </w:p>
        </w:tc>
        <w:tc>
          <w:tcPr>
            <w:tcW w:w="1667" w:type="pct"/>
            <w:noWrap/>
            <w:hideMark/>
          </w:tcPr>
          <w:p w14:paraId="0724AD1E" w14:textId="77777777" w:rsidR="006B57B1" w:rsidRPr="00A85956" w:rsidRDefault="006B57B1" w:rsidP="00A85956">
            <w:pPr>
              <w:pStyle w:val="TableBody"/>
            </w:pPr>
            <w:r w:rsidRPr="00A85956">
              <w:t>1,339</w:t>
            </w:r>
          </w:p>
        </w:tc>
      </w:tr>
      <w:tr w:rsidR="006B57B1" w:rsidRPr="006B57B1" w14:paraId="702784DA" w14:textId="77777777" w:rsidTr="00420238">
        <w:trPr>
          <w:trHeight w:val="288"/>
        </w:trPr>
        <w:tc>
          <w:tcPr>
            <w:tcW w:w="1666" w:type="pct"/>
            <w:noWrap/>
            <w:hideMark/>
          </w:tcPr>
          <w:p w14:paraId="3F11E1A5" w14:textId="77777777" w:rsidR="006B57B1" w:rsidRPr="006B57B1" w:rsidRDefault="006B57B1" w:rsidP="00906ADE">
            <w:pPr>
              <w:pStyle w:val="TableBody"/>
            </w:pPr>
            <w:r w:rsidRPr="006B57B1">
              <w:t>2019-20</w:t>
            </w:r>
          </w:p>
        </w:tc>
        <w:tc>
          <w:tcPr>
            <w:tcW w:w="1666" w:type="pct"/>
            <w:noWrap/>
            <w:hideMark/>
          </w:tcPr>
          <w:p w14:paraId="2C0A452B" w14:textId="77777777" w:rsidR="006B57B1" w:rsidRPr="00A85956" w:rsidRDefault="006B57B1" w:rsidP="00A85956">
            <w:pPr>
              <w:pStyle w:val="TableBody"/>
            </w:pPr>
            <w:r w:rsidRPr="00A85956">
              <w:t>2,504</w:t>
            </w:r>
          </w:p>
        </w:tc>
        <w:tc>
          <w:tcPr>
            <w:tcW w:w="1667" w:type="pct"/>
            <w:noWrap/>
            <w:hideMark/>
          </w:tcPr>
          <w:p w14:paraId="210C4E60" w14:textId="77777777" w:rsidR="006B57B1" w:rsidRPr="00A85956" w:rsidRDefault="006B57B1" w:rsidP="00A85956">
            <w:pPr>
              <w:pStyle w:val="TableBody"/>
            </w:pPr>
            <w:r w:rsidRPr="00A85956">
              <w:t>1,306</w:t>
            </w:r>
          </w:p>
        </w:tc>
      </w:tr>
      <w:tr w:rsidR="006B57B1" w:rsidRPr="006B57B1" w14:paraId="1B157DBB" w14:textId="77777777" w:rsidTr="00420238">
        <w:trPr>
          <w:trHeight w:val="288"/>
        </w:trPr>
        <w:tc>
          <w:tcPr>
            <w:tcW w:w="1666" w:type="pct"/>
            <w:noWrap/>
            <w:hideMark/>
          </w:tcPr>
          <w:p w14:paraId="37208014" w14:textId="77777777" w:rsidR="006B57B1" w:rsidRPr="006B57B1" w:rsidRDefault="006B57B1" w:rsidP="00906ADE">
            <w:pPr>
              <w:pStyle w:val="TableBody"/>
            </w:pPr>
            <w:r w:rsidRPr="006B57B1">
              <w:t>2020-21</w:t>
            </w:r>
          </w:p>
        </w:tc>
        <w:tc>
          <w:tcPr>
            <w:tcW w:w="1666" w:type="pct"/>
            <w:noWrap/>
            <w:hideMark/>
          </w:tcPr>
          <w:p w14:paraId="74DE53DB" w14:textId="77777777" w:rsidR="006B57B1" w:rsidRPr="00A85956" w:rsidRDefault="006B57B1" w:rsidP="00A85956">
            <w:pPr>
              <w:pStyle w:val="TableBody"/>
            </w:pPr>
            <w:r w:rsidRPr="00A85956">
              <w:t>2,042</w:t>
            </w:r>
          </w:p>
        </w:tc>
        <w:tc>
          <w:tcPr>
            <w:tcW w:w="1667" w:type="pct"/>
            <w:noWrap/>
            <w:hideMark/>
          </w:tcPr>
          <w:p w14:paraId="1043FB89" w14:textId="77777777" w:rsidR="006B57B1" w:rsidRPr="00A85956" w:rsidRDefault="006B57B1" w:rsidP="00A85956">
            <w:pPr>
              <w:pStyle w:val="TableBody"/>
            </w:pPr>
            <w:r w:rsidRPr="00A85956">
              <w:t>1,069</w:t>
            </w:r>
          </w:p>
        </w:tc>
      </w:tr>
      <w:tr w:rsidR="006B57B1" w:rsidRPr="006B57B1" w14:paraId="654A2111" w14:textId="77777777" w:rsidTr="00420238">
        <w:trPr>
          <w:trHeight w:val="288"/>
        </w:trPr>
        <w:tc>
          <w:tcPr>
            <w:tcW w:w="1666" w:type="pct"/>
            <w:noWrap/>
            <w:hideMark/>
          </w:tcPr>
          <w:p w14:paraId="228522F0" w14:textId="77777777" w:rsidR="006B57B1" w:rsidRPr="006B57B1" w:rsidRDefault="006B57B1" w:rsidP="00906ADE">
            <w:pPr>
              <w:pStyle w:val="TableBody"/>
            </w:pPr>
            <w:r w:rsidRPr="006B57B1">
              <w:t>2021-22</w:t>
            </w:r>
          </w:p>
        </w:tc>
        <w:tc>
          <w:tcPr>
            <w:tcW w:w="1666" w:type="pct"/>
            <w:noWrap/>
            <w:hideMark/>
          </w:tcPr>
          <w:p w14:paraId="689A06E9" w14:textId="77777777" w:rsidR="006B57B1" w:rsidRPr="00A85956" w:rsidRDefault="006B57B1" w:rsidP="00A85956">
            <w:pPr>
              <w:pStyle w:val="TableBody"/>
            </w:pPr>
            <w:r w:rsidRPr="00A85956">
              <w:t>1,808</w:t>
            </w:r>
          </w:p>
        </w:tc>
        <w:tc>
          <w:tcPr>
            <w:tcW w:w="1667" w:type="pct"/>
            <w:noWrap/>
            <w:hideMark/>
          </w:tcPr>
          <w:p w14:paraId="7807FB8C" w14:textId="77777777" w:rsidR="006B57B1" w:rsidRPr="00A85956" w:rsidRDefault="006B57B1" w:rsidP="00A85956">
            <w:pPr>
              <w:pStyle w:val="TableBody"/>
            </w:pPr>
            <w:r w:rsidRPr="00A85956">
              <w:t>1,137</w:t>
            </w:r>
          </w:p>
        </w:tc>
      </w:tr>
      <w:tr w:rsidR="006B57B1" w:rsidRPr="006B57B1" w14:paraId="5AB471AF" w14:textId="77777777" w:rsidTr="00420238">
        <w:trPr>
          <w:trHeight w:val="288"/>
        </w:trPr>
        <w:tc>
          <w:tcPr>
            <w:tcW w:w="1666" w:type="pct"/>
            <w:noWrap/>
            <w:hideMark/>
          </w:tcPr>
          <w:p w14:paraId="67E38914" w14:textId="77777777" w:rsidR="006B57B1" w:rsidRPr="006B57B1" w:rsidRDefault="006B57B1" w:rsidP="00906ADE">
            <w:pPr>
              <w:pStyle w:val="TableBody"/>
            </w:pPr>
            <w:r w:rsidRPr="006B57B1">
              <w:t>2022-23</w:t>
            </w:r>
          </w:p>
        </w:tc>
        <w:tc>
          <w:tcPr>
            <w:tcW w:w="1666" w:type="pct"/>
            <w:noWrap/>
            <w:hideMark/>
          </w:tcPr>
          <w:p w14:paraId="1F0EA06E" w14:textId="77777777" w:rsidR="006B57B1" w:rsidRPr="00A85956" w:rsidRDefault="006B57B1" w:rsidP="00A85956">
            <w:pPr>
              <w:pStyle w:val="TableBody"/>
            </w:pPr>
            <w:r w:rsidRPr="00A85956">
              <w:t>1,815</w:t>
            </w:r>
          </w:p>
        </w:tc>
        <w:tc>
          <w:tcPr>
            <w:tcW w:w="1667" w:type="pct"/>
            <w:noWrap/>
            <w:hideMark/>
          </w:tcPr>
          <w:p w14:paraId="0F2D5F7A" w14:textId="77777777" w:rsidR="006B57B1" w:rsidRPr="00A85956" w:rsidRDefault="006B57B1" w:rsidP="00A85956">
            <w:pPr>
              <w:pStyle w:val="TableBody"/>
            </w:pPr>
            <w:r w:rsidRPr="00A85956">
              <w:t>997</w:t>
            </w:r>
          </w:p>
        </w:tc>
      </w:tr>
      <w:tr w:rsidR="006B57B1" w:rsidRPr="006B57B1" w14:paraId="2440ADAD" w14:textId="77777777" w:rsidTr="00420238">
        <w:trPr>
          <w:trHeight w:val="288"/>
        </w:trPr>
        <w:tc>
          <w:tcPr>
            <w:tcW w:w="1666" w:type="pct"/>
            <w:noWrap/>
            <w:hideMark/>
          </w:tcPr>
          <w:p w14:paraId="577A206A" w14:textId="77777777" w:rsidR="006B57B1" w:rsidRPr="006B57B1" w:rsidRDefault="006B57B1" w:rsidP="00906ADE">
            <w:pPr>
              <w:pStyle w:val="TableBody"/>
            </w:pPr>
            <w:r w:rsidRPr="006B57B1">
              <w:t>2023-24</w:t>
            </w:r>
          </w:p>
        </w:tc>
        <w:tc>
          <w:tcPr>
            <w:tcW w:w="1666" w:type="pct"/>
            <w:noWrap/>
            <w:hideMark/>
          </w:tcPr>
          <w:p w14:paraId="033A542F" w14:textId="77777777" w:rsidR="006B57B1" w:rsidRPr="00A85956" w:rsidRDefault="006B57B1" w:rsidP="00A85956">
            <w:pPr>
              <w:pStyle w:val="TableBody"/>
            </w:pPr>
            <w:r w:rsidRPr="00A85956">
              <w:t>1,326</w:t>
            </w:r>
          </w:p>
        </w:tc>
        <w:tc>
          <w:tcPr>
            <w:tcW w:w="1667" w:type="pct"/>
            <w:noWrap/>
            <w:hideMark/>
          </w:tcPr>
          <w:p w14:paraId="6FBC4219" w14:textId="77777777" w:rsidR="006B57B1" w:rsidRPr="00A85956" w:rsidRDefault="006B57B1" w:rsidP="00A85956">
            <w:pPr>
              <w:pStyle w:val="TableBody"/>
            </w:pPr>
            <w:r w:rsidRPr="00A85956">
              <w:t>799</w:t>
            </w:r>
          </w:p>
        </w:tc>
      </w:tr>
    </w:tbl>
    <w:p w14:paraId="10D5372E" w14:textId="77777777" w:rsidR="00A4454A" w:rsidRPr="008C1137" w:rsidRDefault="00A4454A" w:rsidP="00D4532A">
      <w:r w:rsidRPr="000C258A">
        <w:rPr>
          <w:rStyle w:val="Strong"/>
        </w:rPr>
        <w:t>Source</w:t>
      </w:r>
      <w:r w:rsidRPr="008C1137">
        <w:t>: Court Services Victoria, unpublished data</w:t>
      </w:r>
    </w:p>
    <w:p w14:paraId="5EB2A17F" w14:textId="77777777" w:rsidR="00A4454A" w:rsidRPr="008C1137" w:rsidRDefault="00A4454A" w:rsidP="0002476E">
      <w:pPr>
        <w:pStyle w:val="Heading2"/>
      </w:pPr>
      <w:r w:rsidRPr="008C1137">
        <w:t>Prison sentences imposed on female offenders</w:t>
      </w:r>
    </w:p>
    <w:p w14:paraId="05EA7169" w14:textId="77777777" w:rsidR="00A4454A" w:rsidRPr="008C1137" w:rsidRDefault="00A4454A" w:rsidP="00210207">
      <w:pPr>
        <w:pStyle w:val="Numbered"/>
      </w:pPr>
      <w:r w:rsidRPr="008C1137">
        <w:t>The analysis in this chapter has thus far considered custodial sentences imposed on all offenders during the 20-year period to 30 June 2024. However, the vast majority of cases (79%) and custodial sentences (91%) involved male offenders,</w:t>
      </w:r>
      <w:r w:rsidRPr="008C1137">
        <w:rPr>
          <w:rStyle w:val="Superscript"/>
        </w:rPr>
        <w:footnoteReference w:id="127"/>
      </w:r>
      <w:r w:rsidRPr="008C1137">
        <w:t xml:space="preserve"> meaning that the data relating to male offenders can drown out important information about female offenders who receive prison sentences. </w:t>
      </w:r>
    </w:p>
    <w:p w14:paraId="0E0D8EAE" w14:textId="77777777" w:rsidR="00A4454A" w:rsidRPr="008C1137" w:rsidRDefault="00A4454A" w:rsidP="00210207">
      <w:pPr>
        <w:pStyle w:val="Numbered"/>
      </w:pPr>
      <w:r w:rsidRPr="008C1137">
        <w:lastRenderedPageBreak/>
        <w:t>There exists a significant body of research that characterises the broad differences in the offending behaviour of men and women, in terms of both the nature of their offending and the prevalence of their offending.</w:t>
      </w:r>
      <w:r w:rsidRPr="008C1137">
        <w:rPr>
          <w:rStyle w:val="Superscript"/>
        </w:rPr>
        <w:footnoteReference w:id="128"/>
      </w:r>
      <w:r w:rsidRPr="008C1137">
        <w:t xml:space="preserve"> Therefore, this section uses sentencing data to examine the number and rate of custodial sentences imposed on female offenders, the average lengths of those custodial sentences, and the most common offences for which women were sentenced to imprisonment.</w:t>
      </w:r>
    </w:p>
    <w:p w14:paraId="39277244" w14:textId="561EEAA8" w:rsidR="00A4454A" w:rsidRPr="008C1137" w:rsidRDefault="00A4454A" w:rsidP="00210207">
      <w:pPr>
        <w:pStyle w:val="Numbered"/>
      </w:pPr>
      <w:r w:rsidRPr="008C1137">
        <w:t>Figure 33</w:t>
      </w:r>
      <w:r w:rsidR="009E33A5">
        <w:t xml:space="preserve"> </w:t>
      </w:r>
      <w:r w:rsidRPr="008C1137">
        <w:t xml:space="preserve">shows the number of custodial sentences imposed each year on male and female offenders. The number more than doubled for both between 2004–05 and 2018–19, with most of the growth occurring between 2014–15 and 2018–19 for female offenders, and between 2010–11 and 2018–19 for male offenders. From 2018–19 to 2023–24, though, the number of custodial sentences imposed on female offenders </w:t>
      </w:r>
      <w:r w:rsidRPr="003B3217">
        <w:rPr>
          <w:rStyle w:val="Italic"/>
        </w:rPr>
        <w:t>halved</w:t>
      </w:r>
      <w:r w:rsidRPr="008C1137">
        <w:t>, returning to levels not seen since 2013–14 (and only slightly higher than in 2004–05); in contrast, the number of custodial sentences imposed on male offenders also decreased during this period, but the levels remained significantly higher than in 2004–05.</w:t>
      </w:r>
    </w:p>
    <w:p w14:paraId="3FFE2687" w14:textId="77777777" w:rsidR="001D509C" w:rsidRPr="008C1137" w:rsidRDefault="001D509C" w:rsidP="00BE4EDC">
      <w:pPr>
        <w:pStyle w:val="Caption"/>
      </w:pPr>
      <w:r w:rsidRPr="00157502">
        <w:t>Figure 33</w:t>
      </w:r>
      <w:r w:rsidRPr="008C1137">
        <w:t>: Number of cases receiving a custodial sentence, by gender, all courts, 2004–05 to 2023–24</w:t>
      </w:r>
    </w:p>
    <w:tbl>
      <w:tblPr>
        <w:tblStyle w:val="Table"/>
        <w:tblW w:w="5000" w:type="pct"/>
        <w:tblLook w:val="04A0" w:firstRow="1" w:lastRow="0" w:firstColumn="1" w:lastColumn="0" w:noHBand="0" w:noVBand="1"/>
      </w:tblPr>
      <w:tblGrid>
        <w:gridCol w:w="3005"/>
        <w:gridCol w:w="3005"/>
        <w:gridCol w:w="3006"/>
      </w:tblGrid>
      <w:tr w:rsidR="002041B4" w:rsidRPr="002041B4" w14:paraId="43DA2432" w14:textId="77777777" w:rsidTr="00BB2076">
        <w:trPr>
          <w:trHeight w:val="288"/>
          <w:tblHeader/>
        </w:trPr>
        <w:tc>
          <w:tcPr>
            <w:tcW w:w="1666" w:type="pct"/>
            <w:noWrap/>
            <w:hideMark/>
          </w:tcPr>
          <w:p w14:paraId="49A7FE7D" w14:textId="77777777" w:rsidR="002041B4" w:rsidRPr="002041B4" w:rsidRDefault="002041B4" w:rsidP="002054FC">
            <w:pPr>
              <w:pStyle w:val="TableHeading"/>
            </w:pPr>
            <w:r w:rsidRPr="002041B4">
              <w:t>Financial year</w:t>
            </w:r>
          </w:p>
        </w:tc>
        <w:tc>
          <w:tcPr>
            <w:tcW w:w="1666" w:type="pct"/>
            <w:noWrap/>
            <w:hideMark/>
          </w:tcPr>
          <w:p w14:paraId="4CDAD03C" w14:textId="77777777" w:rsidR="002041B4" w:rsidRPr="005841DD" w:rsidRDefault="002041B4" w:rsidP="005841DD">
            <w:pPr>
              <w:pStyle w:val="TableHeading"/>
            </w:pPr>
            <w:r w:rsidRPr="005841DD">
              <w:t>Male</w:t>
            </w:r>
          </w:p>
        </w:tc>
        <w:tc>
          <w:tcPr>
            <w:tcW w:w="1667" w:type="pct"/>
            <w:noWrap/>
            <w:hideMark/>
          </w:tcPr>
          <w:p w14:paraId="01736AF0" w14:textId="77777777" w:rsidR="002041B4" w:rsidRPr="005841DD" w:rsidRDefault="002041B4" w:rsidP="005841DD">
            <w:pPr>
              <w:pStyle w:val="TableHeading"/>
            </w:pPr>
            <w:r w:rsidRPr="005841DD">
              <w:t>Female</w:t>
            </w:r>
          </w:p>
        </w:tc>
      </w:tr>
      <w:tr w:rsidR="002041B4" w:rsidRPr="002041B4" w14:paraId="22C16410" w14:textId="77777777" w:rsidTr="00BB2076">
        <w:trPr>
          <w:trHeight w:val="288"/>
        </w:trPr>
        <w:tc>
          <w:tcPr>
            <w:tcW w:w="1666" w:type="pct"/>
            <w:noWrap/>
            <w:hideMark/>
          </w:tcPr>
          <w:p w14:paraId="22AB760C" w14:textId="77777777" w:rsidR="002041B4" w:rsidRPr="002041B4" w:rsidRDefault="002041B4" w:rsidP="00906ADE">
            <w:pPr>
              <w:pStyle w:val="TableBody"/>
            </w:pPr>
            <w:r w:rsidRPr="002041B4">
              <w:t>2004-05</w:t>
            </w:r>
          </w:p>
        </w:tc>
        <w:tc>
          <w:tcPr>
            <w:tcW w:w="1666" w:type="pct"/>
            <w:noWrap/>
            <w:hideMark/>
          </w:tcPr>
          <w:p w14:paraId="26DC6E2C" w14:textId="77777777" w:rsidR="002041B4" w:rsidRPr="00A85956" w:rsidRDefault="002041B4" w:rsidP="00A85956">
            <w:pPr>
              <w:pStyle w:val="TableBody"/>
            </w:pPr>
            <w:r w:rsidRPr="00A85956">
              <w:t>4,794</w:t>
            </w:r>
          </w:p>
        </w:tc>
        <w:tc>
          <w:tcPr>
            <w:tcW w:w="1667" w:type="pct"/>
            <w:noWrap/>
            <w:hideMark/>
          </w:tcPr>
          <w:p w14:paraId="717B5038" w14:textId="77777777" w:rsidR="002041B4" w:rsidRPr="00A85956" w:rsidRDefault="002041B4" w:rsidP="00A85956">
            <w:pPr>
              <w:pStyle w:val="TableBody"/>
            </w:pPr>
            <w:r w:rsidRPr="00A85956">
              <w:t>523</w:t>
            </w:r>
          </w:p>
        </w:tc>
      </w:tr>
      <w:tr w:rsidR="002041B4" w:rsidRPr="002041B4" w14:paraId="1EC1C3C3" w14:textId="77777777" w:rsidTr="00BB2076">
        <w:trPr>
          <w:trHeight w:val="288"/>
        </w:trPr>
        <w:tc>
          <w:tcPr>
            <w:tcW w:w="1666" w:type="pct"/>
            <w:noWrap/>
            <w:hideMark/>
          </w:tcPr>
          <w:p w14:paraId="70288D0E" w14:textId="77777777" w:rsidR="002041B4" w:rsidRPr="002041B4" w:rsidRDefault="002041B4" w:rsidP="00906ADE">
            <w:pPr>
              <w:pStyle w:val="TableBody"/>
            </w:pPr>
            <w:r w:rsidRPr="002041B4">
              <w:t>2005-06</w:t>
            </w:r>
          </w:p>
        </w:tc>
        <w:tc>
          <w:tcPr>
            <w:tcW w:w="1666" w:type="pct"/>
            <w:noWrap/>
            <w:hideMark/>
          </w:tcPr>
          <w:p w14:paraId="5EB84AB8" w14:textId="77777777" w:rsidR="002041B4" w:rsidRPr="00A85956" w:rsidRDefault="002041B4" w:rsidP="00A85956">
            <w:pPr>
              <w:pStyle w:val="TableBody"/>
            </w:pPr>
            <w:r w:rsidRPr="00A85956">
              <w:t>4,889</w:t>
            </w:r>
          </w:p>
        </w:tc>
        <w:tc>
          <w:tcPr>
            <w:tcW w:w="1667" w:type="pct"/>
            <w:noWrap/>
            <w:hideMark/>
          </w:tcPr>
          <w:p w14:paraId="5F175FC4" w14:textId="77777777" w:rsidR="002041B4" w:rsidRPr="00A85956" w:rsidRDefault="002041B4" w:rsidP="00A85956">
            <w:pPr>
              <w:pStyle w:val="TableBody"/>
            </w:pPr>
            <w:r w:rsidRPr="00A85956">
              <w:t>466</w:t>
            </w:r>
          </w:p>
        </w:tc>
      </w:tr>
      <w:tr w:rsidR="002041B4" w:rsidRPr="002041B4" w14:paraId="68BDE7AF" w14:textId="77777777" w:rsidTr="00BB2076">
        <w:trPr>
          <w:trHeight w:val="288"/>
        </w:trPr>
        <w:tc>
          <w:tcPr>
            <w:tcW w:w="1666" w:type="pct"/>
            <w:noWrap/>
            <w:hideMark/>
          </w:tcPr>
          <w:p w14:paraId="0A7FD65A" w14:textId="77777777" w:rsidR="002041B4" w:rsidRPr="002041B4" w:rsidRDefault="002041B4" w:rsidP="00906ADE">
            <w:pPr>
              <w:pStyle w:val="TableBody"/>
            </w:pPr>
            <w:r w:rsidRPr="002041B4">
              <w:t>2006-07</w:t>
            </w:r>
          </w:p>
        </w:tc>
        <w:tc>
          <w:tcPr>
            <w:tcW w:w="1666" w:type="pct"/>
            <w:noWrap/>
            <w:hideMark/>
          </w:tcPr>
          <w:p w14:paraId="654EEB3F" w14:textId="77777777" w:rsidR="002041B4" w:rsidRPr="00A85956" w:rsidRDefault="002041B4" w:rsidP="00A85956">
            <w:pPr>
              <w:pStyle w:val="TableBody"/>
            </w:pPr>
            <w:r w:rsidRPr="00A85956">
              <w:t>4,910</w:t>
            </w:r>
          </w:p>
        </w:tc>
        <w:tc>
          <w:tcPr>
            <w:tcW w:w="1667" w:type="pct"/>
            <w:noWrap/>
            <w:hideMark/>
          </w:tcPr>
          <w:p w14:paraId="1FA3C4B4" w14:textId="77777777" w:rsidR="002041B4" w:rsidRPr="00A85956" w:rsidRDefault="002041B4" w:rsidP="00A85956">
            <w:pPr>
              <w:pStyle w:val="TableBody"/>
            </w:pPr>
            <w:r w:rsidRPr="00A85956">
              <w:t>422</w:t>
            </w:r>
          </w:p>
        </w:tc>
      </w:tr>
      <w:tr w:rsidR="002041B4" w:rsidRPr="002041B4" w14:paraId="3EBEC485" w14:textId="77777777" w:rsidTr="00BB2076">
        <w:trPr>
          <w:trHeight w:val="288"/>
        </w:trPr>
        <w:tc>
          <w:tcPr>
            <w:tcW w:w="1666" w:type="pct"/>
            <w:noWrap/>
            <w:hideMark/>
          </w:tcPr>
          <w:p w14:paraId="586E0A8D" w14:textId="77777777" w:rsidR="002041B4" w:rsidRPr="002041B4" w:rsidRDefault="002041B4" w:rsidP="00906ADE">
            <w:pPr>
              <w:pStyle w:val="TableBody"/>
            </w:pPr>
            <w:r w:rsidRPr="002041B4">
              <w:t>2007-08</w:t>
            </w:r>
          </w:p>
        </w:tc>
        <w:tc>
          <w:tcPr>
            <w:tcW w:w="1666" w:type="pct"/>
            <w:noWrap/>
            <w:hideMark/>
          </w:tcPr>
          <w:p w14:paraId="1097A53B" w14:textId="77777777" w:rsidR="002041B4" w:rsidRPr="00A85956" w:rsidRDefault="002041B4" w:rsidP="00A85956">
            <w:pPr>
              <w:pStyle w:val="TableBody"/>
            </w:pPr>
            <w:r w:rsidRPr="00A85956">
              <w:t>4,759</w:t>
            </w:r>
          </w:p>
        </w:tc>
        <w:tc>
          <w:tcPr>
            <w:tcW w:w="1667" w:type="pct"/>
            <w:noWrap/>
            <w:hideMark/>
          </w:tcPr>
          <w:p w14:paraId="24AA9264" w14:textId="77777777" w:rsidR="002041B4" w:rsidRPr="00A85956" w:rsidRDefault="002041B4" w:rsidP="00A85956">
            <w:pPr>
              <w:pStyle w:val="TableBody"/>
            </w:pPr>
            <w:r w:rsidRPr="00A85956">
              <w:t>470</w:t>
            </w:r>
          </w:p>
        </w:tc>
      </w:tr>
      <w:tr w:rsidR="002041B4" w:rsidRPr="002041B4" w14:paraId="3B642FA5" w14:textId="77777777" w:rsidTr="00BB2076">
        <w:trPr>
          <w:trHeight w:val="288"/>
        </w:trPr>
        <w:tc>
          <w:tcPr>
            <w:tcW w:w="1666" w:type="pct"/>
            <w:noWrap/>
            <w:hideMark/>
          </w:tcPr>
          <w:p w14:paraId="3785F304" w14:textId="77777777" w:rsidR="002041B4" w:rsidRPr="002041B4" w:rsidRDefault="002041B4" w:rsidP="00906ADE">
            <w:pPr>
              <w:pStyle w:val="TableBody"/>
            </w:pPr>
            <w:r w:rsidRPr="002041B4">
              <w:t>2008-09</w:t>
            </w:r>
          </w:p>
        </w:tc>
        <w:tc>
          <w:tcPr>
            <w:tcW w:w="1666" w:type="pct"/>
            <w:noWrap/>
            <w:hideMark/>
          </w:tcPr>
          <w:p w14:paraId="28C8ABFC" w14:textId="77777777" w:rsidR="002041B4" w:rsidRPr="00A85956" w:rsidRDefault="002041B4" w:rsidP="00A85956">
            <w:pPr>
              <w:pStyle w:val="TableBody"/>
            </w:pPr>
            <w:r w:rsidRPr="00A85956">
              <w:t>4,936</w:t>
            </w:r>
          </w:p>
        </w:tc>
        <w:tc>
          <w:tcPr>
            <w:tcW w:w="1667" w:type="pct"/>
            <w:noWrap/>
            <w:hideMark/>
          </w:tcPr>
          <w:p w14:paraId="357A999F" w14:textId="77777777" w:rsidR="002041B4" w:rsidRPr="00A85956" w:rsidRDefault="002041B4" w:rsidP="00A85956">
            <w:pPr>
              <w:pStyle w:val="TableBody"/>
            </w:pPr>
            <w:r w:rsidRPr="00A85956">
              <w:t>485</w:t>
            </w:r>
          </w:p>
        </w:tc>
      </w:tr>
      <w:tr w:rsidR="002041B4" w:rsidRPr="002041B4" w14:paraId="7745CC11" w14:textId="77777777" w:rsidTr="00BB2076">
        <w:trPr>
          <w:trHeight w:val="288"/>
        </w:trPr>
        <w:tc>
          <w:tcPr>
            <w:tcW w:w="1666" w:type="pct"/>
            <w:noWrap/>
            <w:hideMark/>
          </w:tcPr>
          <w:p w14:paraId="0D84A057" w14:textId="77777777" w:rsidR="002041B4" w:rsidRPr="002041B4" w:rsidRDefault="002041B4" w:rsidP="00906ADE">
            <w:pPr>
              <w:pStyle w:val="TableBody"/>
            </w:pPr>
            <w:r w:rsidRPr="002041B4">
              <w:t>2009-10</w:t>
            </w:r>
          </w:p>
        </w:tc>
        <w:tc>
          <w:tcPr>
            <w:tcW w:w="1666" w:type="pct"/>
            <w:noWrap/>
            <w:hideMark/>
          </w:tcPr>
          <w:p w14:paraId="3407E373" w14:textId="77777777" w:rsidR="002041B4" w:rsidRPr="00A85956" w:rsidRDefault="002041B4" w:rsidP="00A85956">
            <w:pPr>
              <w:pStyle w:val="TableBody"/>
            </w:pPr>
            <w:r w:rsidRPr="00A85956">
              <w:t>5,477</w:t>
            </w:r>
          </w:p>
        </w:tc>
        <w:tc>
          <w:tcPr>
            <w:tcW w:w="1667" w:type="pct"/>
            <w:noWrap/>
            <w:hideMark/>
          </w:tcPr>
          <w:p w14:paraId="2DAD954F" w14:textId="77777777" w:rsidR="002041B4" w:rsidRPr="00A85956" w:rsidRDefault="002041B4" w:rsidP="00A85956">
            <w:pPr>
              <w:pStyle w:val="TableBody"/>
            </w:pPr>
            <w:r w:rsidRPr="00A85956">
              <w:t>606</w:t>
            </w:r>
          </w:p>
        </w:tc>
      </w:tr>
      <w:tr w:rsidR="002041B4" w:rsidRPr="002041B4" w14:paraId="084BE652" w14:textId="77777777" w:rsidTr="00BB2076">
        <w:trPr>
          <w:trHeight w:val="288"/>
        </w:trPr>
        <w:tc>
          <w:tcPr>
            <w:tcW w:w="1666" w:type="pct"/>
            <w:noWrap/>
            <w:hideMark/>
          </w:tcPr>
          <w:p w14:paraId="4BB2963F" w14:textId="77777777" w:rsidR="002041B4" w:rsidRPr="002041B4" w:rsidRDefault="002041B4" w:rsidP="00906ADE">
            <w:pPr>
              <w:pStyle w:val="TableBody"/>
            </w:pPr>
            <w:r w:rsidRPr="002041B4">
              <w:t>2010-11</w:t>
            </w:r>
          </w:p>
        </w:tc>
        <w:tc>
          <w:tcPr>
            <w:tcW w:w="1666" w:type="pct"/>
            <w:noWrap/>
            <w:hideMark/>
          </w:tcPr>
          <w:p w14:paraId="1D3AC249" w14:textId="77777777" w:rsidR="002041B4" w:rsidRPr="00A85956" w:rsidRDefault="002041B4" w:rsidP="00A85956">
            <w:pPr>
              <w:pStyle w:val="TableBody"/>
            </w:pPr>
            <w:r w:rsidRPr="00A85956">
              <w:t>4,959</w:t>
            </w:r>
          </w:p>
        </w:tc>
        <w:tc>
          <w:tcPr>
            <w:tcW w:w="1667" w:type="pct"/>
            <w:noWrap/>
            <w:hideMark/>
          </w:tcPr>
          <w:p w14:paraId="723C245D" w14:textId="77777777" w:rsidR="002041B4" w:rsidRPr="00A85956" w:rsidRDefault="002041B4" w:rsidP="00A85956">
            <w:pPr>
              <w:pStyle w:val="TableBody"/>
            </w:pPr>
            <w:r w:rsidRPr="00A85956">
              <w:t>477</w:t>
            </w:r>
          </w:p>
        </w:tc>
      </w:tr>
      <w:tr w:rsidR="002041B4" w:rsidRPr="002041B4" w14:paraId="749D8554" w14:textId="77777777" w:rsidTr="00BB2076">
        <w:trPr>
          <w:trHeight w:val="288"/>
        </w:trPr>
        <w:tc>
          <w:tcPr>
            <w:tcW w:w="1666" w:type="pct"/>
            <w:noWrap/>
            <w:hideMark/>
          </w:tcPr>
          <w:p w14:paraId="62CF85DE" w14:textId="77777777" w:rsidR="002041B4" w:rsidRPr="002041B4" w:rsidRDefault="002041B4" w:rsidP="00906ADE">
            <w:pPr>
              <w:pStyle w:val="TableBody"/>
            </w:pPr>
            <w:r w:rsidRPr="002041B4">
              <w:t>2011-12</w:t>
            </w:r>
          </w:p>
        </w:tc>
        <w:tc>
          <w:tcPr>
            <w:tcW w:w="1666" w:type="pct"/>
            <w:noWrap/>
            <w:hideMark/>
          </w:tcPr>
          <w:p w14:paraId="4E4F8AB0" w14:textId="77777777" w:rsidR="002041B4" w:rsidRPr="00A85956" w:rsidRDefault="002041B4" w:rsidP="00A85956">
            <w:pPr>
              <w:pStyle w:val="TableBody"/>
            </w:pPr>
            <w:r w:rsidRPr="00A85956">
              <w:t>5,166</w:t>
            </w:r>
          </w:p>
        </w:tc>
        <w:tc>
          <w:tcPr>
            <w:tcW w:w="1667" w:type="pct"/>
            <w:noWrap/>
            <w:hideMark/>
          </w:tcPr>
          <w:p w14:paraId="5C885123" w14:textId="77777777" w:rsidR="002041B4" w:rsidRPr="00A85956" w:rsidRDefault="002041B4" w:rsidP="00A85956">
            <w:pPr>
              <w:pStyle w:val="TableBody"/>
            </w:pPr>
            <w:r w:rsidRPr="00A85956">
              <w:t>502</w:t>
            </w:r>
          </w:p>
        </w:tc>
      </w:tr>
      <w:tr w:rsidR="002041B4" w:rsidRPr="002041B4" w14:paraId="58CE5D69" w14:textId="77777777" w:rsidTr="00BB2076">
        <w:trPr>
          <w:trHeight w:val="288"/>
        </w:trPr>
        <w:tc>
          <w:tcPr>
            <w:tcW w:w="1666" w:type="pct"/>
            <w:noWrap/>
            <w:hideMark/>
          </w:tcPr>
          <w:p w14:paraId="5A10CAA5" w14:textId="77777777" w:rsidR="002041B4" w:rsidRPr="002041B4" w:rsidRDefault="002041B4" w:rsidP="00906ADE">
            <w:pPr>
              <w:pStyle w:val="TableBody"/>
            </w:pPr>
            <w:r w:rsidRPr="002041B4">
              <w:t>2012-13</w:t>
            </w:r>
          </w:p>
        </w:tc>
        <w:tc>
          <w:tcPr>
            <w:tcW w:w="1666" w:type="pct"/>
            <w:noWrap/>
            <w:hideMark/>
          </w:tcPr>
          <w:p w14:paraId="513B01C5" w14:textId="77777777" w:rsidR="002041B4" w:rsidRPr="00A85956" w:rsidRDefault="002041B4" w:rsidP="00A85956">
            <w:pPr>
              <w:pStyle w:val="TableBody"/>
            </w:pPr>
            <w:r w:rsidRPr="00A85956">
              <w:t>6,039</w:t>
            </w:r>
          </w:p>
        </w:tc>
        <w:tc>
          <w:tcPr>
            <w:tcW w:w="1667" w:type="pct"/>
            <w:noWrap/>
            <w:hideMark/>
          </w:tcPr>
          <w:p w14:paraId="5FBFB6A2" w14:textId="77777777" w:rsidR="002041B4" w:rsidRPr="00A85956" w:rsidRDefault="002041B4" w:rsidP="00A85956">
            <w:pPr>
              <w:pStyle w:val="TableBody"/>
            </w:pPr>
            <w:r w:rsidRPr="00A85956">
              <w:t>566</w:t>
            </w:r>
          </w:p>
        </w:tc>
      </w:tr>
      <w:tr w:rsidR="002041B4" w:rsidRPr="002041B4" w14:paraId="002A815D" w14:textId="77777777" w:rsidTr="00BB2076">
        <w:trPr>
          <w:trHeight w:val="288"/>
        </w:trPr>
        <w:tc>
          <w:tcPr>
            <w:tcW w:w="1666" w:type="pct"/>
            <w:noWrap/>
            <w:hideMark/>
          </w:tcPr>
          <w:p w14:paraId="7FE268F2" w14:textId="77777777" w:rsidR="002041B4" w:rsidRPr="002041B4" w:rsidRDefault="002041B4" w:rsidP="00906ADE">
            <w:pPr>
              <w:pStyle w:val="TableBody"/>
            </w:pPr>
            <w:r w:rsidRPr="002041B4">
              <w:lastRenderedPageBreak/>
              <w:t>2013-14</w:t>
            </w:r>
          </w:p>
        </w:tc>
        <w:tc>
          <w:tcPr>
            <w:tcW w:w="1666" w:type="pct"/>
            <w:noWrap/>
            <w:hideMark/>
          </w:tcPr>
          <w:p w14:paraId="2BE10A05" w14:textId="77777777" w:rsidR="002041B4" w:rsidRPr="00A85956" w:rsidRDefault="002041B4" w:rsidP="00A85956">
            <w:pPr>
              <w:pStyle w:val="TableBody"/>
            </w:pPr>
            <w:r w:rsidRPr="00A85956">
              <w:t>6,202</w:t>
            </w:r>
          </w:p>
        </w:tc>
        <w:tc>
          <w:tcPr>
            <w:tcW w:w="1667" w:type="pct"/>
            <w:noWrap/>
            <w:hideMark/>
          </w:tcPr>
          <w:p w14:paraId="734A3043" w14:textId="77777777" w:rsidR="002041B4" w:rsidRPr="00A85956" w:rsidRDefault="002041B4" w:rsidP="00A85956">
            <w:pPr>
              <w:pStyle w:val="TableBody"/>
            </w:pPr>
            <w:r w:rsidRPr="00A85956">
              <w:t>608</w:t>
            </w:r>
          </w:p>
        </w:tc>
      </w:tr>
      <w:tr w:rsidR="002041B4" w:rsidRPr="002041B4" w14:paraId="5D1D5D55" w14:textId="77777777" w:rsidTr="00BB2076">
        <w:trPr>
          <w:trHeight w:val="288"/>
        </w:trPr>
        <w:tc>
          <w:tcPr>
            <w:tcW w:w="1666" w:type="pct"/>
            <w:noWrap/>
            <w:hideMark/>
          </w:tcPr>
          <w:p w14:paraId="79B18C8C" w14:textId="77777777" w:rsidR="002041B4" w:rsidRPr="002041B4" w:rsidRDefault="002041B4" w:rsidP="00906ADE">
            <w:pPr>
              <w:pStyle w:val="TableBody"/>
            </w:pPr>
            <w:r w:rsidRPr="002041B4">
              <w:t>2014-15</w:t>
            </w:r>
          </w:p>
        </w:tc>
        <w:tc>
          <w:tcPr>
            <w:tcW w:w="1666" w:type="pct"/>
            <w:noWrap/>
            <w:hideMark/>
          </w:tcPr>
          <w:p w14:paraId="2B69C6CE" w14:textId="77777777" w:rsidR="002041B4" w:rsidRPr="00A85956" w:rsidRDefault="002041B4" w:rsidP="00A85956">
            <w:pPr>
              <w:pStyle w:val="TableBody"/>
            </w:pPr>
            <w:r w:rsidRPr="00A85956">
              <w:t>6,537</w:t>
            </w:r>
          </w:p>
        </w:tc>
        <w:tc>
          <w:tcPr>
            <w:tcW w:w="1667" w:type="pct"/>
            <w:noWrap/>
            <w:hideMark/>
          </w:tcPr>
          <w:p w14:paraId="13FC9CF0" w14:textId="77777777" w:rsidR="002041B4" w:rsidRPr="00A85956" w:rsidRDefault="002041B4" w:rsidP="00A85956">
            <w:pPr>
              <w:pStyle w:val="TableBody"/>
            </w:pPr>
            <w:r w:rsidRPr="00A85956">
              <w:t>625</w:t>
            </w:r>
          </w:p>
        </w:tc>
      </w:tr>
      <w:tr w:rsidR="002041B4" w:rsidRPr="002041B4" w14:paraId="5B515567" w14:textId="77777777" w:rsidTr="00BB2076">
        <w:trPr>
          <w:trHeight w:val="288"/>
        </w:trPr>
        <w:tc>
          <w:tcPr>
            <w:tcW w:w="1666" w:type="pct"/>
            <w:noWrap/>
            <w:hideMark/>
          </w:tcPr>
          <w:p w14:paraId="4A925DEB" w14:textId="77777777" w:rsidR="002041B4" w:rsidRPr="002041B4" w:rsidRDefault="002041B4" w:rsidP="00906ADE">
            <w:pPr>
              <w:pStyle w:val="TableBody"/>
            </w:pPr>
            <w:r w:rsidRPr="002041B4">
              <w:t>2015-16</w:t>
            </w:r>
          </w:p>
        </w:tc>
        <w:tc>
          <w:tcPr>
            <w:tcW w:w="1666" w:type="pct"/>
            <w:noWrap/>
            <w:hideMark/>
          </w:tcPr>
          <w:p w14:paraId="6C29EA9E" w14:textId="77777777" w:rsidR="002041B4" w:rsidRPr="00A85956" w:rsidRDefault="002041B4" w:rsidP="00A85956">
            <w:pPr>
              <w:pStyle w:val="TableBody"/>
            </w:pPr>
            <w:r w:rsidRPr="00A85956">
              <w:t>7,386</w:t>
            </w:r>
          </w:p>
        </w:tc>
        <w:tc>
          <w:tcPr>
            <w:tcW w:w="1667" w:type="pct"/>
            <w:noWrap/>
            <w:hideMark/>
          </w:tcPr>
          <w:p w14:paraId="1F1A9EF8" w14:textId="77777777" w:rsidR="002041B4" w:rsidRPr="00A85956" w:rsidRDefault="002041B4" w:rsidP="00A85956">
            <w:pPr>
              <w:pStyle w:val="TableBody"/>
            </w:pPr>
            <w:r w:rsidRPr="00A85956">
              <w:t>737</w:t>
            </w:r>
          </w:p>
        </w:tc>
      </w:tr>
      <w:tr w:rsidR="002041B4" w:rsidRPr="002041B4" w14:paraId="74A470B6" w14:textId="77777777" w:rsidTr="00BB2076">
        <w:trPr>
          <w:trHeight w:val="288"/>
        </w:trPr>
        <w:tc>
          <w:tcPr>
            <w:tcW w:w="1666" w:type="pct"/>
            <w:noWrap/>
            <w:hideMark/>
          </w:tcPr>
          <w:p w14:paraId="5A462AEE" w14:textId="77777777" w:rsidR="002041B4" w:rsidRPr="002041B4" w:rsidRDefault="002041B4" w:rsidP="00906ADE">
            <w:pPr>
              <w:pStyle w:val="TableBody"/>
            </w:pPr>
            <w:r w:rsidRPr="002041B4">
              <w:t>2016-17</w:t>
            </w:r>
          </w:p>
        </w:tc>
        <w:tc>
          <w:tcPr>
            <w:tcW w:w="1666" w:type="pct"/>
            <w:noWrap/>
            <w:hideMark/>
          </w:tcPr>
          <w:p w14:paraId="50E9D67C" w14:textId="77777777" w:rsidR="002041B4" w:rsidRPr="00A85956" w:rsidRDefault="002041B4" w:rsidP="00A85956">
            <w:pPr>
              <w:pStyle w:val="TableBody"/>
            </w:pPr>
            <w:r w:rsidRPr="00A85956">
              <w:t>8,229</w:t>
            </w:r>
          </w:p>
        </w:tc>
        <w:tc>
          <w:tcPr>
            <w:tcW w:w="1667" w:type="pct"/>
            <w:noWrap/>
            <w:hideMark/>
          </w:tcPr>
          <w:p w14:paraId="35D62DB6" w14:textId="77777777" w:rsidR="002041B4" w:rsidRPr="00A85956" w:rsidRDefault="002041B4" w:rsidP="00A85956">
            <w:pPr>
              <w:pStyle w:val="TableBody"/>
            </w:pPr>
            <w:r w:rsidRPr="00A85956">
              <w:t>904</w:t>
            </w:r>
          </w:p>
        </w:tc>
      </w:tr>
      <w:tr w:rsidR="002041B4" w:rsidRPr="002041B4" w14:paraId="3F491747" w14:textId="77777777" w:rsidTr="00BB2076">
        <w:trPr>
          <w:trHeight w:val="288"/>
        </w:trPr>
        <w:tc>
          <w:tcPr>
            <w:tcW w:w="1666" w:type="pct"/>
            <w:noWrap/>
            <w:hideMark/>
          </w:tcPr>
          <w:p w14:paraId="6384EEE6" w14:textId="77777777" w:rsidR="002041B4" w:rsidRPr="002041B4" w:rsidRDefault="002041B4" w:rsidP="00906ADE">
            <w:pPr>
              <w:pStyle w:val="TableBody"/>
            </w:pPr>
            <w:r w:rsidRPr="002041B4">
              <w:t>2017-18</w:t>
            </w:r>
          </w:p>
        </w:tc>
        <w:tc>
          <w:tcPr>
            <w:tcW w:w="1666" w:type="pct"/>
            <w:noWrap/>
            <w:hideMark/>
          </w:tcPr>
          <w:p w14:paraId="7DCDE643" w14:textId="77777777" w:rsidR="002041B4" w:rsidRPr="00A85956" w:rsidRDefault="002041B4" w:rsidP="00A85956">
            <w:pPr>
              <w:pStyle w:val="TableBody"/>
            </w:pPr>
            <w:r w:rsidRPr="00A85956">
              <w:t>8,437</w:t>
            </w:r>
          </w:p>
        </w:tc>
        <w:tc>
          <w:tcPr>
            <w:tcW w:w="1667" w:type="pct"/>
            <w:noWrap/>
            <w:hideMark/>
          </w:tcPr>
          <w:p w14:paraId="5F078A14" w14:textId="77777777" w:rsidR="002041B4" w:rsidRPr="00A85956" w:rsidRDefault="002041B4" w:rsidP="00A85956">
            <w:pPr>
              <w:pStyle w:val="TableBody"/>
            </w:pPr>
            <w:r w:rsidRPr="00A85956">
              <w:t>995</w:t>
            </w:r>
          </w:p>
        </w:tc>
      </w:tr>
      <w:tr w:rsidR="002041B4" w:rsidRPr="002041B4" w14:paraId="5D105F5A" w14:textId="77777777" w:rsidTr="00BB2076">
        <w:trPr>
          <w:trHeight w:val="288"/>
        </w:trPr>
        <w:tc>
          <w:tcPr>
            <w:tcW w:w="1666" w:type="pct"/>
            <w:noWrap/>
            <w:hideMark/>
          </w:tcPr>
          <w:p w14:paraId="720EDBDA" w14:textId="77777777" w:rsidR="002041B4" w:rsidRPr="002041B4" w:rsidRDefault="002041B4" w:rsidP="00906ADE">
            <w:pPr>
              <w:pStyle w:val="TableBody"/>
            </w:pPr>
            <w:r w:rsidRPr="002041B4">
              <w:t>2018-19</w:t>
            </w:r>
          </w:p>
        </w:tc>
        <w:tc>
          <w:tcPr>
            <w:tcW w:w="1666" w:type="pct"/>
            <w:noWrap/>
            <w:hideMark/>
          </w:tcPr>
          <w:p w14:paraId="3F152AF6" w14:textId="77777777" w:rsidR="002041B4" w:rsidRPr="00A85956" w:rsidRDefault="002041B4" w:rsidP="00A85956">
            <w:pPr>
              <w:pStyle w:val="TableBody"/>
            </w:pPr>
            <w:r w:rsidRPr="00A85956">
              <w:t>9,936</w:t>
            </w:r>
          </w:p>
        </w:tc>
        <w:tc>
          <w:tcPr>
            <w:tcW w:w="1667" w:type="pct"/>
            <w:noWrap/>
            <w:hideMark/>
          </w:tcPr>
          <w:p w14:paraId="2A1E0772" w14:textId="77777777" w:rsidR="002041B4" w:rsidRPr="00A85956" w:rsidRDefault="002041B4" w:rsidP="00A85956">
            <w:pPr>
              <w:pStyle w:val="TableBody"/>
            </w:pPr>
            <w:r w:rsidRPr="00A85956">
              <w:t>1,226</w:t>
            </w:r>
          </w:p>
        </w:tc>
      </w:tr>
      <w:tr w:rsidR="002041B4" w:rsidRPr="002041B4" w14:paraId="710A3F4B" w14:textId="77777777" w:rsidTr="00BB2076">
        <w:trPr>
          <w:trHeight w:val="288"/>
        </w:trPr>
        <w:tc>
          <w:tcPr>
            <w:tcW w:w="1666" w:type="pct"/>
            <w:noWrap/>
            <w:hideMark/>
          </w:tcPr>
          <w:p w14:paraId="5826EFB6" w14:textId="77777777" w:rsidR="002041B4" w:rsidRPr="002041B4" w:rsidRDefault="002041B4" w:rsidP="00906ADE">
            <w:pPr>
              <w:pStyle w:val="TableBody"/>
            </w:pPr>
            <w:r w:rsidRPr="002041B4">
              <w:t>2019-20</w:t>
            </w:r>
          </w:p>
        </w:tc>
        <w:tc>
          <w:tcPr>
            <w:tcW w:w="1666" w:type="pct"/>
            <w:noWrap/>
            <w:hideMark/>
          </w:tcPr>
          <w:p w14:paraId="68C70829" w14:textId="77777777" w:rsidR="002041B4" w:rsidRPr="00A85956" w:rsidRDefault="002041B4" w:rsidP="00A85956">
            <w:pPr>
              <w:pStyle w:val="TableBody"/>
            </w:pPr>
            <w:r w:rsidRPr="00A85956">
              <w:t>9,764</w:t>
            </w:r>
          </w:p>
        </w:tc>
        <w:tc>
          <w:tcPr>
            <w:tcW w:w="1667" w:type="pct"/>
            <w:noWrap/>
            <w:hideMark/>
          </w:tcPr>
          <w:p w14:paraId="3690EE14" w14:textId="77777777" w:rsidR="002041B4" w:rsidRPr="00A85956" w:rsidRDefault="002041B4" w:rsidP="00A85956">
            <w:pPr>
              <w:pStyle w:val="TableBody"/>
            </w:pPr>
            <w:r w:rsidRPr="00A85956">
              <w:t>1,074</w:t>
            </w:r>
          </w:p>
        </w:tc>
      </w:tr>
      <w:tr w:rsidR="002041B4" w:rsidRPr="002041B4" w14:paraId="0027A7C7" w14:textId="77777777" w:rsidTr="00BB2076">
        <w:trPr>
          <w:trHeight w:val="288"/>
        </w:trPr>
        <w:tc>
          <w:tcPr>
            <w:tcW w:w="1666" w:type="pct"/>
            <w:noWrap/>
            <w:hideMark/>
          </w:tcPr>
          <w:p w14:paraId="312B0BC5" w14:textId="77777777" w:rsidR="002041B4" w:rsidRPr="002041B4" w:rsidRDefault="002041B4" w:rsidP="00906ADE">
            <w:pPr>
              <w:pStyle w:val="TableBody"/>
            </w:pPr>
            <w:r w:rsidRPr="002041B4">
              <w:t>2020-21</w:t>
            </w:r>
          </w:p>
        </w:tc>
        <w:tc>
          <w:tcPr>
            <w:tcW w:w="1666" w:type="pct"/>
            <w:noWrap/>
            <w:hideMark/>
          </w:tcPr>
          <w:p w14:paraId="5B6F5137" w14:textId="77777777" w:rsidR="002041B4" w:rsidRPr="00A85956" w:rsidRDefault="002041B4" w:rsidP="00A85956">
            <w:pPr>
              <w:pStyle w:val="TableBody"/>
            </w:pPr>
            <w:r w:rsidRPr="00A85956">
              <w:t>8,160</w:t>
            </w:r>
          </w:p>
        </w:tc>
        <w:tc>
          <w:tcPr>
            <w:tcW w:w="1667" w:type="pct"/>
            <w:noWrap/>
            <w:hideMark/>
          </w:tcPr>
          <w:p w14:paraId="588BA437" w14:textId="77777777" w:rsidR="002041B4" w:rsidRPr="00A85956" w:rsidRDefault="002041B4" w:rsidP="00A85956">
            <w:pPr>
              <w:pStyle w:val="TableBody"/>
            </w:pPr>
            <w:r w:rsidRPr="00A85956">
              <w:t>871</w:t>
            </w:r>
          </w:p>
        </w:tc>
      </w:tr>
      <w:tr w:rsidR="002041B4" w:rsidRPr="002041B4" w14:paraId="6653305F" w14:textId="77777777" w:rsidTr="00BB2076">
        <w:trPr>
          <w:trHeight w:val="288"/>
        </w:trPr>
        <w:tc>
          <w:tcPr>
            <w:tcW w:w="1666" w:type="pct"/>
            <w:noWrap/>
            <w:hideMark/>
          </w:tcPr>
          <w:p w14:paraId="0C5C2FF3" w14:textId="77777777" w:rsidR="002041B4" w:rsidRPr="002041B4" w:rsidRDefault="002041B4" w:rsidP="00906ADE">
            <w:pPr>
              <w:pStyle w:val="TableBody"/>
            </w:pPr>
            <w:r w:rsidRPr="002041B4">
              <w:t>2021-22</w:t>
            </w:r>
          </w:p>
        </w:tc>
        <w:tc>
          <w:tcPr>
            <w:tcW w:w="1666" w:type="pct"/>
            <w:noWrap/>
            <w:hideMark/>
          </w:tcPr>
          <w:p w14:paraId="47A828AA" w14:textId="77777777" w:rsidR="002041B4" w:rsidRPr="00A85956" w:rsidRDefault="002041B4" w:rsidP="00A85956">
            <w:pPr>
              <w:pStyle w:val="TableBody"/>
            </w:pPr>
            <w:r w:rsidRPr="00A85956">
              <w:t>7,986</w:t>
            </w:r>
          </w:p>
        </w:tc>
        <w:tc>
          <w:tcPr>
            <w:tcW w:w="1667" w:type="pct"/>
            <w:noWrap/>
            <w:hideMark/>
          </w:tcPr>
          <w:p w14:paraId="192CCA22" w14:textId="77777777" w:rsidR="002041B4" w:rsidRPr="00A85956" w:rsidRDefault="002041B4" w:rsidP="00A85956">
            <w:pPr>
              <w:pStyle w:val="TableBody"/>
            </w:pPr>
            <w:r w:rsidRPr="00A85956">
              <w:t>748</w:t>
            </w:r>
          </w:p>
        </w:tc>
      </w:tr>
      <w:tr w:rsidR="002041B4" w:rsidRPr="002041B4" w14:paraId="07899F53" w14:textId="77777777" w:rsidTr="00BB2076">
        <w:trPr>
          <w:trHeight w:val="288"/>
        </w:trPr>
        <w:tc>
          <w:tcPr>
            <w:tcW w:w="1666" w:type="pct"/>
            <w:noWrap/>
            <w:hideMark/>
          </w:tcPr>
          <w:p w14:paraId="2073AB4B" w14:textId="77777777" w:rsidR="002041B4" w:rsidRPr="002041B4" w:rsidRDefault="002041B4" w:rsidP="00906ADE">
            <w:pPr>
              <w:pStyle w:val="TableBody"/>
            </w:pPr>
            <w:r w:rsidRPr="002041B4">
              <w:t>2022-23</w:t>
            </w:r>
          </w:p>
        </w:tc>
        <w:tc>
          <w:tcPr>
            <w:tcW w:w="1666" w:type="pct"/>
            <w:noWrap/>
            <w:hideMark/>
          </w:tcPr>
          <w:p w14:paraId="107F1C9D" w14:textId="77777777" w:rsidR="002041B4" w:rsidRPr="00A85956" w:rsidRDefault="002041B4" w:rsidP="00A85956">
            <w:pPr>
              <w:pStyle w:val="TableBody"/>
            </w:pPr>
            <w:r w:rsidRPr="00A85956">
              <w:t>8,080</w:t>
            </w:r>
          </w:p>
        </w:tc>
        <w:tc>
          <w:tcPr>
            <w:tcW w:w="1667" w:type="pct"/>
            <w:noWrap/>
            <w:hideMark/>
          </w:tcPr>
          <w:p w14:paraId="777967A2" w14:textId="77777777" w:rsidR="002041B4" w:rsidRPr="00A85956" w:rsidRDefault="002041B4" w:rsidP="00A85956">
            <w:pPr>
              <w:pStyle w:val="TableBody"/>
            </w:pPr>
            <w:r w:rsidRPr="00A85956">
              <w:t>756</w:t>
            </w:r>
          </w:p>
        </w:tc>
      </w:tr>
      <w:tr w:rsidR="002041B4" w:rsidRPr="002041B4" w14:paraId="515C4C15" w14:textId="77777777" w:rsidTr="00BB2076">
        <w:trPr>
          <w:trHeight w:val="288"/>
        </w:trPr>
        <w:tc>
          <w:tcPr>
            <w:tcW w:w="1666" w:type="pct"/>
            <w:noWrap/>
            <w:hideMark/>
          </w:tcPr>
          <w:p w14:paraId="45B1F52A" w14:textId="77777777" w:rsidR="002041B4" w:rsidRPr="002041B4" w:rsidRDefault="002041B4" w:rsidP="00906ADE">
            <w:pPr>
              <w:pStyle w:val="TableBody"/>
            </w:pPr>
            <w:r w:rsidRPr="002041B4">
              <w:t>2023-24</w:t>
            </w:r>
          </w:p>
        </w:tc>
        <w:tc>
          <w:tcPr>
            <w:tcW w:w="1666" w:type="pct"/>
            <w:noWrap/>
            <w:hideMark/>
          </w:tcPr>
          <w:p w14:paraId="57172712" w14:textId="77777777" w:rsidR="002041B4" w:rsidRPr="00A85956" w:rsidRDefault="002041B4" w:rsidP="00A85956">
            <w:pPr>
              <w:pStyle w:val="TableBody"/>
            </w:pPr>
            <w:r w:rsidRPr="00A85956">
              <w:t>6,756</w:t>
            </w:r>
          </w:p>
        </w:tc>
        <w:tc>
          <w:tcPr>
            <w:tcW w:w="1667" w:type="pct"/>
            <w:noWrap/>
            <w:hideMark/>
          </w:tcPr>
          <w:p w14:paraId="2E42BD13" w14:textId="77777777" w:rsidR="002041B4" w:rsidRPr="00A85956" w:rsidRDefault="002041B4" w:rsidP="00A85956">
            <w:pPr>
              <w:pStyle w:val="TableBody"/>
            </w:pPr>
            <w:r w:rsidRPr="00A85956">
              <w:t>602</w:t>
            </w:r>
          </w:p>
        </w:tc>
      </w:tr>
    </w:tbl>
    <w:p w14:paraId="16EAAAA0" w14:textId="77777777" w:rsidR="001D509C" w:rsidRPr="008C1137" w:rsidRDefault="001D509C" w:rsidP="00D4532A">
      <w:r w:rsidRPr="000C258A">
        <w:rPr>
          <w:rStyle w:val="Strong"/>
        </w:rPr>
        <w:t>Source</w:t>
      </w:r>
      <w:r w:rsidRPr="008C1137">
        <w:t>: Court Services Victoria, unpublished data</w:t>
      </w:r>
    </w:p>
    <w:p w14:paraId="3957785D" w14:textId="235A6B27" w:rsidR="00A4454A" w:rsidRPr="008C1137" w:rsidRDefault="00A4454A" w:rsidP="00210207">
      <w:pPr>
        <w:pStyle w:val="Numbered"/>
      </w:pPr>
      <w:r w:rsidRPr="008C1137">
        <w:t>Next, Figure 34</w:t>
      </w:r>
      <w:r w:rsidR="009E33A5">
        <w:t xml:space="preserve"> </w:t>
      </w:r>
      <w:r w:rsidRPr="008C1137">
        <w:t>shows the proportion of male and female offenders who received a custodial sentence. The imprisonment rate was markedly higher for male offenders than for female offenders, and that gap seems to have widened over time; in 2004–05, male offenders were about twice as likely as female offenders to receive a custodial sentence, but by 2023–24, male offenders were more than three times as likely as female offenders to receive a custodial sentence.</w:t>
      </w:r>
    </w:p>
    <w:p w14:paraId="4FFBC4D0" w14:textId="77777777" w:rsidR="001D509C" w:rsidRPr="008C1137" w:rsidRDefault="001D509C" w:rsidP="00BE4EDC">
      <w:pPr>
        <w:pStyle w:val="Caption"/>
      </w:pPr>
      <w:r w:rsidRPr="00157502">
        <w:t>Figure 34</w:t>
      </w:r>
      <w:r w:rsidRPr="008C1137">
        <w:t>: Proportion of all sentences that were custodial sentences, by gender, all courts, 2004–05 to 2023–24</w:t>
      </w:r>
    </w:p>
    <w:tbl>
      <w:tblPr>
        <w:tblStyle w:val="Table"/>
        <w:tblW w:w="5000" w:type="pct"/>
        <w:tblLook w:val="04A0" w:firstRow="1" w:lastRow="0" w:firstColumn="1" w:lastColumn="0" w:noHBand="0" w:noVBand="1"/>
      </w:tblPr>
      <w:tblGrid>
        <w:gridCol w:w="3373"/>
        <w:gridCol w:w="2808"/>
        <w:gridCol w:w="2835"/>
      </w:tblGrid>
      <w:tr w:rsidR="00856D2C" w:rsidRPr="00856D2C" w14:paraId="65122D7D" w14:textId="77777777" w:rsidTr="008E619B">
        <w:trPr>
          <w:trHeight w:val="288"/>
          <w:tblHeader/>
        </w:trPr>
        <w:tc>
          <w:tcPr>
            <w:tcW w:w="1871" w:type="pct"/>
            <w:noWrap/>
            <w:hideMark/>
          </w:tcPr>
          <w:p w14:paraId="721207B4" w14:textId="77777777" w:rsidR="00856D2C" w:rsidRPr="00856D2C" w:rsidRDefault="00856D2C" w:rsidP="002054FC">
            <w:pPr>
              <w:pStyle w:val="TableHeading"/>
            </w:pPr>
            <w:r w:rsidRPr="00856D2C">
              <w:t>Financial year</w:t>
            </w:r>
          </w:p>
        </w:tc>
        <w:tc>
          <w:tcPr>
            <w:tcW w:w="1557" w:type="pct"/>
            <w:noWrap/>
            <w:hideMark/>
          </w:tcPr>
          <w:p w14:paraId="38BE7E26" w14:textId="77777777" w:rsidR="00856D2C" w:rsidRPr="005841DD" w:rsidRDefault="00856D2C" w:rsidP="005841DD">
            <w:pPr>
              <w:pStyle w:val="TableHeading"/>
            </w:pPr>
            <w:r w:rsidRPr="005841DD">
              <w:t>Male</w:t>
            </w:r>
          </w:p>
        </w:tc>
        <w:tc>
          <w:tcPr>
            <w:tcW w:w="1572" w:type="pct"/>
            <w:noWrap/>
            <w:hideMark/>
          </w:tcPr>
          <w:p w14:paraId="7EFA5816" w14:textId="77777777" w:rsidR="00856D2C" w:rsidRPr="005841DD" w:rsidRDefault="00856D2C" w:rsidP="005841DD">
            <w:pPr>
              <w:pStyle w:val="TableHeading"/>
            </w:pPr>
            <w:r w:rsidRPr="005841DD">
              <w:t>Female</w:t>
            </w:r>
          </w:p>
        </w:tc>
      </w:tr>
      <w:tr w:rsidR="00856D2C" w:rsidRPr="00856D2C" w14:paraId="748F30B6" w14:textId="77777777" w:rsidTr="008E619B">
        <w:trPr>
          <w:trHeight w:val="288"/>
        </w:trPr>
        <w:tc>
          <w:tcPr>
            <w:tcW w:w="1871" w:type="pct"/>
            <w:noWrap/>
            <w:hideMark/>
          </w:tcPr>
          <w:p w14:paraId="05680B07" w14:textId="77777777" w:rsidR="00856D2C" w:rsidRPr="00856D2C" w:rsidRDefault="00856D2C" w:rsidP="00906ADE">
            <w:pPr>
              <w:pStyle w:val="TableBody"/>
            </w:pPr>
            <w:r w:rsidRPr="00856D2C">
              <w:t>2004-05</w:t>
            </w:r>
          </w:p>
        </w:tc>
        <w:tc>
          <w:tcPr>
            <w:tcW w:w="1557" w:type="pct"/>
            <w:noWrap/>
            <w:hideMark/>
          </w:tcPr>
          <w:p w14:paraId="037BAD44" w14:textId="77777777" w:rsidR="00856D2C" w:rsidRPr="00A85956" w:rsidRDefault="00856D2C" w:rsidP="00A85956">
            <w:pPr>
              <w:pStyle w:val="TableBody"/>
            </w:pPr>
            <w:r w:rsidRPr="00A85956">
              <w:t>8.2%</w:t>
            </w:r>
          </w:p>
        </w:tc>
        <w:tc>
          <w:tcPr>
            <w:tcW w:w="1572" w:type="pct"/>
            <w:noWrap/>
            <w:hideMark/>
          </w:tcPr>
          <w:p w14:paraId="3AB2B324" w14:textId="77777777" w:rsidR="00856D2C" w:rsidRPr="00A85956" w:rsidRDefault="00856D2C" w:rsidP="00A85956">
            <w:pPr>
              <w:pStyle w:val="TableBody"/>
            </w:pPr>
            <w:r w:rsidRPr="00A85956">
              <w:t>3.9%</w:t>
            </w:r>
          </w:p>
        </w:tc>
      </w:tr>
      <w:tr w:rsidR="00856D2C" w:rsidRPr="00856D2C" w14:paraId="43C6452B" w14:textId="77777777" w:rsidTr="008E619B">
        <w:trPr>
          <w:trHeight w:val="288"/>
        </w:trPr>
        <w:tc>
          <w:tcPr>
            <w:tcW w:w="1871" w:type="pct"/>
            <w:noWrap/>
            <w:hideMark/>
          </w:tcPr>
          <w:p w14:paraId="344C9EA5" w14:textId="77777777" w:rsidR="00856D2C" w:rsidRPr="00856D2C" w:rsidRDefault="00856D2C" w:rsidP="00906ADE">
            <w:pPr>
              <w:pStyle w:val="TableBody"/>
            </w:pPr>
            <w:r w:rsidRPr="00856D2C">
              <w:t>2005-06</w:t>
            </w:r>
          </w:p>
        </w:tc>
        <w:tc>
          <w:tcPr>
            <w:tcW w:w="1557" w:type="pct"/>
            <w:noWrap/>
            <w:hideMark/>
          </w:tcPr>
          <w:p w14:paraId="7A6EE266" w14:textId="77777777" w:rsidR="00856D2C" w:rsidRPr="00A85956" w:rsidRDefault="00856D2C" w:rsidP="00A85956">
            <w:pPr>
              <w:pStyle w:val="TableBody"/>
            </w:pPr>
            <w:r w:rsidRPr="00A85956">
              <w:t>8.4%</w:t>
            </w:r>
          </w:p>
        </w:tc>
        <w:tc>
          <w:tcPr>
            <w:tcW w:w="1572" w:type="pct"/>
            <w:noWrap/>
            <w:hideMark/>
          </w:tcPr>
          <w:p w14:paraId="0AF067AE" w14:textId="77777777" w:rsidR="00856D2C" w:rsidRPr="00A85956" w:rsidRDefault="00856D2C" w:rsidP="00A85956">
            <w:pPr>
              <w:pStyle w:val="TableBody"/>
            </w:pPr>
            <w:r w:rsidRPr="00A85956">
              <w:t>3.5%</w:t>
            </w:r>
          </w:p>
        </w:tc>
      </w:tr>
      <w:tr w:rsidR="00856D2C" w:rsidRPr="00856D2C" w14:paraId="7C7B6B52" w14:textId="77777777" w:rsidTr="008E619B">
        <w:trPr>
          <w:trHeight w:val="288"/>
        </w:trPr>
        <w:tc>
          <w:tcPr>
            <w:tcW w:w="1871" w:type="pct"/>
            <w:noWrap/>
            <w:hideMark/>
          </w:tcPr>
          <w:p w14:paraId="28585CFD" w14:textId="77777777" w:rsidR="00856D2C" w:rsidRPr="00856D2C" w:rsidRDefault="00856D2C" w:rsidP="00906ADE">
            <w:pPr>
              <w:pStyle w:val="TableBody"/>
            </w:pPr>
            <w:r w:rsidRPr="00856D2C">
              <w:t>2006-07</w:t>
            </w:r>
          </w:p>
        </w:tc>
        <w:tc>
          <w:tcPr>
            <w:tcW w:w="1557" w:type="pct"/>
            <w:noWrap/>
            <w:hideMark/>
          </w:tcPr>
          <w:p w14:paraId="60F40BA2" w14:textId="77777777" w:rsidR="00856D2C" w:rsidRPr="00A85956" w:rsidRDefault="00856D2C" w:rsidP="00A85956">
            <w:pPr>
              <w:pStyle w:val="TableBody"/>
            </w:pPr>
            <w:r w:rsidRPr="00A85956">
              <w:t>8.4%</w:t>
            </w:r>
          </w:p>
        </w:tc>
        <w:tc>
          <w:tcPr>
            <w:tcW w:w="1572" w:type="pct"/>
            <w:noWrap/>
            <w:hideMark/>
          </w:tcPr>
          <w:p w14:paraId="0D6F28C3" w14:textId="77777777" w:rsidR="00856D2C" w:rsidRPr="00A85956" w:rsidRDefault="00856D2C" w:rsidP="00A85956">
            <w:pPr>
              <w:pStyle w:val="TableBody"/>
            </w:pPr>
            <w:r w:rsidRPr="00A85956">
              <w:t>3.1%</w:t>
            </w:r>
          </w:p>
        </w:tc>
      </w:tr>
      <w:tr w:rsidR="00856D2C" w:rsidRPr="00856D2C" w14:paraId="78B2BB53" w14:textId="77777777" w:rsidTr="008E619B">
        <w:trPr>
          <w:trHeight w:val="288"/>
        </w:trPr>
        <w:tc>
          <w:tcPr>
            <w:tcW w:w="1871" w:type="pct"/>
            <w:noWrap/>
            <w:hideMark/>
          </w:tcPr>
          <w:p w14:paraId="25D1289E" w14:textId="77777777" w:rsidR="00856D2C" w:rsidRPr="00856D2C" w:rsidRDefault="00856D2C" w:rsidP="00906ADE">
            <w:pPr>
              <w:pStyle w:val="TableBody"/>
            </w:pPr>
            <w:r w:rsidRPr="00856D2C">
              <w:t>2007-08</w:t>
            </w:r>
          </w:p>
        </w:tc>
        <w:tc>
          <w:tcPr>
            <w:tcW w:w="1557" w:type="pct"/>
            <w:noWrap/>
            <w:hideMark/>
          </w:tcPr>
          <w:p w14:paraId="64100ABD" w14:textId="77777777" w:rsidR="00856D2C" w:rsidRPr="00A85956" w:rsidRDefault="00856D2C" w:rsidP="00A85956">
            <w:pPr>
              <w:pStyle w:val="TableBody"/>
            </w:pPr>
            <w:r w:rsidRPr="00A85956">
              <w:t>7.4%</w:t>
            </w:r>
          </w:p>
        </w:tc>
        <w:tc>
          <w:tcPr>
            <w:tcW w:w="1572" w:type="pct"/>
            <w:noWrap/>
            <w:hideMark/>
          </w:tcPr>
          <w:p w14:paraId="5678F097" w14:textId="77777777" w:rsidR="00856D2C" w:rsidRPr="00A85956" w:rsidRDefault="00856D2C" w:rsidP="00A85956">
            <w:pPr>
              <w:pStyle w:val="TableBody"/>
            </w:pPr>
            <w:r w:rsidRPr="00A85956">
              <w:t>2.8%</w:t>
            </w:r>
          </w:p>
        </w:tc>
      </w:tr>
      <w:tr w:rsidR="00856D2C" w:rsidRPr="00856D2C" w14:paraId="2B9CEBE2" w14:textId="77777777" w:rsidTr="008E619B">
        <w:trPr>
          <w:trHeight w:val="288"/>
        </w:trPr>
        <w:tc>
          <w:tcPr>
            <w:tcW w:w="1871" w:type="pct"/>
            <w:noWrap/>
            <w:hideMark/>
          </w:tcPr>
          <w:p w14:paraId="7BC9639F" w14:textId="77777777" w:rsidR="00856D2C" w:rsidRPr="00856D2C" w:rsidRDefault="00856D2C" w:rsidP="00906ADE">
            <w:pPr>
              <w:pStyle w:val="TableBody"/>
            </w:pPr>
            <w:r w:rsidRPr="00856D2C">
              <w:t>2008-09</w:t>
            </w:r>
          </w:p>
        </w:tc>
        <w:tc>
          <w:tcPr>
            <w:tcW w:w="1557" w:type="pct"/>
            <w:noWrap/>
            <w:hideMark/>
          </w:tcPr>
          <w:p w14:paraId="77FFD05B" w14:textId="77777777" w:rsidR="00856D2C" w:rsidRPr="00A85956" w:rsidRDefault="00856D2C" w:rsidP="00A85956">
            <w:pPr>
              <w:pStyle w:val="TableBody"/>
            </w:pPr>
            <w:r w:rsidRPr="00A85956">
              <w:t>7.4%</w:t>
            </w:r>
          </w:p>
        </w:tc>
        <w:tc>
          <w:tcPr>
            <w:tcW w:w="1572" w:type="pct"/>
            <w:noWrap/>
            <w:hideMark/>
          </w:tcPr>
          <w:p w14:paraId="2BE92E2B" w14:textId="77777777" w:rsidR="00856D2C" w:rsidRPr="00A85956" w:rsidRDefault="00856D2C" w:rsidP="00A85956">
            <w:pPr>
              <w:pStyle w:val="TableBody"/>
            </w:pPr>
            <w:r w:rsidRPr="00A85956">
              <w:t>3.0%</w:t>
            </w:r>
          </w:p>
        </w:tc>
      </w:tr>
      <w:tr w:rsidR="00856D2C" w:rsidRPr="00856D2C" w14:paraId="6BE6AFC3" w14:textId="77777777" w:rsidTr="008E619B">
        <w:trPr>
          <w:trHeight w:val="288"/>
        </w:trPr>
        <w:tc>
          <w:tcPr>
            <w:tcW w:w="1871" w:type="pct"/>
            <w:noWrap/>
            <w:hideMark/>
          </w:tcPr>
          <w:p w14:paraId="3E1202C9" w14:textId="77777777" w:rsidR="00856D2C" w:rsidRPr="00856D2C" w:rsidRDefault="00856D2C" w:rsidP="00906ADE">
            <w:pPr>
              <w:pStyle w:val="TableBody"/>
            </w:pPr>
            <w:r w:rsidRPr="00856D2C">
              <w:t>2009-10</w:t>
            </w:r>
          </w:p>
        </w:tc>
        <w:tc>
          <w:tcPr>
            <w:tcW w:w="1557" w:type="pct"/>
            <w:noWrap/>
            <w:hideMark/>
          </w:tcPr>
          <w:p w14:paraId="5401B003" w14:textId="77777777" w:rsidR="00856D2C" w:rsidRPr="00A85956" w:rsidRDefault="00856D2C" w:rsidP="00A85956">
            <w:pPr>
              <w:pStyle w:val="TableBody"/>
            </w:pPr>
            <w:r w:rsidRPr="00A85956">
              <w:t>8.3%</w:t>
            </w:r>
          </w:p>
        </w:tc>
        <w:tc>
          <w:tcPr>
            <w:tcW w:w="1572" w:type="pct"/>
            <w:noWrap/>
            <w:hideMark/>
          </w:tcPr>
          <w:p w14:paraId="5FCA3882" w14:textId="77777777" w:rsidR="00856D2C" w:rsidRPr="00A85956" w:rsidRDefault="00856D2C" w:rsidP="00A85956">
            <w:pPr>
              <w:pStyle w:val="TableBody"/>
            </w:pPr>
            <w:r w:rsidRPr="00A85956">
              <w:t>3.6%</w:t>
            </w:r>
          </w:p>
        </w:tc>
      </w:tr>
      <w:tr w:rsidR="00856D2C" w:rsidRPr="00856D2C" w14:paraId="15148DA5" w14:textId="77777777" w:rsidTr="008E619B">
        <w:trPr>
          <w:trHeight w:val="288"/>
        </w:trPr>
        <w:tc>
          <w:tcPr>
            <w:tcW w:w="1871" w:type="pct"/>
            <w:noWrap/>
            <w:hideMark/>
          </w:tcPr>
          <w:p w14:paraId="0BF1B232" w14:textId="77777777" w:rsidR="00856D2C" w:rsidRPr="00856D2C" w:rsidRDefault="00856D2C" w:rsidP="00906ADE">
            <w:pPr>
              <w:pStyle w:val="TableBody"/>
            </w:pPr>
            <w:r w:rsidRPr="00856D2C">
              <w:t>2010-11</w:t>
            </w:r>
          </w:p>
        </w:tc>
        <w:tc>
          <w:tcPr>
            <w:tcW w:w="1557" w:type="pct"/>
            <w:noWrap/>
            <w:hideMark/>
          </w:tcPr>
          <w:p w14:paraId="524DE06F" w14:textId="77777777" w:rsidR="00856D2C" w:rsidRPr="00A85956" w:rsidRDefault="00856D2C" w:rsidP="00A85956">
            <w:pPr>
              <w:pStyle w:val="TableBody"/>
            </w:pPr>
            <w:r w:rsidRPr="00A85956">
              <w:t>8.1%</w:t>
            </w:r>
          </w:p>
        </w:tc>
        <w:tc>
          <w:tcPr>
            <w:tcW w:w="1572" w:type="pct"/>
            <w:noWrap/>
            <w:hideMark/>
          </w:tcPr>
          <w:p w14:paraId="10A7EBFA" w14:textId="77777777" w:rsidR="00856D2C" w:rsidRPr="00A85956" w:rsidRDefault="00856D2C" w:rsidP="00A85956">
            <w:pPr>
              <w:pStyle w:val="TableBody"/>
            </w:pPr>
            <w:r w:rsidRPr="00A85956">
              <w:t>3.0%</w:t>
            </w:r>
          </w:p>
        </w:tc>
      </w:tr>
      <w:tr w:rsidR="00856D2C" w:rsidRPr="00856D2C" w14:paraId="0946C54D" w14:textId="77777777" w:rsidTr="008E619B">
        <w:trPr>
          <w:trHeight w:val="288"/>
        </w:trPr>
        <w:tc>
          <w:tcPr>
            <w:tcW w:w="1871" w:type="pct"/>
            <w:noWrap/>
            <w:hideMark/>
          </w:tcPr>
          <w:p w14:paraId="508AB2C8" w14:textId="77777777" w:rsidR="00856D2C" w:rsidRPr="00856D2C" w:rsidRDefault="00856D2C" w:rsidP="00906ADE">
            <w:pPr>
              <w:pStyle w:val="TableBody"/>
            </w:pPr>
            <w:r w:rsidRPr="00856D2C">
              <w:t>2011-12</w:t>
            </w:r>
          </w:p>
        </w:tc>
        <w:tc>
          <w:tcPr>
            <w:tcW w:w="1557" w:type="pct"/>
            <w:noWrap/>
            <w:hideMark/>
          </w:tcPr>
          <w:p w14:paraId="73F97334" w14:textId="77777777" w:rsidR="00856D2C" w:rsidRPr="00A85956" w:rsidRDefault="00856D2C" w:rsidP="00A85956">
            <w:pPr>
              <w:pStyle w:val="TableBody"/>
            </w:pPr>
            <w:r w:rsidRPr="00A85956">
              <w:t>8.0%</w:t>
            </w:r>
          </w:p>
        </w:tc>
        <w:tc>
          <w:tcPr>
            <w:tcW w:w="1572" w:type="pct"/>
            <w:noWrap/>
            <w:hideMark/>
          </w:tcPr>
          <w:p w14:paraId="43C575D8" w14:textId="77777777" w:rsidR="00856D2C" w:rsidRPr="00A85956" w:rsidRDefault="00856D2C" w:rsidP="00A85956">
            <w:pPr>
              <w:pStyle w:val="TableBody"/>
            </w:pPr>
            <w:r w:rsidRPr="00A85956">
              <w:t>3.0%</w:t>
            </w:r>
          </w:p>
        </w:tc>
      </w:tr>
      <w:tr w:rsidR="00856D2C" w:rsidRPr="00856D2C" w14:paraId="0589DC1C" w14:textId="77777777" w:rsidTr="008E619B">
        <w:trPr>
          <w:trHeight w:val="288"/>
        </w:trPr>
        <w:tc>
          <w:tcPr>
            <w:tcW w:w="1871" w:type="pct"/>
            <w:noWrap/>
            <w:hideMark/>
          </w:tcPr>
          <w:p w14:paraId="7B0BC8AD" w14:textId="77777777" w:rsidR="00856D2C" w:rsidRPr="00856D2C" w:rsidRDefault="00856D2C" w:rsidP="00906ADE">
            <w:pPr>
              <w:pStyle w:val="TableBody"/>
            </w:pPr>
            <w:r w:rsidRPr="00856D2C">
              <w:t>2012-13</w:t>
            </w:r>
          </w:p>
        </w:tc>
        <w:tc>
          <w:tcPr>
            <w:tcW w:w="1557" w:type="pct"/>
            <w:noWrap/>
            <w:hideMark/>
          </w:tcPr>
          <w:p w14:paraId="0E1E8D69" w14:textId="77777777" w:rsidR="00856D2C" w:rsidRPr="00A85956" w:rsidRDefault="00856D2C" w:rsidP="00A85956">
            <w:pPr>
              <w:pStyle w:val="TableBody"/>
            </w:pPr>
            <w:r w:rsidRPr="00A85956">
              <w:t>9.0%</w:t>
            </w:r>
          </w:p>
        </w:tc>
        <w:tc>
          <w:tcPr>
            <w:tcW w:w="1572" w:type="pct"/>
            <w:noWrap/>
            <w:hideMark/>
          </w:tcPr>
          <w:p w14:paraId="4523B2A9" w14:textId="77777777" w:rsidR="00856D2C" w:rsidRPr="00A85956" w:rsidRDefault="00856D2C" w:rsidP="00A85956">
            <w:pPr>
              <w:pStyle w:val="TableBody"/>
            </w:pPr>
            <w:r w:rsidRPr="00A85956">
              <w:t>3.2%</w:t>
            </w:r>
          </w:p>
        </w:tc>
      </w:tr>
      <w:tr w:rsidR="00856D2C" w:rsidRPr="00856D2C" w14:paraId="6FCCD9AA" w14:textId="77777777" w:rsidTr="008E619B">
        <w:trPr>
          <w:trHeight w:val="288"/>
        </w:trPr>
        <w:tc>
          <w:tcPr>
            <w:tcW w:w="1871" w:type="pct"/>
            <w:noWrap/>
            <w:hideMark/>
          </w:tcPr>
          <w:p w14:paraId="14CDC211" w14:textId="77777777" w:rsidR="00856D2C" w:rsidRPr="00856D2C" w:rsidRDefault="00856D2C" w:rsidP="00906ADE">
            <w:pPr>
              <w:pStyle w:val="TableBody"/>
            </w:pPr>
            <w:r w:rsidRPr="00856D2C">
              <w:t>2013-14</w:t>
            </w:r>
          </w:p>
        </w:tc>
        <w:tc>
          <w:tcPr>
            <w:tcW w:w="1557" w:type="pct"/>
            <w:noWrap/>
            <w:hideMark/>
          </w:tcPr>
          <w:p w14:paraId="349AB9E1" w14:textId="77777777" w:rsidR="00856D2C" w:rsidRPr="00A85956" w:rsidRDefault="00856D2C" w:rsidP="00A85956">
            <w:pPr>
              <w:pStyle w:val="TableBody"/>
            </w:pPr>
            <w:r w:rsidRPr="00A85956">
              <w:t>8.7%</w:t>
            </w:r>
          </w:p>
        </w:tc>
        <w:tc>
          <w:tcPr>
            <w:tcW w:w="1572" w:type="pct"/>
            <w:noWrap/>
            <w:hideMark/>
          </w:tcPr>
          <w:p w14:paraId="2ED9ACF4" w14:textId="77777777" w:rsidR="00856D2C" w:rsidRPr="00A85956" w:rsidRDefault="00856D2C" w:rsidP="00A85956">
            <w:pPr>
              <w:pStyle w:val="TableBody"/>
            </w:pPr>
            <w:r w:rsidRPr="00A85956">
              <w:t>3.1%</w:t>
            </w:r>
          </w:p>
        </w:tc>
      </w:tr>
      <w:tr w:rsidR="00856D2C" w:rsidRPr="00856D2C" w14:paraId="6D0E83E8" w14:textId="77777777" w:rsidTr="008E619B">
        <w:trPr>
          <w:trHeight w:val="288"/>
        </w:trPr>
        <w:tc>
          <w:tcPr>
            <w:tcW w:w="1871" w:type="pct"/>
            <w:noWrap/>
            <w:hideMark/>
          </w:tcPr>
          <w:p w14:paraId="20C74479" w14:textId="77777777" w:rsidR="00856D2C" w:rsidRPr="00856D2C" w:rsidRDefault="00856D2C" w:rsidP="00906ADE">
            <w:pPr>
              <w:pStyle w:val="TableBody"/>
            </w:pPr>
            <w:r w:rsidRPr="00856D2C">
              <w:t>2014-15</w:t>
            </w:r>
          </w:p>
        </w:tc>
        <w:tc>
          <w:tcPr>
            <w:tcW w:w="1557" w:type="pct"/>
            <w:noWrap/>
            <w:hideMark/>
          </w:tcPr>
          <w:p w14:paraId="179A9739" w14:textId="77777777" w:rsidR="00856D2C" w:rsidRPr="00A85956" w:rsidRDefault="00856D2C" w:rsidP="00A85956">
            <w:pPr>
              <w:pStyle w:val="TableBody"/>
            </w:pPr>
            <w:r w:rsidRPr="00A85956">
              <w:t>8.9%</w:t>
            </w:r>
          </w:p>
        </w:tc>
        <w:tc>
          <w:tcPr>
            <w:tcW w:w="1572" w:type="pct"/>
            <w:noWrap/>
            <w:hideMark/>
          </w:tcPr>
          <w:p w14:paraId="20A82134" w14:textId="77777777" w:rsidR="00856D2C" w:rsidRPr="00A85956" w:rsidRDefault="00856D2C" w:rsidP="00A85956">
            <w:pPr>
              <w:pStyle w:val="TableBody"/>
            </w:pPr>
            <w:r w:rsidRPr="00A85956">
              <w:t>3.0%</w:t>
            </w:r>
          </w:p>
        </w:tc>
      </w:tr>
      <w:tr w:rsidR="00856D2C" w:rsidRPr="00856D2C" w14:paraId="5B29C081" w14:textId="77777777" w:rsidTr="008E619B">
        <w:trPr>
          <w:trHeight w:val="288"/>
        </w:trPr>
        <w:tc>
          <w:tcPr>
            <w:tcW w:w="1871" w:type="pct"/>
            <w:noWrap/>
            <w:hideMark/>
          </w:tcPr>
          <w:p w14:paraId="60E74813" w14:textId="77777777" w:rsidR="00856D2C" w:rsidRPr="00856D2C" w:rsidRDefault="00856D2C" w:rsidP="00906ADE">
            <w:pPr>
              <w:pStyle w:val="TableBody"/>
            </w:pPr>
            <w:r w:rsidRPr="00856D2C">
              <w:t>2015-16</w:t>
            </w:r>
          </w:p>
        </w:tc>
        <w:tc>
          <w:tcPr>
            <w:tcW w:w="1557" w:type="pct"/>
            <w:noWrap/>
            <w:hideMark/>
          </w:tcPr>
          <w:p w14:paraId="23C4F737" w14:textId="77777777" w:rsidR="00856D2C" w:rsidRPr="00A85956" w:rsidRDefault="00856D2C" w:rsidP="00A85956">
            <w:pPr>
              <w:pStyle w:val="TableBody"/>
            </w:pPr>
            <w:r w:rsidRPr="00A85956">
              <w:t>9.6%</w:t>
            </w:r>
          </w:p>
        </w:tc>
        <w:tc>
          <w:tcPr>
            <w:tcW w:w="1572" w:type="pct"/>
            <w:noWrap/>
            <w:hideMark/>
          </w:tcPr>
          <w:p w14:paraId="564CCB8D" w14:textId="77777777" w:rsidR="00856D2C" w:rsidRPr="00A85956" w:rsidRDefault="00856D2C" w:rsidP="00A85956">
            <w:pPr>
              <w:pStyle w:val="TableBody"/>
            </w:pPr>
            <w:r w:rsidRPr="00A85956">
              <w:t>3.3%</w:t>
            </w:r>
          </w:p>
        </w:tc>
      </w:tr>
      <w:tr w:rsidR="00856D2C" w:rsidRPr="00856D2C" w14:paraId="5B4CDF5D" w14:textId="77777777" w:rsidTr="008E619B">
        <w:trPr>
          <w:trHeight w:val="288"/>
        </w:trPr>
        <w:tc>
          <w:tcPr>
            <w:tcW w:w="1871" w:type="pct"/>
            <w:noWrap/>
            <w:hideMark/>
          </w:tcPr>
          <w:p w14:paraId="6BCAFE5C" w14:textId="77777777" w:rsidR="00856D2C" w:rsidRPr="00856D2C" w:rsidRDefault="00856D2C" w:rsidP="00906ADE">
            <w:pPr>
              <w:pStyle w:val="TableBody"/>
            </w:pPr>
            <w:r w:rsidRPr="00856D2C">
              <w:t>2016-17</w:t>
            </w:r>
          </w:p>
        </w:tc>
        <w:tc>
          <w:tcPr>
            <w:tcW w:w="1557" w:type="pct"/>
            <w:noWrap/>
            <w:hideMark/>
          </w:tcPr>
          <w:p w14:paraId="658D0608" w14:textId="77777777" w:rsidR="00856D2C" w:rsidRPr="00A85956" w:rsidRDefault="00856D2C" w:rsidP="00A85956">
            <w:pPr>
              <w:pStyle w:val="TableBody"/>
            </w:pPr>
            <w:r w:rsidRPr="00A85956">
              <w:t>11.1%</w:t>
            </w:r>
          </w:p>
        </w:tc>
        <w:tc>
          <w:tcPr>
            <w:tcW w:w="1572" w:type="pct"/>
            <w:noWrap/>
            <w:hideMark/>
          </w:tcPr>
          <w:p w14:paraId="6E2D4F6C" w14:textId="77777777" w:rsidR="00856D2C" w:rsidRPr="00A85956" w:rsidRDefault="00856D2C" w:rsidP="00A85956">
            <w:pPr>
              <w:pStyle w:val="TableBody"/>
            </w:pPr>
            <w:r w:rsidRPr="00A85956">
              <w:t>4.1%</w:t>
            </w:r>
          </w:p>
        </w:tc>
      </w:tr>
      <w:tr w:rsidR="00856D2C" w:rsidRPr="00856D2C" w14:paraId="160A5E6A" w14:textId="77777777" w:rsidTr="008E619B">
        <w:trPr>
          <w:trHeight w:val="288"/>
        </w:trPr>
        <w:tc>
          <w:tcPr>
            <w:tcW w:w="1871" w:type="pct"/>
            <w:noWrap/>
            <w:hideMark/>
          </w:tcPr>
          <w:p w14:paraId="2F21D9D0" w14:textId="77777777" w:rsidR="00856D2C" w:rsidRPr="00856D2C" w:rsidRDefault="00856D2C" w:rsidP="00906ADE">
            <w:pPr>
              <w:pStyle w:val="TableBody"/>
            </w:pPr>
            <w:r w:rsidRPr="00856D2C">
              <w:t>2017-18</w:t>
            </w:r>
          </w:p>
        </w:tc>
        <w:tc>
          <w:tcPr>
            <w:tcW w:w="1557" w:type="pct"/>
            <w:noWrap/>
            <w:hideMark/>
          </w:tcPr>
          <w:p w14:paraId="40ADD109" w14:textId="77777777" w:rsidR="00856D2C" w:rsidRPr="00A85956" w:rsidRDefault="00856D2C" w:rsidP="00A85956">
            <w:pPr>
              <w:pStyle w:val="TableBody"/>
            </w:pPr>
            <w:r w:rsidRPr="00A85956">
              <w:t>11.4%</w:t>
            </w:r>
          </w:p>
        </w:tc>
        <w:tc>
          <w:tcPr>
            <w:tcW w:w="1572" w:type="pct"/>
            <w:noWrap/>
            <w:hideMark/>
          </w:tcPr>
          <w:p w14:paraId="67392341" w14:textId="77777777" w:rsidR="00856D2C" w:rsidRPr="00A85956" w:rsidRDefault="00856D2C" w:rsidP="00A85956">
            <w:pPr>
              <w:pStyle w:val="TableBody"/>
            </w:pPr>
            <w:r w:rsidRPr="00A85956">
              <w:t>4.5%</w:t>
            </w:r>
          </w:p>
        </w:tc>
      </w:tr>
      <w:tr w:rsidR="00856D2C" w:rsidRPr="00856D2C" w14:paraId="30A23900" w14:textId="77777777" w:rsidTr="008E619B">
        <w:trPr>
          <w:trHeight w:val="288"/>
        </w:trPr>
        <w:tc>
          <w:tcPr>
            <w:tcW w:w="1871" w:type="pct"/>
            <w:noWrap/>
            <w:hideMark/>
          </w:tcPr>
          <w:p w14:paraId="26D4CE45" w14:textId="77777777" w:rsidR="00856D2C" w:rsidRPr="00856D2C" w:rsidRDefault="00856D2C" w:rsidP="00906ADE">
            <w:pPr>
              <w:pStyle w:val="TableBody"/>
            </w:pPr>
            <w:r w:rsidRPr="00856D2C">
              <w:t>2018-19</w:t>
            </w:r>
          </w:p>
        </w:tc>
        <w:tc>
          <w:tcPr>
            <w:tcW w:w="1557" w:type="pct"/>
            <w:noWrap/>
            <w:hideMark/>
          </w:tcPr>
          <w:p w14:paraId="4CF9E4AA" w14:textId="77777777" w:rsidR="00856D2C" w:rsidRPr="00A85956" w:rsidRDefault="00856D2C" w:rsidP="00A85956">
            <w:pPr>
              <w:pStyle w:val="TableBody"/>
            </w:pPr>
            <w:r w:rsidRPr="00A85956">
              <w:t>14.0%</w:t>
            </w:r>
          </w:p>
        </w:tc>
        <w:tc>
          <w:tcPr>
            <w:tcW w:w="1572" w:type="pct"/>
            <w:noWrap/>
            <w:hideMark/>
          </w:tcPr>
          <w:p w14:paraId="29C61F0F" w14:textId="77777777" w:rsidR="00856D2C" w:rsidRPr="00A85956" w:rsidRDefault="00856D2C" w:rsidP="00A85956">
            <w:pPr>
              <w:pStyle w:val="TableBody"/>
            </w:pPr>
            <w:r w:rsidRPr="00A85956">
              <w:t>5.9%</w:t>
            </w:r>
          </w:p>
        </w:tc>
      </w:tr>
      <w:tr w:rsidR="00856D2C" w:rsidRPr="00856D2C" w14:paraId="14572E51" w14:textId="77777777" w:rsidTr="008E619B">
        <w:trPr>
          <w:trHeight w:val="288"/>
        </w:trPr>
        <w:tc>
          <w:tcPr>
            <w:tcW w:w="1871" w:type="pct"/>
            <w:noWrap/>
            <w:hideMark/>
          </w:tcPr>
          <w:p w14:paraId="5A717177" w14:textId="77777777" w:rsidR="00856D2C" w:rsidRPr="00856D2C" w:rsidRDefault="00856D2C" w:rsidP="00906ADE">
            <w:pPr>
              <w:pStyle w:val="TableBody"/>
            </w:pPr>
            <w:r w:rsidRPr="00856D2C">
              <w:t>2019-20</w:t>
            </w:r>
          </w:p>
        </w:tc>
        <w:tc>
          <w:tcPr>
            <w:tcW w:w="1557" w:type="pct"/>
            <w:noWrap/>
            <w:hideMark/>
          </w:tcPr>
          <w:p w14:paraId="4D1AD279" w14:textId="77777777" w:rsidR="00856D2C" w:rsidRPr="00A85956" w:rsidRDefault="00856D2C" w:rsidP="00A85956">
            <w:pPr>
              <w:pStyle w:val="TableBody"/>
            </w:pPr>
            <w:r w:rsidRPr="00A85956">
              <w:t>16.7%</w:t>
            </w:r>
          </w:p>
        </w:tc>
        <w:tc>
          <w:tcPr>
            <w:tcW w:w="1572" w:type="pct"/>
            <w:noWrap/>
            <w:hideMark/>
          </w:tcPr>
          <w:p w14:paraId="1909498C" w14:textId="77777777" w:rsidR="00856D2C" w:rsidRPr="00A85956" w:rsidRDefault="00856D2C" w:rsidP="00A85956">
            <w:pPr>
              <w:pStyle w:val="TableBody"/>
            </w:pPr>
            <w:r w:rsidRPr="00A85956">
              <w:t>6.6%</w:t>
            </w:r>
          </w:p>
        </w:tc>
      </w:tr>
      <w:tr w:rsidR="00856D2C" w:rsidRPr="00856D2C" w14:paraId="3ADA33EE" w14:textId="77777777" w:rsidTr="008E619B">
        <w:trPr>
          <w:trHeight w:val="288"/>
        </w:trPr>
        <w:tc>
          <w:tcPr>
            <w:tcW w:w="1871" w:type="pct"/>
            <w:noWrap/>
            <w:hideMark/>
          </w:tcPr>
          <w:p w14:paraId="6F98A494" w14:textId="77777777" w:rsidR="00856D2C" w:rsidRPr="00856D2C" w:rsidRDefault="00856D2C" w:rsidP="00906ADE">
            <w:pPr>
              <w:pStyle w:val="TableBody"/>
            </w:pPr>
            <w:r w:rsidRPr="00856D2C">
              <w:t>2020-21</w:t>
            </w:r>
          </w:p>
        </w:tc>
        <w:tc>
          <w:tcPr>
            <w:tcW w:w="1557" w:type="pct"/>
            <w:noWrap/>
            <w:hideMark/>
          </w:tcPr>
          <w:p w14:paraId="4DEEA2B9" w14:textId="77777777" w:rsidR="00856D2C" w:rsidRPr="00A85956" w:rsidRDefault="00856D2C" w:rsidP="00A85956">
            <w:pPr>
              <w:pStyle w:val="TableBody"/>
            </w:pPr>
            <w:r w:rsidRPr="00A85956">
              <w:t>15.9%</w:t>
            </w:r>
          </w:p>
        </w:tc>
        <w:tc>
          <w:tcPr>
            <w:tcW w:w="1572" w:type="pct"/>
            <w:noWrap/>
            <w:hideMark/>
          </w:tcPr>
          <w:p w14:paraId="56E56ED8" w14:textId="77777777" w:rsidR="00856D2C" w:rsidRPr="00A85956" w:rsidRDefault="00856D2C" w:rsidP="00A85956">
            <w:pPr>
              <w:pStyle w:val="TableBody"/>
            </w:pPr>
            <w:r w:rsidRPr="00A85956">
              <w:t>6.2%</w:t>
            </w:r>
          </w:p>
        </w:tc>
      </w:tr>
      <w:tr w:rsidR="00856D2C" w:rsidRPr="00856D2C" w14:paraId="3F94FEDE" w14:textId="77777777" w:rsidTr="008E619B">
        <w:trPr>
          <w:trHeight w:val="288"/>
        </w:trPr>
        <w:tc>
          <w:tcPr>
            <w:tcW w:w="1871" w:type="pct"/>
            <w:noWrap/>
            <w:hideMark/>
          </w:tcPr>
          <w:p w14:paraId="6006F4AC" w14:textId="77777777" w:rsidR="00856D2C" w:rsidRPr="00856D2C" w:rsidRDefault="00856D2C" w:rsidP="00906ADE">
            <w:pPr>
              <w:pStyle w:val="TableBody"/>
            </w:pPr>
            <w:r w:rsidRPr="00856D2C">
              <w:lastRenderedPageBreak/>
              <w:t>2021-22</w:t>
            </w:r>
          </w:p>
        </w:tc>
        <w:tc>
          <w:tcPr>
            <w:tcW w:w="1557" w:type="pct"/>
            <w:noWrap/>
            <w:hideMark/>
          </w:tcPr>
          <w:p w14:paraId="05E541B4" w14:textId="77777777" w:rsidR="00856D2C" w:rsidRPr="00A85956" w:rsidRDefault="00856D2C" w:rsidP="00A85956">
            <w:pPr>
              <w:pStyle w:val="TableBody"/>
            </w:pPr>
            <w:r w:rsidRPr="00A85956">
              <w:t>12.6%</w:t>
            </w:r>
          </w:p>
        </w:tc>
        <w:tc>
          <w:tcPr>
            <w:tcW w:w="1572" w:type="pct"/>
            <w:noWrap/>
            <w:hideMark/>
          </w:tcPr>
          <w:p w14:paraId="47165A5A" w14:textId="77777777" w:rsidR="00856D2C" w:rsidRPr="00A85956" w:rsidRDefault="00856D2C" w:rsidP="00A85956">
            <w:pPr>
              <w:pStyle w:val="TableBody"/>
            </w:pPr>
            <w:r w:rsidRPr="00A85956">
              <w:t>4.3%</w:t>
            </w:r>
          </w:p>
        </w:tc>
      </w:tr>
      <w:tr w:rsidR="00856D2C" w:rsidRPr="00856D2C" w14:paraId="5602DEF2" w14:textId="77777777" w:rsidTr="008E619B">
        <w:trPr>
          <w:trHeight w:val="288"/>
        </w:trPr>
        <w:tc>
          <w:tcPr>
            <w:tcW w:w="1871" w:type="pct"/>
            <w:noWrap/>
            <w:hideMark/>
          </w:tcPr>
          <w:p w14:paraId="52027220" w14:textId="77777777" w:rsidR="00856D2C" w:rsidRPr="00856D2C" w:rsidRDefault="00856D2C" w:rsidP="00906ADE">
            <w:pPr>
              <w:pStyle w:val="TableBody"/>
            </w:pPr>
            <w:r w:rsidRPr="00856D2C">
              <w:t>2022-23</w:t>
            </w:r>
          </w:p>
        </w:tc>
        <w:tc>
          <w:tcPr>
            <w:tcW w:w="1557" w:type="pct"/>
            <w:noWrap/>
            <w:hideMark/>
          </w:tcPr>
          <w:p w14:paraId="42E1098B" w14:textId="77777777" w:rsidR="00856D2C" w:rsidRPr="00A85956" w:rsidRDefault="00856D2C" w:rsidP="00A85956">
            <w:pPr>
              <w:pStyle w:val="TableBody"/>
            </w:pPr>
            <w:r w:rsidRPr="00A85956">
              <w:t>10.9%</w:t>
            </w:r>
          </w:p>
        </w:tc>
        <w:tc>
          <w:tcPr>
            <w:tcW w:w="1572" w:type="pct"/>
            <w:noWrap/>
            <w:hideMark/>
          </w:tcPr>
          <w:p w14:paraId="4E38041E" w14:textId="77777777" w:rsidR="00856D2C" w:rsidRPr="00A85956" w:rsidRDefault="00856D2C" w:rsidP="00A85956">
            <w:pPr>
              <w:pStyle w:val="TableBody"/>
            </w:pPr>
            <w:r w:rsidRPr="00A85956">
              <w:t>3.7%</w:t>
            </w:r>
          </w:p>
        </w:tc>
      </w:tr>
      <w:tr w:rsidR="00856D2C" w:rsidRPr="00856D2C" w14:paraId="71C9EEA9" w14:textId="77777777" w:rsidTr="008E619B">
        <w:trPr>
          <w:trHeight w:val="288"/>
        </w:trPr>
        <w:tc>
          <w:tcPr>
            <w:tcW w:w="1871" w:type="pct"/>
            <w:noWrap/>
            <w:hideMark/>
          </w:tcPr>
          <w:p w14:paraId="472FC0E8" w14:textId="77777777" w:rsidR="00856D2C" w:rsidRPr="00856D2C" w:rsidRDefault="00856D2C" w:rsidP="00906ADE">
            <w:pPr>
              <w:pStyle w:val="TableBody"/>
            </w:pPr>
            <w:r w:rsidRPr="00856D2C">
              <w:t>2023-24</w:t>
            </w:r>
          </w:p>
        </w:tc>
        <w:tc>
          <w:tcPr>
            <w:tcW w:w="1557" w:type="pct"/>
            <w:noWrap/>
            <w:hideMark/>
          </w:tcPr>
          <w:p w14:paraId="0E0859B4" w14:textId="77777777" w:rsidR="00856D2C" w:rsidRPr="00A85956" w:rsidRDefault="00856D2C" w:rsidP="00A85956">
            <w:pPr>
              <w:pStyle w:val="TableBody"/>
            </w:pPr>
            <w:r w:rsidRPr="00A85956">
              <w:t>10.1%</w:t>
            </w:r>
          </w:p>
        </w:tc>
        <w:tc>
          <w:tcPr>
            <w:tcW w:w="1572" w:type="pct"/>
            <w:noWrap/>
            <w:hideMark/>
          </w:tcPr>
          <w:p w14:paraId="71660490" w14:textId="77777777" w:rsidR="00856D2C" w:rsidRPr="00A85956" w:rsidRDefault="00856D2C" w:rsidP="00A85956">
            <w:pPr>
              <w:pStyle w:val="TableBody"/>
            </w:pPr>
            <w:r w:rsidRPr="00A85956">
              <w:t>3.2%</w:t>
            </w:r>
          </w:p>
        </w:tc>
      </w:tr>
    </w:tbl>
    <w:p w14:paraId="6EE20BED" w14:textId="77777777" w:rsidR="001D509C" w:rsidRPr="00157502" w:rsidRDefault="001D509C" w:rsidP="00D4532A">
      <w:r w:rsidRPr="000C258A">
        <w:rPr>
          <w:rStyle w:val="Strong"/>
        </w:rPr>
        <w:t>Source</w:t>
      </w:r>
      <w:r w:rsidRPr="008C1137">
        <w:t>: Court Services Victoria, unpublished data</w:t>
      </w:r>
    </w:p>
    <w:p w14:paraId="6BB16392" w14:textId="77777777" w:rsidR="00A4454A" w:rsidRPr="008C1137" w:rsidRDefault="00A4454A" w:rsidP="00210207">
      <w:pPr>
        <w:pStyle w:val="Numbered"/>
      </w:pPr>
      <w:r w:rsidRPr="008C1137">
        <w:t xml:space="preserve">There was also a distinction between the average custodial sentence </w:t>
      </w:r>
      <w:r w:rsidRPr="003B3217">
        <w:rPr>
          <w:rStyle w:val="Italic"/>
        </w:rPr>
        <w:t>lengths</w:t>
      </w:r>
      <w:r w:rsidRPr="008C1137">
        <w:t xml:space="preserve"> for male offenders and the average custodial sentence lengths for female offenders, with the average for female offenders sitting between 2.6 and 6.6 months shorter than the average for male offenders (Figure 35), even though average custodial sentence lengths followed similar trends for both. In effect, for both male and female offenders, changes in the imprisonment rate correlated strongly with inverse changes in the average custodial sentence length: as the imprisonment rate goes up, imprisonment lengths go down, and vice versa. </w:t>
      </w:r>
    </w:p>
    <w:p w14:paraId="0F45C570" w14:textId="77777777" w:rsidR="00A4454A" w:rsidRPr="008C1137" w:rsidRDefault="00A4454A" w:rsidP="00BE4EDC">
      <w:pPr>
        <w:pStyle w:val="Caption"/>
      </w:pPr>
      <w:r w:rsidRPr="00157502">
        <w:t>Figure 35</w:t>
      </w:r>
      <w:r w:rsidRPr="008C1137">
        <w:t>: Average custodial sentence lengths (in months), by gender, all courts, 2006–07 to 2023–24</w:t>
      </w:r>
      <w:r w:rsidRPr="008C1137">
        <w:rPr>
          <w:rStyle w:val="Superscript"/>
        </w:rPr>
        <w:footnoteReference w:id="129"/>
      </w:r>
    </w:p>
    <w:tbl>
      <w:tblPr>
        <w:tblStyle w:val="Table"/>
        <w:tblW w:w="5000" w:type="pct"/>
        <w:tblLook w:val="04A0" w:firstRow="1" w:lastRow="0" w:firstColumn="1" w:lastColumn="0" w:noHBand="0" w:noVBand="1"/>
      </w:tblPr>
      <w:tblGrid>
        <w:gridCol w:w="3005"/>
        <w:gridCol w:w="3005"/>
        <w:gridCol w:w="3006"/>
      </w:tblGrid>
      <w:tr w:rsidR="003A7040" w:rsidRPr="003A7040" w14:paraId="1F5CF08B" w14:textId="77777777" w:rsidTr="006C08F6">
        <w:trPr>
          <w:trHeight w:val="288"/>
          <w:tblHeader/>
        </w:trPr>
        <w:tc>
          <w:tcPr>
            <w:tcW w:w="1666" w:type="pct"/>
            <w:noWrap/>
            <w:hideMark/>
          </w:tcPr>
          <w:p w14:paraId="022B9C3E" w14:textId="77777777" w:rsidR="003A7040" w:rsidRPr="003A7040" w:rsidRDefault="003A7040" w:rsidP="002054FC">
            <w:pPr>
              <w:pStyle w:val="TableHeading"/>
            </w:pPr>
            <w:r w:rsidRPr="003A7040">
              <w:t>Financial year</w:t>
            </w:r>
          </w:p>
        </w:tc>
        <w:tc>
          <w:tcPr>
            <w:tcW w:w="1666" w:type="pct"/>
            <w:noWrap/>
            <w:hideMark/>
          </w:tcPr>
          <w:p w14:paraId="5E159BD6" w14:textId="77777777" w:rsidR="003A7040" w:rsidRPr="003A7040" w:rsidRDefault="003A7040" w:rsidP="002054FC">
            <w:pPr>
              <w:pStyle w:val="TableHeading"/>
            </w:pPr>
            <w:r w:rsidRPr="003A7040">
              <w:t>Male</w:t>
            </w:r>
          </w:p>
        </w:tc>
        <w:tc>
          <w:tcPr>
            <w:tcW w:w="1667" w:type="pct"/>
            <w:noWrap/>
            <w:hideMark/>
          </w:tcPr>
          <w:p w14:paraId="7E084C1D" w14:textId="77777777" w:rsidR="003A7040" w:rsidRPr="003A7040" w:rsidRDefault="003A7040" w:rsidP="002054FC">
            <w:pPr>
              <w:pStyle w:val="TableHeading"/>
            </w:pPr>
            <w:r w:rsidRPr="003A7040">
              <w:t>Female</w:t>
            </w:r>
          </w:p>
        </w:tc>
      </w:tr>
      <w:tr w:rsidR="003A7040" w:rsidRPr="003A7040" w14:paraId="5FED5B89" w14:textId="77777777" w:rsidTr="006C08F6">
        <w:trPr>
          <w:trHeight w:val="288"/>
        </w:trPr>
        <w:tc>
          <w:tcPr>
            <w:tcW w:w="1666" w:type="pct"/>
            <w:noWrap/>
            <w:hideMark/>
          </w:tcPr>
          <w:p w14:paraId="4B84CFA6" w14:textId="77777777" w:rsidR="003A7040" w:rsidRPr="003A7040" w:rsidRDefault="003A7040" w:rsidP="00906ADE">
            <w:pPr>
              <w:pStyle w:val="TableBody"/>
            </w:pPr>
            <w:r w:rsidRPr="003A7040">
              <w:t>2006-07</w:t>
            </w:r>
          </w:p>
        </w:tc>
        <w:tc>
          <w:tcPr>
            <w:tcW w:w="1666" w:type="pct"/>
            <w:noWrap/>
            <w:hideMark/>
          </w:tcPr>
          <w:p w14:paraId="411EF443" w14:textId="77777777" w:rsidR="003A7040" w:rsidRPr="00A85956" w:rsidRDefault="003A7040" w:rsidP="00A85956">
            <w:pPr>
              <w:pStyle w:val="TableBody"/>
            </w:pPr>
            <w:r w:rsidRPr="00A85956">
              <w:t>14.2</w:t>
            </w:r>
          </w:p>
        </w:tc>
        <w:tc>
          <w:tcPr>
            <w:tcW w:w="1667" w:type="pct"/>
            <w:noWrap/>
            <w:hideMark/>
          </w:tcPr>
          <w:p w14:paraId="5B8D89D3" w14:textId="77777777" w:rsidR="003A7040" w:rsidRPr="00A85956" w:rsidRDefault="003A7040" w:rsidP="00A85956">
            <w:pPr>
              <w:pStyle w:val="TableBody"/>
            </w:pPr>
            <w:r w:rsidRPr="00A85956">
              <w:t>8.8</w:t>
            </w:r>
          </w:p>
        </w:tc>
      </w:tr>
      <w:tr w:rsidR="003A7040" w:rsidRPr="003A7040" w14:paraId="05728F89" w14:textId="77777777" w:rsidTr="006C08F6">
        <w:trPr>
          <w:trHeight w:val="288"/>
        </w:trPr>
        <w:tc>
          <w:tcPr>
            <w:tcW w:w="1666" w:type="pct"/>
            <w:noWrap/>
            <w:hideMark/>
          </w:tcPr>
          <w:p w14:paraId="2FDD8896" w14:textId="77777777" w:rsidR="003A7040" w:rsidRPr="003A7040" w:rsidRDefault="003A7040" w:rsidP="00906ADE">
            <w:pPr>
              <w:pStyle w:val="TableBody"/>
            </w:pPr>
            <w:r w:rsidRPr="003A7040">
              <w:t>2007-08</w:t>
            </w:r>
          </w:p>
        </w:tc>
        <w:tc>
          <w:tcPr>
            <w:tcW w:w="1666" w:type="pct"/>
            <w:noWrap/>
            <w:hideMark/>
          </w:tcPr>
          <w:p w14:paraId="60CDB8F5" w14:textId="77777777" w:rsidR="003A7040" w:rsidRPr="00A85956" w:rsidRDefault="003A7040" w:rsidP="00A85956">
            <w:pPr>
              <w:pStyle w:val="TableBody"/>
            </w:pPr>
            <w:r w:rsidRPr="00A85956">
              <w:t>15.0</w:t>
            </w:r>
          </w:p>
        </w:tc>
        <w:tc>
          <w:tcPr>
            <w:tcW w:w="1667" w:type="pct"/>
            <w:noWrap/>
            <w:hideMark/>
          </w:tcPr>
          <w:p w14:paraId="4F3D805F" w14:textId="77777777" w:rsidR="003A7040" w:rsidRPr="00A85956" w:rsidRDefault="003A7040" w:rsidP="00A85956">
            <w:pPr>
              <w:pStyle w:val="TableBody"/>
            </w:pPr>
            <w:r w:rsidRPr="00A85956">
              <w:t>9.1</w:t>
            </w:r>
          </w:p>
        </w:tc>
      </w:tr>
      <w:tr w:rsidR="003A7040" w:rsidRPr="003A7040" w14:paraId="3A72B5AC" w14:textId="77777777" w:rsidTr="006C08F6">
        <w:trPr>
          <w:trHeight w:val="288"/>
        </w:trPr>
        <w:tc>
          <w:tcPr>
            <w:tcW w:w="1666" w:type="pct"/>
            <w:noWrap/>
            <w:hideMark/>
          </w:tcPr>
          <w:p w14:paraId="16F93823" w14:textId="77777777" w:rsidR="003A7040" w:rsidRPr="003A7040" w:rsidRDefault="003A7040" w:rsidP="00906ADE">
            <w:pPr>
              <w:pStyle w:val="TableBody"/>
            </w:pPr>
            <w:r w:rsidRPr="003A7040">
              <w:t>2008-09</w:t>
            </w:r>
          </w:p>
        </w:tc>
        <w:tc>
          <w:tcPr>
            <w:tcW w:w="1666" w:type="pct"/>
            <w:noWrap/>
            <w:hideMark/>
          </w:tcPr>
          <w:p w14:paraId="71EB677C" w14:textId="77777777" w:rsidR="003A7040" w:rsidRPr="00A85956" w:rsidRDefault="003A7040" w:rsidP="00A85956">
            <w:pPr>
              <w:pStyle w:val="TableBody"/>
            </w:pPr>
            <w:r w:rsidRPr="00A85956">
              <w:t>14.8</w:t>
            </w:r>
          </w:p>
        </w:tc>
        <w:tc>
          <w:tcPr>
            <w:tcW w:w="1667" w:type="pct"/>
            <w:noWrap/>
            <w:hideMark/>
          </w:tcPr>
          <w:p w14:paraId="6EEDF8E7" w14:textId="77777777" w:rsidR="003A7040" w:rsidRPr="00A85956" w:rsidRDefault="003A7040" w:rsidP="00A85956">
            <w:pPr>
              <w:pStyle w:val="TableBody"/>
            </w:pPr>
            <w:r w:rsidRPr="00A85956">
              <w:t>9.4</w:t>
            </w:r>
          </w:p>
        </w:tc>
      </w:tr>
      <w:tr w:rsidR="003A7040" w:rsidRPr="003A7040" w14:paraId="1628BB00" w14:textId="77777777" w:rsidTr="006C08F6">
        <w:trPr>
          <w:trHeight w:val="288"/>
        </w:trPr>
        <w:tc>
          <w:tcPr>
            <w:tcW w:w="1666" w:type="pct"/>
            <w:noWrap/>
            <w:hideMark/>
          </w:tcPr>
          <w:p w14:paraId="5DB055C8" w14:textId="77777777" w:rsidR="003A7040" w:rsidRPr="003A7040" w:rsidRDefault="003A7040" w:rsidP="00906ADE">
            <w:pPr>
              <w:pStyle w:val="TableBody"/>
            </w:pPr>
            <w:r w:rsidRPr="003A7040">
              <w:t>2009-10</w:t>
            </w:r>
          </w:p>
        </w:tc>
        <w:tc>
          <w:tcPr>
            <w:tcW w:w="1666" w:type="pct"/>
            <w:noWrap/>
            <w:hideMark/>
          </w:tcPr>
          <w:p w14:paraId="50D7D2BD" w14:textId="77777777" w:rsidR="003A7040" w:rsidRPr="00A85956" w:rsidRDefault="003A7040" w:rsidP="00A85956">
            <w:pPr>
              <w:pStyle w:val="TableBody"/>
            </w:pPr>
            <w:r w:rsidRPr="00A85956">
              <w:t>15.6</w:t>
            </w:r>
          </w:p>
        </w:tc>
        <w:tc>
          <w:tcPr>
            <w:tcW w:w="1667" w:type="pct"/>
            <w:noWrap/>
            <w:hideMark/>
          </w:tcPr>
          <w:p w14:paraId="02BC8AE2" w14:textId="77777777" w:rsidR="003A7040" w:rsidRPr="00A85956" w:rsidRDefault="003A7040" w:rsidP="00A85956">
            <w:pPr>
              <w:pStyle w:val="TableBody"/>
            </w:pPr>
            <w:r w:rsidRPr="00A85956">
              <w:t>9.0</w:t>
            </w:r>
          </w:p>
        </w:tc>
      </w:tr>
      <w:tr w:rsidR="003A7040" w:rsidRPr="003A7040" w14:paraId="02F3BC7F" w14:textId="77777777" w:rsidTr="006C08F6">
        <w:trPr>
          <w:trHeight w:val="288"/>
        </w:trPr>
        <w:tc>
          <w:tcPr>
            <w:tcW w:w="1666" w:type="pct"/>
            <w:noWrap/>
            <w:hideMark/>
          </w:tcPr>
          <w:p w14:paraId="339A99A3" w14:textId="77777777" w:rsidR="003A7040" w:rsidRPr="003A7040" w:rsidRDefault="003A7040" w:rsidP="00906ADE">
            <w:pPr>
              <w:pStyle w:val="TableBody"/>
            </w:pPr>
            <w:r w:rsidRPr="003A7040">
              <w:t>2010-11</w:t>
            </w:r>
          </w:p>
        </w:tc>
        <w:tc>
          <w:tcPr>
            <w:tcW w:w="1666" w:type="pct"/>
            <w:noWrap/>
            <w:hideMark/>
          </w:tcPr>
          <w:p w14:paraId="4D04DA41" w14:textId="77777777" w:rsidR="003A7040" w:rsidRPr="00A85956" w:rsidRDefault="003A7040" w:rsidP="00A85956">
            <w:pPr>
              <w:pStyle w:val="TableBody"/>
            </w:pPr>
            <w:r w:rsidRPr="00A85956">
              <w:t>15.8</w:t>
            </w:r>
          </w:p>
        </w:tc>
        <w:tc>
          <w:tcPr>
            <w:tcW w:w="1667" w:type="pct"/>
            <w:noWrap/>
            <w:hideMark/>
          </w:tcPr>
          <w:p w14:paraId="4E35D9DC" w14:textId="77777777" w:rsidR="003A7040" w:rsidRPr="00A85956" w:rsidRDefault="003A7040" w:rsidP="00A85956">
            <w:pPr>
              <w:pStyle w:val="TableBody"/>
            </w:pPr>
            <w:r w:rsidRPr="00A85956">
              <w:t>12.5</w:t>
            </w:r>
          </w:p>
        </w:tc>
      </w:tr>
      <w:tr w:rsidR="003A7040" w:rsidRPr="003A7040" w14:paraId="18DE5A35" w14:textId="77777777" w:rsidTr="006C08F6">
        <w:trPr>
          <w:trHeight w:val="288"/>
        </w:trPr>
        <w:tc>
          <w:tcPr>
            <w:tcW w:w="1666" w:type="pct"/>
            <w:noWrap/>
            <w:hideMark/>
          </w:tcPr>
          <w:p w14:paraId="5B92F301" w14:textId="77777777" w:rsidR="003A7040" w:rsidRPr="003A7040" w:rsidRDefault="003A7040" w:rsidP="00906ADE">
            <w:pPr>
              <w:pStyle w:val="TableBody"/>
            </w:pPr>
            <w:r w:rsidRPr="003A7040">
              <w:t>2011-12</w:t>
            </w:r>
          </w:p>
        </w:tc>
        <w:tc>
          <w:tcPr>
            <w:tcW w:w="1666" w:type="pct"/>
            <w:noWrap/>
            <w:hideMark/>
          </w:tcPr>
          <w:p w14:paraId="2F816746" w14:textId="77777777" w:rsidR="003A7040" w:rsidRPr="00A85956" w:rsidRDefault="003A7040" w:rsidP="00A85956">
            <w:pPr>
              <w:pStyle w:val="TableBody"/>
            </w:pPr>
            <w:r w:rsidRPr="00A85956">
              <w:t>15.0</w:t>
            </w:r>
          </w:p>
        </w:tc>
        <w:tc>
          <w:tcPr>
            <w:tcW w:w="1667" w:type="pct"/>
            <w:noWrap/>
            <w:hideMark/>
          </w:tcPr>
          <w:p w14:paraId="1263C738" w14:textId="77777777" w:rsidR="003A7040" w:rsidRPr="00A85956" w:rsidRDefault="003A7040" w:rsidP="00A85956">
            <w:pPr>
              <w:pStyle w:val="TableBody"/>
            </w:pPr>
            <w:r w:rsidRPr="00A85956">
              <w:t>11.2</w:t>
            </w:r>
          </w:p>
        </w:tc>
      </w:tr>
      <w:tr w:rsidR="003A7040" w:rsidRPr="003A7040" w14:paraId="60A4BAB5" w14:textId="77777777" w:rsidTr="006C08F6">
        <w:trPr>
          <w:trHeight w:val="288"/>
        </w:trPr>
        <w:tc>
          <w:tcPr>
            <w:tcW w:w="1666" w:type="pct"/>
            <w:noWrap/>
            <w:hideMark/>
          </w:tcPr>
          <w:p w14:paraId="253752D6" w14:textId="77777777" w:rsidR="003A7040" w:rsidRPr="003A7040" w:rsidRDefault="003A7040" w:rsidP="00906ADE">
            <w:pPr>
              <w:pStyle w:val="TableBody"/>
            </w:pPr>
            <w:r w:rsidRPr="003A7040">
              <w:t>2012-13</w:t>
            </w:r>
          </w:p>
        </w:tc>
        <w:tc>
          <w:tcPr>
            <w:tcW w:w="1666" w:type="pct"/>
            <w:noWrap/>
            <w:hideMark/>
          </w:tcPr>
          <w:p w14:paraId="56719C54" w14:textId="77777777" w:rsidR="003A7040" w:rsidRPr="00A85956" w:rsidRDefault="003A7040" w:rsidP="00A85956">
            <w:pPr>
              <w:pStyle w:val="TableBody"/>
            </w:pPr>
            <w:r w:rsidRPr="00A85956">
              <w:t>14.4</w:t>
            </w:r>
          </w:p>
        </w:tc>
        <w:tc>
          <w:tcPr>
            <w:tcW w:w="1667" w:type="pct"/>
            <w:noWrap/>
            <w:hideMark/>
          </w:tcPr>
          <w:p w14:paraId="5F873262" w14:textId="77777777" w:rsidR="003A7040" w:rsidRPr="00A85956" w:rsidRDefault="003A7040" w:rsidP="00A85956">
            <w:pPr>
              <w:pStyle w:val="TableBody"/>
            </w:pPr>
            <w:r w:rsidRPr="00A85956">
              <w:t>10.5</w:t>
            </w:r>
          </w:p>
        </w:tc>
      </w:tr>
      <w:tr w:rsidR="003A7040" w:rsidRPr="003A7040" w14:paraId="0C8EDFBF" w14:textId="77777777" w:rsidTr="006C08F6">
        <w:trPr>
          <w:trHeight w:val="288"/>
        </w:trPr>
        <w:tc>
          <w:tcPr>
            <w:tcW w:w="1666" w:type="pct"/>
            <w:noWrap/>
            <w:hideMark/>
          </w:tcPr>
          <w:p w14:paraId="2A9B9B2E" w14:textId="77777777" w:rsidR="003A7040" w:rsidRPr="003A7040" w:rsidRDefault="003A7040" w:rsidP="00906ADE">
            <w:pPr>
              <w:pStyle w:val="TableBody"/>
            </w:pPr>
            <w:r w:rsidRPr="003A7040">
              <w:t>2013-14</w:t>
            </w:r>
          </w:p>
        </w:tc>
        <w:tc>
          <w:tcPr>
            <w:tcW w:w="1666" w:type="pct"/>
            <w:noWrap/>
            <w:hideMark/>
          </w:tcPr>
          <w:p w14:paraId="2E9CFCFE" w14:textId="77777777" w:rsidR="003A7040" w:rsidRPr="00A85956" w:rsidRDefault="003A7040" w:rsidP="00A85956">
            <w:pPr>
              <w:pStyle w:val="TableBody"/>
            </w:pPr>
            <w:r w:rsidRPr="00A85956">
              <w:t>13.4</w:t>
            </w:r>
          </w:p>
        </w:tc>
        <w:tc>
          <w:tcPr>
            <w:tcW w:w="1667" w:type="pct"/>
            <w:noWrap/>
            <w:hideMark/>
          </w:tcPr>
          <w:p w14:paraId="57A26879" w14:textId="77777777" w:rsidR="003A7040" w:rsidRPr="00A85956" w:rsidRDefault="003A7040" w:rsidP="00A85956">
            <w:pPr>
              <w:pStyle w:val="TableBody"/>
            </w:pPr>
            <w:r w:rsidRPr="00A85956">
              <w:t>10.2</w:t>
            </w:r>
          </w:p>
        </w:tc>
      </w:tr>
      <w:tr w:rsidR="003A7040" w:rsidRPr="003A7040" w14:paraId="798308E0" w14:textId="77777777" w:rsidTr="006C08F6">
        <w:trPr>
          <w:trHeight w:val="288"/>
        </w:trPr>
        <w:tc>
          <w:tcPr>
            <w:tcW w:w="1666" w:type="pct"/>
            <w:noWrap/>
            <w:hideMark/>
          </w:tcPr>
          <w:p w14:paraId="602A6A8B" w14:textId="77777777" w:rsidR="003A7040" w:rsidRPr="003A7040" w:rsidRDefault="003A7040" w:rsidP="00906ADE">
            <w:pPr>
              <w:pStyle w:val="TableBody"/>
            </w:pPr>
            <w:r w:rsidRPr="003A7040">
              <w:t>2014-15</w:t>
            </w:r>
          </w:p>
        </w:tc>
        <w:tc>
          <w:tcPr>
            <w:tcW w:w="1666" w:type="pct"/>
            <w:noWrap/>
            <w:hideMark/>
          </w:tcPr>
          <w:p w14:paraId="56462D43" w14:textId="77777777" w:rsidR="003A7040" w:rsidRPr="00A85956" w:rsidRDefault="003A7040" w:rsidP="00A85956">
            <w:pPr>
              <w:pStyle w:val="TableBody"/>
            </w:pPr>
            <w:r w:rsidRPr="00A85956">
              <w:t>11.6</w:t>
            </w:r>
          </w:p>
        </w:tc>
        <w:tc>
          <w:tcPr>
            <w:tcW w:w="1667" w:type="pct"/>
            <w:noWrap/>
            <w:hideMark/>
          </w:tcPr>
          <w:p w14:paraId="5D434A37" w14:textId="77777777" w:rsidR="003A7040" w:rsidRPr="00A85956" w:rsidRDefault="003A7040" w:rsidP="00A85956">
            <w:pPr>
              <w:pStyle w:val="TableBody"/>
            </w:pPr>
            <w:r w:rsidRPr="00A85956">
              <w:t>9.0</w:t>
            </w:r>
          </w:p>
        </w:tc>
      </w:tr>
      <w:tr w:rsidR="003A7040" w:rsidRPr="003A7040" w14:paraId="7C954433" w14:textId="77777777" w:rsidTr="006C08F6">
        <w:trPr>
          <w:trHeight w:val="288"/>
        </w:trPr>
        <w:tc>
          <w:tcPr>
            <w:tcW w:w="1666" w:type="pct"/>
            <w:noWrap/>
            <w:hideMark/>
          </w:tcPr>
          <w:p w14:paraId="32F884F8" w14:textId="77777777" w:rsidR="003A7040" w:rsidRPr="003A7040" w:rsidRDefault="003A7040" w:rsidP="00906ADE">
            <w:pPr>
              <w:pStyle w:val="TableBody"/>
            </w:pPr>
            <w:r w:rsidRPr="003A7040">
              <w:t>2015-16</w:t>
            </w:r>
          </w:p>
        </w:tc>
        <w:tc>
          <w:tcPr>
            <w:tcW w:w="1666" w:type="pct"/>
            <w:noWrap/>
            <w:hideMark/>
          </w:tcPr>
          <w:p w14:paraId="0311E0DC" w14:textId="77777777" w:rsidR="003A7040" w:rsidRPr="00A85956" w:rsidRDefault="003A7040" w:rsidP="00A85956">
            <w:pPr>
              <w:pStyle w:val="TableBody"/>
            </w:pPr>
            <w:r w:rsidRPr="00A85956">
              <w:t>10.5</w:t>
            </w:r>
          </w:p>
        </w:tc>
        <w:tc>
          <w:tcPr>
            <w:tcW w:w="1667" w:type="pct"/>
            <w:noWrap/>
            <w:hideMark/>
          </w:tcPr>
          <w:p w14:paraId="5FEC0554" w14:textId="77777777" w:rsidR="003A7040" w:rsidRPr="00A85956" w:rsidRDefault="003A7040" w:rsidP="00A85956">
            <w:pPr>
              <w:pStyle w:val="TableBody"/>
            </w:pPr>
            <w:r w:rsidRPr="00A85956">
              <w:t>7.6</w:t>
            </w:r>
          </w:p>
        </w:tc>
      </w:tr>
      <w:tr w:rsidR="003A7040" w:rsidRPr="003A7040" w14:paraId="2304D728" w14:textId="77777777" w:rsidTr="006C08F6">
        <w:trPr>
          <w:trHeight w:val="288"/>
        </w:trPr>
        <w:tc>
          <w:tcPr>
            <w:tcW w:w="1666" w:type="pct"/>
            <w:noWrap/>
            <w:hideMark/>
          </w:tcPr>
          <w:p w14:paraId="056663D3" w14:textId="77777777" w:rsidR="003A7040" w:rsidRPr="003A7040" w:rsidRDefault="003A7040" w:rsidP="00906ADE">
            <w:pPr>
              <w:pStyle w:val="TableBody"/>
            </w:pPr>
            <w:r w:rsidRPr="003A7040">
              <w:t>2016-17</w:t>
            </w:r>
          </w:p>
        </w:tc>
        <w:tc>
          <w:tcPr>
            <w:tcW w:w="1666" w:type="pct"/>
            <w:noWrap/>
            <w:hideMark/>
          </w:tcPr>
          <w:p w14:paraId="44103C8A" w14:textId="77777777" w:rsidR="003A7040" w:rsidRPr="00A85956" w:rsidRDefault="003A7040" w:rsidP="00A85956">
            <w:pPr>
              <w:pStyle w:val="TableBody"/>
            </w:pPr>
            <w:r w:rsidRPr="00A85956">
              <w:t>11.3</w:t>
            </w:r>
          </w:p>
        </w:tc>
        <w:tc>
          <w:tcPr>
            <w:tcW w:w="1667" w:type="pct"/>
            <w:noWrap/>
            <w:hideMark/>
          </w:tcPr>
          <w:p w14:paraId="3DEF5E63" w14:textId="77777777" w:rsidR="003A7040" w:rsidRPr="00A85956" w:rsidRDefault="003A7040" w:rsidP="00A85956">
            <w:pPr>
              <w:pStyle w:val="TableBody"/>
            </w:pPr>
            <w:r w:rsidRPr="00A85956">
              <w:t>8.1</w:t>
            </w:r>
          </w:p>
        </w:tc>
      </w:tr>
      <w:tr w:rsidR="003A7040" w:rsidRPr="003A7040" w14:paraId="115BE286" w14:textId="77777777" w:rsidTr="006C08F6">
        <w:trPr>
          <w:trHeight w:val="288"/>
        </w:trPr>
        <w:tc>
          <w:tcPr>
            <w:tcW w:w="1666" w:type="pct"/>
            <w:noWrap/>
            <w:hideMark/>
          </w:tcPr>
          <w:p w14:paraId="0BBECF2F" w14:textId="77777777" w:rsidR="003A7040" w:rsidRPr="003A7040" w:rsidRDefault="003A7040" w:rsidP="00906ADE">
            <w:pPr>
              <w:pStyle w:val="TableBody"/>
            </w:pPr>
            <w:r w:rsidRPr="003A7040">
              <w:t>2017-18</w:t>
            </w:r>
          </w:p>
        </w:tc>
        <w:tc>
          <w:tcPr>
            <w:tcW w:w="1666" w:type="pct"/>
            <w:noWrap/>
            <w:hideMark/>
          </w:tcPr>
          <w:p w14:paraId="321EF3A6" w14:textId="77777777" w:rsidR="003A7040" w:rsidRPr="00A85956" w:rsidRDefault="003A7040" w:rsidP="00A85956">
            <w:pPr>
              <w:pStyle w:val="TableBody"/>
            </w:pPr>
            <w:r w:rsidRPr="00A85956">
              <w:t>11.5</w:t>
            </w:r>
          </w:p>
        </w:tc>
        <w:tc>
          <w:tcPr>
            <w:tcW w:w="1667" w:type="pct"/>
            <w:noWrap/>
            <w:hideMark/>
          </w:tcPr>
          <w:p w14:paraId="6875FC45" w14:textId="77777777" w:rsidR="003A7040" w:rsidRPr="00A85956" w:rsidRDefault="003A7040" w:rsidP="00A85956">
            <w:pPr>
              <w:pStyle w:val="TableBody"/>
            </w:pPr>
            <w:r w:rsidRPr="00A85956">
              <w:t>6.4</w:t>
            </w:r>
          </w:p>
        </w:tc>
      </w:tr>
      <w:tr w:rsidR="003A7040" w:rsidRPr="003A7040" w14:paraId="05A13358" w14:textId="77777777" w:rsidTr="006C08F6">
        <w:trPr>
          <w:trHeight w:val="288"/>
        </w:trPr>
        <w:tc>
          <w:tcPr>
            <w:tcW w:w="1666" w:type="pct"/>
            <w:noWrap/>
            <w:hideMark/>
          </w:tcPr>
          <w:p w14:paraId="0D0DE109" w14:textId="77777777" w:rsidR="003A7040" w:rsidRPr="003A7040" w:rsidRDefault="003A7040" w:rsidP="00906ADE">
            <w:pPr>
              <w:pStyle w:val="TableBody"/>
            </w:pPr>
            <w:r w:rsidRPr="003A7040">
              <w:t>2018-19</w:t>
            </w:r>
          </w:p>
        </w:tc>
        <w:tc>
          <w:tcPr>
            <w:tcW w:w="1666" w:type="pct"/>
            <w:noWrap/>
            <w:hideMark/>
          </w:tcPr>
          <w:p w14:paraId="687ECC24" w14:textId="77777777" w:rsidR="003A7040" w:rsidRPr="00A85956" w:rsidRDefault="003A7040" w:rsidP="00A85956">
            <w:pPr>
              <w:pStyle w:val="TableBody"/>
            </w:pPr>
            <w:r w:rsidRPr="00A85956">
              <w:t>10.6</w:t>
            </w:r>
          </w:p>
        </w:tc>
        <w:tc>
          <w:tcPr>
            <w:tcW w:w="1667" w:type="pct"/>
            <w:noWrap/>
            <w:hideMark/>
          </w:tcPr>
          <w:p w14:paraId="636A71EB" w14:textId="77777777" w:rsidR="003A7040" w:rsidRPr="00A85956" w:rsidRDefault="003A7040" w:rsidP="00A85956">
            <w:pPr>
              <w:pStyle w:val="TableBody"/>
            </w:pPr>
            <w:r w:rsidRPr="00A85956">
              <w:t>7.1</w:t>
            </w:r>
          </w:p>
        </w:tc>
      </w:tr>
      <w:tr w:rsidR="003A7040" w:rsidRPr="003A7040" w14:paraId="4AF2F0D7" w14:textId="77777777" w:rsidTr="006C08F6">
        <w:trPr>
          <w:trHeight w:val="288"/>
        </w:trPr>
        <w:tc>
          <w:tcPr>
            <w:tcW w:w="1666" w:type="pct"/>
            <w:noWrap/>
            <w:hideMark/>
          </w:tcPr>
          <w:p w14:paraId="143B6AD2" w14:textId="77777777" w:rsidR="003A7040" w:rsidRPr="003A7040" w:rsidRDefault="003A7040" w:rsidP="00906ADE">
            <w:pPr>
              <w:pStyle w:val="TableBody"/>
            </w:pPr>
            <w:r w:rsidRPr="003A7040">
              <w:t>2019-20</w:t>
            </w:r>
          </w:p>
        </w:tc>
        <w:tc>
          <w:tcPr>
            <w:tcW w:w="1666" w:type="pct"/>
            <w:noWrap/>
            <w:hideMark/>
          </w:tcPr>
          <w:p w14:paraId="467DC870" w14:textId="77777777" w:rsidR="003A7040" w:rsidRPr="00A85956" w:rsidRDefault="003A7040" w:rsidP="00A85956">
            <w:pPr>
              <w:pStyle w:val="TableBody"/>
            </w:pPr>
            <w:r w:rsidRPr="00A85956">
              <w:t>10.3</w:t>
            </w:r>
          </w:p>
        </w:tc>
        <w:tc>
          <w:tcPr>
            <w:tcW w:w="1667" w:type="pct"/>
            <w:noWrap/>
            <w:hideMark/>
          </w:tcPr>
          <w:p w14:paraId="627F5BD5" w14:textId="77777777" w:rsidR="003A7040" w:rsidRPr="00A85956" w:rsidRDefault="003A7040" w:rsidP="00A85956">
            <w:pPr>
              <w:pStyle w:val="TableBody"/>
            </w:pPr>
            <w:r w:rsidRPr="00A85956">
              <w:t>6.6</w:t>
            </w:r>
          </w:p>
        </w:tc>
      </w:tr>
      <w:tr w:rsidR="003A7040" w:rsidRPr="003A7040" w14:paraId="4AF77786" w14:textId="77777777" w:rsidTr="006C08F6">
        <w:trPr>
          <w:trHeight w:val="288"/>
        </w:trPr>
        <w:tc>
          <w:tcPr>
            <w:tcW w:w="1666" w:type="pct"/>
            <w:noWrap/>
            <w:hideMark/>
          </w:tcPr>
          <w:p w14:paraId="650E489C" w14:textId="77777777" w:rsidR="003A7040" w:rsidRPr="003A7040" w:rsidRDefault="003A7040" w:rsidP="00906ADE">
            <w:pPr>
              <w:pStyle w:val="TableBody"/>
            </w:pPr>
            <w:r w:rsidRPr="003A7040">
              <w:t>2020-21</w:t>
            </w:r>
          </w:p>
        </w:tc>
        <w:tc>
          <w:tcPr>
            <w:tcW w:w="1666" w:type="pct"/>
            <w:noWrap/>
            <w:hideMark/>
          </w:tcPr>
          <w:p w14:paraId="70048713" w14:textId="77777777" w:rsidR="003A7040" w:rsidRPr="00A85956" w:rsidRDefault="003A7040" w:rsidP="00A85956">
            <w:pPr>
              <w:pStyle w:val="TableBody"/>
            </w:pPr>
            <w:r w:rsidRPr="00A85956">
              <w:t>9.2</w:t>
            </w:r>
          </w:p>
        </w:tc>
        <w:tc>
          <w:tcPr>
            <w:tcW w:w="1667" w:type="pct"/>
            <w:noWrap/>
            <w:hideMark/>
          </w:tcPr>
          <w:p w14:paraId="78BECE26" w14:textId="77777777" w:rsidR="003A7040" w:rsidRPr="00A85956" w:rsidRDefault="003A7040" w:rsidP="00A85956">
            <w:pPr>
              <w:pStyle w:val="TableBody"/>
            </w:pPr>
            <w:r w:rsidRPr="00A85956">
              <w:t>5.2</w:t>
            </w:r>
          </w:p>
        </w:tc>
      </w:tr>
      <w:tr w:rsidR="003A7040" w:rsidRPr="003A7040" w14:paraId="6E76615A" w14:textId="77777777" w:rsidTr="006C08F6">
        <w:trPr>
          <w:trHeight w:val="288"/>
        </w:trPr>
        <w:tc>
          <w:tcPr>
            <w:tcW w:w="1666" w:type="pct"/>
            <w:noWrap/>
            <w:hideMark/>
          </w:tcPr>
          <w:p w14:paraId="12B122EE" w14:textId="77777777" w:rsidR="003A7040" w:rsidRPr="003A7040" w:rsidRDefault="003A7040" w:rsidP="00906ADE">
            <w:pPr>
              <w:pStyle w:val="TableBody"/>
            </w:pPr>
            <w:r w:rsidRPr="003A7040">
              <w:t>2021-22</w:t>
            </w:r>
          </w:p>
        </w:tc>
        <w:tc>
          <w:tcPr>
            <w:tcW w:w="1666" w:type="pct"/>
            <w:noWrap/>
            <w:hideMark/>
          </w:tcPr>
          <w:p w14:paraId="3095B05F" w14:textId="77777777" w:rsidR="003A7040" w:rsidRPr="00A85956" w:rsidRDefault="003A7040" w:rsidP="00A85956">
            <w:pPr>
              <w:pStyle w:val="TableBody"/>
            </w:pPr>
            <w:r w:rsidRPr="00A85956">
              <w:t>10.4</w:t>
            </w:r>
          </w:p>
        </w:tc>
        <w:tc>
          <w:tcPr>
            <w:tcW w:w="1667" w:type="pct"/>
            <w:noWrap/>
            <w:hideMark/>
          </w:tcPr>
          <w:p w14:paraId="799BF0EB" w14:textId="77777777" w:rsidR="003A7040" w:rsidRPr="00A85956" w:rsidRDefault="003A7040" w:rsidP="00A85956">
            <w:pPr>
              <w:pStyle w:val="TableBody"/>
            </w:pPr>
            <w:r w:rsidRPr="00A85956">
              <w:t>6.8</w:t>
            </w:r>
          </w:p>
        </w:tc>
      </w:tr>
      <w:tr w:rsidR="003A7040" w:rsidRPr="003A7040" w14:paraId="3EAB98F9" w14:textId="77777777" w:rsidTr="006C08F6">
        <w:trPr>
          <w:trHeight w:val="288"/>
        </w:trPr>
        <w:tc>
          <w:tcPr>
            <w:tcW w:w="1666" w:type="pct"/>
            <w:noWrap/>
            <w:hideMark/>
          </w:tcPr>
          <w:p w14:paraId="4E81AECF" w14:textId="77777777" w:rsidR="003A7040" w:rsidRPr="003A7040" w:rsidRDefault="003A7040" w:rsidP="00906ADE">
            <w:pPr>
              <w:pStyle w:val="TableBody"/>
            </w:pPr>
            <w:r w:rsidRPr="003A7040">
              <w:t>2022-23</w:t>
            </w:r>
          </w:p>
        </w:tc>
        <w:tc>
          <w:tcPr>
            <w:tcW w:w="1666" w:type="pct"/>
            <w:noWrap/>
            <w:hideMark/>
          </w:tcPr>
          <w:p w14:paraId="601C1171" w14:textId="77777777" w:rsidR="003A7040" w:rsidRPr="00A85956" w:rsidRDefault="003A7040" w:rsidP="00A85956">
            <w:pPr>
              <w:pStyle w:val="TableBody"/>
            </w:pPr>
            <w:r w:rsidRPr="00A85956">
              <w:t>11.5</w:t>
            </w:r>
          </w:p>
        </w:tc>
        <w:tc>
          <w:tcPr>
            <w:tcW w:w="1667" w:type="pct"/>
            <w:noWrap/>
            <w:hideMark/>
          </w:tcPr>
          <w:p w14:paraId="2FD5F883" w14:textId="77777777" w:rsidR="003A7040" w:rsidRPr="00A85956" w:rsidRDefault="003A7040" w:rsidP="00A85956">
            <w:pPr>
              <w:pStyle w:val="TableBody"/>
            </w:pPr>
            <w:r w:rsidRPr="00A85956">
              <w:t>6.8</w:t>
            </w:r>
          </w:p>
        </w:tc>
      </w:tr>
      <w:tr w:rsidR="003A7040" w:rsidRPr="003A7040" w14:paraId="31F72ECF" w14:textId="77777777" w:rsidTr="006C08F6">
        <w:trPr>
          <w:trHeight w:val="288"/>
        </w:trPr>
        <w:tc>
          <w:tcPr>
            <w:tcW w:w="1666" w:type="pct"/>
            <w:noWrap/>
            <w:hideMark/>
          </w:tcPr>
          <w:p w14:paraId="58186B10" w14:textId="77777777" w:rsidR="003A7040" w:rsidRPr="003A7040" w:rsidRDefault="003A7040" w:rsidP="00906ADE">
            <w:pPr>
              <w:pStyle w:val="TableBody"/>
            </w:pPr>
            <w:r w:rsidRPr="003A7040">
              <w:t>2023-24</w:t>
            </w:r>
          </w:p>
        </w:tc>
        <w:tc>
          <w:tcPr>
            <w:tcW w:w="1666" w:type="pct"/>
            <w:noWrap/>
            <w:hideMark/>
          </w:tcPr>
          <w:p w14:paraId="3BD02027" w14:textId="77777777" w:rsidR="003A7040" w:rsidRPr="00A85956" w:rsidRDefault="003A7040" w:rsidP="00A85956">
            <w:pPr>
              <w:pStyle w:val="TableBody"/>
            </w:pPr>
            <w:r w:rsidRPr="00A85956">
              <w:t>12.8</w:t>
            </w:r>
          </w:p>
        </w:tc>
        <w:tc>
          <w:tcPr>
            <w:tcW w:w="1667" w:type="pct"/>
            <w:noWrap/>
            <w:hideMark/>
          </w:tcPr>
          <w:p w14:paraId="3A6E3BC1" w14:textId="77777777" w:rsidR="003A7040" w:rsidRPr="00A85956" w:rsidRDefault="003A7040" w:rsidP="00A85956">
            <w:pPr>
              <w:pStyle w:val="TableBody"/>
            </w:pPr>
            <w:r w:rsidRPr="00A85956">
              <w:t>7.5</w:t>
            </w:r>
          </w:p>
        </w:tc>
      </w:tr>
    </w:tbl>
    <w:p w14:paraId="518948FF" w14:textId="77777777" w:rsidR="00A4454A" w:rsidRPr="008C1137" w:rsidRDefault="00A4454A" w:rsidP="00D4532A">
      <w:r w:rsidRPr="000C258A">
        <w:rPr>
          <w:rStyle w:val="Strong"/>
        </w:rPr>
        <w:lastRenderedPageBreak/>
        <w:t>Source</w:t>
      </w:r>
      <w:r w:rsidRPr="008C1137">
        <w:t>: Court Services Victoria, unpublished data</w:t>
      </w:r>
    </w:p>
    <w:p w14:paraId="1AC241EC" w14:textId="77777777" w:rsidR="00A4454A" w:rsidRPr="008C1137" w:rsidRDefault="00A4454A" w:rsidP="0002476E">
      <w:pPr>
        <w:pStyle w:val="Heading3"/>
      </w:pPr>
      <w:r w:rsidRPr="008C1137">
        <w:t>Which offences committed by female offenders most commonly result in a prison sentence?</w:t>
      </w:r>
    </w:p>
    <w:p w14:paraId="2967B8B4" w14:textId="0B91F5D2" w:rsidR="00A4454A" w:rsidRPr="008C1137" w:rsidRDefault="00A4454A" w:rsidP="00210207">
      <w:pPr>
        <w:pStyle w:val="Numbered"/>
      </w:pPr>
      <w:r w:rsidRPr="008C1137">
        <w:t>Figure 36</w:t>
      </w:r>
      <w:r w:rsidR="009E33A5">
        <w:t xml:space="preserve"> </w:t>
      </w:r>
      <w:r w:rsidRPr="008C1137">
        <w:t xml:space="preserve">presents the three offences for which female offenders received the largest number of custodial sentences during the 20-year period. These are not necessarily the most common </w:t>
      </w:r>
      <w:r w:rsidRPr="003B3217">
        <w:rPr>
          <w:rStyle w:val="Italic"/>
        </w:rPr>
        <w:t>offences</w:t>
      </w:r>
      <w:r w:rsidRPr="008C1137">
        <w:t xml:space="preserve"> for which female offenders were sentenced overall, but rather the offences that received the highest number of custodial sentences. Each comprising 7% or more of all custodial sentences imposed on female offenders, the three offences were:</w:t>
      </w:r>
    </w:p>
    <w:p w14:paraId="0B258D30" w14:textId="77777777" w:rsidR="00A4454A" w:rsidRPr="008C1137" w:rsidRDefault="00A4454A" w:rsidP="008C1137">
      <w:pPr>
        <w:pStyle w:val="Bullets"/>
      </w:pPr>
      <w:r w:rsidRPr="003B3217">
        <w:rPr>
          <w:rStyle w:val="Italic"/>
        </w:rPr>
        <w:t>theft from a shop</w:t>
      </w:r>
      <w:r w:rsidRPr="008C1137">
        <w:t xml:space="preserve"> (1,506 custodial sentences), which has a maximum penalty of 10 years’ imprisonment</w:t>
      </w:r>
      <w:r w:rsidRPr="008C1137">
        <w:rPr>
          <w:rStyle w:val="Superscript"/>
        </w:rPr>
        <w:footnoteReference w:id="130"/>
      </w:r>
    </w:p>
    <w:p w14:paraId="3AA61BF7" w14:textId="77777777" w:rsidR="00A4454A" w:rsidRPr="008C1137" w:rsidRDefault="00A4454A" w:rsidP="008C1137">
      <w:pPr>
        <w:pStyle w:val="Bullets"/>
      </w:pPr>
      <w:r w:rsidRPr="003B3217">
        <w:rPr>
          <w:rStyle w:val="Italic"/>
        </w:rPr>
        <w:t>trafficking in a non-commercial quantity of a drug of dependence</w:t>
      </w:r>
      <w:r w:rsidRPr="008C1137">
        <w:t xml:space="preserve"> (1,045 custodial sentences), which has a maximum penalty of 15 years’ imprisonment</w:t>
      </w:r>
      <w:r w:rsidRPr="008C1137">
        <w:rPr>
          <w:rStyle w:val="Superscript"/>
        </w:rPr>
        <w:footnoteReference w:id="131"/>
      </w:r>
      <w:r w:rsidRPr="008C1137">
        <w:t xml:space="preserve"> and</w:t>
      </w:r>
    </w:p>
    <w:p w14:paraId="118BAF0C" w14:textId="77777777" w:rsidR="00A4454A" w:rsidRPr="008C1137" w:rsidRDefault="00A4454A" w:rsidP="008C1137">
      <w:pPr>
        <w:pStyle w:val="Bullets"/>
      </w:pPr>
      <w:r w:rsidRPr="003B3217">
        <w:rPr>
          <w:rStyle w:val="Italic"/>
        </w:rPr>
        <w:t>burglary</w:t>
      </w:r>
      <w:r w:rsidRPr="008C1137">
        <w:t xml:space="preserve"> (1,017 custodial sentences), which has a maximum penalty of 10 years’ imprisonment.</w:t>
      </w:r>
      <w:r w:rsidRPr="008C1137">
        <w:rPr>
          <w:rStyle w:val="Superscript"/>
        </w:rPr>
        <w:footnoteReference w:id="132"/>
      </w:r>
    </w:p>
    <w:p w14:paraId="36C70A72" w14:textId="77777777" w:rsidR="00A4454A" w:rsidRPr="008C1137" w:rsidRDefault="00A4454A" w:rsidP="00210207">
      <w:pPr>
        <w:pStyle w:val="Numbered"/>
      </w:pPr>
      <w:r w:rsidRPr="008C1137">
        <w:t xml:space="preserve">The most common offences resulting in custodial sentences </w:t>
      </w:r>
      <w:r w:rsidRPr="003B3217">
        <w:rPr>
          <w:rStyle w:val="Italic"/>
        </w:rPr>
        <w:t>overall</w:t>
      </w:r>
      <w:r w:rsidRPr="008C1137">
        <w:t xml:space="preserve"> involved burglary and two crimes of interpersonal violence (unlawful assault and recklessly causing injury). It is quite a different story for female offenders, with the most common offences resulting in custodial sentences being burglary, a low-level theft offence and a low-level drug offence.</w:t>
      </w:r>
    </w:p>
    <w:p w14:paraId="0CE87BE7" w14:textId="77777777" w:rsidR="00A4454A" w:rsidRPr="008C1137" w:rsidRDefault="00A4454A" w:rsidP="00BE4EDC">
      <w:pPr>
        <w:pStyle w:val="Caption"/>
      </w:pPr>
      <w:r w:rsidRPr="00157502">
        <w:t>Figure 36</w:t>
      </w:r>
      <w:r w:rsidRPr="008C1137">
        <w:t>: Number of cases where female offenders received custodial sentences for theft from a shop, trafficking in a non-commercial quantity of a drug of dependence and burglary, all courts, 2004–05 to 2023–24</w:t>
      </w:r>
    </w:p>
    <w:tbl>
      <w:tblPr>
        <w:tblStyle w:val="Table"/>
        <w:tblW w:w="5000" w:type="pct"/>
        <w:tblLook w:val="04A0" w:firstRow="1" w:lastRow="0" w:firstColumn="1" w:lastColumn="0" w:noHBand="0" w:noVBand="1"/>
      </w:tblPr>
      <w:tblGrid>
        <w:gridCol w:w="2254"/>
        <w:gridCol w:w="2254"/>
        <w:gridCol w:w="2254"/>
        <w:gridCol w:w="2254"/>
      </w:tblGrid>
      <w:tr w:rsidR="00C92A42" w:rsidRPr="00C92A42" w14:paraId="0BB0B654" w14:textId="77777777" w:rsidTr="00F63303">
        <w:trPr>
          <w:trHeight w:val="20"/>
          <w:tblHeader/>
        </w:trPr>
        <w:tc>
          <w:tcPr>
            <w:tcW w:w="1250" w:type="pct"/>
            <w:noWrap/>
            <w:hideMark/>
          </w:tcPr>
          <w:p w14:paraId="3B04F05B" w14:textId="41974444" w:rsidR="00C92A42" w:rsidRPr="000454C5" w:rsidRDefault="00BF1745" w:rsidP="000454C5">
            <w:pPr>
              <w:pStyle w:val="TableHeading"/>
            </w:pPr>
            <w:r w:rsidRPr="000454C5">
              <w:t>Financial year</w:t>
            </w:r>
          </w:p>
        </w:tc>
        <w:tc>
          <w:tcPr>
            <w:tcW w:w="1250" w:type="pct"/>
            <w:noWrap/>
            <w:hideMark/>
          </w:tcPr>
          <w:p w14:paraId="47859EE3" w14:textId="77777777" w:rsidR="00C92A42" w:rsidRPr="000454C5" w:rsidRDefault="00C92A42" w:rsidP="000454C5">
            <w:pPr>
              <w:pStyle w:val="TableHeading"/>
            </w:pPr>
            <w:r w:rsidRPr="000454C5">
              <w:t>Theft from a shop</w:t>
            </w:r>
          </w:p>
        </w:tc>
        <w:tc>
          <w:tcPr>
            <w:tcW w:w="1250" w:type="pct"/>
            <w:hideMark/>
          </w:tcPr>
          <w:p w14:paraId="6C2D3D68" w14:textId="77777777" w:rsidR="00C92A42" w:rsidRPr="000454C5" w:rsidRDefault="00C92A42" w:rsidP="000454C5">
            <w:pPr>
              <w:pStyle w:val="TableHeading"/>
            </w:pPr>
            <w:r w:rsidRPr="000454C5">
              <w:t>Trafficking in a non-commercial quantity of a drug of dependence</w:t>
            </w:r>
          </w:p>
        </w:tc>
        <w:tc>
          <w:tcPr>
            <w:tcW w:w="1250" w:type="pct"/>
            <w:noWrap/>
            <w:hideMark/>
          </w:tcPr>
          <w:p w14:paraId="1E99C1E8" w14:textId="77777777" w:rsidR="00C92A42" w:rsidRPr="000454C5" w:rsidRDefault="00C92A42" w:rsidP="000454C5">
            <w:pPr>
              <w:pStyle w:val="TableHeading"/>
            </w:pPr>
            <w:r w:rsidRPr="000454C5">
              <w:t>Burglary</w:t>
            </w:r>
          </w:p>
        </w:tc>
      </w:tr>
      <w:tr w:rsidR="00C92A42" w:rsidRPr="00C92A42" w14:paraId="6DE53AC4" w14:textId="77777777" w:rsidTr="00F63303">
        <w:trPr>
          <w:trHeight w:val="20"/>
        </w:trPr>
        <w:tc>
          <w:tcPr>
            <w:tcW w:w="1250" w:type="pct"/>
            <w:noWrap/>
            <w:hideMark/>
          </w:tcPr>
          <w:p w14:paraId="154F6E37" w14:textId="77777777" w:rsidR="00C92A42" w:rsidRPr="00C92A42" w:rsidRDefault="00C92A42" w:rsidP="00906ADE">
            <w:pPr>
              <w:pStyle w:val="TableBody"/>
            </w:pPr>
            <w:r w:rsidRPr="00C92A42">
              <w:t>2004-05</w:t>
            </w:r>
          </w:p>
        </w:tc>
        <w:tc>
          <w:tcPr>
            <w:tcW w:w="1250" w:type="pct"/>
            <w:noWrap/>
            <w:hideMark/>
          </w:tcPr>
          <w:p w14:paraId="2343E237" w14:textId="77777777" w:rsidR="00C92A42" w:rsidRPr="00A85956" w:rsidRDefault="00C92A42" w:rsidP="00A85956">
            <w:pPr>
              <w:pStyle w:val="TableBody"/>
            </w:pPr>
            <w:r w:rsidRPr="00A85956">
              <w:t>81</w:t>
            </w:r>
          </w:p>
        </w:tc>
        <w:tc>
          <w:tcPr>
            <w:tcW w:w="1250" w:type="pct"/>
            <w:noWrap/>
            <w:hideMark/>
          </w:tcPr>
          <w:p w14:paraId="7E4A0E3A" w14:textId="77777777" w:rsidR="00C92A42" w:rsidRPr="00A85956" w:rsidRDefault="00C92A42" w:rsidP="00A85956">
            <w:pPr>
              <w:pStyle w:val="TableBody"/>
            </w:pPr>
            <w:r w:rsidRPr="00A85956">
              <w:t>28</w:t>
            </w:r>
          </w:p>
        </w:tc>
        <w:tc>
          <w:tcPr>
            <w:tcW w:w="1250" w:type="pct"/>
            <w:noWrap/>
            <w:hideMark/>
          </w:tcPr>
          <w:p w14:paraId="7A10B463" w14:textId="77777777" w:rsidR="00C92A42" w:rsidRPr="00A85956" w:rsidRDefault="00C92A42" w:rsidP="00A85956">
            <w:pPr>
              <w:pStyle w:val="TableBody"/>
            </w:pPr>
            <w:r w:rsidRPr="00A85956">
              <w:t>56</w:t>
            </w:r>
          </w:p>
        </w:tc>
      </w:tr>
      <w:tr w:rsidR="00C92A42" w:rsidRPr="00C92A42" w14:paraId="32A3A1A3" w14:textId="77777777" w:rsidTr="00F63303">
        <w:trPr>
          <w:trHeight w:val="20"/>
        </w:trPr>
        <w:tc>
          <w:tcPr>
            <w:tcW w:w="1250" w:type="pct"/>
            <w:noWrap/>
            <w:hideMark/>
          </w:tcPr>
          <w:p w14:paraId="0E0C5456" w14:textId="77777777" w:rsidR="00C92A42" w:rsidRPr="00C92A42" w:rsidRDefault="00C92A42" w:rsidP="00906ADE">
            <w:pPr>
              <w:pStyle w:val="TableBody"/>
            </w:pPr>
            <w:r w:rsidRPr="00C92A42">
              <w:lastRenderedPageBreak/>
              <w:t>2005-06</w:t>
            </w:r>
          </w:p>
        </w:tc>
        <w:tc>
          <w:tcPr>
            <w:tcW w:w="1250" w:type="pct"/>
            <w:noWrap/>
            <w:hideMark/>
          </w:tcPr>
          <w:p w14:paraId="0A0C26B6" w14:textId="77777777" w:rsidR="00C92A42" w:rsidRPr="00A85956" w:rsidRDefault="00C92A42" w:rsidP="00A85956">
            <w:pPr>
              <w:pStyle w:val="TableBody"/>
            </w:pPr>
            <w:r w:rsidRPr="00A85956">
              <w:t>73</w:t>
            </w:r>
          </w:p>
        </w:tc>
        <w:tc>
          <w:tcPr>
            <w:tcW w:w="1250" w:type="pct"/>
            <w:noWrap/>
            <w:hideMark/>
          </w:tcPr>
          <w:p w14:paraId="0F35C1D4" w14:textId="77777777" w:rsidR="00C92A42" w:rsidRPr="00A85956" w:rsidRDefault="00C92A42" w:rsidP="00A85956">
            <w:pPr>
              <w:pStyle w:val="TableBody"/>
            </w:pPr>
            <w:r w:rsidRPr="00A85956">
              <w:t>30</w:t>
            </w:r>
          </w:p>
        </w:tc>
        <w:tc>
          <w:tcPr>
            <w:tcW w:w="1250" w:type="pct"/>
            <w:noWrap/>
            <w:hideMark/>
          </w:tcPr>
          <w:p w14:paraId="1C598DDA" w14:textId="77777777" w:rsidR="00C92A42" w:rsidRPr="00A85956" w:rsidRDefault="00C92A42" w:rsidP="00A85956">
            <w:pPr>
              <w:pStyle w:val="TableBody"/>
            </w:pPr>
            <w:r w:rsidRPr="00A85956">
              <w:t>51</w:t>
            </w:r>
          </w:p>
        </w:tc>
      </w:tr>
      <w:tr w:rsidR="00C92A42" w:rsidRPr="00C92A42" w14:paraId="423A71CC" w14:textId="77777777" w:rsidTr="00F63303">
        <w:trPr>
          <w:trHeight w:val="20"/>
        </w:trPr>
        <w:tc>
          <w:tcPr>
            <w:tcW w:w="1250" w:type="pct"/>
            <w:noWrap/>
            <w:hideMark/>
          </w:tcPr>
          <w:p w14:paraId="4A7CC1F5" w14:textId="77777777" w:rsidR="00C92A42" w:rsidRPr="00C92A42" w:rsidRDefault="00C92A42" w:rsidP="00906ADE">
            <w:pPr>
              <w:pStyle w:val="TableBody"/>
            </w:pPr>
            <w:r w:rsidRPr="00C92A42">
              <w:t>2006-07</w:t>
            </w:r>
          </w:p>
        </w:tc>
        <w:tc>
          <w:tcPr>
            <w:tcW w:w="1250" w:type="pct"/>
            <w:noWrap/>
            <w:hideMark/>
          </w:tcPr>
          <w:p w14:paraId="2F29A261" w14:textId="77777777" w:rsidR="00C92A42" w:rsidRPr="00A85956" w:rsidRDefault="00C92A42" w:rsidP="00A85956">
            <w:pPr>
              <w:pStyle w:val="TableBody"/>
            </w:pPr>
            <w:r w:rsidRPr="00A85956">
              <w:t>51</w:t>
            </w:r>
          </w:p>
        </w:tc>
        <w:tc>
          <w:tcPr>
            <w:tcW w:w="1250" w:type="pct"/>
            <w:noWrap/>
            <w:hideMark/>
          </w:tcPr>
          <w:p w14:paraId="6B473CED" w14:textId="77777777" w:rsidR="00C92A42" w:rsidRPr="00A85956" w:rsidRDefault="00C92A42" w:rsidP="00A85956">
            <w:pPr>
              <w:pStyle w:val="TableBody"/>
            </w:pPr>
            <w:r w:rsidRPr="00A85956">
              <w:t>21</w:t>
            </w:r>
          </w:p>
        </w:tc>
        <w:tc>
          <w:tcPr>
            <w:tcW w:w="1250" w:type="pct"/>
            <w:noWrap/>
            <w:hideMark/>
          </w:tcPr>
          <w:p w14:paraId="26F93A33" w14:textId="77777777" w:rsidR="00C92A42" w:rsidRPr="00A85956" w:rsidRDefault="00C92A42" w:rsidP="00A85956">
            <w:pPr>
              <w:pStyle w:val="TableBody"/>
            </w:pPr>
            <w:r w:rsidRPr="00A85956">
              <w:t>43</w:t>
            </w:r>
          </w:p>
        </w:tc>
      </w:tr>
      <w:tr w:rsidR="00C92A42" w:rsidRPr="00C92A42" w14:paraId="4A820233" w14:textId="77777777" w:rsidTr="00F63303">
        <w:trPr>
          <w:trHeight w:val="20"/>
        </w:trPr>
        <w:tc>
          <w:tcPr>
            <w:tcW w:w="1250" w:type="pct"/>
            <w:noWrap/>
            <w:hideMark/>
          </w:tcPr>
          <w:p w14:paraId="572C6C96" w14:textId="77777777" w:rsidR="00C92A42" w:rsidRPr="00C92A42" w:rsidRDefault="00C92A42" w:rsidP="00906ADE">
            <w:pPr>
              <w:pStyle w:val="TableBody"/>
            </w:pPr>
            <w:r w:rsidRPr="00C92A42">
              <w:t>2007-08</w:t>
            </w:r>
          </w:p>
        </w:tc>
        <w:tc>
          <w:tcPr>
            <w:tcW w:w="1250" w:type="pct"/>
            <w:noWrap/>
            <w:hideMark/>
          </w:tcPr>
          <w:p w14:paraId="5E4E8949" w14:textId="77777777" w:rsidR="00C92A42" w:rsidRPr="00A85956" w:rsidRDefault="00C92A42" w:rsidP="00A85956">
            <w:pPr>
              <w:pStyle w:val="TableBody"/>
            </w:pPr>
            <w:r w:rsidRPr="00A85956">
              <w:t>66</w:t>
            </w:r>
          </w:p>
        </w:tc>
        <w:tc>
          <w:tcPr>
            <w:tcW w:w="1250" w:type="pct"/>
            <w:noWrap/>
            <w:hideMark/>
          </w:tcPr>
          <w:p w14:paraId="05F5AAB6" w14:textId="77777777" w:rsidR="00C92A42" w:rsidRPr="00A85956" w:rsidRDefault="00C92A42" w:rsidP="00A85956">
            <w:pPr>
              <w:pStyle w:val="TableBody"/>
            </w:pPr>
            <w:r w:rsidRPr="00A85956">
              <w:t>26</w:t>
            </w:r>
          </w:p>
        </w:tc>
        <w:tc>
          <w:tcPr>
            <w:tcW w:w="1250" w:type="pct"/>
            <w:noWrap/>
            <w:hideMark/>
          </w:tcPr>
          <w:p w14:paraId="3CA2BEE4" w14:textId="77777777" w:rsidR="00C92A42" w:rsidRPr="00A85956" w:rsidRDefault="00C92A42" w:rsidP="00A85956">
            <w:pPr>
              <w:pStyle w:val="TableBody"/>
            </w:pPr>
            <w:r w:rsidRPr="00A85956">
              <w:t>48</w:t>
            </w:r>
          </w:p>
        </w:tc>
      </w:tr>
      <w:tr w:rsidR="00C92A42" w:rsidRPr="00C92A42" w14:paraId="0DAEC0C2" w14:textId="77777777" w:rsidTr="00F63303">
        <w:trPr>
          <w:trHeight w:val="20"/>
        </w:trPr>
        <w:tc>
          <w:tcPr>
            <w:tcW w:w="1250" w:type="pct"/>
            <w:noWrap/>
            <w:hideMark/>
          </w:tcPr>
          <w:p w14:paraId="789B4267" w14:textId="77777777" w:rsidR="00C92A42" w:rsidRPr="00C92A42" w:rsidRDefault="00C92A42" w:rsidP="00906ADE">
            <w:pPr>
              <w:pStyle w:val="TableBody"/>
            </w:pPr>
            <w:r w:rsidRPr="00C92A42">
              <w:t>2008-09</w:t>
            </w:r>
          </w:p>
        </w:tc>
        <w:tc>
          <w:tcPr>
            <w:tcW w:w="1250" w:type="pct"/>
            <w:noWrap/>
            <w:hideMark/>
          </w:tcPr>
          <w:p w14:paraId="774F6E7D" w14:textId="77777777" w:rsidR="00C92A42" w:rsidRPr="00A85956" w:rsidRDefault="00C92A42" w:rsidP="00A85956">
            <w:pPr>
              <w:pStyle w:val="TableBody"/>
            </w:pPr>
            <w:r w:rsidRPr="00A85956">
              <w:t>74</w:t>
            </w:r>
          </w:p>
        </w:tc>
        <w:tc>
          <w:tcPr>
            <w:tcW w:w="1250" w:type="pct"/>
            <w:noWrap/>
            <w:hideMark/>
          </w:tcPr>
          <w:p w14:paraId="3D4EA207" w14:textId="77777777" w:rsidR="00C92A42" w:rsidRPr="00A85956" w:rsidRDefault="00C92A42" w:rsidP="00A85956">
            <w:pPr>
              <w:pStyle w:val="TableBody"/>
            </w:pPr>
            <w:r w:rsidRPr="00A85956">
              <w:t>23</w:t>
            </w:r>
          </w:p>
        </w:tc>
        <w:tc>
          <w:tcPr>
            <w:tcW w:w="1250" w:type="pct"/>
            <w:noWrap/>
            <w:hideMark/>
          </w:tcPr>
          <w:p w14:paraId="0CAAC0AF" w14:textId="77777777" w:rsidR="00C92A42" w:rsidRPr="00A85956" w:rsidRDefault="00C92A42" w:rsidP="00A85956">
            <w:pPr>
              <w:pStyle w:val="TableBody"/>
            </w:pPr>
            <w:r w:rsidRPr="00A85956">
              <w:t>38</w:t>
            </w:r>
          </w:p>
        </w:tc>
      </w:tr>
      <w:tr w:rsidR="00C92A42" w:rsidRPr="00C92A42" w14:paraId="1C0C7270" w14:textId="77777777" w:rsidTr="00F63303">
        <w:trPr>
          <w:trHeight w:val="20"/>
        </w:trPr>
        <w:tc>
          <w:tcPr>
            <w:tcW w:w="1250" w:type="pct"/>
            <w:noWrap/>
            <w:hideMark/>
          </w:tcPr>
          <w:p w14:paraId="04259B63" w14:textId="77777777" w:rsidR="00C92A42" w:rsidRPr="00C92A42" w:rsidRDefault="00C92A42" w:rsidP="00906ADE">
            <w:pPr>
              <w:pStyle w:val="TableBody"/>
            </w:pPr>
            <w:r w:rsidRPr="00C92A42">
              <w:t>2009-10</w:t>
            </w:r>
          </w:p>
        </w:tc>
        <w:tc>
          <w:tcPr>
            <w:tcW w:w="1250" w:type="pct"/>
            <w:noWrap/>
            <w:hideMark/>
          </w:tcPr>
          <w:p w14:paraId="31C6CE54" w14:textId="77777777" w:rsidR="00C92A42" w:rsidRPr="00A85956" w:rsidRDefault="00C92A42" w:rsidP="00A85956">
            <w:pPr>
              <w:pStyle w:val="TableBody"/>
            </w:pPr>
            <w:r w:rsidRPr="00A85956">
              <w:t>99</w:t>
            </w:r>
          </w:p>
        </w:tc>
        <w:tc>
          <w:tcPr>
            <w:tcW w:w="1250" w:type="pct"/>
            <w:noWrap/>
            <w:hideMark/>
          </w:tcPr>
          <w:p w14:paraId="32E62A2F" w14:textId="77777777" w:rsidR="00C92A42" w:rsidRPr="00A85956" w:rsidRDefault="00C92A42" w:rsidP="00A85956">
            <w:pPr>
              <w:pStyle w:val="TableBody"/>
            </w:pPr>
            <w:r w:rsidRPr="00A85956">
              <w:t>33</w:t>
            </w:r>
          </w:p>
        </w:tc>
        <w:tc>
          <w:tcPr>
            <w:tcW w:w="1250" w:type="pct"/>
            <w:noWrap/>
            <w:hideMark/>
          </w:tcPr>
          <w:p w14:paraId="42ED135B" w14:textId="77777777" w:rsidR="00C92A42" w:rsidRPr="00A85956" w:rsidRDefault="00C92A42" w:rsidP="00A85956">
            <w:pPr>
              <w:pStyle w:val="TableBody"/>
            </w:pPr>
            <w:r w:rsidRPr="00A85956">
              <w:t>31</w:t>
            </w:r>
          </w:p>
        </w:tc>
      </w:tr>
      <w:tr w:rsidR="00C92A42" w:rsidRPr="00C92A42" w14:paraId="18040CC9" w14:textId="77777777" w:rsidTr="00F63303">
        <w:trPr>
          <w:trHeight w:val="20"/>
        </w:trPr>
        <w:tc>
          <w:tcPr>
            <w:tcW w:w="1250" w:type="pct"/>
            <w:noWrap/>
            <w:hideMark/>
          </w:tcPr>
          <w:p w14:paraId="248EE724" w14:textId="77777777" w:rsidR="00C92A42" w:rsidRPr="00C92A42" w:rsidRDefault="00C92A42" w:rsidP="00906ADE">
            <w:pPr>
              <w:pStyle w:val="TableBody"/>
            </w:pPr>
            <w:r w:rsidRPr="00C92A42">
              <w:t>2010-11</w:t>
            </w:r>
          </w:p>
        </w:tc>
        <w:tc>
          <w:tcPr>
            <w:tcW w:w="1250" w:type="pct"/>
            <w:noWrap/>
            <w:hideMark/>
          </w:tcPr>
          <w:p w14:paraId="19460940" w14:textId="77777777" w:rsidR="00C92A42" w:rsidRPr="00A85956" w:rsidRDefault="00C92A42" w:rsidP="00A85956">
            <w:pPr>
              <w:pStyle w:val="TableBody"/>
            </w:pPr>
            <w:r w:rsidRPr="00A85956">
              <w:t>62</w:t>
            </w:r>
          </w:p>
        </w:tc>
        <w:tc>
          <w:tcPr>
            <w:tcW w:w="1250" w:type="pct"/>
            <w:noWrap/>
            <w:hideMark/>
          </w:tcPr>
          <w:p w14:paraId="2EDDA66E" w14:textId="77777777" w:rsidR="00C92A42" w:rsidRPr="00A85956" w:rsidRDefault="00C92A42" w:rsidP="00A85956">
            <w:pPr>
              <w:pStyle w:val="TableBody"/>
            </w:pPr>
            <w:r w:rsidRPr="00A85956">
              <w:t>21</w:t>
            </w:r>
          </w:p>
        </w:tc>
        <w:tc>
          <w:tcPr>
            <w:tcW w:w="1250" w:type="pct"/>
            <w:noWrap/>
            <w:hideMark/>
          </w:tcPr>
          <w:p w14:paraId="08469D0F" w14:textId="77777777" w:rsidR="00C92A42" w:rsidRPr="00A85956" w:rsidRDefault="00C92A42" w:rsidP="00A85956">
            <w:pPr>
              <w:pStyle w:val="TableBody"/>
            </w:pPr>
            <w:r w:rsidRPr="00A85956">
              <w:t>40</w:t>
            </w:r>
          </w:p>
        </w:tc>
      </w:tr>
      <w:tr w:rsidR="00C92A42" w:rsidRPr="00C92A42" w14:paraId="6C91DD25" w14:textId="77777777" w:rsidTr="00F63303">
        <w:trPr>
          <w:trHeight w:val="20"/>
        </w:trPr>
        <w:tc>
          <w:tcPr>
            <w:tcW w:w="1250" w:type="pct"/>
            <w:noWrap/>
            <w:hideMark/>
          </w:tcPr>
          <w:p w14:paraId="6E6B47AB" w14:textId="77777777" w:rsidR="00C92A42" w:rsidRPr="00C92A42" w:rsidRDefault="00C92A42" w:rsidP="00906ADE">
            <w:pPr>
              <w:pStyle w:val="TableBody"/>
            </w:pPr>
            <w:r w:rsidRPr="00C92A42">
              <w:t>2011-12</w:t>
            </w:r>
          </w:p>
        </w:tc>
        <w:tc>
          <w:tcPr>
            <w:tcW w:w="1250" w:type="pct"/>
            <w:noWrap/>
            <w:hideMark/>
          </w:tcPr>
          <w:p w14:paraId="24A9645B" w14:textId="77777777" w:rsidR="00C92A42" w:rsidRPr="00A85956" w:rsidRDefault="00C92A42" w:rsidP="00A85956">
            <w:pPr>
              <w:pStyle w:val="TableBody"/>
            </w:pPr>
            <w:r w:rsidRPr="00A85956">
              <w:t>56</w:t>
            </w:r>
          </w:p>
        </w:tc>
        <w:tc>
          <w:tcPr>
            <w:tcW w:w="1250" w:type="pct"/>
            <w:noWrap/>
            <w:hideMark/>
          </w:tcPr>
          <w:p w14:paraId="117BCD01" w14:textId="77777777" w:rsidR="00C92A42" w:rsidRPr="00A85956" w:rsidRDefault="00C92A42" w:rsidP="00A85956">
            <w:pPr>
              <w:pStyle w:val="TableBody"/>
            </w:pPr>
            <w:r w:rsidRPr="00A85956">
              <w:t>18</w:t>
            </w:r>
          </w:p>
        </w:tc>
        <w:tc>
          <w:tcPr>
            <w:tcW w:w="1250" w:type="pct"/>
            <w:noWrap/>
            <w:hideMark/>
          </w:tcPr>
          <w:p w14:paraId="55745FF3" w14:textId="77777777" w:rsidR="00C92A42" w:rsidRPr="00A85956" w:rsidRDefault="00C92A42" w:rsidP="00A85956">
            <w:pPr>
              <w:pStyle w:val="TableBody"/>
            </w:pPr>
            <w:r w:rsidRPr="00A85956">
              <w:t>35</w:t>
            </w:r>
          </w:p>
        </w:tc>
      </w:tr>
      <w:tr w:rsidR="00C92A42" w:rsidRPr="00C92A42" w14:paraId="0865EA04" w14:textId="77777777" w:rsidTr="00F63303">
        <w:trPr>
          <w:trHeight w:val="20"/>
        </w:trPr>
        <w:tc>
          <w:tcPr>
            <w:tcW w:w="1250" w:type="pct"/>
            <w:noWrap/>
            <w:hideMark/>
          </w:tcPr>
          <w:p w14:paraId="32DDB58D" w14:textId="77777777" w:rsidR="00C92A42" w:rsidRPr="00C92A42" w:rsidRDefault="00C92A42" w:rsidP="00906ADE">
            <w:pPr>
              <w:pStyle w:val="TableBody"/>
            </w:pPr>
            <w:r w:rsidRPr="00C92A42">
              <w:t>2012-13</w:t>
            </w:r>
          </w:p>
        </w:tc>
        <w:tc>
          <w:tcPr>
            <w:tcW w:w="1250" w:type="pct"/>
            <w:noWrap/>
            <w:hideMark/>
          </w:tcPr>
          <w:p w14:paraId="7E8AA548" w14:textId="77777777" w:rsidR="00C92A42" w:rsidRPr="00A85956" w:rsidRDefault="00C92A42" w:rsidP="00A85956">
            <w:pPr>
              <w:pStyle w:val="TableBody"/>
            </w:pPr>
            <w:r w:rsidRPr="00A85956">
              <w:t>51</w:t>
            </w:r>
          </w:p>
        </w:tc>
        <w:tc>
          <w:tcPr>
            <w:tcW w:w="1250" w:type="pct"/>
            <w:noWrap/>
            <w:hideMark/>
          </w:tcPr>
          <w:p w14:paraId="27F3AACD" w14:textId="77777777" w:rsidR="00C92A42" w:rsidRPr="00A85956" w:rsidRDefault="00C92A42" w:rsidP="00A85956">
            <w:pPr>
              <w:pStyle w:val="TableBody"/>
            </w:pPr>
            <w:r w:rsidRPr="00A85956">
              <w:t>28</w:t>
            </w:r>
          </w:p>
        </w:tc>
        <w:tc>
          <w:tcPr>
            <w:tcW w:w="1250" w:type="pct"/>
            <w:noWrap/>
            <w:hideMark/>
          </w:tcPr>
          <w:p w14:paraId="49EC46D3" w14:textId="77777777" w:rsidR="00C92A42" w:rsidRPr="00A85956" w:rsidRDefault="00C92A42" w:rsidP="00A85956">
            <w:pPr>
              <w:pStyle w:val="TableBody"/>
            </w:pPr>
            <w:r w:rsidRPr="00A85956">
              <w:t>40</w:t>
            </w:r>
          </w:p>
        </w:tc>
      </w:tr>
      <w:tr w:rsidR="00C92A42" w:rsidRPr="00C92A42" w14:paraId="6B612841" w14:textId="77777777" w:rsidTr="00F63303">
        <w:trPr>
          <w:trHeight w:val="20"/>
        </w:trPr>
        <w:tc>
          <w:tcPr>
            <w:tcW w:w="1250" w:type="pct"/>
            <w:noWrap/>
            <w:hideMark/>
          </w:tcPr>
          <w:p w14:paraId="48CF5B5E" w14:textId="77777777" w:rsidR="00C92A42" w:rsidRPr="00C92A42" w:rsidRDefault="00C92A42" w:rsidP="00906ADE">
            <w:pPr>
              <w:pStyle w:val="TableBody"/>
            </w:pPr>
            <w:r w:rsidRPr="00C92A42">
              <w:t>2013-14</w:t>
            </w:r>
          </w:p>
        </w:tc>
        <w:tc>
          <w:tcPr>
            <w:tcW w:w="1250" w:type="pct"/>
            <w:noWrap/>
            <w:hideMark/>
          </w:tcPr>
          <w:p w14:paraId="55F0FCAA" w14:textId="77777777" w:rsidR="00C92A42" w:rsidRPr="00A85956" w:rsidRDefault="00C92A42" w:rsidP="00A85956">
            <w:pPr>
              <w:pStyle w:val="TableBody"/>
            </w:pPr>
            <w:r w:rsidRPr="00A85956">
              <w:t>64</w:t>
            </w:r>
          </w:p>
        </w:tc>
        <w:tc>
          <w:tcPr>
            <w:tcW w:w="1250" w:type="pct"/>
            <w:noWrap/>
            <w:hideMark/>
          </w:tcPr>
          <w:p w14:paraId="1919E598" w14:textId="77777777" w:rsidR="00C92A42" w:rsidRPr="00A85956" w:rsidRDefault="00C92A42" w:rsidP="00A85956">
            <w:pPr>
              <w:pStyle w:val="TableBody"/>
            </w:pPr>
            <w:r w:rsidRPr="00A85956">
              <w:t>47</w:t>
            </w:r>
          </w:p>
        </w:tc>
        <w:tc>
          <w:tcPr>
            <w:tcW w:w="1250" w:type="pct"/>
            <w:noWrap/>
            <w:hideMark/>
          </w:tcPr>
          <w:p w14:paraId="1189B7E9" w14:textId="77777777" w:rsidR="00C92A42" w:rsidRPr="00A85956" w:rsidRDefault="00C92A42" w:rsidP="00A85956">
            <w:pPr>
              <w:pStyle w:val="TableBody"/>
            </w:pPr>
            <w:r w:rsidRPr="00A85956">
              <w:t>48</w:t>
            </w:r>
          </w:p>
        </w:tc>
      </w:tr>
      <w:tr w:rsidR="00C92A42" w:rsidRPr="00C92A42" w14:paraId="2775C5CF" w14:textId="77777777" w:rsidTr="00F63303">
        <w:trPr>
          <w:trHeight w:val="20"/>
        </w:trPr>
        <w:tc>
          <w:tcPr>
            <w:tcW w:w="1250" w:type="pct"/>
            <w:noWrap/>
            <w:hideMark/>
          </w:tcPr>
          <w:p w14:paraId="095231D0" w14:textId="77777777" w:rsidR="00C92A42" w:rsidRPr="00C92A42" w:rsidRDefault="00C92A42" w:rsidP="00906ADE">
            <w:pPr>
              <w:pStyle w:val="TableBody"/>
            </w:pPr>
            <w:r w:rsidRPr="00C92A42">
              <w:t>2014-15</w:t>
            </w:r>
          </w:p>
        </w:tc>
        <w:tc>
          <w:tcPr>
            <w:tcW w:w="1250" w:type="pct"/>
            <w:noWrap/>
            <w:hideMark/>
          </w:tcPr>
          <w:p w14:paraId="314DB721" w14:textId="77777777" w:rsidR="00C92A42" w:rsidRPr="00A85956" w:rsidRDefault="00C92A42" w:rsidP="00A85956">
            <w:pPr>
              <w:pStyle w:val="TableBody"/>
            </w:pPr>
            <w:r w:rsidRPr="00A85956">
              <w:t>60</w:t>
            </w:r>
          </w:p>
        </w:tc>
        <w:tc>
          <w:tcPr>
            <w:tcW w:w="1250" w:type="pct"/>
            <w:noWrap/>
            <w:hideMark/>
          </w:tcPr>
          <w:p w14:paraId="0D773A2B" w14:textId="77777777" w:rsidR="00C92A42" w:rsidRPr="00A85956" w:rsidRDefault="00C92A42" w:rsidP="00A85956">
            <w:pPr>
              <w:pStyle w:val="TableBody"/>
            </w:pPr>
            <w:r w:rsidRPr="00A85956">
              <w:t>57</w:t>
            </w:r>
          </w:p>
        </w:tc>
        <w:tc>
          <w:tcPr>
            <w:tcW w:w="1250" w:type="pct"/>
            <w:noWrap/>
            <w:hideMark/>
          </w:tcPr>
          <w:p w14:paraId="31FF3A8B" w14:textId="77777777" w:rsidR="00C92A42" w:rsidRPr="00A85956" w:rsidRDefault="00C92A42" w:rsidP="00A85956">
            <w:pPr>
              <w:pStyle w:val="TableBody"/>
            </w:pPr>
            <w:r w:rsidRPr="00A85956">
              <w:t>49</w:t>
            </w:r>
          </w:p>
        </w:tc>
      </w:tr>
      <w:tr w:rsidR="00C92A42" w:rsidRPr="00C92A42" w14:paraId="70C81492" w14:textId="77777777" w:rsidTr="00F63303">
        <w:trPr>
          <w:trHeight w:val="20"/>
        </w:trPr>
        <w:tc>
          <w:tcPr>
            <w:tcW w:w="1250" w:type="pct"/>
            <w:noWrap/>
            <w:hideMark/>
          </w:tcPr>
          <w:p w14:paraId="6C324B79" w14:textId="77777777" w:rsidR="00C92A42" w:rsidRPr="00C92A42" w:rsidRDefault="00C92A42" w:rsidP="00906ADE">
            <w:pPr>
              <w:pStyle w:val="TableBody"/>
            </w:pPr>
            <w:r w:rsidRPr="00C92A42">
              <w:t>2015-16</w:t>
            </w:r>
          </w:p>
        </w:tc>
        <w:tc>
          <w:tcPr>
            <w:tcW w:w="1250" w:type="pct"/>
            <w:noWrap/>
            <w:hideMark/>
          </w:tcPr>
          <w:p w14:paraId="6086406A" w14:textId="77777777" w:rsidR="00C92A42" w:rsidRPr="00A85956" w:rsidRDefault="00C92A42" w:rsidP="00A85956">
            <w:pPr>
              <w:pStyle w:val="TableBody"/>
            </w:pPr>
            <w:r w:rsidRPr="00A85956">
              <w:t>60</w:t>
            </w:r>
          </w:p>
        </w:tc>
        <w:tc>
          <w:tcPr>
            <w:tcW w:w="1250" w:type="pct"/>
            <w:noWrap/>
            <w:hideMark/>
          </w:tcPr>
          <w:p w14:paraId="19620C3C" w14:textId="77777777" w:rsidR="00C92A42" w:rsidRPr="00A85956" w:rsidRDefault="00C92A42" w:rsidP="00A85956">
            <w:pPr>
              <w:pStyle w:val="TableBody"/>
            </w:pPr>
            <w:r w:rsidRPr="00A85956">
              <w:t>63</w:t>
            </w:r>
          </w:p>
        </w:tc>
        <w:tc>
          <w:tcPr>
            <w:tcW w:w="1250" w:type="pct"/>
            <w:noWrap/>
            <w:hideMark/>
          </w:tcPr>
          <w:p w14:paraId="617C1896" w14:textId="77777777" w:rsidR="00C92A42" w:rsidRPr="00A85956" w:rsidRDefault="00C92A42" w:rsidP="00A85956">
            <w:pPr>
              <w:pStyle w:val="TableBody"/>
            </w:pPr>
            <w:r w:rsidRPr="00A85956">
              <w:t>58</w:t>
            </w:r>
          </w:p>
        </w:tc>
      </w:tr>
      <w:tr w:rsidR="00C92A42" w:rsidRPr="00C92A42" w14:paraId="42548B68" w14:textId="77777777" w:rsidTr="00F63303">
        <w:trPr>
          <w:trHeight w:val="20"/>
        </w:trPr>
        <w:tc>
          <w:tcPr>
            <w:tcW w:w="1250" w:type="pct"/>
            <w:noWrap/>
            <w:hideMark/>
          </w:tcPr>
          <w:p w14:paraId="46CA1C53" w14:textId="77777777" w:rsidR="00C92A42" w:rsidRPr="00C92A42" w:rsidRDefault="00C92A42" w:rsidP="00906ADE">
            <w:pPr>
              <w:pStyle w:val="TableBody"/>
            </w:pPr>
            <w:r w:rsidRPr="00C92A42">
              <w:t>2016-17</w:t>
            </w:r>
          </w:p>
        </w:tc>
        <w:tc>
          <w:tcPr>
            <w:tcW w:w="1250" w:type="pct"/>
            <w:noWrap/>
            <w:hideMark/>
          </w:tcPr>
          <w:p w14:paraId="52AD7C96" w14:textId="77777777" w:rsidR="00C92A42" w:rsidRPr="00A85956" w:rsidRDefault="00C92A42" w:rsidP="00A85956">
            <w:pPr>
              <w:pStyle w:val="TableBody"/>
            </w:pPr>
            <w:r w:rsidRPr="00A85956">
              <w:t>78</w:t>
            </w:r>
          </w:p>
        </w:tc>
        <w:tc>
          <w:tcPr>
            <w:tcW w:w="1250" w:type="pct"/>
            <w:noWrap/>
            <w:hideMark/>
          </w:tcPr>
          <w:p w14:paraId="64915790" w14:textId="77777777" w:rsidR="00C92A42" w:rsidRPr="00A85956" w:rsidRDefault="00C92A42" w:rsidP="00A85956">
            <w:pPr>
              <w:pStyle w:val="TableBody"/>
            </w:pPr>
            <w:r w:rsidRPr="00A85956">
              <w:t>89</w:t>
            </w:r>
          </w:p>
        </w:tc>
        <w:tc>
          <w:tcPr>
            <w:tcW w:w="1250" w:type="pct"/>
            <w:noWrap/>
            <w:hideMark/>
          </w:tcPr>
          <w:p w14:paraId="36D91DAF" w14:textId="77777777" w:rsidR="00C92A42" w:rsidRPr="00A85956" w:rsidRDefault="00C92A42" w:rsidP="00A85956">
            <w:pPr>
              <w:pStyle w:val="TableBody"/>
            </w:pPr>
            <w:r w:rsidRPr="00A85956">
              <w:t>63</w:t>
            </w:r>
          </w:p>
        </w:tc>
      </w:tr>
      <w:tr w:rsidR="00C92A42" w:rsidRPr="00C92A42" w14:paraId="6FED475F" w14:textId="77777777" w:rsidTr="00F63303">
        <w:trPr>
          <w:trHeight w:val="20"/>
        </w:trPr>
        <w:tc>
          <w:tcPr>
            <w:tcW w:w="1250" w:type="pct"/>
            <w:noWrap/>
            <w:hideMark/>
          </w:tcPr>
          <w:p w14:paraId="4074DD89" w14:textId="77777777" w:rsidR="00C92A42" w:rsidRPr="00C92A42" w:rsidRDefault="00C92A42" w:rsidP="00906ADE">
            <w:pPr>
              <w:pStyle w:val="TableBody"/>
            </w:pPr>
            <w:r w:rsidRPr="00C92A42">
              <w:t>2017-18</w:t>
            </w:r>
          </w:p>
        </w:tc>
        <w:tc>
          <w:tcPr>
            <w:tcW w:w="1250" w:type="pct"/>
            <w:noWrap/>
            <w:hideMark/>
          </w:tcPr>
          <w:p w14:paraId="5E63B8EB" w14:textId="77777777" w:rsidR="00C92A42" w:rsidRPr="00A85956" w:rsidRDefault="00C92A42" w:rsidP="00A85956">
            <w:pPr>
              <w:pStyle w:val="TableBody"/>
            </w:pPr>
            <w:r w:rsidRPr="00A85956">
              <w:t>115</w:t>
            </w:r>
          </w:p>
        </w:tc>
        <w:tc>
          <w:tcPr>
            <w:tcW w:w="1250" w:type="pct"/>
            <w:noWrap/>
            <w:hideMark/>
          </w:tcPr>
          <w:p w14:paraId="32B9FBA5" w14:textId="77777777" w:rsidR="00C92A42" w:rsidRPr="00A85956" w:rsidRDefault="00C92A42" w:rsidP="00A85956">
            <w:pPr>
              <w:pStyle w:val="TableBody"/>
            </w:pPr>
            <w:r w:rsidRPr="00A85956">
              <w:t>98</w:t>
            </w:r>
          </w:p>
        </w:tc>
        <w:tc>
          <w:tcPr>
            <w:tcW w:w="1250" w:type="pct"/>
            <w:noWrap/>
            <w:hideMark/>
          </w:tcPr>
          <w:p w14:paraId="23F7AE7A" w14:textId="77777777" w:rsidR="00C92A42" w:rsidRPr="00A85956" w:rsidRDefault="00C92A42" w:rsidP="00A85956">
            <w:pPr>
              <w:pStyle w:val="TableBody"/>
            </w:pPr>
            <w:r w:rsidRPr="00A85956">
              <w:t>65</w:t>
            </w:r>
          </w:p>
        </w:tc>
      </w:tr>
      <w:tr w:rsidR="00C92A42" w:rsidRPr="00C92A42" w14:paraId="39172E37" w14:textId="77777777" w:rsidTr="00F63303">
        <w:trPr>
          <w:trHeight w:val="20"/>
        </w:trPr>
        <w:tc>
          <w:tcPr>
            <w:tcW w:w="1250" w:type="pct"/>
            <w:noWrap/>
            <w:hideMark/>
          </w:tcPr>
          <w:p w14:paraId="7CD80B88" w14:textId="77777777" w:rsidR="00C92A42" w:rsidRPr="00C92A42" w:rsidRDefault="00C92A42" w:rsidP="00906ADE">
            <w:pPr>
              <w:pStyle w:val="TableBody"/>
            </w:pPr>
            <w:r w:rsidRPr="00C92A42">
              <w:t>2018-19</w:t>
            </w:r>
          </w:p>
        </w:tc>
        <w:tc>
          <w:tcPr>
            <w:tcW w:w="1250" w:type="pct"/>
            <w:noWrap/>
            <w:hideMark/>
          </w:tcPr>
          <w:p w14:paraId="073F62B6" w14:textId="77777777" w:rsidR="00C92A42" w:rsidRPr="00A85956" w:rsidRDefault="00C92A42" w:rsidP="00A85956">
            <w:pPr>
              <w:pStyle w:val="TableBody"/>
            </w:pPr>
            <w:r w:rsidRPr="00A85956">
              <w:t>138</w:t>
            </w:r>
          </w:p>
        </w:tc>
        <w:tc>
          <w:tcPr>
            <w:tcW w:w="1250" w:type="pct"/>
            <w:noWrap/>
            <w:hideMark/>
          </w:tcPr>
          <w:p w14:paraId="25BA8ECD" w14:textId="77777777" w:rsidR="00C92A42" w:rsidRPr="00A85956" w:rsidRDefault="00C92A42" w:rsidP="00A85956">
            <w:pPr>
              <w:pStyle w:val="TableBody"/>
            </w:pPr>
            <w:r w:rsidRPr="00A85956">
              <w:t>115</w:t>
            </w:r>
          </w:p>
        </w:tc>
        <w:tc>
          <w:tcPr>
            <w:tcW w:w="1250" w:type="pct"/>
            <w:noWrap/>
            <w:hideMark/>
          </w:tcPr>
          <w:p w14:paraId="0105082C" w14:textId="77777777" w:rsidR="00C92A42" w:rsidRPr="00A85956" w:rsidRDefault="00C92A42" w:rsidP="00A85956">
            <w:pPr>
              <w:pStyle w:val="TableBody"/>
            </w:pPr>
            <w:r w:rsidRPr="00A85956">
              <w:t>68</w:t>
            </w:r>
          </w:p>
        </w:tc>
      </w:tr>
      <w:tr w:rsidR="00C92A42" w:rsidRPr="00C92A42" w14:paraId="5E7AE4D1" w14:textId="77777777" w:rsidTr="00F63303">
        <w:trPr>
          <w:trHeight w:val="20"/>
        </w:trPr>
        <w:tc>
          <w:tcPr>
            <w:tcW w:w="1250" w:type="pct"/>
            <w:noWrap/>
            <w:hideMark/>
          </w:tcPr>
          <w:p w14:paraId="4954D098" w14:textId="77777777" w:rsidR="00C92A42" w:rsidRPr="00C92A42" w:rsidRDefault="00C92A42" w:rsidP="00906ADE">
            <w:pPr>
              <w:pStyle w:val="TableBody"/>
            </w:pPr>
            <w:r w:rsidRPr="00C92A42">
              <w:t>2019-20</w:t>
            </w:r>
          </w:p>
        </w:tc>
        <w:tc>
          <w:tcPr>
            <w:tcW w:w="1250" w:type="pct"/>
            <w:noWrap/>
            <w:hideMark/>
          </w:tcPr>
          <w:p w14:paraId="55D329A4" w14:textId="77777777" w:rsidR="00C92A42" w:rsidRPr="00A85956" w:rsidRDefault="00C92A42" w:rsidP="00A85956">
            <w:pPr>
              <w:pStyle w:val="TableBody"/>
            </w:pPr>
            <w:r w:rsidRPr="00A85956">
              <w:t>130</w:t>
            </w:r>
          </w:p>
        </w:tc>
        <w:tc>
          <w:tcPr>
            <w:tcW w:w="1250" w:type="pct"/>
            <w:noWrap/>
            <w:hideMark/>
          </w:tcPr>
          <w:p w14:paraId="20F14AED" w14:textId="77777777" w:rsidR="00C92A42" w:rsidRPr="00A85956" w:rsidRDefault="00C92A42" w:rsidP="00A85956">
            <w:pPr>
              <w:pStyle w:val="TableBody"/>
            </w:pPr>
            <w:r w:rsidRPr="00A85956">
              <w:t>98</w:t>
            </w:r>
          </w:p>
        </w:tc>
        <w:tc>
          <w:tcPr>
            <w:tcW w:w="1250" w:type="pct"/>
            <w:noWrap/>
            <w:hideMark/>
          </w:tcPr>
          <w:p w14:paraId="63D43179" w14:textId="77777777" w:rsidR="00C92A42" w:rsidRPr="00A85956" w:rsidRDefault="00C92A42" w:rsidP="00A85956">
            <w:pPr>
              <w:pStyle w:val="TableBody"/>
            </w:pPr>
            <w:r w:rsidRPr="00A85956">
              <w:t>59</w:t>
            </w:r>
          </w:p>
        </w:tc>
      </w:tr>
      <w:tr w:rsidR="00C92A42" w:rsidRPr="00C92A42" w14:paraId="0C8B68F4" w14:textId="77777777" w:rsidTr="00F63303">
        <w:trPr>
          <w:trHeight w:val="20"/>
        </w:trPr>
        <w:tc>
          <w:tcPr>
            <w:tcW w:w="1250" w:type="pct"/>
            <w:noWrap/>
            <w:hideMark/>
          </w:tcPr>
          <w:p w14:paraId="2BA91B6A" w14:textId="77777777" w:rsidR="00C92A42" w:rsidRPr="00C92A42" w:rsidRDefault="00C92A42" w:rsidP="00906ADE">
            <w:pPr>
              <w:pStyle w:val="TableBody"/>
            </w:pPr>
            <w:r w:rsidRPr="00C92A42">
              <w:t>2020-21</w:t>
            </w:r>
          </w:p>
        </w:tc>
        <w:tc>
          <w:tcPr>
            <w:tcW w:w="1250" w:type="pct"/>
            <w:noWrap/>
            <w:hideMark/>
          </w:tcPr>
          <w:p w14:paraId="118D8428" w14:textId="77777777" w:rsidR="00C92A42" w:rsidRPr="00A85956" w:rsidRDefault="00C92A42" w:rsidP="00A85956">
            <w:pPr>
              <w:pStyle w:val="TableBody"/>
            </w:pPr>
            <w:r w:rsidRPr="00A85956">
              <w:t>86</w:t>
            </w:r>
          </w:p>
        </w:tc>
        <w:tc>
          <w:tcPr>
            <w:tcW w:w="1250" w:type="pct"/>
            <w:noWrap/>
            <w:hideMark/>
          </w:tcPr>
          <w:p w14:paraId="7D13B36A" w14:textId="77777777" w:rsidR="00C92A42" w:rsidRPr="00A85956" w:rsidRDefault="00C92A42" w:rsidP="00A85956">
            <w:pPr>
              <w:pStyle w:val="TableBody"/>
            </w:pPr>
            <w:r w:rsidRPr="00A85956">
              <w:t>77</w:t>
            </w:r>
          </w:p>
        </w:tc>
        <w:tc>
          <w:tcPr>
            <w:tcW w:w="1250" w:type="pct"/>
            <w:noWrap/>
            <w:hideMark/>
          </w:tcPr>
          <w:p w14:paraId="77D6F53F" w14:textId="77777777" w:rsidR="00C92A42" w:rsidRPr="00A85956" w:rsidRDefault="00C92A42" w:rsidP="00A85956">
            <w:pPr>
              <w:pStyle w:val="TableBody"/>
            </w:pPr>
            <w:r w:rsidRPr="00A85956">
              <w:t>62</w:t>
            </w:r>
          </w:p>
        </w:tc>
      </w:tr>
      <w:tr w:rsidR="00C92A42" w:rsidRPr="00C92A42" w14:paraId="4AC46D3B" w14:textId="77777777" w:rsidTr="00F63303">
        <w:trPr>
          <w:trHeight w:val="20"/>
        </w:trPr>
        <w:tc>
          <w:tcPr>
            <w:tcW w:w="1250" w:type="pct"/>
            <w:noWrap/>
            <w:hideMark/>
          </w:tcPr>
          <w:p w14:paraId="5B45FDE1" w14:textId="77777777" w:rsidR="00C92A42" w:rsidRPr="00C92A42" w:rsidRDefault="00C92A42" w:rsidP="00906ADE">
            <w:pPr>
              <w:pStyle w:val="TableBody"/>
            </w:pPr>
            <w:r w:rsidRPr="00C92A42">
              <w:t>2021-22</w:t>
            </w:r>
          </w:p>
        </w:tc>
        <w:tc>
          <w:tcPr>
            <w:tcW w:w="1250" w:type="pct"/>
            <w:noWrap/>
            <w:hideMark/>
          </w:tcPr>
          <w:p w14:paraId="27298525" w14:textId="77777777" w:rsidR="00C92A42" w:rsidRPr="00A85956" w:rsidRDefault="00C92A42" w:rsidP="00A85956">
            <w:pPr>
              <w:pStyle w:val="TableBody"/>
            </w:pPr>
            <w:r w:rsidRPr="00A85956">
              <w:t>52</w:t>
            </w:r>
          </w:p>
        </w:tc>
        <w:tc>
          <w:tcPr>
            <w:tcW w:w="1250" w:type="pct"/>
            <w:noWrap/>
            <w:hideMark/>
          </w:tcPr>
          <w:p w14:paraId="7EE59F33" w14:textId="77777777" w:rsidR="00C92A42" w:rsidRPr="00A85956" w:rsidRDefault="00C92A42" w:rsidP="00A85956">
            <w:pPr>
              <w:pStyle w:val="TableBody"/>
            </w:pPr>
            <w:r w:rsidRPr="00A85956">
              <w:t>80</w:t>
            </w:r>
          </w:p>
        </w:tc>
        <w:tc>
          <w:tcPr>
            <w:tcW w:w="1250" w:type="pct"/>
            <w:noWrap/>
            <w:hideMark/>
          </w:tcPr>
          <w:p w14:paraId="4A1961A9" w14:textId="77777777" w:rsidR="00C92A42" w:rsidRPr="00A85956" w:rsidRDefault="00C92A42" w:rsidP="00A85956">
            <w:pPr>
              <w:pStyle w:val="TableBody"/>
            </w:pPr>
            <w:r w:rsidRPr="00A85956">
              <w:t>55</w:t>
            </w:r>
          </w:p>
        </w:tc>
      </w:tr>
      <w:tr w:rsidR="00C92A42" w:rsidRPr="00C92A42" w14:paraId="023F3CB4" w14:textId="77777777" w:rsidTr="00F63303">
        <w:trPr>
          <w:trHeight w:val="20"/>
        </w:trPr>
        <w:tc>
          <w:tcPr>
            <w:tcW w:w="1250" w:type="pct"/>
            <w:noWrap/>
            <w:hideMark/>
          </w:tcPr>
          <w:p w14:paraId="6C9F4C4B" w14:textId="77777777" w:rsidR="00C92A42" w:rsidRPr="00C92A42" w:rsidRDefault="00C92A42" w:rsidP="00906ADE">
            <w:pPr>
              <w:pStyle w:val="TableBody"/>
            </w:pPr>
            <w:r w:rsidRPr="00C92A42">
              <w:t>2022-23</w:t>
            </w:r>
          </w:p>
        </w:tc>
        <w:tc>
          <w:tcPr>
            <w:tcW w:w="1250" w:type="pct"/>
            <w:noWrap/>
            <w:hideMark/>
          </w:tcPr>
          <w:p w14:paraId="363ECD9C" w14:textId="77777777" w:rsidR="00C92A42" w:rsidRPr="00A85956" w:rsidRDefault="00C92A42" w:rsidP="00A85956">
            <w:pPr>
              <w:pStyle w:val="TableBody"/>
            </w:pPr>
            <w:r w:rsidRPr="00A85956">
              <w:t>58</w:t>
            </w:r>
          </w:p>
        </w:tc>
        <w:tc>
          <w:tcPr>
            <w:tcW w:w="1250" w:type="pct"/>
            <w:noWrap/>
            <w:hideMark/>
          </w:tcPr>
          <w:p w14:paraId="2262B6F6" w14:textId="77777777" w:rsidR="00C92A42" w:rsidRPr="00A85956" w:rsidRDefault="00C92A42" w:rsidP="00A85956">
            <w:pPr>
              <w:pStyle w:val="TableBody"/>
            </w:pPr>
            <w:r w:rsidRPr="00A85956">
              <w:t>56</w:t>
            </w:r>
          </w:p>
        </w:tc>
        <w:tc>
          <w:tcPr>
            <w:tcW w:w="1250" w:type="pct"/>
            <w:noWrap/>
            <w:hideMark/>
          </w:tcPr>
          <w:p w14:paraId="4011B450" w14:textId="77777777" w:rsidR="00C92A42" w:rsidRPr="00A85956" w:rsidRDefault="00C92A42" w:rsidP="00A85956">
            <w:pPr>
              <w:pStyle w:val="TableBody"/>
            </w:pPr>
            <w:r w:rsidRPr="00A85956">
              <w:t>68</w:t>
            </w:r>
          </w:p>
        </w:tc>
      </w:tr>
      <w:tr w:rsidR="00C92A42" w:rsidRPr="00C92A42" w14:paraId="19306333" w14:textId="77777777" w:rsidTr="00F63303">
        <w:trPr>
          <w:trHeight w:val="20"/>
        </w:trPr>
        <w:tc>
          <w:tcPr>
            <w:tcW w:w="1250" w:type="pct"/>
            <w:noWrap/>
            <w:hideMark/>
          </w:tcPr>
          <w:p w14:paraId="4F087E7C" w14:textId="77777777" w:rsidR="00C92A42" w:rsidRPr="00C92A42" w:rsidRDefault="00C92A42" w:rsidP="00906ADE">
            <w:pPr>
              <w:pStyle w:val="TableBody"/>
            </w:pPr>
            <w:r w:rsidRPr="00C92A42">
              <w:t>2023-24</w:t>
            </w:r>
          </w:p>
        </w:tc>
        <w:tc>
          <w:tcPr>
            <w:tcW w:w="1250" w:type="pct"/>
            <w:noWrap/>
            <w:hideMark/>
          </w:tcPr>
          <w:p w14:paraId="13E944A0" w14:textId="77777777" w:rsidR="00C92A42" w:rsidRPr="00A85956" w:rsidRDefault="00C92A42" w:rsidP="00A85956">
            <w:pPr>
              <w:pStyle w:val="TableBody"/>
            </w:pPr>
            <w:r w:rsidRPr="00A85956">
              <w:t>52</w:t>
            </w:r>
          </w:p>
        </w:tc>
        <w:tc>
          <w:tcPr>
            <w:tcW w:w="1250" w:type="pct"/>
            <w:noWrap/>
            <w:hideMark/>
          </w:tcPr>
          <w:p w14:paraId="76FA75FA" w14:textId="77777777" w:rsidR="00C92A42" w:rsidRPr="00A85956" w:rsidRDefault="00C92A42" w:rsidP="00A85956">
            <w:pPr>
              <w:pStyle w:val="TableBody"/>
            </w:pPr>
            <w:r w:rsidRPr="00A85956">
              <w:t>37</w:t>
            </w:r>
          </w:p>
        </w:tc>
        <w:tc>
          <w:tcPr>
            <w:tcW w:w="1250" w:type="pct"/>
            <w:noWrap/>
            <w:hideMark/>
          </w:tcPr>
          <w:p w14:paraId="018CFF72" w14:textId="77777777" w:rsidR="00C92A42" w:rsidRPr="00A85956" w:rsidRDefault="00C92A42" w:rsidP="00A85956">
            <w:pPr>
              <w:pStyle w:val="TableBody"/>
            </w:pPr>
            <w:r w:rsidRPr="00A85956">
              <w:t>40</w:t>
            </w:r>
          </w:p>
        </w:tc>
      </w:tr>
    </w:tbl>
    <w:p w14:paraId="0BC6B313" w14:textId="77777777" w:rsidR="00A4454A" w:rsidRPr="008C1137" w:rsidRDefault="00A4454A" w:rsidP="00D4532A">
      <w:r w:rsidRPr="000C258A">
        <w:rPr>
          <w:rStyle w:val="Strong"/>
        </w:rPr>
        <w:t>Source</w:t>
      </w:r>
      <w:r w:rsidRPr="008C1137">
        <w:t>: Court Services Victoria, unpublished data</w:t>
      </w:r>
    </w:p>
    <w:p w14:paraId="60D09014" w14:textId="68679B16" w:rsidR="00A4454A" w:rsidRPr="008C1137" w:rsidRDefault="00A4454A" w:rsidP="008D24FA">
      <w:pPr>
        <w:pStyle w:val="Heading1Numbered"/>
      </w:pPr>
      <w:bookmarkStart w:id="7" w:name="_Toc210672551"/>
      <w:r w:rsidRPr="008C1137">
        <w:lastRenderedPageBreak/>
        <w:t>Number and demographics of Victorian prisoners</w:t>
      </w:r>
      <w:bookmarkEnd w:id="7"/>
    </w:p>
    <w:p w14:paraId="3C34479A" w14:textId="77777777" w:rsidR="00A4454A" w:rsidRPr="008C1137" w:rsidRDefault="00A4454A" w:rsidP="00BE4EDC">
      <w:pPr>
        <w:pStyle w:val="Numbered"/>
      </w:pPr>
      <w:r w:rsidRPr="008C1137">
        <w:t>Victoria’s prison population changed significantly in the 20 years to 30 June 2024, both in total numbers and in its composition. The prison population grew substantially in the 15 years to 30 June 2019 but dropped significantly in the 12 months to 30 June 2020 with the onset of COVID-19, and in the years that followed. In fact, on 30 June 2024, Victoria’s prison population was the lowest it had been in a decade. This chapter examines whether any particular groups drove the decrease in Victoria’s prison population, and concurrently whether the significant growth in the preceding 15 years can be attributed to those same, or different, groups.</w:t>
      </w:r>
    </w:p>
    <w:p w14:paraId="3CABADD8" w14:textId="77777777" w:rsidR="00A4454A" w:rsidRPr="008C1137" w:rsidRDefault="00A4454A" w:rsidP="00210207">
      <w:pPr>
        <w:pStyle w:val="Numbered"/>
      </w:pPr>
      <w:r w:rsidRPr="008C1137">
        <w:t xml:space="preserve">The data on the number of people in custody at the conclusion of each month and the annual utilisation rates were sourced from Corrections Victoria, demographic data on Victorian prisoners was sourced from the Australian Bureau of Statistics (ABS), and data on the average daily cost of imprisonment was sourced from the Productivity Commission. </w:t>
      </w:r>
    </w:p>
    <w:p w14:paraId="21391B93" w14:textId="77777777" w:rsidR="00A4454A" w:rsidRPr="008C1137" w:rsidRDefault="00A4454A" w:rsidP="0002476E">
      <w:pPr>
        <w:pStyle w:val="Heading2"/>
      </w:pPr>
      <w:r w:rsidRPr="008C1137">
        <w:t>Victoria’s prison population</w:t>
      </w:r>
    </w:p>
    <w:p w14:paraId="26E3A3A8" w14:textId="2C59DE22" w:rsidR="00A4454A" w:rsidRPr="008C1137" w:rsidRDefault="00A4454A" w:rsidP="00210207">
      <w:pPr>
        <w:pStyle w:val="Numbered"/>
      </w:pPr>
      <w:r w:rsidRPr="008C1137">
        <w:t>Figure 37</w:t>
      </w:r>
      <w:r w:rsidR="009E33A5">
        <w:t xml:space="preserve"> </w:t>
      </w:r>
      <w:r w:rsidRPr="008C1137">
        <w:t xml:space="preserve">presents the number of people in custody in Victoria as at the end of each month during the 20-year period (the number of people in custody on 30 June each year is provided for ease of reference). On 30 June 2024, 5,915 people were in prison in Victoria, up from 3,651 people on 31 July 2004, constituting a 62% increase. The majority of this growth (91%) occurred between 2011–12 and 2018–19, when Victoria’s prison population grew significantly. The highest number of people in custody in Victoria (8,216 prisoners) was recorded on 31 January 2019. </w:t>
      </w:r>
    </w:p>
    <w:p w14:paraId="060A21ED" w14:textId="77777777" w:rsidR="00A4454A" w:rsidRPr="008C1137" w:rsidRDefault="00A4454A" w:rsidP="00210207">
      <w:pPr>
        <w:pStyle w:val="Numbered"/>
      </w:pPr>
      <w:r w:rsidRPr="008C1137">
        <w:lastRenderedPageBreak/>
        <w:t>In effect, Victoria’s prison population grew rapidly and substantially in the first 15 years of our reference period, before it was seemingly halted by the onset of the COVID-19 pandemic (declining by 12% alone in the 12 months to 30 June 2020). This is likely because COVID-19 resulted in social isolation restrictions that reduced offending rates and interfered significantly with court processes (causing court backlogs), together leading to a reduction in the prison population. The prison population then continued to decline to 5,915 on 30 June 2024, the lowest level in over a decade.</w:t>
      </w:r>
    </w:p>
    <w:p w14:paraId="4DC435EC" w14:textId="77777777" w:rsidR="00A4454A" w:rsidRPr="008C1137" w:rsidRDefault="00A4454A" w:rsidP="00BE4EDC">
      <w:pPr>
        <w:pStyle w:val="Caption"/>
      </w:pPr>
      <w:r w:rsidRPr="00157502">
        <w:t>Figure 37</w:t>
      </w:r>
      <w:r w:rsidRPr="008C1137">
        <w:t>: Victoria’s prison population at the end of each month, 31 July 2004 to 30 June 2024</w:t>
      </w:r>
    </w:p>
    <w:tbl>
      <w:tblPr>
        <w:tblStyle w:val="Table"/>
        <w:tblW w:w="5000" w:type="pct"/>
        <w:tblLook w:val="04A0" w:firstRow="1" w:lastRow="0" w:firstColumn="1" w:lastColumn="0" w:noHBand="0" w:noVBand="1"/>
      </w:tblPr>
      <w:tblGrid>
        <w:gridCol w:w="4508"/>
        <w:gridCol w:w="4508"/>
      </w:tblGrid>
      <w:tr w:rsidR="0013332F" w:rsidRPr="00F63303" w14:paraId="796CE385" w14:textId="77777777" w:rsidTr="00D214C5">
        <w:trPr>
          <w:trHeight w:val="288"/>
          <w:tblHeader/>
        </w:trPr>
        <w:tc>
          <w:tcPr>
            <w:tcW w:w="2500" w:type="pct"/>
            <w:noWrap/>
            <w:hideMark/>
          </w:tcPr>
          <w:p w14:paraId="79BEC71F" w14:textId="77777777" w:rsidR="0013332F" w:rsidRPr="0013332F" w:rsidRDefault="0013332F" w:rsidP="00F63303">
            <w:pPr>
              <w:pStyle w:val="TableHeading"/>
            </w:pPr>
            <w:r w:rsidRPr="0013332F">
              <w:t>Year (as at 30 June)</w:t>
            </w:r>
          </w:p>
        </w:tc>
        <w:tc>
          <w:tcPr>
            <w:tcW w:w="2500" w:type="pct"/>
            <w:noWrap/>
            <w:hideMark/>
          </w:tcPr>
          <w:p w14:paraId="26E9FBC8" w14:textId="77777777" w:rsidR="0013332F" w:rsidRPr="0013332F" w:rsidRDefault="0013332F" w:rsidP="00F63303">
            <w:pPr>
              <w:pStyle w:val="TableHeading"/>
            </w:pPr>
            <w:r w:rsidRPr="0013332F">
              <w:t>Prisoners (number)</w:t>
            </w:r>
          </w:p>
        </w:tc>
      </w:tr>
      <w:tr w:rsidR="0013332F" w:rsidRPr="00F63303" w14:paraId="66EEE9B7" w14:textId="77777777" w:rsidTr="00F63303">
        <w:trPr>
          <w:trHeight w:val="288"/>
        </w:trPr>
        <w:tc>
          <w:tcPr>
            <w:tcW w:w="2500" w:type="pct"/>
            <w:noWrap/>
            <w:hideMark/>
          </w:tcPr>
          <w:p w14:paraId="61616A8A" w14:textId="2EC60122" w:rsidR="0013332F" w:rsidRPr="005F1725" w:rsidRDefault="009A03D4" w:rsidP="005F1725">
            <w:pPr>
              <w:pStyle w:val="TableBody"/>
            </w:pPr>
            <w:r>
              <w:t>2004</w:t>
            </w:r>
          </w:p>
        </w:tc>
        <w:tc>
          <w:tcPr>
            <w:tcW w:w="2500" w:type="pct"/>
            <w:noWrap/>
            <w:hideMark/>
          </w:tcPr>
          <w:p w14:paraId="71410878" w14:textId="77777777" w:rsidR="0013332F" w:rsidRPr="00D34F42" w:rsidRDefault="0013332F" w:rsidP="00D34F42">
            <w:pPr>
              <w:pStyle w:val="TableBody"/>
            </w:pPr>
            <w:r w:rsidRPr="00D34F42">
              <w:t>3,651</w:t>
            </w:r>
          </w:p>
        </w:tc>
      </w:tr>
      <w:tr w:rsidR="00F17567" w:rsidRPr="00F63303" w14:paraId="55BDAFD7" w14:textId="77777777" w:rsidTr="00F63303">
        <w:trPr>
          <w:trHeight w:val="288"/>
        </w:trPr>
        <w:tc>
          <w:tcPr>
            <w:tcW w:w="2500" w:type="pct"/>
            <w:noWrap/>
            <w:hideMark/>
          </w:tcPr>
          <w:p w14:paraId="461F321B" w14:textId="1344CE4F" w:rsidR="00F17567" w:rsidRPr="005F1725" w:rsidRDefault="00F17567" w:rsidP="00F17567">
            <w:pPr>
              <w:pStyle w:val="TableBody"/>
            </w:pPr>
            <w:r w:rsidRPr="00682296">
              <w:t>2005</w:t>
            </w:r>
          </w:p>
        </w:tc>
        <w:tc>
          <w:tcPr>
            <w:tcW w:w="2500" w:type="pct"/>
            <w:noWrap/>
            <w:hideMark/>
          </w:tcPr>
          <w:p w14:paraId="35D2095B" w14:textId="77777777" w:rsidR="00F17567" w:rsidRPr="00D34F42" w:rsidRDefault="00F17567" w:rsidP="00F17567">
            <w:pPr>
              <w:pStyle w:val="TableBody"/>
            </w:pPr>
            <w:r w:rsidRPr="00D34F42">
              <w:t>3,692</w:t>
            </w:r>
          </w:p>
        </w:tc>
      </w:tr>
      <w:tr w:rsidR="00F17567" w:rsidRPr="00F63303" w14:paraId="2739ECFA" w14:textId="77777777" w:rsidTr="00F63303">
        <w:trPr>
          <w:trHeight w:val="288"/>
        </w:trPr>
        <w:tc>
          <w:tcPr>
            <w:tcW w:w="2500" w:type="pct"/>
            <w:noWrap/>
            <w:hideMark/>
          </w:tcPr>
          <w:p w14:paraId="6A8A95FC" w14:textId="369E0FA2" w:rsidR="00F17567" w:rsidRPr="005F1725" w:rsidRDefault="00F17567" w:rsidP="00F17567">
            <w:pPr>
              <w:pStyle w:val="TableBody"/>
            </w:pPr>
            <w:r w:rsidRPr="00682296">
              <w:t>2006</w:t>
            </w:r>
          </w:p>
        </w:tc>
        <w:tc>
          <w:tcPr>
            <w:tcW w:w="2500" w:type="pct"/>
            <w:noWrap/>
            <w:hideMark/>
          </w:tcPr>
          <w:p w14:paraId="61A8E3D9" w14:textId="77777777" w:rsidR="00F17567" w:rsidRPr="00D34F42" w:rsidRDefault="00F17567" w:rsidP="00F17567">
            <w:pPr>
              <w:pStyle w:val="TableBody"/>
            </w:pPr>
            <w:r w:rsidRPr="00D34F42">
              <w:t>3,905</w:t>
            </w:r>
          </w:p>
        </w:tc>
      </w:tr>
      <w:tr w:rsidR="00F17567" w:rsidRPr="00F63303" w14:paraId="0C97E385" w14:textId="77777777" w:rsidTr="00F63303">
        <w:trPr>
          <w:trHeight w:val="288"/>
        </w:trPr>
        <w:tc>
          <w:tcPr>
            <w:tcW w:w="2500" w:type="pct"/>
            <w:noWrap/>
            <w:hideMark/>
          </w:tcPr>
          <w:p w14:paraId="7D949DD3" w14:textId="3CA53516" w:rsidR="00F17567" w:rsidRPr="005F1725" w:rsidRDefault="00F17567" w:rsidP="00F17567">
            <w:pPr>
              <w:pStyle w:val="TableBody"/>
            </w:pPr>
            <w:r w:rsidRPr="00682296">
              <w:t>2007</w:t>
            </w:r>
          </w:p>
        </w:tc>
        <w:tc>
          <w:tcPr>
            <w:tcW w:w="2500" w:type="pct"/>
            <w:noWrap/>
            <w:hideMark/>
          </w:tcPr>
          <w:p w14:paraId="49779B91" w14:textId="77777777" w:rsidR="00F17567" w:rsidRPr="00D34F42" w:rsidRDefault="00F17567" w:rsidP="00F17567">
            <w:pPr>
              <w:pStyle w:val="TableBody"/>
            </w:pPr>
            <w:r w:rsidRPr="00D34F42">
              <w:t>4,183</w:t>
            </w:r>
          </w:p>
        </w:tc>
      </w:tr>
      <w:tr w:rsidR="00F17567" w:rsidRPr="00F63303" w14:paraId="78C6AEC4" w14:textId="77777777" w:rsidTr="00F63303">
        <w:trPr>
          <w:trHeight w:val="288"/>
        </w:trPr>
        <w:tc>
          <w:tcPr>
            <w:tcW w:w="2500" w:type="pct"/>
            <w:noWrap/>
            <w:hideMark/>
          </w:tcPr>
          <w:p w14:paraId="04653D83" w14:textId="786DD362" w:rsidR="00F17567" w:rsidRPr="005F1725" w:rsidRDefault="00F17567" w:rsidP="00F17567">
            <w:pPr>
              <w:pStyle w:val="TableBody"/>
            </w:pPr>
            <w:r w:rsidRPr="00682296">
              <w:t>2008</w:t>
            </w:r>
          </w:p>
        </w:tc>
        <w:tc>
          <w:tcPr>
            <w:tcW w:w="2500" w:type="pct"/>
            <w:noWrap/>
            <w:hideMark/>
          </w:tcPr>
          <w:p w14:paraId="3AF58A48" w14:textId="77777777" w:rsidR="00F17567" w:rsidRPr="00D34F42" w:rsidRDefault="00F17567" w:rsidP="00F17567">
            <w:pPr>
              <w:pStyle w:val="TableBody"/>
            </w:pPr>
            <w:r w:rsidRPr="00D34F42">
              <w:t>4,223</w:t>
            </w:r>
          </w:p>
        </w:tc>
      </w:tr>
      <w:tr w:rsidR="00F17567" w:rsidRPr="00F63303" w14:paraId="282C8EB3" w14:textId="77777777" w:rsidTr="00F63303">
        <w:trPr>
          <w:trHeight w:val="288"/>
        </w:trPr>
        <w:tc>
          <w:tcPr>
            <w:tcW w:w="2500" w:type="pct"/>
            <w:noWrap/>
            <w:hideMark/>
          </w:tcPr>
          <w:p w14:paraId="2E0B3A5E" w14:textId="1C5BFADE" w:rsidR="00F17567" w:rsidRPr="005F1725" w:rsidRDefault="00F17567" w:rsidP="00F17567">
            <w:pPr>
              <w:pStyle w:val="TableBody"/>
            </w:pPr>
            <w:r w:rsidRPr="00682296">
              <w:t>2009</w:t>
            </w:r>
          </w:p>
        </w:tc>
        <w:tc>
          <w:tcPr>
            <w:tcW w:w="2500" w:type="pct"/>
            <w:noWrap/>
            <w:hideMark/>
          </w:tcPr>
          <w:p w14:paraId="7FCAF52C" w14:textId="77777777" w:rsidR="00F17567" w:rsidRPr="00D34F42" w:rsidRDefault="00F17567" w:rsidP="00F17567">
            <w:pPr>
              <w:pStyle w:val="TableBody"/>
            </w:pPr>
            <w:r w:rsidRPr="00D34F42">
              <w:t>4,350</w:t>
            </w:r>
          </w:p>
        </w:tc>
      </w:tr>
      <w:tr w:rsidR="00F17567" w:rsidRPr="00F63303" w14:paraId="7139B833" w14:textId="77777777" w:rsidTr="00F63303">
        <w:trPr>
          <w:trHeight w:val="288"/>
        </w:trPr>
        <w:tc>
          <w:tcPr>
            <w:tcW w:w="2500" w:type="pct"/>
            <w:noWrap/>
            <w:hideMark/>
          </w:tcPr>
          <w:p w14:paraId="7C214BE2" w14:textId="04296814" w:rsidR="00F17567" w:rsidRPr="005F1725" w:rsidRDefault="00F17567" w:rsidP="00F17567">
            <w:pPr>
              <w:pStyle w:val="TableBody"/>
            </w:pPr>
            <w:r w:rsidRPr="00682296">
              <w:t>2010</w:t>
            </w:r>
          </w:p>
        </w:tc>
        <w:tc>
          <w:tcPr>
            <w:tcW w:w="2500" w:type="pct"/>
            <w:noWrap/>
            <w:hideMark/>
          </w:tcPr>
          <w:p w14:paraId="2469283F" w14:textId="77777777" w:rsidR="00F17567" w:rsidRPr="00D34F42" w:rsidRDefault="00F17567" w:rsidP="00F17567">
            <w:pPr>
              <w:pStyle w:val="TableBody"/>
            </w:pPr>
            <w:r w:rsidRPr="00D34F42">
              <w:t>4,537</w:t>
            </w:r>
          </w:p>
        </w:tc>
      </w:tr>
      <w:tr w:rsidR="00F17567" w:rsidRPr="00F63303" w14:paraId="21F45028" w14:textId="77777777" w:rsidTr="00F63303">
        <w:trPr>
          <w:trHeight w:val="288"/>
        </w:trPr>
        <w:tc>
          <w:tcPr>
            <w:tcW w:w="2500" w:type="pct"/>
            <w:noWrap/>
            <w:hideMark/>
          </w:tcPr>
          <w:p w14:paraId="64215E81" w14:textId="3342F4CF" w:rsidR="00F17567" w:rsidRPr="005F1725" w:rsidRDefault="00F17567" w:rsidP="00F17567">
            <w:pPr>
              <w:pStyle w:val="TableBody"/>
            </w:pPr>
            <w:r w:rsidRPr="00682296">
              <w:t>2011</w:t>
            </w:r>
          </w:p>
        </w:tc>
        <w:tc>
          <w:tcPr>
            <w:tcW w:w="2500" w:type="pct"/>
            <w:noWrap/>
            <w:hideMark/>
          </w:tcPr>
          <w:p w14:paraId="6F33669C" w14:textId="77777777" w:rsidR="00F17567" w:rsidRPr="00D34F42" w:rsidRDefault="00F17567" w:rsidP="00F17567">
            <w:pPr>
              <w:pStyle w:val="TableBody"/>
            </w:pPr>
            <w:r w:rsidRPr="00D34F42">
              <w:t>4,737</w:t>
            </w:r>
          </w:p>
        </w:tc>
      </w:tr>
      <w:tr w:rsidR="00F17567" w:rsidRPr="00F63303" w14:paraId="4A81D690" w14:textId="77777777" w:rsidTr="00F63303">
        <w:trPr>
          <w:trHeight w:val="288"/>
        </w:trPr>
        <w:tc>
          <w:tcPr>
            <w:tcW w:w="2500" w:type="pct"/>
            <w:noWrap/>
            <w:hideMark/>
          </w:tcPr>
          <w:p w14:paraId="6B36574D" w14:textId="338F2DAE" w:rsidR="00F17567" w:rsidRPr="005F1725" w:rsidRDefault="00F17567" w:rsidP="00F17567">
            <w:pPr>
              <w:pStyle w:val="TableBody"/>
            </w:pPr>
            <w:r w:rsidRPr="00682296">
              <w:t>2012</w:t>
            </w:r>
          </w:p>
        </w:tc>
        <w:tc>
          <w:tcPr>
            <w:tcW w:w="2500" w:type="pct"/>
            <w:noWrap/>
            <w:hideMark/>
          </w:tcPr>
          <w:p w14:paraId="1EC018BD" w14:textId="77777777" w:rsidR="00F17567" w:rsidRPr="00D34F42" w:rsidRDefault="00F17567" w:rsidP="00F17567">
            <w:pPr>
              <w:pStyle w:val="TableBody"/>
            </w:pPr>
            <w:r w:rsidRPr="00D34F42">
              <w:t>4,884</w:t>
            </w:r>
          </w:p>
        </w:tc>
      </w:tr>
      <w:tr w:rsidR="00F17567" w:rsidRPr="00F63303" w14:paraId="3A4C23B0" w14:textId="77777777" w:rsidTr="00F63303">
        <w:trPr>
          <w:trHeight w:val="288"/>
        </w:trPr>
        <w:tc>
          <w:tcPr>
            <w:tcW w:w="2500" w:type="pct"/>
            <w:noWrap/>
            <w:hideMark/>
          </w:tcPr>
          <w:p w14:paraId="0ABCB27F" w14:textId="02351033" w:rsidR="00F17567" w:rsidRPr="005F1725" w:rsidRDefault="00F17567" w:rsidP="00F17567">
            <w:pPr>
              <w:pStyle w:val="TableBody"/>
            </w:pPr>
            <w:r w:rsidRPr="00682296">
              <w:t>2013</w:t>
            </w:r>
          </w:p>
        </w:tc>
        <w:tc>
          <w:tcPr>
            <w:tcW w:w="2500" w:type="pct"/>
            <w:noWrap/>
            <w:hideMark/>
          </w:tcPr>
          <w:p w14:paraId="04187BA5" w14:textId="77777777" w:rsidR="00F17567" w:rsidRPr="00D34F42" w:rsidRDefault="00F17567" w:rsidP="00F17567">
            <w:pPr>
              <w:pStyle w:val="TableBody"/>
            </w:pPr>
            <w:r w:rsidRPr="00D34F42">
              <w:t>5,340</w:t>
            </w:r>
          </w:p>
        </w:tc>
      </w:tr>
      <w:tr w:rsidR="00F17567" w:rsidRPr="00F63303" w14:paraId="5E1DE28D" w14:textId="77777777" w:rsidTr="00F63303">
        <w:trPr>
          <w:trHeight w:val="288"/>
        </w:trPr>
        <w:tc>
          <w:tcPr>
            <w:tcW w:w="2500" w:type="pct"/>
            <w:noWrap/>
            <w:hideMark/>
          </w:tcPr>
          <w:p w14:paraId="4D9A286D" w14:textId="4FE9154E" w:rsidR="00F17567" w:rsidRPr="005F1725" w:rsidRDefault="00F17567" w:rsidP="00F17567">
            <w:pPr>
              <w:pStyle w:val="TableBody"/>
            </w:pPr>
            <w:r w:rsidRPr="00682296">
              <w:t>2014</w:t>
            </w:r>
          </w:p>
        </w:tc>
        <w:tc>
          <w:tcPr>
            <w:tcW w:w="2500" w:type="pct"/>
            <w:noWrap/>
            <w:hideMark/>
          </w:tcPr>
          <w:p w14:paraId="2E0DAFCC" w14:textId="77777777" w:rsidR="00F17567" w:rsidRPr="00D34F42" w:rsidRDefault="00F17567" w:rsidP="00F17567">
            <w:pPr>
              <w:pStyle w:val="TableBody"/>
            </w:pPr>
            <w:r w:rsidRPr="00D34F42">
              <w:t>6,113</w:t>
            </w:r>
          </w:p>
        </w:tc>
      </w:tr>
      <w:tr w:rsidR="00F17567" w:rsidRPr="00F63303" w14:paraId="1355E965" w14:textId="77777777" w:rsidTr="00F63303">
        <w:trPr>
          <w:trHeight w:val="288"/>
        </w:trPr>
        <w:tc>
          <w:tcPr>
            <w:tcW w:w="2500" w:type="pct"/>
            <w:noWrap/>
            <w:hideMark/>
          </w:tcPr>
          <w:p w14:paraId="18C7DB95" w14:textId="131944C0" w:rsidR="00F17567" w:rsidRPr="005F1725" w:rsidRDefault="00F17567" w:rsidP="00F17567">
            <w:pPr>
              <w:pStyle w:val="TableBody"/>
            </w:pPr>
            <w:r w:rsidRPr="00682296">
              <w:t>2015</w:t>
            </w:r>
          </w:p>
        </w:tc>
        <w:tc>
          <w:tcPr>
            <w:tcW w:w="2500" w:type="pct"/>
            <w:noWrap/>
            <w:hideMark/>
          </w:tcPr>
          <w:p w14:paraId="463FA97D" w14:textId="77777777" w:rsidR="00F17567" w:rsidRPr="00D34F42" w:rsidRDefault="00F17567" w:rsidP="00F17567">
            <w:pPr>
              <w:pStyle w:val="TableBody"/>
            </w:pPr>
            <w:r w:rsidRPr="00D34F42">
              <w:t>6,219</w:t>
            </w:r>
          </w:p>
        </w:tc>
      </w:tr>
      <w:tr w:rsidR="00F17567" w:rsidRPr="00F63303" w14:paraId="2D97F24A" w14:textId="77777777" w:rsidTr="00F63303">
        <w:trPr>
          <w:trHeight w:val="288"/>
        </w:trPr>
        <w:tc>
          <w:tcPr>
            <w:tcW w:w="2500" w:type="pct"/>
            <w:noWrap/>
            <w:hideMark/>
          </w:tcPr>
          <w:p w14:paraId="6D0ED10E" w14:textId="035A996B" w:rsidR="00F17567" w:rsidRPr="005F1725" w:rsidRDefault="00F17567" w:rsidP="00F17567">
            <w:pPr>
              <w:pStyle w:val="TableBody"/>
            </w:pPr>
            <w:r w:rsidRPr="00682296">
              <w:t>2016</w:t>
            </w:r>
          </w:p>
        </w:tc>
        <w:tc>
          <w:tcPr>
            <w:tcW w:w="2500" w:type="pct"/>
            <w:noWrap/>
            <w:hideMark/>
          </w:tcPr>
          <w:p w14:paraId="6C7708C2" w14:textId="77777777" w:rsidR="00F17567" w:rsidRPr="00D34F42" w:rsidRDefault="00F17567" w:rsidP="00F17567">
            <w:pPr>
              <w:pStyle w:val="TableBody"/>
            </w:pPr>
            <w:r w:rsidRPr="00D34F42">
              <w:t>6,519</w:t>
            </w:r>
          </w:p>
        </w:tc>
      </w:tr>
      <w:tr w:rsidR="00F17567" w:rsidRPr="00F63303" w14:paraId="3E110626" w14:textId="77777777" w:rsidTr="00F63303">
        <w:trPr>
          <w:trHeight w:val="288"/>
        </w:trPr>
        <w:tc>
          <w:tcPr>
            <w:tcW w:w="2500" w:type="pct"/>
            <w:noWrap/>
            <w:hideMark/>
          </w:tcPr>
          <w:p w14:paraId="606EB4B9" w14:textId="64DA1161" w:rsidR="00F17567" w:rsidRPr="005F1725" w:rsidRDefault="00F17567" w:rsidP="00F17567">
            <w:pPr>
              <w:pStyle w:val="TableBody"/>
            </w:pPr>
            <w:r w:rsidRPr="00682296">
              <w:t>2017</w:t>
            </w:r>
          </w:p>
        </w:tc>
        <w:tc>
          <w:tcPr>
            <w:tcW w:w="2500" w:type="pct"/>
            <w:noWrap/>
            <w:hideMark/>
          </w:tcPr>
          <w:p w14:paraId="121801FD" w14:textId="77777777" w:rsidR="00F17567" w:rsidRPr="00D34F42" w:rsidRDefault="00F17567" w:rsidP="00F17567">
            <w:pPr>
              <w:pStyle w:val="TableBody"/>
            </w:pPr>
            <w:r w:rsidRPr="00D34F42">
              <w:t>7,151</w:t>
            </w:r>
          </w:p>
        </w:tc>
      </w:tr>
      <w:tr w:rsidR="00F17567" w:rsidRPr="00F63303" w14:paraId="1D0DACCA" w14:textId="77777777" w:rsidTr="00F63303">
        <w:trPr>
          <w:trHeight w:val="288"/>
        </w:trPr>
        <w:tc>
          <w:tcPr>
            <w:tcW w:w="2500" w:type="pct"/>
            <w:noWrap/>
            <w:hideMark/>
          </w:tcPr>
          <w:p w14:paraId="5793C88E" w14:textId="671C2004" w:rsidR="00F17567" w:rsidRPr="005F1725" w:rsidRDefault="00F17567" w:rsidP="00F17567">
            <w:pPr>
              <w:pStyle w:val="TableBody"/>
            </w:pPr>
            <w:r w:rsidRPr="00682296">
              <w:t>2018</w:t>
            </w:r>
          </w:p>
        </w:tc>
        <w:tc>
          <w:tcPr>
            <w:tcW w:w="2500" w:type="pct"/>
            <w:noWrap/>
            <w:hideMark/>
          </w:tcPr>
          <w:p w14:paraId="5B81C920" w14:textId="77777777" w:rsidR="00F17567" w:rsidRPr="00D34F42" w:rsidRDefault="00F17567" w:rsidP="00F17567">
            <w:pPr>
              <w:pStyle w:val="TableBody"/>
            </w:pPr>
            <w:r w:rsidRPr="00D34F42">
              <w:t>7,668</w:t>
            </w:r>
          </w:p>
        </w:tc>
      </w:tr>
      <w:tr w:rsidR="00F17567" w:rsidRPr="00F63303" w14:paraId="03384250" w14:textId="77777777" w:rsidTr="00F63303">
        <w:trPr>
          <w:trHeight w:val="288"/>
        </w:trPr>
        <w:tc>
          <w:tcPr>
            <w:tcW w:w="2500" w:type="pct"/>
            <w:noWrap/>
            <w:hideMark/>
          </w:tcPr>
          <w:p w14:paraId="2AA8116C" w14:textId="071DF1C9" w:rsidR="00F17567" w:rsidRPr="005F1725" w:rsidRDefault="00F17567" w:rsidP="00F17567">
            <w:pPr>
              <w:pStyle w:val="TableBody"/>
            </w:pPr>
            <w:r w:rsidRPr="00682296">
              <w:t>2019</w:t>
            </w:r>
          </w:p>
        </w:tc>
        <w:tc>
          <w:tcPr>
            <w:tcW w:w="2500" w:type="pct"/>
            <w:noWrap/>
            <w:hideMark/>
          </w:tcPr>
          <w:p w14:paraId="0CB1272B" w14:textId="77777777" w:rsidR="00F17567" w:rsidRPr="00D34F42" w:rsidRDefault="00F17567" w:rsidP="00F17567">
            <w:pPr>
              <w:pStyle w:val="TableBody"/>
            </w:pPr>
            <w:r w:rsidRPr="00D34F42">
              <w:t>8,102</w:t>
            </w:r>
          </w:p>
        </w:tc>
      </w:tr>
      <w:tr w:rsidR="00F17567" w:rsidRPr="00F63303" w14:paraId="71EE4D57" w14:textId="77777777" w:rsidTr="00F63303">
        <w:trPr>
          <w:trHeight w:val="288"/>
        </w:trPr>
        <w:tc>
          <w:tcPr>
            <w:tcW w:w="2500" w:type="pct"/>
            <w:noWrap/>
            <w:hideMark/>
          </w:tcPr>
          <w:p w14:paraId="2A031DFE" w14:textId="52B43A8D" w:rsidR="00F17567" w:rsidRPr="005F1725" w:rsidRDefault="00F17567" w:rsidP="00F17567">
            <w:pPr>
              <w:pStyle w:val="TableBody"/>
            </w:pPr>
            <w:r w:rsidRPr="00682296">
              <w:t>2020</w:t>
            </w:r>
          </w:p>
        </w:tc>
        <w:tc>
          <w:tcPr>
            <w:tcW w:w="2500" w:type="pct"/>
            <w:noWrap/>
            <w:hideMark/>
          </w:tcPr>
          <w:p w14:paraId="54A25045" w14:textId="77777777" w:rsidR="00F17567" w:rsidRPr="00D34F42" w:rsidRDefault="00F17567" w:rsidP="00F17567">
            <w:pPr>
              <w:pStyle w:val="TableBody"/>
            </w:pPr>
            <w:r w:rsidRPr="00D34F42">
              <w:t>7,151</w:t>
            </w:r>
          </w:p>
        </w:tc>
      </w:tr>
      <w:tr w:rsidR="00F17567" w:rsidRPr="00F63303" w14:paraId="0997131E" w14:textId="77777777" w:rsidTr="00F63303">
        <w:trPr>
          <w:trHeight w:val="288"/>
        </w:trPr>
        <w:tc>
          <w:tcPr>
            <w:tcW w:w="2500" w:type="pct"/>
            <w:noWrap/>
            <w:hideMark/>
          </w:tcPr>
          <w:p w14:paraId="16714E21" w14:textId="49FC4272" w:rsidR="00F17567" w:rsidRPr="005F1725" w:rsidRDefault="00F17567" w:rsidP="00F17567">
            <w:pPr>
              <w:pStyle w:val="TableBody"/>
            </w:pPr>
            <w:r w:rsidRPr="00682296">
              <w:t>2021</w:t>
            </w:r>
          </w:p>
        </w:tc>
        <w:tc>
          <w:tcPr>
            <w:tcW w:w="2500" w:type="pct"/>
            <w:noWrap/>
            <w:hideMark/>
          </w:tcPr>
          <w:p w14:paraId="13CF0F9F" w14:textId="77777777" w:rsidR="00F17567" w:rsidRPr="00D34F42" w:rsidRDefault="00F17567" w:rsidP="00F17567">
            <w:pPr>
              <w:pStyle w:val="TableBody"/>
            </w:pPr>
            <w:r w:rsidRPr="00D34F42">
              <w:t>7,249</w:t>
            </w:r>
          </w:p>
        </w:tc>
      </w:tr>
      <w:tr w:rsidR="00F17567" w:rsidRPr="00F63303" w14:paraId="5A8686AB" w14:textId="77777777" w:rsidTr="00F63303">
        <w:trPr>
          <w:trHeight w:val="288"/>
        </w:trPr>
        <w:tc>
          <w:tcPr>
            <w:tcW w:w="2500" w:type="pct"/>
            <w:noWrap/>
            <w:hideMark/>
          </w:tcPr>
          <w:p w14:paraId="466754EB" w14:textId="76C48518" w:rsidR="00F17567" w:rsidRPr="005F1725" w:rsidRDefault="00F17567" w:rsidP="00F17567">
            <w:pPr>
              <w:pStyle w:val="TableBody"/>
            </w:pPr>
            <w:r w:rsidRPr="00682296">
              <w:t>2022</w:t>
            </w:r>
          </w:p>
        </w:tc>
        <w:tc>
          <w:tcPr>
            <w:tcW w:w="2500" w:type="pct"/>
            <w:noWrap/>
            <w:hideMark/>
          </w:tcPr>
          <w:p w14:paraId="05319750" w14:textId="77777777" w:rsidR="00F17567" w:rsidRPr="00D34F42" w:rsidRDefault="00F17567" w:rsidP="00F17567">
            <w:pPr>
              <w:pStyle w:val="TableBody"/>
            </w:pPr>
            <w:r w:rsidRPr="00D34F42">
              <w:t>6,568</w:t>
            </w:r>
          </w:p>
        </w:tc>
      </w:tr>
      <w:tr w:rsidR="00F17567" w:rsidRPr="00F63303" w14:paraId="2C180607" w14:textId="77777777" w:rsidTr="00F63303">
        <w:trPr>
          <w:trHeight w:val="288"/>
        </w:trPr>
        <w:tc>
          <w:tcPr>
            <w:tcW w:w="2500" w:type="pct"/>
            <w:noWrap/>
            <w:hideMark/>
          </w:tcPr>
          <w:p w14:paraId="7560467F" w14:textId="77FFD795" w:rsidR="00F17567" w:rsidRPr="005F1725" w:rsidRDefault="00F17567" w:rsidP="00F17567">
            <w:pPr>
              <w:pStyle w:val="TableBody"/>
            </w:pPr>
            <w:r w:rsidRPr="00682296">
              <w:t>2023</w:t>
            </w:r>
          </w:p>
        </w:tc>
        <w:tc>
          <w:tcPr>
            <w:tcW w:w="2500" w:type="pct"/>
            <w:noWrap/>
            <w:hideMark/>
          </w:tcPr>
          <w:p w14:paraId="097D6F00" w14:textId="77777777" w:rsidR="00F17567" w:rsidRPr="00D34F42" w:rsidRDefault="00F17567" w:rsidP="00F17567">
            <w:pPr>
              <w:pStyle w:val="TableBody"/>
            </w:pPr>
            <w:r w:rsidRPr="00D34F42">
              <w:t>6,440</w:t>
            </w:r>
          </w:p>
        </w:tc>
      </w:tr>
      <w:tr w:rsidR="00F17567" w:rsidRPr="00F63303" w14:paraId="310961CC" w14:textId="77777777" w:rsidTr="00F63303">
        <w:trPr>
          <w:trHeight w:val="288"/>
        </w:trPr>
        <w:tc>
          <w:tcPr>
            <w:tcW w:w="2500" w:type="pct"/>
            <w:noWrap/>
            <w:hideMark/>
          </w:tcPr>
          <w:p w14:paraId="03566880" w14:textId="3691F22E" w:rsidR="00F17567" w:rsidRPr="005F1725" w:rsidRDefault="00F17567" w:rsidP="00F17567">
            <w:pPr>
              <w:pStyle w:val="TableBody"/>
            </w:pPr>
            <w:r w:rsidRPr="00682296">
              <w:t>2024</w:t>
            </w:r>
          </w:p>
        </w:tc>
        <w:tc>
          <w:tcPr>
            <w:tcW w:w="2500" w:type="pct"/>
            <w:noWrap/>
            <w:hideMark/>
          </w:tcPr>
          <w:p w14:paraId="24F39E37" w14:textId="77777777" w:rsidR="00F17567" w:rsidRPr="00D34F42" w:rsidRDefault="00F17567" w:rsidP="00F17567">
            <w:pPr>
              <w:pStyle w:val="TableBody"/>
            </w:pPr>
            <w:r w:rsidRPr="00D34F42">
              <w:t>5,915</w:t>
            </w:r>
          </w:p>
        </w:tc>
      </w:tr>
    </w:tbl>
    <w:p w14:paraId="1952CD54" w14:textId="77777777" w:rsidR="00A4454A" w:rsidRPr="008C1137" w:rsidRDefault="00A4454A" w:rsidP="00D4532A">
      <w:r w:rsidRPr="000C258A">
        <w:rPr>
          <w:rStyle w:val="Strong"/>
        </w:rPr>
        <w:t>Source</w:t>
      </w:r>
      <w:r w:rsidRPr="008C1137">
        <w:t>: Corrections Victoria,</w:t>
      </w:r>
      <w:r w:rsidRPr="008C1137">
        <w:rPr>
          <w:rStyle w:val="Italic"/>
        </w:rPr>
        <w:t xml:space="preserve"> Monthly Time Series Prison and Community Corrections Data </w:t>
      </w:r>
      <w:r w:rsidRPr="008C1137">
        <w:t>(corrections.vic.gov.au, 2024) Table 1</w:t>
      </w:r>
    </w:p>
    <w:p w14:paraId="189BBE33" w14:textId="77777777" w:rsidR="00A4454A" w:rsidRPr="008C1137" w:rsidRDefault="00A4454A" w:rsidP="0002476E">
      <w:pPr>
        <w:pStyle w:val="Heading2"/>
      </w:pPr>
      <w:r w:rsidRPr="008C1137">
        <w:lastRenderedPageBreak/>
        <w:t>Comparing Victoria’s prison population to prison populations in other Australian jurisdictions</w:t>
      </w:r>
    </w:p>
    <w:p w14:paraId="29DC6439" w14:textId="2DCC074C" w:rsidR="00A4454A" w:rsidRPr="008C1137" w:rsidRDefault="00A4454A" w:rsidP="00210207">
      <w:pPr>
        <w:pStyle w:val="Numbered"/>
      </w:pPr>
      <w:r w:rsidRPr="008C1137">
        <w:t>The rapid growth in the prison population to 30 June 2019 is not unique to Victoria – almost all other Australian states and territories saw drastic increases in their prison populations during this period (Figure 38). However, while the prison population continued to decline steadily in Victoria after the COVID-19 pandemic had abated, this was not the case elsewhere in Australia. All other Australian jurisdictions (except the Australian Capital Territory) either returned to or exceeded pre-pandemic levels in their respective prison populations. Post COVID-19, Victoria’s prison population exhibited a trend that was not seen elsewhere in Australia.</w:t>
      </w:r>
    </w:p>
    <w:p w14:paraId="06FDB34E" w14:textId="77777777" w:rsidR="00A4454A" w:rsidRPr="008C1137" w:rsidRDefault="00A4454A" w:rsidP="00210207">
      <w:pPr>
        <w:pStyle w:val="Numbered"/>
      </w:pPr>
      <w:r w:rsidRPr="008C1137">
        <w:t>For example, New South Wales and Queensland, which have the two largest prison populations in Australia, both experienced a decrease in their prison populations with the onset of the COVID-19 pandemic (albeit smaller reductions than in Victoria), declining by 5% and 1% respectively. However, over the subsequent 4 years, both states’ prison populations resumed an upward trajectory; from 30 June 2020 to 30 June 2024, the prison populations in New South Wales and Queensland increased by 2% and 26% respectively.</w:t>
      </w:r>
    </w:p>
    <w:p w14:paraId="4DD46D95" w14:textId="667EF28B" w:rsidR="00A4454A" w:rsidRPr="008C1137" w:rsidRDefault="00A4454A" w:rsidP="00210207">
      <w:pPr>
        <w:pStyle w:val="Numbered"/>
      </w:pPr>
      <w:r w:rsidRPr="008C1137">
        <w:t>Given the population of each state and territory varies, Figure 40</w:t>
      </w:r>
      <w:r w:rsidR="009E33A5">
        <w:t xml:space="preserve"> </w:t>
      </w:r>
      <w:r w:rsidRPr="008C1137">
        <w:t xml:space="preserve">shows the imprisonment rate (prisoners per 100,000 population) for the respective states and territories on 30 June each year. The Northern Territory is presented separately (Figure 39) due to scale. </w:t>
      </w:r>
    </w:p>
    <w:p w14:paraId="697CDA72" w14:textId="77777777" w:rsidR="00A4454A" w:rsidRPr="008C1137" w:rsidRDefault="00A4454A" w:rsidP="00210207">
      <w:pPr>
        <w:pStyle w:val="Numbered"/>
      </w:pPr>
      <w:r w:rsidRPr="008C1137">
        <w:t xml:space="preserve">Figures 39 and 40 show that, despite the differences in population size across Australia, there was a sustained trend of fewer prisoners in custody in Victoria post COVID-19, making Victoria an outlier (the Australian Capital Territory saw a similar, sustained </w:t>
      </w:r>
      <w:r w:rsidRPr="008C1137">
        <w:lastRenderedPageBreak/>
        <w:t>decline in imprisonment rates from the onset of COVID-19, though imprisonment rates increased in the 12 months to 30 June 2024).</w:t>
      </w:r>
    </w:p>
    <w:p w14:paraId="75D54823" w14:textId="77777777" w:rsidR="00A4454A" w:rsidRPr="008C1137" w:rsidRDefault="00A4454A" w:rsidP="00210207">
      <w:pPr>
        <w:pStyle w:val="Numbered"/>
      </w:pPr>
      <w:r w:rsidRPr="008C1137">
        <w:t>As of 30 June 2024, Victoria had the lowest imprisonment rate of any Australian state or territory for the first time since 30 June 2016, and before that since 30 June 2005.</w:t>
      </w:r>
    </w:p>
    <w:p w14:paraId="123D692B" w14:textId="77777777" w:rsidR="00A4454A" w:rsidRPr="008C1137" w:rsidRDefault="00A4454A" w:rsidP="00BE4EDC">
      <w:pPr>
        <w:pStyle w:val="Caption"/>
      </w:pPr>
      <w:r w:rsidRPr="00157502">
        <w:t>Figure 38</w:t>
      </w:r>
      <w:r w:rsidRPr="008C1137">
        <w:t>: Prison populations in Australian states and territories on 30 June, 2005 to 2024</w:t>
      </w:r>
    </w:p>
    <w:tbl>
      <w:tblPr>
        <w:tblStyle w:val="Table"/>
        <w:tblW w:w="5000" w:type="pct"/>
        <w:tblLayout w:type="fixed"/>
        <w:tblLook w:val="04A0" w:firstRow="1" w:lastRow="0" w:firstColumn="1" w:lastColumn="0" w:noHBand="0" w:noVBand="1"/>
      </w:tblPr>
      <w:tblGrid>
        <w:gridCol w:w="1000"/>
        <w:gridCol w:w="1002"/>
        <w:gridCol w:w="1002"/>
        <w:gridCol w:w="1003"/>
        <w:gridCol w:w="1001"/>
        <w:gridCol w:w="1003"/>
        <w:gridCol w:w="1003"/>
        <w:gridCol w:w="1003"/>
        <w:gridCol w:w="999"/>
      </w:tblGrid>
      <w:tr w:rsidR="00222B1A" w:rsidRPr="00682296" w14:paraId="1BFF7A89" w14:textId="77777777" w:rsidTr="009E5B59">
        <w:trPr>
          <w:trHeight w:val="288"/>
          <w:tblHeader/>
        </w:trPr>
        <w:tc>
          <w:tcPr>
            <w:tcW w:w="555" w:type="pct"/>
            <w:noWrap/>
            <w:hideMark/>
          </w:tcPr>
          <w:p w14:paraId="6DB1B824" w14:textId="77777777" w:rsidR="00222B1A" w:rsidRPr="00682296" w:rsidRDefault="00222B1A" w:rsidP="00682296">
            <w:pPr>
              <w:pStyle w:val="TableHeading"/>
            </w:pPr>
            <w:r w:rsidRPr="00682296">
              <w:t>Year (as at 30 June)</w:t>
            </w:r>
          </w:p>
        </w:tc>
        <w:tc>
          <w:tcPr>
            <w:tcW w:w="556" w:type="pct"/>
            <w:noWrap/>
            <w:hideMark/>
          </w:tcPr>
          <w:p w14:paraId="55F22BE5" w14:textId="77777777" w:rsidR="00222B1A" w:rsidRPr="00682296" w:rsidRDefault="00222B1A" w:rsidP="00682296">
            <w:pPr>
              <w:pStyle w:val="TableHeading"/>
            </w:pPr>
            <w:r w:rsidRPr="00682296">
              <w:t>NSW</w:t>
            </w:r>
          </w:p>
        </w:tc>
        <w:tc>
          <w:tcPr>
            <w:tcW w:w="556" w:type="pct"/>
            <w:noWrap/>
            <w:hideMark/>
          </w:tcPr>
          <w:p w14:paraId="468AE2E8" w14:textId="77777777" w:rsidR="00222B1A" w:rsidRPr="00682296" w:rsidRDefault="00222B1A" w:rsidP="00682296">
            <w:pPr>
              <w:pStyle w:val="TableHeading"/>
            </w:pPr>
            <w:r w:rsidRPr="00682296">
              <w:t>QLD</w:t>
            </w:r>
          </w:p>
        </w:tc>
        <w:tc>
          <w:tcPr>
            <w:tcW w:w="556" w:type="pct"/>
            <w:noWrap/>
            <w:hideMark/>
          </w:tcPr>
          <w:p w14:paraId="592FBBA4" w14:textId="77777777" w:rsidR="00222B1A" w:rsidRPr="00682296" w:rsidRDefault="00222B1A" w:rsidP="00682296">
            <w:pPr>
              <w:pStyle w:val="TableHeading"/>
            </w:pPr>
            <w:r w:rsidRPr="00682296">
              <w:t>WA</w:t>
            </w:r>
          </w:p>
        </w:tc>
        <w:tc>
          <w:tcPr>
            <w:tcW w:w="555" w:type="pct"/>
            <w:noWrap/>
            <w:hideMark/>
          </w:tcPr>
          <w:p w14:paraId="173E68DC" w14:textId="77777777" w:rsidR="00222B1A" w:rsidRPr="00682296" w:rsidRDefault="00222B1A" w:rsidP="00682296">
            <w:pPr>
              <w:pStyle w:val="TableHeading"/>
            </w:pPr>
            <w:r w:rsidRPr="00682296">
              <w:t>VIC</w:t>
            </w:r>
          </w:p>
        </w:tc>
        <w:tc>
          <w:tcPr>
            <w:tcW w:w="556" w:type="pct"/>
            <w:noWrap/>
            <w:hideMark/>
          </w:tcPr>
          <w:p w14:paraId="50497113" w14:textId="77777777" w:rsidR="00222B1A" w:rsidRPr="00682296" w:rsidRDefault="00222B1A" w:rsidP="00682296">
            <w:pPr>
              <w:pStyle w:val="TableHeading"/>
            </w:pPr>
            <w:r w:rsidRPr="00682296">
              <w:t>SA</w:t>
            </w:r>
          </w:p>
        </w:tc>
        <w:tc>
          <w:tcPr>
            <w:tcW w:w="556" w:type="pct"/>
            <w:noWrap/>
            <w:hideMark/>
          </w:tcPr>
          <w:p w14:paraId="2C83C5BD" w14:textId="77777777" w:rsidR="00222B1A" w:rsidRPr="00682296" w:rsidRDefault="00222B1A" w:rsidP="00682296">
            <w:pPr>
              <w:pStyle w:val="TableHeading"/>
            </w:pPr>
            <w:r w:rsidRPr="00682296">
              <w:t>NT</w:t>
            </w:r>
          </w:p>
        </w:tc>
        <w:tc>
          <w:tcPr>
            <w:tcW w:w="556" w:type="pct"/>
            <w:noWrap/>
            <w:hideMark/>
          </w:tcPr>
          <w:p w14:paraId="5645A359" w14:textId="77777777" w:rsidR="00222B1A" w:rsidRPr="00682296" w:rsidRDefault="00222B1A" w:rsidP="00682296">
            <w:pPr>
              <w:pStyle w:val="TableHeading"/>
            </w:pPr>
            <w:r w:rsidRPr="00682296">
              <w:t>TAS</w:t>
            </w:r>
          </w:p>
        </w:tc>
        <w:tc>
          <w:tcPr>
            <w:tcW w:w="556" w:type="pct"/>
            <w:noWrap/>
            <w:hideMark/>
          </w:tcPr>
          <w:p w14:paraId="4898764E" w14:textId="77777777" w:rsidR="00222B1A" w:rsidRPr="00682296" w:rsidRDefault="00222B1A" w:rsidP="00682296">
            <w:pPr>
              <w:pStyle w:val="TableHeading"/>
            </w:pPr>
            <w:r w:rsidRPr="00682296">
              <w:t>ACT</w:t>
            </w:r>
          </w:p>
        </w:tc>
      </w:tr>
      <w:tr w:rsidR="00222B1A" w:rsidRPr="00222B1A" w14:paraId="58C4C22B" w14:textId="77777777" w:rsidTr="009E5B59">
        <w:trPr>
          <w:trHeight w:val="288"/>
        </w:trPr>
        <w:tc>
          <w:tcPr>
            <w:tcW w:w="555" w:type="pct"/>
            <w:noWrap/>
            <w:hideMark/>
          </w:tcPr>
          <w:p w14:paraId="330C9856" w14:textId="77777777" w:rsidR="00222B1A" w:rsidRPr="00682296" w:rsidRDefault="00222B1A" w:rsidP="00682296">
            <w:pPr>
              <w:pStyle w:val="TableBody"/>
            </w:pPr>
            <w:r w:rsidRPr="00682296">
              <w:t>2005</w:t>
            </w:r>
          </w:p>
        </w:tc>
        <w:tc>
          <w:tcPr>
            <w:tcW w:w="556" w:type="pct"/>
            <w:noWrap/>
            <w:hideMark/>
          </w:tcPr>
          <w:p w14:paraId="053CE86C" w14:textId="77777777" w:rsidR="00222B1A" w:rsidRPr="00F678CE" w:rsidRDefault="00222B1A" w:rsidP="00F678CE">
            <w:pPr>
              <w:pStyle w:val="TableBody"/>
            </w:pPr>
            <w:r w:rsidRPr="00F678CE">
              <w:t>9,819</w:t>
            </w:r>
          </w:p>
        </w:tc>
        <w:tc>
          <w:tcPr>
            <w:tcW w:w="556" w:type="pct"/>
            <w:noWrap/>
            <w:hideMark/>
          </w:tcPr>
          <w:p w14:paraId="0CAD2E29" w14:textId="77777777" w:rsidR="00222B1A" w:rsidRPr="00F678CE" w:rsidRDefault="00222B1A" w:rsidP="00F678CE">
            <w:pPr>
              <w:pStyle w:val="TableBody"/>
            </w:pPr>
            <w:r w:rsidRPr="00F678CE">
              <w:t>5,354</w:t>
            </w:r>
          </w:p>
        </w:tc>
        <w:tc>
          <w:tcPr>
            <w:tcW w:w="556" w:type="pct"/>
            <w:noWrap/>
            <w:hideMark/>
          </w:tcPr>
          <w:p w14:paraId="6AD093D6" w14:textId="77777777" w:rsidR="00222B1A" w:rsidRPr="00F678CE" w:rsidRDefault="00222B1A" w:rsidP="00F678CE">
            <w:pPr>
              <w:pStyle w:val="TableBody"/>
            </w:pPr>
            <w:r w:rsidRPr="00F678CE">
              <w:t>3,482</w:t>
            </w:r>
          </w:p>
        </w:tc>
        <w:tc>
          <w:tcPr>
            <w:tcW w:w="555" w:type="pct"/>
            <w:noWrap/>
            <w:hideMark/>
          </w:tcPr>
          <w:p w14:paraId="5EC47ABE" w14:textId="77777777" w:rsidR="00222B1A" w:rsidRPr="00F678CE" w:rsidRDefault="00222B1A" w:rsidP="00F678CE">
            <w:pPr>
              <w:pStyle w:val="TableBody"/>
            </w:pPr>
            <w:r w:rsidRPr="00F678CE">
              <w:t>3,692</w:t>
            </w:r>
          </w:p>
        </w:tc>
        <w:tc>
          <w:tcPr>
            <w:tcW w:w="556" w:type="pct"/>
            <w:noWrap/>
            <w:hideMark/>
          </w:tcPr>
          <w:p w14:paraId="32A5AA8F" w14:textId="77777777" w:rsidR="00222B1A" w:rsidRPr="00F678CE" w:rsidRDefault="00222B1A" w:rsidP="00F678CE">
            <w:pPr>
              <w:pStyle w:val="TableBody"/>
            </w:pPr>
            <w:r w:rsidRPr="00F678CE">
              <w:t>1,473</w:t>
            </w:r>
          </w:p>
        </w:tc>
        <w:tc>
          <w:tcPr>
            <w:tcW w:w="556" w:type="pct"/>
            <w:noWrap/>
            <w:hideMark/>
          </w:tcPr>
          <w:p w14:paraId="188CFA22" w14:textId="77777777" w:rsidR="00222B1A" w:rsidRPr="00F678CE" w:rsidRDefault="00222B1A" w:rsidP="00F678CE">
            <w:pPr>
              <w:pStyle w:val="TableBody"/>
            </w:pPr>
            <w:r w:rsidRPr="00F678CE">
              <w:t>820</w:t>
            </w:r>
          </w:p>
        </w:tc>
        <w:tc>
          <w:tcPr>
            <w:tcW w:w="556" w:type="pct"/>
            <w:noWrap/>
            <w:hideMark/>
          </w:tcPr>
          <w:p w14:paraId="73649715" w14:textId="77777777" w:rsidR="00222B1A" w:rsidRPr="00F678CE" w:rsidRDefault="00222B1A" w:rsidP="00F678CE">
            <w:pPr>
              <w:pStyle w:val="TableBody"/>
            </w:pPr>
            <w:r w:rsidRPr="00F678CE">
              <w:t>551</w:t>
            </w:r>
          </w:p>
        </w:tc>
        <w:tc>
          <w:tcPr>
            <w:tcW w:w="556" w:type="pct"/>
            <w:noWrap/>
            <w:hideMark/>
          </w:tcPr>
          <w:p w14:paraId="7504EB53" w14:textId="77777777" w:rsidR="00222B1A" w:rsidRPr="00F678CE" w:rsidRDefault="00222B1A" w:rsidP="00F678CE">
            <w:pPr>
              <w:pStyle w:val="TableBody"/>
            </w:pPr>
            <w:r w:rsidRPr="00F678CE">
              <w:t>275</w:t>
            </w:r>
          </w:p>
        </w:tc>
      </w:tr>
      <w:tr w:rsidR="00222B1A" w:rsidRPr="00222B1A" w14:paraId="5E67DD60" w14:textId="77777777" w:rsidTr="009E5B59">
        <w:trPr>
          <w:trHeight w:val="288"/>
        </w:trPr>
        <w:tc>
          <w:tcPr>
            <w:tcW w:w="555" w:type="pct"/>
            <w:noWrap/>
            <w:hideMark/>
          </w:tcPr>
          <w:p w14:paraId="0F59BE92" w14:textId="77777777" w:rsidR="00222B1A" w:rsidRPr="00682296" w:rsidRDefault="00222B1A" w:rsidP="00682296">
            <w:pPr>
              <w:pStyle w:val="TableBody"/>
            </w:pPr>
            <w:r w:rsidRPr="00682296">
              <w:t>2006</w:t>
            </w:r>
          </w:p>
        </w:tc>
        <w:tc>
          <w:tcPr>
            <w:tcW w:w="556" w:type="pct"/>
            <w:noWrap/>
            <w:hideMark/>
          </w:tcPr>
          <w:p w14:paraId="00F09D71" w14:textId="77777777" w:rsidR="00222B1A" w:rsidRPr="00F678CE" w:rsidRDefault="00222B1A" w:rsidP="00F678CE">
            <w:pPr>
              <w:pStyle w:val="TableBody"/>
            </w:pPr>
            <w:r w:rsidRPr="00F678CE">
              <w:t>9,822</w:t>
            </w:r>
          </w:p>
        </w:tc>
        <w:tc>
          <w:tcPr>
            <w:tcW w:w="556" w:type="pct"/>
            <w:noWrap/>
            <w:hideMark/>
          </w:tcPr>
          <w:p w14:paraId="29D4A695" w14:textId="77777777" w:rsidR="00222B1A" w:rsidRPr="00F678CE" w:rsidRDefault="00222B1A" w:rsidP="00F678CE">
            <w:pPr>
              <w:pStyle w:val="TableBody"/>
            </w:pPr>
            <w:r w:rsidRPr="00F678CE">
              <w:t>5,562</w:t>
            </w:r>
          </w:p>
        </w:tc>
        <w:tc>
          <w:tcPr>
            <w:tcW w:w="556" w:type="pct"/>
            <w:noWrap/>
            <w:hideMark/>
          </w:tcPr>
          <w:p w14:paraId="5E077440" w14:textId="77777777" w:rsidR="00222B1A" w:rsidRPr="00F678CE" w:rsidRDefault="00222B1A" w:rsidP="00F678CE">
            <w:pPr>
              <w:pStyle w:val="TableBody"/>
            </w:pPr>
            <w:r w:rsidRPr="00F678CE">
              <w:t>3,526</w:t>
            </w:r>
          </w:p>
        </w:tc>
        <w:tc>
          <w:tcPr>
            <w:tcW w:w="555" w:type="pct"/>
            <w:noWrap/>
            <w:hideMark/>
          </w:tcPr>
          <w:p w14:paraId="5F03A396" w14:textId="77777777" w:rsidR="00222B1A" w:rsidRPr="00F678CE" w:rsidRDefault="00222B1A" w:rsidP="00F678CE">
            <w:pPr>
              <w:pStyle w:val="TableBody"/>
            </w:pPr>
            <w:r w:rsidRPr="00F678CE">
              <w:t>3,905</w:t>
            </w:r>
          </w:p>
        </w:tc>
        <w:tc>
          <w:tcPr>
            <w:tcW w:w="556" w:type="pct"/>
            <w:noWrap/>
            <w:hideMark/>
          </w:tcPr>
          <w:p w14:paraId="29A79C0B" w14:textId="77777777" w:rsidR="00222B1A" w:rsidRPr="00F678CE" w:rsidRDefault="00222B1A" w:rsidP="00F678CE">
            <w:pPr>
              <w:pStyle w:val="TableBody"/>
            </w:pPr>
            <w:r w:rsidRPr="00F678CE">
              <w:t>1,567</w:t>
            </w:r>
          </w:p>
        </w:tc>
        <w:tc>
          <w:tcPr>
            <w:tcW w:w="556" w:type="pct"/>
            <w:noWrap/>
            <w:hideMark/>
          </w:tcPr>
          <w:p w14:paraId="1E1A10B7" w14:textId="77777777" w:rsidR="00222B1A" w:rsidRPr="00F678CE" w:rsidRDefault="00222B1A" w:rsidP="00F678CE">
            <w:pPr>
              <w:pStyle w:val="TableBody"/>
            </w:pPr>
            <w:r w:rsidRPr="00F678CE">
              <w:t>792</w:t>
            </w:r>
          </w:p>
        </w:tc>
        <w:tc>
          <w:tcPr>
            <w:tcW w:w="556" w:type="pct"/>
            <w:noWrap/>
            <w:hideMark/>
          </w:tcPr>
          <w:p w14:paraId="68FFF13A" w14:textId="77777777" w:rsidR="00222B1A" w:rsidRPr="00F678CE" w:rsidRDefault="00222B1A" w:rsidP="00F678CE">
            <w:pPr>
              <w:pStyle w:val="TableBody"/>
            </w:pPr>
            <w:r w:rsidRPr="00F678CE">
              <w:t>512</w:t>
            </w:r>
          </w:p>
        </w:tc>
        <w:tc>
          <w:tcPr>
            <w:tcW w:w="556" w:type="pct"/>
            <w:noWrap/>
            <w:hideMark/>
          </w:tcPr>
          <w:p w14:paraId="3DD6397A" w14:textId="77777777" w:rsidR="00222B1A" w:rsidRPr="00F678CE" w:rsidRDefault="00222B1A" w:rsidP="00F678CE">
            <w:pPr>
              <w:pStyle w:val="TableBody"/>
            </w:pPr>
            <w:r w:rsidRPr="00F678CE">
              <w:t>218</w:t>
            </w:r>
          </w:p>
        </w:tc>
      </w:tr>
      <w:tr w:rsidR="00222B1A" w:rsidRPr="00222B1A" w14:paraId="72152887" w14:textId="77777777" w:rsidTr="009E5B59">
        <w:trPr>
          <w:trHeight w:val="288"/>
        </w:trPr>
        <w:tc>
          <w:tcPr>
            <w:tcW w:w="555" w:type="pct"/>
            <w:noWrap/>
            <w:hideMark/>
          </w:tcPr>
          <w:p w14:paraId="51A4A6D5" w14:textId="77777777" w:rsidR="00222B1A" w:rsidRPr="00682296" w:rsidRDefault="00222B1A" w:rsidP="00682296">
            <w:pPr>
              <w:pStyle w:val="TableBody"/>
            </w:pPr>
            <w:r w:rsidRPr="00682296">
              <w:t>2007</w:t>
            </w:r>
          </w:p>
        </w:tc>
        <w:tc>
          <w:tcPr>
            <w:tcW w:w="556" w:type="pct"/>
            <w:noWrap/>
            <w:hideMark/>
          </w:tcPr>
          <w:p w14:paraId="34A115FE" w14:textId="77777777" w:rsidR="00222B1A" w:rsidRPr="00F678CE" w:rsidRDefault="00222B1A" w:rsidP="00F678CE">
            <w:pPr>
              <w:pStyle w:val="TableBody"/>
            </w:pPr>
            <w:r w:rsidRPr="00F678CE">
              <w:t>10,285</w:t>
            </w:r>
          </w:p>
        </w:tc>
        <w:tc>
          <w:tcPr>
            <w:tcW w:w="556" w:type="pct"/>
            <w:noWrap/>
            <w:hideMark/>
          </w:tcPr>
          <w:p w14:paraId="22D5783C" w14:textId="77777777" w:rsidR="00222B1A" w:rsidRPr="00F678CE" w:rsidRDefault="00222B1A" w:rsidP="00F678CE">
            <w:pPr>
              <w:pStyle w:val="TableBody"/>
            </w:pPr>
            <w:r w:rsidRPr="00F678CE">
              <w:t>5,567</w:t>
            </w:r>
          </w:p>
        </w:tc>
        <w:tc>
          <w:tcPr>
            <w:tcW w:w="556" w:type="pct"/>
            <w:noWrap/>
            <w:hideMark/>
          </w:tcPr>
          <w:p w14:paraId="727249CB" w14:textId="77777777" w:rsidR="00222B1A" w:rsidRPr="00F678CE" w:rsidRDefault="00222B1A" w:rsidP="00F678CE">
            <w:pPr>
              <w:pStyle w:val="TableBody"/>
            </w:pPr>
            <w:r w:rsidRPr="00F678CE">
              <w:t>3,847</w:t>
            </w:r>
          </w:p>
        </w:tc>
        <w:tc>
          <w:tcPr>
            <w:tcW w:w="555" w:type="pct"/>
            <w:noWrap/>
            <w:hideMark/>
          </w:tcPr>
          <w:p w14:paraId="2585F333" w14:textId="77777777" w:rsidR="00222B1A" w:rsidRPr="00F678CE" w:rsidRDefault="00222B1A" w:rsidP="00F678CE">
            <w:pPr>
              <w:pStyle w:val="TableBody"/>
            </w:pPr>
            <w:r w:rsidRPr="00F678CE">
              <w:t>4,183</w:t>
            </w:r>
          </w:p>
        </w:tc>
        <w:tc>
          <w:tcPr>
            <w:tcW w:w="556" w:type="pct"/>
            <w:noWrap/>
            <w:hideMark/>
          </w:tcPr>
          <w:p w14:paraId="1ECFA826" w14:textId="77777777" w:rsidR="00222B1A" w:rsidRPr="00F678CE" w:rsidRDefault="00222B1A" w:rsidP="00F678CE">
            <w:pPr>
              <w:pStyle w:val="TableBody"/>
            </w:pPr>
            <w:r w:rsidRPr="00F678CE">
              <w:t>1,771</w:t>
            </w:r>
          </w:p>
        </w:tc>
        <w:tc>
          <w:tcPr>
            <w:tcW w:w="556" w:type="pct"/>
            <w:noWrap/>
            <w:hideMark/>
          </w:tcPr>
          <w:p w14:paraId="1F726B42" w14:textId="77777777" w:rsidR="00222B1A" w:rsidRPr="00F678CE" w:rsidRDefault="00222B1A" w:rsidP="00F678CE">
            <w:pPr>
              <w:pStyle w:val="TableBody"/>
            </w:pPr>
            <w:r w:rsidRPr="00F678CE">
              <w:t>906</w:t>
            </w:r>
          </w:p>
        </w:tc>
        <w:tc>
          <w:tcPr>
            <w:tcW w:w="556" w:type="pct"/>
            <w:noWrap/>
            <w:hideMark/>
          </w:tcPr>
          <w:p w14:paraId="03899853" w14:textId="77777777" w:rsidR="00222B1A" w:rsidRPr="00F678CE" w:rsidRDefault="00222B1A" w:rsidP="00F678CE">
            <w:pPr>
              <w:pStyle w:val="TableBody"/>
            </w:pPr>
            <w:r w:rsidRPr="00F678CE">
              <w:t>528</w:t>
            </w:r>
          </w:p>
        </w:tc>
        <w:tc>
          <w:tcPr>
            <w:tcW w:w="556" w:type="pct"/>
            <w:noWrap/>
            <w:hideMark/>
          </w:tcPr>
          <w:p w14:paraId="50A5575B" w14:textId="77777777" w:rsidR="00222B1A" w:rsidRPr="00F678CE" w:rsidRDefault="00222B1A" w:rsidP="00F678CE">
            <w:pPr>
              <w:pStyle w:val="TableBody"/>
            </w:pPr>
            <w:r w:rsidRPr="00F678CE">
              <w:t>237</w:t>
            </w:r>
          </w:p>
        </w:tc>
      </w:tr>
      <w:tr w:rsidR="00222B1A" w:rsidRPr="00222B1A" w14:paraId="497BC895" w14:textId="77777777" w:rsidTr="009E5B59">
        <w:trPr>
          <w:trHeight w:val="288"/>
        </w:trPr>
        <w:tc>
          <w:tcPr>
            <w:tcW w:w="555" w:type="pct"/>
            <w:noWrap/>
            <w:hideMark/>
          </w:tcPr>
          <w:p w14:paraId="30C0C784" w14:textId="77777777" w:rsidR="00222B1A" w:rsidRPr="00682296" w:rsidRDefault="00222B1A" w:rsidP="00682296">
            <w:pPr>
              <w:pStyle w:val="TableBody"/>
            </w:pPr>
            <w:r w:rsidRPr="00682296">
              <w:t>2008</w:t>
            </w:r>
          </w:p>
        </w:tc>
        <w:tc>
          <w:tcPr>
            <w:tcW w:w="556" w:type="pct"/>
            <w:noWrap/>
            <w:hideMark/>
          </w:tcPr>
          <w:p w14:paraId="6EB2F22F" w14:textId="77777777" w:rsidR="00222B1A" w:rsidRPr="00F678CE" w:rsidRDefault="00222B1A" w:rsidP="00F678CE">
            <w:pPr>
              <w:pStyle w:val="TableBody"/>
            </w:pPr>
            <w:r w:rsidRPr="00F678CE">
              <w:t>10,510</w:t>
            </w:r>
          </w:p>
        </w:tc>
        <w:tc>
          <w:tcPr>
            <w:tcW w:w="556" w:type="pct"/>
            <w:noWrap/>
            <w:hideMark/>
          </w:tcPr>
          <w:p w14:paraId="6201F01B" w14:textId="77777777" w:rsidR="00222B1A" w:rsidRPr="00F678CE" w:rsidRDefault="00222B1A" w:rsidP="00F678CE">
            <w:pPr>
              <w:pStyle w:val="TableBody"/>
            </w:pPr>
            <w:r w:rsidRPr="00F678CE">
              <w:t>5,544</w:t>
            </w:r>
          </w:p>
        </w:tc>
        <w:tc>
          <w:tcPr>
            <w:tcW w:w="556" w:type="pct"/>
            <w:noWrap/>
            <w:hideMark/>
          </w:tcPr>
          <w:p w14:paraId="7F651F89" w14:textId="77777777" w:rsidR="00222B1A" w:rsidRPr="00F678CE" w:rsidRDefault="00222B1A" w:rsidP="00F678CE">
            <w:pPr>
              <w:pStyle w:val="TableBody"/>
            </w:pPr>
            <w:r w:rsidRPr="00F678CE">
              <w:t>3,766</w:t>
            </w:r>
          </w:p>
        </w:tc>
        <w:tc>
          <w:tcPr>
            <w:tcW w:w="555" w:type="pct"/>
            <w:noWrap/>
            <w:hideMark/>
          </w:tcPr>
          <w:p w14:paraId="6577C1E7" w14:textId="77777777" w:rsidR="00222B1A" w:rsidRPr="00F678CE" w:rsidRDefault="00222B1A" w:rsidP="00F678CE">
            <w:pPr>
              <w:pStyle w:val="TableBody"/>
            </w:pPr>
            <w:r w:rsidRPr="00F678CE">
              <w:t>4,223</w:t>
            </w:r>
          </w:p>
        </w:tc>
        <w:tc>
          <w:tcPr>
            <w:tcW w:w="556" w:type="pct"/>
            <w:noWrap/>
            <w:hideMark/>
          </w:tcPr>
          <w:p w14:paraId="3E56B3ED" w14:textId="77777777" w:rsidR="00222B1A" w:rsidRPr="00F678CE" w:rsidRDefault="00222B1A" w:rsidP="00F678CE">
            <w:pPr>
              <w:pStyle w:val="TableBody"/>
            </w:pPr>
            <w:r w:rsidRPr="00F678CE">
              <w:t>1,942</w:t>
            </w:r>
          </w:p>
        </w:tc>
        <w:tc>
          <w:tcPr>
            <w:tcW w:w="556" w:type="pct"/>
            <w:noWrap/>
            <w:hideMark/>
          </w:tcPr>
          <w:p w14:paraId="1F41725A" w14:textId="77777777" w:rsidR="00222B1A" w:rsidRPr="00F678CE" w:rsidRDefault="00222B1A" w:rsidP="00F678CE">
            <w:pPr>
              <w:pStyle w:val="TableBody"/>
            </w:pPr>
            <w:r w:rsidRPr="00F678CE">
              <w:t>953</w:t>
            </w:r>
          </w:p>
        </w:tc>
        <w:tc>
          <w:tcPr>
            <w:tcW w:w="556" w:type="pct"/>
            <w:noWrap/>
            <w:hideMark/>
          </w:tcPr>
          <w:p w14:paraId="2CCCA5B6" w14:textId="77777777" w:rsidR="00222B1A" w:rsidRPr="00F678CE" w:rsidRDefault="00222B1A" w:rsidP="00F678CE">
            <w:pPr>
              <w:pStyle w:val="TableBody"/>
            </w:pPr>
            <w:r w:rsidRPr="00F678CE">
              <w:t>515</w:t>
            </w:r>
          </w:p>
        </w:tc>
        <w:tc>
          <w:tcPr>
            <w:tcW w:w="556" w:type="pct"/>
            <w:noWrap/>
            <w:hideMark/>
          </w:tcPr>
          <w:p w14:paraId="41FE07BE" w14:textId="77777777" w:rsidR="00222B1A" w:rsidRPr="00F678CE" w:rsidRDefault="00222B1A" w:rsidP="00F678CE">
            <w:pPr>
              <w:pStyle w:val="TableBody"/>
            </w:pPr>
            <w:r w:rsidRPr="00F678CE">
              <w:t>250</w:t>
            </w:r>
          </w:p>
        </w:tc>
      </w:tr>
      <w:tr w:rsidR="00222B1A" w:rsidRPr="00222B1A" w14:paraId="5DD952AD" w14:textId="77777777" w:rsidTr="009E5B59">
        <w:trPr>
          <w:trHeight w:val="288"/>
        </w:trPr>
        <w:tc>
          <w:tcPr>
            <w:tcW w:w="555" w:type="pct"/>
            <w:noWrap/>
            <w:hideMark/>
          </w:tcPr>
          <w:p w14:paraId="2CCADDB0" w14:textId="77777777" w:rsidR="00222B1A" w:rsidRPr="00682296" w:rsidRDefault="00222B1A" w:rsidP="00682296">
            <w:pPr>
              <w:pStyle w:val="TableBody"/>
            </w:pPr>
            <w:r w:rsidRPr="00682296">
              <w:t>2009</w:t>
            </w:r>
          </w:p>
        </w:tc>
        <w:tc>
          <w:tcPr>
            <w:tcW w:w="556" w:type="pct"/>
            <w:noWrap/>
            <w:hideMark/>
          </w:tcPr>
          <w:p w14:paraId="7DA76F71" w14:textId="77777777" w:rsidR="00222B1A" w:rsidRPr="00F678CE" w:rsidRDefault="00222B1A" w:rsidP="00F678CE">
            <w:pPr>
              <w:pStyle w:val="TableBody"/>
            </w:pPr>
            <w:r w:rsidRPr="00F678CE">
              <w:t>11,127</w:t>
            </w:r>
          </w:p>
        </w:tc>
        <w:tc>
          <w:tcPr>
            <w:tcW w:w="556" w:type="pct"/>
            <w:noWrap/>
            <w:hideMark/>
          </w:tcPr>
          <w:p w14:paraId="1B6B3F55" w14:textId="77777777" w:rsidR="00222B1A" w:rsidRPr="00F678CE" w:rsidRDefault="00222B1A" w:rsidP="00F678CE">
            <w:pPr>
              <w:pStyle w:val="TableBody"/>
            </w:pPr>
            <w:r w:rsidRPr="00F678CE">
              <w:t>5,667</w:t>
            </w:r>
          </w:p>
        </w:tc>
        <w:tc>
          <w:tcPr>
            <w:tcW w:w="556" w:type="pct"/>
            <w:noWrap/>
            <w:hideMark/>
          </w:tcPr>
          <w:p w14:paraId="7C696E53" w14:textId="77777777" w:rsidR="00222B1A" w:rsidRPr="00F678CE" w:rsidRDefault="00222B1A" w:rsidP="00F678CE">
            <w:pPr>
              <w:pStyle w:val="TableBody"/>
            </w:pPr>
            <w:r w:rsidRPr="00F678CE">
              <w:t>4,419</w:t>
            </w:r>
          </w:p>
        </w:tc>
        <w:tc>
          <w:tcPr>
            <w:tcW w:w="555" w:type="pct"/>
            <w:noWrap/>
            <w:hideMark/>
          </w:tcPr>
          <w:p w14:paraId="73BA6D2C" w14:textId="77777777" w:rsidR="00222B1A" w:rsidRPr="00F678CE" w:rsidRDefault="00222B1A" w:rsidP="00F678CE">
            <w:pPr>
              <w:pStyle w:val="TableBody"/>
            </w:pPr>
            <w:r w:rsidRPr="00F678CE">
              <w:t>4,350</w:t>
            </w:r>
          </w:p>
        </w:tc>
        <w:tc>
          <w:tcPr>
            <w:tcW w:w="556" w:type="pct"/>
            <w:noWrap/>
            <w:hideMark/>
          </w:tcPr>
          <w:p w14:paraId="51FB171C" w14:textId="77777777" w:rsidR="00222B1A" w:rsidRPr="00F678CE" w:rsidRDefault="00222B1A" w:rsidP="00F678CE">
            <w:pPr>
              <w:pStyle w:val="TableBody"/>
            </w:pPr>
            <w:r w:rsidRPr="00F678CE">
              <w:t>1,960</w:t>
            </w:r>
          </w:p>
        </w:tc>
        <w:tc>
          <w:tcPr>
            <w:tcW w:w="556" w:type="pct"/>
            <w:noWrap/>
            <w:hideMark/>
          </w:tcPr>
          <w:p w14:paraId="28B27D31" w14:textId="77777777" w:rsidR="00222B1A" w:rsidRPr="00F678CE" w:rsidRDefault="00222B1A" w:rsidP="00F678CE">
            <w:pPr>
              <w:pStyle w:val="TableBody"/>
            </w:pPr>
            <w:r w:rsidRPr="00F678CE">
              <w:t>1,056</w:t>
            </w:r>
          </w:p>
        </w:tc>
        <w:tc>
          <w:tcPr>
            <w:tcW w:w="556" w:type="pct"/>
            <w:noWrap/>
            <w:hideMark/>
          </w:tcPr>
          <w:p w14:paraId="6279897B" w14:textId="77777777" w:rsidR="00222B1A" w:rsidRPr="00F678CE" w:rsidRDefault="00222B1A" w:rsidP="00F678CE">
            <w:pPr>
              <w:pStyle w:val="TableBody"/>
            </w:pPr>
            <w:r w:rsidRPr="00F678CE">
              <w:t>535</w:t>
            </w:r>
          </w:p>
        </w:tc>
        <w:tc>
          <w:tcPr>
            <w:tcW w:w="556" w:type="pct"/>
            <w:noWrap/>
            <w:hideMark/>
          </w:tcPr>
          <w:p w14:paraId="6B9C14DD" w14:textId="77777777" w:rsidR="00222B1A" w:rsidRPr="00F678CE" w:rsidRDefault="00222B1A" w:rsidP="00F678CE">
            <w:pPr>
              <w:pStyle w:val="TableBody"/>
            </w:pPr>
            <w:r w:rsidRPr="00F678CE">
              <w:t>203</w:t>
            </w:r>
          </w:p>
        </w:tc>
      </w:tr>
      <w:tr w:rsidR="00222B1A" w:rsidRPr="00222B1A" w14:paraId="4F4E54A8" w14:textId="77777777" w:rsidTr="009E5B59">
        <w:trPr>
          <w:trHeight w:val="288"/>
        </w:trPr>
        <w:tc>
          <w:tcPr>
            <w:tcW w:w="555" w:type="pct"/>
            <w:noWrap/>
            <w:hideMark/>
          </w:tcPr>
          <w:p w14:paraId="7545A25E" w14:textId="77777777" w:rsidR="00222B1A" w:rsidRPr="00682296" w:rsidRDefault="00222B1A" w:rsidP="00682296">
            <w:pPr>
              <w:pStyle w:val="TableBody"/>
            </w:pPr>
            <w:r w:rsidRPr="00682296">
              <w:t>2010</w:t>
            </w:r>
          </w:p>
        </w:tc>
        <w:tc>
          <w:tcPr>
            <w:tcW w:w="556" w:type="pct"/>
            <w:noWrap/>
            <w:hideMark/>
          </w:tcPr>
          <w:p w14:paraId="0B72E318" w14:textId="77777777" w:rsidR="00222B1A" w:rsidRPr="00F678CE" w:rsidRDefault="00222B1A" w:rsidP="00F678CE">
            <w:pPr>
              <w:pStyle w:val="TableBody"/>
            </w:pPr>
            <w:r w:rsidRPr="00F678CE">
              <w:t>10,947</w:t>
            </w:r>
          </w:p>
        </w:tc>
        <w:tc>
          <w:tcPr>
            <w:tcW w:w="556" w:type="pct"/>
            <w:noWrap/>
            <w:hideMark/>
          </w:tcPr>
          <w:p w14:paraId="517EB568" w14:textId="77777777" w:rsidR="00222B1A" w:rsidRPr="00F678CE" w:rsidRDefault="00222B1A" w:rsidP="00F678CE">
            <w:pPr>
              <w:pStyle w:val="TableBody"/>
            </w:pPr>
            <w:r w:rsidRPr="00F678CE">
              <w:t>5,615</w:t>
            </w:r>
          </w:p>
        </w:tc>
        <w:tc>
          <w:tcPr>
            <w:tcW w:w="556" w:type="pct"/>
            <w:noWrap/>
            <w:hideMark/>
          </w:tcPr>
          <w:p w14:paraId="05023EA3" w14:textId="77777777" w:rsidR="00222B1A" w:rsidRPr="00F678CE" w:rsidRDefault="00222B1A" w:rsidP="00F678CE">
            <w:pPr>
              <w:pStyle w:val="TableBody"/>
            </w:pPr>
            <w:r w:rsidRPr="00F678CE">
              <w:t>4,772</w:t>
            </w:r>
          </w:p>
        </w:tc>
        <w:tc>
          <w:tcPr>
            <w:tcW w:w="555" w:type="pct"/>
            <w:noWrap/>
            <w:hideMark/>
          </w:tcPr>
          <w:p w14:paraId="42299D40" w14:textId="77777777" w:rsidR="00222B1A" w:rsidRPr="00F678CE" w:rsidRDefault="00222B1A" w:rsidP="00F678CE">
            <w:pPr>
              <w:pStyle w:val="TableBody"/>
            </w:pPr>
            <w:r w:rsidRPr="00F678CE">
              <w:t>4,537</w:t>
            </w:r>
          </w:p>
        </w:tc>
        <w:tc>
          <w:tcPr>
            <w:tcW w:w="556" w:type="pct"/>
            <w:noWrap/>
            <w:hideMark/>
          </w:tcPr>
          <w:p w14:paraId="51827644" w14:textId="77777777" w:rsidR="00222B1A" w:rsidRPr="00F678CE" w:rsidRDefault="00222B1A" w:rsidP="00F678CE">
            <w:pPr>
              <w:pStyle w:val="TableBody"/>
            </w:pPr>
            <w:r w:rsidRPr="00F678CE">
              <w:t>1,963</w:t>
            </w:r>
          </w:p>
        </w:tc>
        <w:tc>
          <w:tcPr>
            <w:tcW w:w="556" w:type="pct"/>
            <w:noWrap/>
            <w:hideMark/>
          </w:tcPr>
          <w:p w14:paraId="14FFFCA0" w14:textId="77777777" w:rsidR="00222B1A" w:rsidRPr="00F678CE" w:rsidRDefault="00222B1A" w:rsidP="00F678CE">
            <w:pPr>
              <w:pStyle w:val="TableBody"/>
            </w:pPr>
            <w:r w:rsidRPr="00F678CE">
              <w:t>1,097</w:t>
            </w:r>
          </w:p>
        </w:tc>
        <w:tc>
          <w:tcPr>
            <w:tcW w:w="556" w:type="pct"/>
            <w:noWrap/>
            <w:hideMark/>
          </w:tcPr>
          <w:p w14:paraId="3B8B4B82" w14:textId="77777777" w:rsidR="00222B1A" w:rsidRPr="00F678CE" w:rsidRDefault="00222B1A" w:rsidP="00F678CE">
            <w:pPr>
              <w:pStyle w:val="TableBody"/>
            </w:pPr>
            <w:r w:rsidRPr="00F678CE">
              <w:t>489</w:t>
            </w:r>
          </w:p>
        </w:tc>
        <w:tc>
          <w:tcPr>
            <w:tcW w:w="556" w:type="pct"/>
            <w:noWrap/>
            <w:hideMark/>
          </w:tcPr>
          <w:p w14:paraId="69DC9BB5" w14:textId="77777777" w:rsidR="00222B1A" w:rsidRPr="00F678CE" w:rsidRDefault="00222B1A" w:rsidP="00F678CE">
            <w:pPr>
              <w:pStyle w:val="TableBody"/>
            </w:pPr>
            <w:r w:rsidRPr="00F678CE">
              <w:t>280</w:t>
            </w:r>
          </w:p>
        </w:tc>
      </w:tr>
      <w:tr w:rsidR="00222B1A" w:rsidRPr="00222B1A" w14:paraId="1C32532C" w14:textId="77777777" w:rsidTr="009E5B59">
        <w:trPr>
          <w:trHeight w:val="288"/>
        </w:trPr>
        <w:tc>
          <w:tcPr>
            <w:tcW w:w="555" w:type="pct"/>
            <w:noWrap/>
            <w:hideMark/>
          </w:tcPr>
          <w:p w14:paraId="0B128C13" w14:textId="77777777" w:rsidR="00222B1A" w:rsidRPr="00682296" w:rsidRDefault="00222B1A" w:rsidP="00682296">
            <w:pPr>
              <w:pStyle w:val="TableBody"/>
            </w:pPr>
            <w:r w:rsidRPr="00682296">
              <w:t>2011</w:t>
            </w:r>
          </w:p>
        </w:tc>
        <w:tc>
          <w:tcPr>
            <w:tcW w:w="556" w:type="pct"/>
            <w:noWrap/>
            <w:hideMark/>
          </w:tcPr>
          <w:p w14:paraId="61945C9D" w14:textId="77777777" w:rsidR="00222B1A" w:rsidRPr="00F678CE" w:rsidRDefault="00222B1A" w:rsidP="00F678CE">
            <w:pPr>
              <w:pStyle w:val="TableBody"/>
            </w:pPr>
            <w:r w:rsidRPr="00F678CE">
              <w:t>10,040</w:t>
            </w:r>
          </w:p>
        </w:tc>
        <w:tc>
          <w:tcPr>
            <w:tcW w:w="556" w:type="pct"/>
            <w:noWrap/>
            <w:hideMark/>
          </w:tcPr>
          <w:p w14:paraId="13B1D738" w14:textId="77777777" w:rsidR="00222B1A" w:rsidRPr="00F678CE" w:rsidRDefault="00222B1A" w:rsidP="00F678CE">
            <w:pPr>
              <w:pStyle w:val="TableBody"/>
            </w:pPr>
            <w:r w:rsidRPr="00F678CE">
              <w:t>5,574</w:t>
            </w:r>
          </w:p>
        </w:tc>
        <w:tc>
          <w:tcPr>
            <w:tcW w:w="556" w:type="pct"/>
            <w:noWrap/>
            <w:hideMark/>
          </w:tcPr>
          <w:p w14:paraId="289A2D34" w14:textId="77777777" w:rsidR="00222B1A" w:rsidRPr="00F678CE" w:rsidRDefault="00222B1A" w:rsidP="00F678CE">
            <w:pPr>
              <w:pStyle w:val="TableBody"/>
            </w:pPr>
            <w:r w:rsidRPr="00F678CE">
              <w:t>4,648</w:t>
            </w:r>
          </w:p>
        </w:tc>
        <w:tc>
          <w:tcPr>
            <w:tcW w:w="555" w:type="pct"/>
            <w:noWrap/>
            <w:hideMark/>
          </w:tcPr>
          <w:p w14:paraId="3DC4DDA9" w14:textId="77777777" w:rsidR="00222B1A" w:rsidRPr="00F678CE" w:rsidRDefault="00222B1A" w:rsidP="00F678CE">
            <w:pPr>
              <w:pStyle w:val="TableBody"/>
            </w:pPr>
            <w:r w:rsidRPr="00F678CE">
              <w:t>4,737</w:t>
            </w:r>
          </w:p>
        </w:tc>
        <w:tc>
          <w:tcPr>
            <w:tcW w:w="556" w:type="pct"/>
            <w:noWrap/>
            <w:hideMark/>
          </w:tcPr>
          <w:p w14:paraId="447877F5" w14:textId="77777777" w:rsidR="00222B1A" w:rsidRPr="00F678CE" w:rsidRDefault="00222B1A" w:rsidP="00F678CE">
            <w:pPr>
              <w:pStyle w:val="TableBody"/>
            </w:pPr>
            <w:r w:rsidRPr="00F678CE">
              <w:t>2,026</w:t>
            </w:r>
          </w:p>
        </w:tc>
        <w:tc>
          <w:tcPr>
            <w:tcW w:w="556" w:type="pct"/>
            <w:noWrap/>
            <w:hideMark/>
          </w:tcPr>
          <w:p w14:paraId="5C9ECA7E" w14:textId="77777777" w:rsidR="00222B1A" w:rsidRPr="00F678CE" w:rsidRDefault="00222B1A" w:rsidP="00F678CE">
            <w:pPr>
              <w:pStyle w:val="TableBody"/>
            </w:pPr>
            <w:r w:rsidRPr="00F678CE">
              <w:t>1,270</w:t>
            </w:r>
          </w:p>
        </w:tc>
        <w:tc>
          <w:tcPr>
            <w:tcW w:w="556" w:type="pct"/>
            <w:noWrap/>
            <w:hideMark/>
          </w:tcPr>
          <w:p w14:paraId="52CB3178" w14:textId="77777777" w:rsidR="00222B1A" w:rsidRPr="00F678CE" w:rsidRDefault="00222B1A" w:rsidP="00F678CE">
            <w:pPr>
              <w:pStyle w:val="TableBody"/>
            </w:pPr>
            <w:r w:rsidRPr="00F678CE">
              <w:t>509</w:t>
            </w:r>
          </w:p>
        </w:tc>
        <w:tc>
          <w:tcPr>
            <w:tcW w:w="556" w:type="pct"/>
            <w:noWrap/>
            <w:hideMark/>
          </w:tcPr>
          <w:p w14:paraId="58359F6F" w14:textId="77777777" w:rsidR="00222B1A" w:rsidRPr="00F678CE" w:rsidRDefault="00222B1A" w:rsidP="00F678CE">
            <w:pPr>
              <w:pStyle w:val="TableBody"/>
            </w:pPr>
            <w:r w:rsidRPr="00F678CE">
              <w:t>302</w:t>
            </w:r>
          </w:p>
        </w:tc>
      </w:tr>
      <w:tr w:rsidR="00222B1A" w:rsidRPr="00222B1A" w14:paraId="08B1E5B5" w14:textId="77777777" w:rsidTr="009E5B59">
        <w:trPr>
          <w:trHeight w:val="288"/>
        </w:trPr>
        <w:tc>
          <w:tcPr>
            <w:tcW w:w="555" w:type="pct"/>
            <w:noWrap/>
            <w:hideMark/>
          </w:tcPr>
          <w:p w14:paraId="51AD7D66" w14:textId="77777777" w:rsidR="00222B1A" w:rsidRPr="00682296" w:rsidRDefault="00222B1A" w:rsidP="00682296">
            <w:pPr>
              <w:pStyle w:val="TableBody"/>
            </w:pPr>
            <w:r w:rsidRPr="00682296">
              <w:t>2012</w:t>
            </w:r>
          </w:p>
        </w:tc>
        <w:tc>
          <w:tcPr>
            <w:tcW w:w="556" w:type="pct"/>
            <w:noWrap/>
            <w:hideMark/>
          </w:tcPr>
          <w:p w14:paraId="07B097A9" w14:textId="77777777" w:rsidR="00222B1A" w:rsidRPr="00F678CE" w:rsidRDefault="00222B1A" w:rsidP="00F678CE">
            <w:pPr>
              <w:pStyle w:val="TableBody"/>
            </w:pPr>
            <w:r w:rsidRPr="00F678CE">
              <w:t>9,645</w:t>
            </w:r>
          </w:p>
        </w:tc>
        <w:tc>
          <w:tcPr>
            <w:tcW w:w="556" w:type="pct"/>
            <w:noWrap/>
            <w:hideMark/>
          </w:tcPr>
          <w:p w14:paraId="1CB6ED90" w14:textId="77777777" w:rsidR="00222B1A" w:rsidRPr="00F678CE" w:rsidRDefault="00222B1A" w:rsidP="00F678CE">
            <w:pPr>
              <w:pStyle w:val="TableBody"/>
            </w:pPr>
            <w:r w:rsidRPr="00F678CE">
              <w:t>5,593</w:t>
            </w:r>
          </w:p>
        </w:tc>
        <w:tc>
          <w:tcPr>
            <w:tcW w:w="556" w:type="pct"/>
            <w:noWrap/>
            <w:hideMark/>
          </w:tcPr>
          <w:p w14:paraId="30C46583" w14:textId="77777777" w:rsidR="00222B1A" w:rsidRPr="00F678CE" w:rsidRDefault="00222B1A" w:rsidP="00F678CE">
            <w:pPr>
              <w:pStyle w:val="TableBody"/>
            </w:pPr>
            <w:r w:rsidRPr="00F678CE">
              <w:t>4,964</w:t>
            </w:r>
          </w:p>
        </w:tc>
        <w:tc>
          <w:tcPr>
            <w:tcW w:w="555" w:type="pct"/>
            <w:noWrap/>
            <w:hideMark/>
          </w:tcPr>
          <w:p w14:paraId="79770EE7" w14:textId="77777777" w:rsidR="00222B1A" w:rsidRPr="00F678CE" w:rsidRDefault="00222B1A" w:rsidP="00F678CE">
            <w:pPr>
              <w:pStyle w:val="TableBody"/>
            </w:pPr>
            <w:r w:rsidRPr="00F678CE">
              <w:t>4,884</w:t>
            </w:r>
          </w:p>
        </w:tc>
        <w:tc>
          <w:tcPr>
            <w:tcW w:w="556" w:type="pct"/>
            <w:noWrap/>
            <w:hideMark/>
          </w:tcPr>
          <w:p w14:paraId="6783BC96" w14:textId="77777777" w:rsidR="00222B1A" w:rsidRPr="00F678CE" w:rsidRDefault="00222B1A" w:rsidP="00F678CE">
            <w:pPr>
              <w:pStyle w:val="TableBody"/>
            </w:pPr>
            <w:r w:rsidRPr="00F678CE">
              <w:t>2,077</w:t>
            </w:r>
          </w:p>
        </w:tc>
        <w:tc>
          <w:tcPr>
            <w:tcW w:w="556" w:type="pct"/>
            <w:noWrap/>
            <w:hideMark/>
          </w:tcPr>
          <w:p w14:paraId="43E6AC52" w14:textId="77777777" w:rsidR="00222B1A" w:rsidRPr="00F678CE" w:rsidRDefault="00222B1A" w:rsidP="00F678CE">
            <w:pPr>
              <w:pStyle w:val="TableBody"/>
            </w:pPr>
            <w:r w:rsidRPr="00F678CE">
              <w:t>1,411</w:t>
            </w:r>
          </w:p>
        </w:tc>
        <w:tc>
          <w:tcPr>
            <w:tcW w:w="556" w:type="pct"/>
            <w:noWrap/>
            <w:hideMark/>
          </w:tcPr>
          <w:p w14:paraId="036D99DD" w14:textId="77777777" w:rsidR="00222B1A" w:rsidRPr="00F678CE" w:rsidRDefault="00222B1A" w:rsidP="00F678CE">
            <w:pPr>
              <w:pStyle w:val="TableBody"/>
            </w:pPr>
            <w:r w:rsidRPr="00F678CE">
              <w:t>494</w:t>
            </w:r>
          </w:p>
        </w:tc>
        <w:tc>
          <w:tcPr>
            <w:tcW w:w="556" w:type="pct"/>
            <w:noWrap/>
            <w:hideMark/>
          </w:tcPr>
          <w:p w14:paraId="1EB45F1F" w14:textId="77777777" w:rsidR="00222B1A" w:rsidRPr="00F678CE" w:rsidRDefault="00222B1A" w:rsidP="00F678CE">
            <w:pPr>
              <w:pStyle w:val="TableBody"/>
            </w:pPr>
            <w:r w:rsidRPr="00F678CE">
              <w:t>313</w:t>
            </w:r>
          </w:p>
        </w:tc>
      </w:tr>
      <w:tr w:rsidR="00222B1A" w:rsidRPr="00222B1A" w14:paraId="38A8B094" w14:textId="77777777" w:rsidTr="009E5B59">
        <w:trPr>
          <w:trHeight w:val="288"/>
        </w:trPr>
        <w:tc>
          <w:tcPr>
            <w:tcW w:w="555" w:type="pct"/>
            <w:noWrap/>
            <w:hideMark/>
          </w:tcPr>
          <w:p w14:paraId="2BC60222" w14:textId="77777777" w:rsidR="00222B1A" w:rsidRPr="00682296" w:rsidRDefault="00222B1A" w:rsidP="00682296">
            <w:pPr>
              <w:pStyle w:val="TableBody"/>
            </w:pPr>
            <w:r w:rsidRPr="00682296">
              <w:t>2013</w:t>
            </w:r>
          </w:p>
        </w:tc>
        <w:tc>
          <w:tcPr>
            <w:tcW w:w="556" w:type="pct"/>
            <w:noWrap/>
            <w:hideMark/>
          </w:tcPr>
          <w:p w14:paraId="664CA0B9" w14:textId="77777777" w:rsidR="00222B1A" w:rsidRPr="00F678CE" w:rsidRDefault="00222B1A" w:rsidP="00F678CE">
            <w:pPr>
              <w:pStyle w:val="TableBody"/>
            </w:pPr>
            <w:r w:rsidRPr="00F678CE">
              <w:t>9,897</w:t>
            </w:r>
          </w:p>
        </w:tc>
        <w:tc>
          <w:tcPr>
            <w:tcW w:w="556" w:type="pct"/>
            <w:noWrap/>
            <w:hideMark/>
          </w:tcPr>
          <w:p w14:paraId="24BED943" w14:textId="77777777" w:rsidR="00222B1A" w:rsidRPr="00F678CE" w:rsidRDefault="00222B1A" w:rsidP="00F678CE">
            <w:pPr>
              <w:pStyle w:val="TableBody"/>
            </w:pPr>
            <w:r w:rsidRPr="00F678CE">
              <w:t>6,076</w:t>
            </w:r>
          </w:p>
        </w:tc>
        <w:tc>
          <w:tcPr>
            <w:tcW w:w="556" w:type="pct"/>
            <w:noWrap/>
            <w:hideMark/>
          </w:tcPr>
          <w:p w14:paraId="48A1A313" w14:textId="77777777" w:rsidR="00222B1A" w:rsidRPr="00F678CE" w:rsidRDefault="00222B1A" w:rsidP="00F678CE">
            <w:pPr>
              <w:pStyle w:val="TableBody"/>
            </w:pPr>
            <w:r w:rsidRPr="00F678CE">
              <w:t>4,924</w:t>
            </w:r>
          </w:p>
        </w:tc>
        <w:tc>
          <w:tcPr>
            <w:tcW w:w="555" w:type="pct"/>
            <w:noWrap/>
            <w:hideMark/>
          </w:tcPr>
          <w:p w14:paraId="7BF9F188" w14:textId="77777777" w:rsidR="00222B1A" w:rsidRPr="00F678CE" w:rsidRDefault="00222B1A" w:rsidP="00F678CE">
            <w:pPr>
              <w:pStyle w:val="TableBody"/>
            </w:pPr>
            <w:r w:rsidRPr="00F678CE">
              <w:t>5,340</w:t>
            </w:r>
          </w:p>
        </w:tc>
        <w:tc>
          <w:tcPr>
            <w:tcW w:w="556" w:type="pct"/>
            <w:noWrap/>
            <w:hideMark/>
          </w:tcPr>
          <w:p w14:paraId="3EB3E23F" w14:textId="77777777" w:rsidR="00222B1A" w:rsidRPr="00F678CE" w:rsidRDefault="00222B1A" w:rsidP="00F678CE">
            <w:pPr>
              <w:pStyle w:val="TableBody"/>
            </w:pPr>
            <w:r w:rsidRPr="00F678CE">
              <w:t>2,266</w:t>
            </w:r>
          </w:p>
        </w:tc>
        <w:tc>
          <w:tcPr>
            <w:tcW w:w="556" w:type="pct"/>
            <w:noWrap/>
            <w:hideMark/>
          </w:tcPr>
          <w:p w14:paraId="15FB5DD6" w14:textId="77777777" w:rsidR="00222B1A" w:rsidRPr="00F678CE" w:rsidRDefault="00222B1A" w:rsidP="00F678CE">
            <w:pPr>
              <w:pStyle w:val="TableBody"/>
            </w:pPr>
            <w:r w:rsidRPr="00F678CE">
              <w:t>1,436</w:t>
            </w:r>
          </w:p>
        </w:tc>
        <w:tc>
          <w:tcPr>
            <w:tcW w:w="556" w:type="pct"/>
            <w:noWrap/>
            <w:hideMark/>
          </w:tcPr>
          <w:p w14:paraId="674B9123" w14:textId="77777777" w:rsidR="00222B1A" w:rsidRPr="00F678CE" w:rsidRDefault="00222B1A" w:rsidP="00F678CE">
            <w:pPr>
              <w:pStyle w:val="TableBody"/>
            </w:pPr>
            <w:r w:rsidRPr="00F678CE">
              <w:t>483</w:t>
            </w:r>
          </w:p>
        </w:tc>
        <w:tc>
          <w:tcPr>
            <w:tcW w:w="556" w:type="pct"/>
            <w:noWrap/>
            <w:hideMark/>
          </w:tcPr>
          <w:p w14:paraId="590BE6F8" w14:textId="77777777" w:rsidR="00222B1A" w:rsidRPr="00F678CE" w:rsidRDefault="00222B1A" w:rsidP="00F678CE">
            <w:pPr>
              <w:pStyle w:val="TableBody"/>
            </w:pPr>
            <w:r w:rsidRPr="00F678CE">
              <w:t>353</w:t>
            </w:r>
          </w:p>
        </w:tc>
      </w:tr>
      <w:tr w:rsidR="00222B1A" w:rsidRPr="00222B1A" w14:paraId="015C3311" w14:textId="77777777" w:rsidTr="009E5B59">
        <w:trPr>
          <w:trHeight w:val="288"/>
        </w:trPr>
        <w:tc>
          <w:tcPr>
            <w:tcW w:w="555" w:type="pct"/>
            <w:noWrap/>
            <w:hideMark/>
          </w:tcPr>
          <w:p w14:paraId="3A8AFA9A" w14:textId="77777777" w:rsidR="00222B1A" w:rsidRPr="00682296" w:rsidRDefault="00222B1A" w:rsidP="00682296">
            <w:pPr>
              <w:pStyle w:val="TableBody"/>
            </w:pPr>
            <w:r w:rsidRPr="00682296">
              <w:t>2014</w:t>
            </w:r>
          </w:p>
        </w:tc>
        <w:tc>
          <w:tcPr>
            <w:tcW w:w="556" w:type="pct"/>
            <w:noWrap/>
            <w:hideMark/>
          </w:tcPr>
          <w:p w14:paraId="00BCC1D0" w14:textId="77777777" w:rsidR="00222B1A" w:rsidRPr="00F678CE" w:rsidRDefault="00222B1A" w:rsidP="00F678CE">
            <w:pPr>
              <w:pStyle w:val="TableBody"/>
            </w:pPr>
            <w:r w:rsidRPr="00F678CE">
              <w:t>10,567</w:t>
            </w:r>
          </w:p>
        </w:tc>
        <w:tc>
          <w:tcPr>
            <w:tcW w:w="556" w:type="pct"/>
            <w:noWrap/>
            <w:hideMark/>
          </w:tcPr>
          <w:p w14:paraId="6463F033" w14:textId="77777777" w:rsidR="00222B1A" w:rsidRPr="00F678CE" w:rsidRDefault="00222B1A" w:rsidP="00F678CE">
            <w:pPr>
              <w:pStyle w:val="TableBody"/>
            </w:pPr>
            <w:r w:rsidRPr="00F678CE">
              <w:t>7,047</w:t>
            </w:r>
          </w:p>
        </w:tc>
        <w:tc>
          <w:tcPr>
            <w:tcW w:w="556" w:type="pct"/>
            <w:noWrap/>
            <w:hideMark/>
          </w:tcPr>
          <w:p w14:paraId="6902B1BD" w14:textId="77777777" w:rsidR="00222B1A" w:rsidRPr="00F678CE" w:rsidRDefault="00222B1A" w:rsidP="00F678CE">
            <w:pPr>
              <w:pStyle w:val="TableBody"/>
            </w:pPr>
            <w:r w:rsidRPr="00F678CE">
              <w:t>5,241</w:t>
            </w:r>
          </w:p>
        </w:tc>
        <w:tc>
          <w:tcPr>
            <w:tcW w:w="555" w:type="pct"/>
            <w:noWrap/>
            <w:hideMark/>
          </w:tcPr>
          <w:p w14:paraId="27698377" w14:textId="77777777" w:rsidR="00222B1A" w:rsidRPr="00F678CE" w:rsidRDefault="00222B1A" w:rsidP="00F678CE">
            <w:pPr>
              <w:pStyle w:val="TableBody"/>
            </w:pPr>
            <w:r w:rsidRPr="00F678CE">
              <w:t>6,111</w:t>
            </w:r>
          </w:p>
        </w:tc>
        <w:tc>
          <w:tcPr>
            <w:tcW w:w="556" w:type="pct"/>
            <w:noWrap/>
            <w:hideMark/>
          </w:tcPr>
          <w:p w14:paraId="15E543F9" w14:textId="77777777" w:rsidR="00222B1A" w:rsidRPr="00F678CE" w:rsidRDefault="00222B1A" w:rsidP="00F678CE">
            <w:pPr>
              <w:pStyle w:val="TableBody"/>
            </w:pPr>
            <w:r w:rsidRPr="00F678CE">
              <w:t>2,490</w:t>
            </w:r>
          </w:p>
        </w:tc>
        <w:tc>
          <w:tcPr>
            <w:tcW w:w="556" w:type="pct"/>
            <w:noWrap/>
            <w:hideMark/>
          </w:tcPr>
          <w:p w14:paraId="176D75D6" w14:textId="77777777" w:rsidR="00222B1A" w:rsidRPr="00F678CE" w:rsidRDefault="00222B1A" w:rsidP="00F678CE">
            <w:pPr>
              <w:pStyle w:val="TableBody"/>
            </w:pPr>
            <w:r w:rsidRPr="00F678CE">
              <w:t>1,492</w:t>
            </w:r>
          </w:p>
        </w:tc>
        <w:tc>
          <w:tcPr>
            <w:tcW w:w="556" w:type="pct"/>
            <w:noWrap/>
            <w:hideMark/>
          </w:tcPr>
          <w:p w14:paraId="5D4E4611" w14:textId="77777777" w:rsidR="00222B1A" w:rsidRPr="00F678CE" w:rsidRDefault="00222B1A" w:rsidP="00F678CE">
            <w:pPr>
              <w:pStyle w:val="TableBody"/>
            </w:pPr>
            <w:r w:rsidRPr="00F678CE">
              <w:t>451</w:t>
            </w:r>
          </w:p>
        </w:tc>
        <w:tc>
          <w:tcPr>
            <w:tcW w:w="556" w:type="pct"/>
            <w:noWrap/>
            <w:hideMark/>
          </w:tcPr>
          <w:p w14:paraId="1EE2E447" w14:textId="77777777" w:rsidR="00222B1A" w:rsidRPr="00F678CE" w:rsidRDefault="00222B1A" w:rsidP="00F678CE">
            <w:pPr>
              <w:pStyle w:val="TableBody"/>
            </w:pPr>
            <w:r w:rsidRPr="00F678CE">
              <w:t>395</w:t>
            </w:r>
          </w:p>
        </w:tc>
      </w:tr>
      <w:tr w:rsidR="00222B1A" w:rsidRPr="00222B1A" w14:paraId="35B60B03" w14:textId="77777777" w:rsidTr="009E5B59">
        <w:trPr>
          <w:trHeight w:val="288"/>
        </w:trPr>
        <w:tc>
          <w:tcPr>
            <w:tcW w:w="555" w:type="pct"/>
            <w:noWrap/>
            <w:hideMark/>
          </w:tcPr>
          <w:p w14:paraId="491FBA4A" w14:textId="77777777" w:rsidR="00222B1A" w:rsidRPr="00682296" w:rsidRDefault="00222B1A" w:rsidP="00682296">
            <w:pPr>
              <w:pStyle w:val="TableBody"/>
            </w:pPr>
            <w:r w:rsidRPr="00682296">
              <w:t>2015</w:t>
            </w:r>
          </w:p>
        </w:tc>
        <w:tc>
          <w:tcPr>
            <w:tcW w:w="556" w:type="pct"/>
            <w:noWrap/>
            <w:hideMark/>
          </w:tcPr>
          <w:p w14:paraId="613A7BAE" w14:textId="77777777" w:rsidR="00222B1A" w:rsidRPr="00F678CE" w:rsidRDefault="00222B1A" w:rsidP="00F678CE">
            <w:pPr>
              <w:pStyle w:val="TableBody"/>
            </w:pPr>
            <w:r w:rsidRPr="00F678CE">
              <w:t>11,797</w:t>
            </w:r>
          </w:p>
        </w:tc>
        <w:tc>
          <w:tcPr>
            <w:tcW w:w="556" w:type="pct"/>
            <w:noWrap/>
            <w:hideMark/>
          </w:tcPr>
          <w:p w14:paraId="1BA79C81" w14:textId="77777777" w:rsidR="00222B1A" w:rsidRPr="00F678CE" w:rsidRDefault="00222B1A" w:rsidP="00F678CE">
            <w:pPr>
              <w:pStyle w:val="TableBody"/>
            </w:pPr>
            <w:r w:rsidRPr="00F678CE">
              <w:t>7,318</w:t>
            </w:r>
          </w:p>
        </w:tc>
        <w:tc>
          <w:tcPr>
            <w:tcW w:w="556" w:type="pct"/>
            <w:noWrap/>
            <w:hideMark/>
          </w:tcPr>
          <w:p w14:paraId="082BAF9F" w14:textId="77777777" w:rsidR="00222B1A" w:rsidRPr="00F678CE" w:rsidRDefault="00222B1A" w:rsidP="00F678CE">
            <w:pPr>
              <w:pStyle w:val="TableBody"/>
            </w:pPr>
            <w:r w:rsidRPr="00F678CE">
              <w:t>5,555</w:t>
            </w:r>
          </w:p>
        </w:tc>
        <w:tc>
          <w:tcPr>
            <w:tcW w:w="555" w:type="pct"/>
            <w:noWrap/>
            <w:hideMark/>
          </w:tcPr>
          <w:p w14:paraId="0EFD276E" w14:textId="77777777" w:rsidR="00222B1A" w:rsidRPr="00F678CE" w:rsidRDefault="00222B1A" w:rsidP="00F678CE">
            <w:pPr>
              <w:pStyle w:val="TableBody"/>
            </w:pPr>
            <w:r w:rsidRPr="00F678CE">
              <w:t>6,219</w:t>
            </w:r>
          </w:p>
        </w:tc>
        <w:tc>
          <w:tcPr>
            <w:tcW w:w="556" w:type="pct"/>
            <w:noWrap/>
            <w:hideMark/>
          </w:tcPr>
          <w:p w14:paraId="20DE5113" w14:textId="77777777" w:rsidR="00222B1A" w:rsidRPr="00F678CE" w:rsidRDefault="00222B1A" w:rsidP="00F678CE">
            <w:pPr>
              <w:pStyle w:val="TableBody"/>
            </w:pPr>
            <w:r w:rsidRPr="00F678CE">
              <w:t>2,732</w:t>
            </w:r>
          </w:p>
        </w:tc>
        <w:tc>
          <w:tcPr>
            <w:tcW w:w="556" w:type="pct"/>
            <w:noWrap/>
            <w:hideMark/>
          </w:tcPr>
          <w:p w14:paraId="0BD8FC87" w14:textId="77777777" w:rsidR="00222B1A" w:rsidRPr="00F678CE" w:rsidRDefault="00222B1A" w:rsidP="00F678CE">
            <w:pPr>
              <w:pStyle w:val="TableBody"/>
            </w:pPr>
            <w:r w:rsidRPr="00F678CE">
              <w:t>1,593</w:t>
            </w:r>
          </w:p>
        </w:tc>
        <w:tc>
          <w:tcPr>
            <w:tcW w:w="556" w:type="pct"/>
            <w:noWrap/>
            <w:hideMark/>
          </w:tcPr>
          <w:p w14:paraId="1E5C8A7B" w14:textId="77777777" w:rsidR="00222B1A" w:rsidRPr="00F678CE" w:rsidRDefault="00222B1A" w:rsidP="00F678CE">
            <w:pPr>
              <w:pStyle w:val="TableBody"/>
            </w:pPr>
            <w:r w:rsidRPr="00F678CE">
              <w:t>519</w:t>
            </w:r>
          </w:p>
        </w:tc>
        <w:tc>
          <w:tcPr>
            <w:tcW w:w="556" w:type="pct"/>
            <w:noWrap/>
            <w:hideMark/>
          </w:tcPr>
          <w:p w14:paraId="5F395671" w14:textId="77777777" w:rsidR="00222B1A" w:rsidRPr="00F678CE" w:rsidRDefault="00222B1A" w:rsidP="00F678CE">
            <w:pPr>
              <w:pStyle w:val="TableBody"/>
            </w:pPr>
            <w:r w:rsidRPr="00F678CE">
              <w:t>396</w:t>
            </w:r>
          </w:p>
        </w:tc>
      </w:tr>
      <w:tr w:rsidR="00222B1A" w:rsidRPr="00222B1A" w14:paraId="2C3EA9B1" w14:textId="77777777" w:rsidTr="009E5B59">
        <w:trPr>
          <w:trHeight w:val="288"/>
        </w:trPr>
        <w:tc>
          <w:tcPr>
            <w:tcW w:w="555" w:type="pct"/>
            <w:noWrap/>
            <w:hideMark/>
          </w:tcPr>
          <w:p w14:paraId="23D14364" w14:textId="77777777" w:rsidR="00222B1A" w:rsidRPr="00682296" w:rsidRDefault="00222B1A" w:rsidP="00682296">
            <w:pPr>
              <w:pStyle w:val="TableBody"/>
            </w:pPr>
            <w:r w:rsidRPr="00682296">
              <w:t>2016</w:t>
            </w:r>
          </w:p>
        </w:tc>
        <w:tc>
          <w:tcPr>
            <w:tcW w:w="556" w:type="pct"/>
            <w:noWrap/>
            <w:hideMark/>
          </w:tcPr>
          <w:p w14:paraId="2E1309E1" w14:textId="77777777" w:rsidR="00222B1A" w:rsidRPr="00F678CE" w:rsidRDefault="00222B1A" w:rsidP="00F678CE">
            <w:pPr>
              <w:pStyle w:val="TableBody"/>
            </w:pPr>
            <w:r w:rsidRPr="00F678CE">
              <w:t>12,629</w:t>
            </w:r>
          </w:p>
        </w:tc>
        <w:tc>
          <w:tcPr>
            <w:tcW w:w="556" w:type="pct"/>
            <w:noWrap/>
            <w:hideMark/>
          </w:tcPr>
          <w:p w14:paraId="2B6EB935" w14:textId="77777777" w:rsidR="00222B1A" w:rsidRPr="00F678CE" w:rsidRDefault="00222B1A" w:rsidP="00F678CE">
            <w:pPr>
              <w:pStyle w:val="TableBody"/>
            </w:pPr>
            <w:r w:rsidRPr="00F678CE">
              <w:t>7,746</w:t>
            </w:r>
          </w:p>
        </w:tc>
        <w:tc>
          <w:tcPr>
            <w:tcW w:w="556" w:type="pct"/>
            <w:noWrap/>
            <w:hideMark/>
          </w:tcPr>
          <w:p w14:paraId="51C3F022" w14:textId="77777777" w:rsidR="00222B1A" w:rsidRPr="00F678CE" w:rsidRDefault="00222B1A" w:rsidP="00F678CE">
            <w:pPr>
              <w:pStyle w:val="TableBody"/>
            </w:pPr>
            <w:r w:rsidRPr="00F678CE">
              <w:t>6,329</w:t>
            </w:r>
          </w:p>
        </w:tc>
        <w:tc>
          <w:tcPr>
            <w:tcW w:w="555" w:type="pct"/>
            <w:noWrap/>
            <w:hideMark/>
          </w:tcPr>
          <w:p w14:paraId="64E025EF" w14:textId="77777777" w:rsidR="00222B1A" w:rsidRPr="00F678CE" w:rsidRDefault="00222B1A" w:rsidP="00F678CE">
            <w:pPr>
              <w:pStyle w:val="TableBody"/>
            </w:pPr>
            <w:r w:rsidRPr="00F678CE">
              <w:t>6,522</w:t>
            </w:r>
          </w:p>
        </w:tc>
        <w:tc>
          <w:tcPr>
            <w:tcW w:w="556" w:type="pct"/>
            <w:noWrap/>
            <w:hideMark/>
          </w:tcPr>
          <w:p w14:paraId="061C3D03" w14:textId="77777777" w:rsidR="00222B1A" w:rsidRPr="00F678CE" w:rsidRDefault="00222B1A" w:rsidP="00F678CE">
            <w:pPr>
              <w:pStyle w:val="TableBody"/>
            </w:pPr>
            <w:r w:rsidRPr="00F678CE">
              <w:t>2,948</w:t>
            </w:r>
          </w:p>
        </w:tc>
        <w:tc>
          <w:tcPr>
            <w:tcW w:w="556" w:type="pct"/>
            <w:noWrap/>
            <w:hideMark/>
          </w:tcPr>
          <w:p w14:paraId="045D40E2" w14:textId="77777777" w:rsidR="00222B1A" w:rsidRPr="00F678CE" w:rsidRDefault="00222B1A" w:rsidP="00F678CE">
            <w:pPr>
              <w:pStyle w:val="TableBody"/>
            </w:pPr>
            <w:r w:rsidRPr="00F678CE">
              <w:t>1,666</w:t>
            </w:r>
          </w:p>
        </w:tc>
        <w:tc>
          <w:tcPr>
            <w:tcW w:w="556" w:type="pct"/>
            <w:noWrap/>
            <w:hideMark/>
          </w:tcPr>
          <w:p w14:paraId="088ED8B3" w14:textId="77777777" w:rsidR="00222B1A" w:rsidRPr="00F678CE" w:rsidRDefault="00222B1A" w:rsidP="00F678CE">
            <w:pPr>
              <w:pStyle w:val="TableBody"/>
            </w:pPr>
            <w:r w:rsidRPr="00F678CE">
              <w:t>569</w:t>
            </w:r>
          </w:p>
        </w:tc>
        <w:tc>
          <w:tcPr>
            <w:tcW w:w="556" w:type="pct"/>
            <w:noWrap/>
            <w:hideMark/>
          </w:tcPr>
          <w:p w14:paraId="6B1C0026" w14:textId="77777777" w:rsidR="00222B1A" w:rsidRPr="00F678CE" w:rsidRDefault="00222B1A" w:rsidP="00F678CE">
            <w:pPr>
              <w:pStyle w:val="TableBody"/>
            </w:pPr>
            <w:r w:rsidRPr="00F678CE">
              <w:t>441</w:t>
            </w:r>
          </w:p>
        </w:tc>
      </w:tr>
      <w:tr w:rsidR="00222B1A" w:rsidRPr="00222B1A" w14:paraId="3B5DF5D2" w14:textId="77777777" w:rsidTr="009E5B59">
        <w:trPr>
          <w:trHeight w:val="288"/>
        </w:trPr>
        <w:tc>
          <w:tcPr>
            <w:tcW w:w="555" w:type="pct"/>
            <w:noWrap/>
            <w:hideMark/>
          </w:tcPr>
          <w:p w14:paraId="7B00B6C0" w14:textId="77777777" w:rsidR="00222B1A" w:rsidRPr="00682296" w:rsidRDefault="00222B1A" w:rsidP="00682296">
            <w:pPr>
              <w:pStyle w:val="TableBody"/>
            </w:pPr>
            <w:r w:rsidRPr="00682296">
              <w:t>2017</w:t>
            </w:r>
          </w:p>
        </w:tc>
        <w:tc>
          <w:tcPr>
            <w:tcW w:w="556" w:type="pct"/>
            <w:noWrap/>
            <w:hideMark/>
          </w:tcPr>
          <w:p w14:paraId="656FE094" w14:textId="77777777" w:rsidR="00222B1A" w:rsidRPr="00F678CE" w:rsidRDefault="00222B1A" w:rsidP="00F678CE">
            <w:pPr>
              <w:pStyle w:val="TableBody"/>
            </w:pPr>
            <w:r w:rsidRPr="00F678CE">
              <w:t>13,149</w:t>
            </w:r>
          </w:p>
        </w:tc>
        <w:tc>
          <w:tcPr>
            <w:tcW w:w="556" w:type="pct"/>
            <w:noWrap/>
            <w:hideMark/>
          </w:tcPr>
          <w:p w14:paraId="10077F49" w14:textId="77777777" w:rsidR="00222B1A" w:rsidRPr="00F678CE" w:rsidRDefault="00222B1A" w:rsidP="00F678CE">
            <w:pPr>
              <w:pStyle w:val="TableBody"/>
            </w:pPr>
            <w:r w:rsidRPr="00F678CE">
              <w:t>8,476</w:t>
            </w:r>
          </w:p>
        </w:tc>
        <w:tc>
          <w:tcPr>
            <w:tcW w:w="556" w:type="pct"/>
            <w:noWrap/>
            <w:hideMark/>
          </w:tcPr>
          <w:p w14:paraId="0AAACE1E" w14:textId="77777777" w:rsidR="00222B1A" w:rsidRPr="00F678CE" w:rsidRDefault="00222B1A" w:rsidP="00F678CE">
            <w:pPr>
              <w:pStyle w:val="TableBody"/>
            </w:pPr>
            <w:r w:rsidRPr="00F678CE">
              <w:t>6,743</w:t>
            </w:r>
          </w:p>
        </w:tc>
        <w:tc>
          <w:tcPr>
            <w:tcW w:w="555" w:type="pct"/>
            <w:noWrap/>
            <w:hideMark/>
          </w:tcPr>
          <w:p w14:paraId="55B20A06" w14:textId="77777777" w:rsidR="00222B1A" w:rsidRPr="00F678CE" w:rsidRDefault="00222B1A" w:rsidP="00F678CE">
            <w:pPr>
              <w:pStyle w:val="TableBody"/>
            </w:pPr>
            <w:r w:rsidRPr="00F678CE">
              <w:t>7,149</w:t>
            </w:r>
          </w:p>
        </w:tc>
        <w:tc>
          <w:tcPr>
            <w:tcW w:w="556" w:type="pct"/>
            <w:noWrap/>
            <w:hideMark/>
          </w:tcPr>
          <w:p w14:paraId="2A3759B4" w14:textId="77777777" w:rsidR="00222B1A" w:rsidRPr="00F678CE" w:rsidRDefault="00222B1A" w:rsidP="00F678CE">
            <w:pPr>
              <w:pStyle w:val="TableBody"/>
            </w:pPr>
            <w:r w:rsidRPr="00F678CE">
              <w:t>3,032</w:t>
            </w:r>
          </w:p>
        </w:tc>
        <w:tc>
          <w:tcPr>
            <w:tcW w:w="556" w:type="pct"/>
            <w:noWrap/>
            <w:hideMark/>
          </w:tcPr>
          <w:p w14:paraId="287919D8" w14:textId="77777777" w:rsidR="00222B1A" w:rsidRPr="00F678CE" w:rsidRDefault="00222B1A" w:rsidP="00F678CE">
            <w:pPr>
              <w:pStyle w:val="TableBody"/>
            </w:pPr>
            <w:r w:rsidRPr="00F678CE">
              <w:t>1,601</w:t>
            </w:r>
          </w:p>
        </w:tc>
        <w:tc>
          <w:tcPr>
            <w:tcW w:w="556" w:type="pct"/>
            <w:noWrap/>
            <w:hideMark/>
          </w:tcPr>
          <w:p w14:paraId="48E149F0" w14:textId="77777777" w:rsidR="00222B1A" w:rsidRPr="00F678CE" w:rsidRDefault="00222B1A" w:rsidP="00F678CE">
            <w:pPr>
              <w:pStyle w:val="TableBody"/>
            </w:pPr>
            <w:r w:rsidRPr="00F678CE">
              <w:t>596</w:t>
            </w:r>
          </w:p>
        </w:tc>
        <w:tc>
          <w:tcPr>
            <w:tcW w:w="556" w:type="pct"/>
            <w:noWrap/>
            <w:hideMark/>
          </w:tcPr>
          <w:p w14:paraId="05DE4732" w14:textId="77777777" w:rsidR="00222B1A" w:rsidRPr="00F678CE" w:rsidRDefault="00222B1A" w:rsidP="00F678CE">
            <w:pPr>
              <w:pStyle w:val="TableBody"/>
            </w:pPr>
            <w:r w:rsidRPr="00F678CE">
              <w:t>449</w:t>
            </w:r>
          </w:p>
        </w:tc>
      </w:tr>
      <w:tr w:rsidR="00222B1A" w:rsidRPr="00222B1A" w14:paraId="41B792F3" w14:textId="77777777" w:rsidTr="009E5B59">
        <w:trPr>
          <w:trHeight w:val="288"/>
        </w:trPr>
        <w:tc>
          <w:tcPr>
            <w:tcW w:w="555" w:type="pct"/>
            <w:noWrap/>
            <w:hideMark/>
          </w:tcPr>
          <w:p w14:paraId="1EAC5D05" w14:textId="77777777" w:rsidR="00222B1A" w:rsidRPr="00682296" w:rsidRDefault="00222B1A" w:rsidP="00682296">
            <w:pPr>
              <w:pStyle w:val="TableBody"/>
            </w:pPr>
            <w:r w:rsidRPr="00682296">
              <w:t>2018</w:t>
            </w:r>
          </w:p>
        </w:tc>
        <w:tc>
          <w:tcPr>
            <w:tcW w:w="556" w:type="pct"/>
            <w:noWrap/>
            <w:hideMark/>
          </w:tcPr>
          <w:p w14:paraId="55795997" w14:textId="77777777" w:rsidR="00222B1A" w:rsidRPr="00F678CE" w:rsidRDefault="00222B1A" w:rsidP="00F678CE">
            <w:pPr>
              <w:pStyle w:val="TableBody"/>
            </w:pPr>
            <w:r w:rsidRPr="00F678CE">
              <w:t>13,740</w:t>
            </w:r>
          </w:p>
        </w:tc>
        <w:tc>
          <w:tcPr>
            <w:tcW w:w="556" w:type="pct"/>
            <w:noWrap/>
            <w:hideMark/>
          </w:tcPr>
          <w:p w14:paraId="2B6EC85A" w14:textId="77777777" w:rsidR="00222B1A" w:rsidRPr="00F678CE" w:rsidRDefault="00222B1A" w:rsidP="00F678CE">
            <w:pPr>
              <w:pStyle w:val="TableBody"/>
            </w:pPr>
            <w:r w:rsidRPr="00F678CE">
              <w:t>8,840</w:t>
            </w:r>
          </w:p>
        </w:tc>
        <w:tc>
          <w:tcPr>
            <w:tcW w:w="556" w:type="pct"/>
            <w:noWrap/>
            <w:hideMark/>
          </w:tcPr>
          <w:p w14:paraId="5408FE02" w14:textId="77777777" w:rsidR="00222B1A" w:rsidRPr="00F678CE" w:rsidRDefault="00222B1A" w:rsidP="00F678CE">
            <w:pPr>
              <w:pStyle w:val="TableBody"/>
            </w:pPr>
            <w:r w:rsidRPr="00F678CE">
              <w:t>6,865</w:t>
            </w:r>
          </w:p>
        </w:tc>
        <w:tc>
          <w:tcPr>
            <w:tcW w:w="555" w:type="pct"/>
            <w:noWrap/>
            <w:hideMark/>
          </w:tcPr>
          <w:p w14:paraId="78058058" w14:textId="77777777" w:rsidR="00222B1A" w:rsidRPr="00F678CE" w:rsidRDefault="00222B1A" w:rsidP="00F678CE">
            <w:pPr>
              <w:pStyle w:val="TableBody"/>
            </w:pPr>
            <w:r w:rsidRPr="00F678CE">
              <w:t>7,666</w:t>
            </w:r>
          </w:p>
        </w:tc>
        <w:tc>
          <w:tcPr>
            <w:tcW w:w="556" w:type="pct"/>
            <w:noWrap/>
            <w:hideMark/>
          </w:tcPr>
          <w:p w14:paraId="0619A636" w14:textId="77777777" w:rsidR="00222B1A" w:rsidRPr="00F678CE" w:rsidRDefault="00222B1A" w:rsidP="00F678CE">
            <w:pPr>
              <w:pStyle w:val="TableBody"/>
            </w:pPr>
            <w:r w:rsidRPr="00F678CE">
              <w:t>2,991</w:t>
            </w:r>
          </w:p>
        </w:tc>
        <w:tc>
          <w:tcPr>
            <w:tcW w:w="556" w:type="pct"/>
            <w:noWrap/>
            <w:hideMark/>
          </w:tcPr>
          <w:p w14:paraId="210A0B02" w14:textId="77777777" w:rsidR="00222B1A" w:rsidRPr="00F678CE" w:rsidRDefault="00222B1A" w:rsidP="00F678CE">
            <w:pPr>
              <w:pStyle w:val="TableBody"/>
            </w:pPr>
            <w:r w:rsidRPr="00F678CE">
              <w:t>1,758</w:t>
            </w:r>
          </w:p>
        </w:tc>
        <w:tc>
          <w:tcPr>
            <w:tcW w:w="556" w:type="pct"/>
            <w:noWrap/>
            <w:hideMark/>
          </w:tcPr>
          <w:p w14:paraId="195517B5" w14:textId="77777777" w:rsidR="00222B1A" w:rsidRPr="00F678CE" w:rsidRDefault="00222B1A" w:rsidP="00F678CE">
            <w:pPr>
              <w:pStyle w:val="TableBody"/>
            </w:pPr>
            <w:r w:rsidRPr="00F678CE">
              <w:t>614</w:t>
            </w:r>
          </w:p>
        </w:tc>
        <w:tc>
          <w:tcPr>
            <w:tcW w:w="556" w:type="pct"/>
            <w:noWrap/>
            <w:hideMark/>
          </w:tcPr>
          <w:p w14:paraId="707B3545" w14:textId="77777777" w:rsidR="00222B1A" w:rsidRPr="00F678CE" w:rsidRDefault="00222B1A" w:rsidP="00F678CE">
            <w:pPr>
              <w:pStyle w:val="TableBody"/>
            </w:pPr>
            <w:r w:rsidRPr="00F678CE">
              <w:t>492</w:t>
            </w:r>
          </w:p>
        </w:tc>
      </w:tr>
      <w:tr w:rsidR="00222B1A" w:rsidRPr="00222B1A" w14:paraId="7D21B645" w14:textId="77777777" w:rsidTr="009E5B59">
        <w:trPr>
          <w:trHeight w:val="288"/>
        </w:trPr>
        <w:tc>
          <w:tcPr>
            <w:tcW w:w="555" w:type="pct"/>
            <w:noWrap/>
            <w:hideMark/>
          </w:tcPr>
          <w:p w14:paraId="3A8D49EC" w14:textId="77777777" w:rsidR="00222B1A" w:rsidRPr="00682296" w:rsidRDefault="00222B1A" w:rsidP="00682296">
            <w:pPr>
              <w:pStyle w:val="TableBody"/>
            </w:pPr>
            <w:r w:rsidRPr="00682296">
              <w:t>2019</w:t>
            </w:r>
          </w:p>
        </w:tc>
        <w:tc>
          <w:tcPr>
            <w:tcW w:w="556" w:type="pct"/>
            <w:noWrap/>
            <w:hideMark/>
          </w:tcPr>
          <w:p w14:paraId="5959ADD0" w14:textId="77777777" w:rsidR="00222B1A" w:rsidRPr="00F678CE" w:rsidRDefault="00222B1A" w:rsidP="00F678CE">
            <w:pPr>
              <w:pStyle w:val="TableBody"/>
            </w:pPr>
            <w:r w:rsidRPr="00F678CE">
              <w:t>13,458</w:t>
            </w:r>
          </w:p>
        </w:tc>
        <w:tc>
          <w:tcPr>
            <w:tcW w:w="556" w:type="pct"/>
            <w:noWrap/>
            <w:hideMark/>
          </w:tcPr>
          <w:p w14:paraId="606DDE8D" w14:textId="77777777" w:rsidR="00222B1A" w:rsidRPr="00F678CE" w:rsidRDefault="00222B1A" w:rsidP="00F678CE">
            <w:pPr>
              <w:pStyle w:val="TableBody"/>
            </w:pPr>
            <w:r w:rsidRPr="00F678CE">
              <w:t>8,771</w:t>
            </w:r>
          </w:p>
        </w:tc>
        <w:tc>
          <w:tcPr>
            <w:tcW w:w="556" w:type="pct"/>
            <w:noWrap/>
            <w:hideMark/>
          </w:tcPr>
          <w:p w14:paraId="71FFA6D4" w14:textId="77777777" w:rsidR="00222B1A" w:rsidRPr="00F678CE" w:rsidRDefault="00222B1A" w:rsidP="00F678CE">
            <w:pPr>
              <w:pStyle w:val="TableBody"/>
            </w:pPr>
            <w:r w:rsidRPr="00F678CE">
              <w:t>6,943</w:t>
            </w:r>
          </w:p>
        </w:tc>
        <w:tc>
          <w:tcPr>
            <w:tcW w:w="555" w:type="pct"/>
            <w:noWrap/>
            <w:hideMark/>
          </w:tcPr>
          <w:p w14:paraId="77B00A86" w14:textId="77777777" w:rsidR="00222B1A" w:rsidRPr="00F678CE" w:rsidRDefault="00222B1A" w:rsidP="00F678CE">
            <w:pPr>
              <w:pStyle w:val="TableBody"/>
            </w:pPr>
            <w:r w:rsidRPr="00F678CE">
              <w:t>8,101</w:t>
            </w:r>
          </w:p>
        </w:tc>
        <w:tc>
          <w:tcPr>
            <w:tcW w:w="556" w:type="pct"/>
            <w:noWrap/>
            <w:hideMark/>
          </w:tcPr>
          <w:p w14:paraId="3790AC18" w14:textId="77777777" w:rsidR="00222B1A" w:rsidRPr="00F678CE" w:rsidRDefault="00222B1A" w:rsidP="00F678CE">
            <w:pPr>
              <w:pStyle w:val="TableBody"/>
            </w:pPr>
            <w:r w:rsidRPr="00F678CE">
              <w:t>2,862</w:t>
            </w:r>
          </w:p>
        </w:tc>
        <w:tc>
          <w:tcPr>
            <w:tcW w:w="556" w:type="pct"/>
            <w:noWrap/>
            <w:hideMark/>
          </w:tcPr>
          <w:p w14:paraId="4426E079" w14:textId="77777777" w:rsidR="00222B1A" w:rsidRPr="00F678CE" w:rsidRDefault="00222B1A" w:rsidP="00F678CE">
            <w:pPr>
              <w:pStyle w:val="TableBody"/>
            </w:pPr>
            <w:r w:rsidRPr="00F678CE">
              <w:t>1,731</w:t>
            </w:r>
          </w:p>
        </w:tc>
        <w:tc>
          <w:tcPr>
            <w:tcW w:w="556" w:type="pct"/>
            <w:noWrap/>
            <w:hideMark/>
          </w:tcPr>
          <w:p w14:paraId="227E4DF0" w14:textId="77777777" w:rsidR="00222B1A" w:rsidRPr="00F678CE" w:rsidRDefault="00222B1A" w:rsidP="00F678CE">
            <w:pPr>
              <w:pStyle w:val="TableBody"/>
            </w:pPr>
            <w:r w:rsidRPr="00F678CE">
              <w:t>693</w:t>
            </w:r>
          </w:p>
        </w:tc>
        <w:tc>
          <w:tcPr>
            <w:tcW w:w="556" w:type="pct"/>
            <w:noWrap/>
            <w:hideMark/>
          </w:tcPr>
          <w:p w14:paraId="6280AAB4" w14:textId="77777777" w:rsidR="00222B1A" w:rsidRPr="00F678CE" w:rsidRDefault="00222B1A" w:rsidP="00F678CE">
            <w:pPr>
              <w:pStyle w:val="TableBody"/>
            </w:pPr>
            <w:r w:rsidRPr="00F678CE">
              <w:t>474</w:t>
            </w:r>
          </w:p>
        </w:tc>
      </w:tr>
      <w:tr w:rsidR="00222B1A" w:rsidRPr="00222B1A" w14:paraId="46F0D4D1" w14:textId="77777777" w:rsidTr="009E5B59">
        <w:trPr>
          <w:trHeight w:val="288"/>
        </w:trPr>
        <w:tc>
          <w:tcPr>
            <w:tcW w:w="555" w:type="pct"/>
            <w:noWrap/>
            <w:hideMark/>
          </w:tcPr>
          <w:p w14:paraId="115A7113" w14:textId="77777777" w:rsidR="00222B1A" w:rsidRPr="00682296" w:rsidRDefault="00222B1A" w:rsidP="00682296">
            <w:pPr>
              <w:pStyle w:val="TableBody"/>
            </w:pPr>
            <w:r w:rsidRPr="00682296">
              <w:t>2020</w:t>
            </w:r>
          </w:p>
        </w:tc>
        <w:tc>
          <w:tcPr>
            <w:tcW w:w="556" w:type="pct"/>
            <w:noWrap/>
            <w:hideMark/>
          </w:tcPr>
          <w:p w14:paraId="55B0B10E" w14:textId="77777777" w:rsidR="00222B1A" w:rsidRPr="00F678CE" w:rsidRDefault="00222B1A" w:rsidP="00F678CE">
            <w:pPr>
              <w:pStyle w:val="TableBody"/>
            </w:pPr>
            <w:r w:rsidRPr="00F678CE">
              <w:t>12,730</w:t>
            </w:r>
          </w:p>
        </w:tc>
        <w:tc>
          <w:tcPr>
            <w:tcW w:w="556" w:type="pct"/>
            <w:noWrap/>
            <w:hideMark/>
          </w:tcPr>
          <w:p w14:paraId="7685470A" w14:textId="77777777" w:rsidR="00222B1A" w:rsidRPr="00F678CE" w:rsidRDefault="00222B1A" w:rsidP="00F678CE">
            <w:pPr>
              <w:pStyle w:val="TableBody"/>
            </w:pPr>
            <w:r w:rsidRPr="00F678CE">
              <w:t>8,657</w:t>
            </w:r>
          </w:p>
        </w:tc>
        <w:tc>
          <w:tcPr>
            <w:tcW w:w="556" w:type="pct"/>
            <w:noWrap/>
            <w:hideMark/>
          </w:tcPr>
          <w:p w14:paraId="72034C7B" w14:textId="77777777" w:rsidR="00222B1A" w:rsidRPr="00F678CE" w:rsidRDefault="00222B1A" w:rsidP="00F678CE">
            <w:pPr>
              <w:pStyle w:val="TableBody"/>
            </w:pPr>
            <w:r w:rsidRPr="00F678CE">
              <w:t>6,770</w:t>
            </w:r>
          </w:p>
        </w:tc>
        <w:tc>
          <w:tcPr>
            <w:tcW w:w="555" w:type="pct"/>
            <w:noWrap/>
            <w:hideMark/>
          </w:tcPr>
          <w:p w14:paraId="039A02A6" w14:textId="77777777" w:rsidR="00222B1A" w:rsidRPr="00F678CE" w:rsidRDefault="00222B1A" w:rsidP="00F678CE">
            <w:pPr>
              <w:pStyle w:val="TableBody"/>
            </w:pPr>
            <w:r w:rsidRPr="00F678CE">
              <w:t>7,149</w:t>
            </w:r>
          </w:p>
        </w:tc>
        <w:tc>
          <w:tcPr>
            <w:tcW w:w="556" w:type="pct"/>
            <w:noWrap/>
            <w:hideMark/>
          </w:tcPr>
          <w:p w14:paraId="46644670" w14:textId="77777777" w:rsidR="00222B1A" w:rsidRPr="00F678CE" w:rsidRDefault="00222B1A" w:rsidP="00F678CE">
            <w:pPr>
              <w:pStyle w:val="TableBody"/>
            </w:pPr>
            <w:r w:rsidRPr="00F678CE">
              <w:t>2,986</w:t>
            </w:r>
          </w:p>
        </w:tc>
        <w:tc>
          <w:tcPr>
            <w:tcW w:w="556" w:type="pct"/>
            <w:noWrap/>
            <w:hideMark/>
          </w:tcPr>
          <w:p w14:paraId="0FEF1001" w14:textId="77777777" w:rsidR="00222B1A" w:rsidRPr="00F678CE" w:rsidRDefault="00222B1A" w:rsidP="00F678CE">
            <w:pPr>
              <w:pStyle w:val="TableBody"/>
            </w:pPr>
            <w:r w:rsidRPr="00F678CE">
              <w:t>1,634</w:t>
            </w:r>
          </w:p>
        </w:tc>
        <w:tc>
          <w:tcPr>
            <w:tcW w:w="556" w:type="pct"/>
            <w:noWrap/>
            <w:hideMark/>
          </w:tcPr>
          <w:p w14:paraId="6145BD9E" w14:textId="77777777" w:rsidR="00222B1A" w:rsidRPr="00F678CE" w:rsidRDefault="00222B1A" w:rsidP="00F678CE">
            <w:pPr>
              <w:pStyle w:val="TableBody"/>
            </w:pPr>
            <w:r w:rsidRPr="00F678CE">
              <w:t>668</w:t>
            </w:r>
          </w:p>
        </w:tc>
        <w:tc>
          <w:tcPr>
            <w:tcW w:w="556" w:type="pct"/>
            <w:noWrap/>
            <w:hideMark/>
          </w:tcPr>
          <w:p w14:paraId="4B884CA3" w14:textId="77777777" w:rsidR="00222B1A" w:rsidRPr="00F678CE" w:rsidRDefault="00222B1A" w:rsidP="00F678CE">
            <w:pPr>
              <w:pStyle w:val="TableBody"/>
            </w:pPr>
            <w:r w:rsidRPr="00F678CE">
              <w:t>449</w:t>
            </w:r>
          </w:p>
        </w:tc>
      </w:tr>
      <w:tr w:rsidR="00222B1A" w:rsidRPr="00222B1A" w14:paraId="572AA669" w14:textId="77777777" w:rsidTr="009E5B59">
        <w:trPr>
          <w:trHeight w:val="288"/>
        </w:trPr>
        <w:tc>
          <w:tcPr>
            <w:tcW w:w="555" w:type="pct"/>
            <w:noWrap/>
            <w:hideMark/>
          </w:tcPr>
          <w:p w14:paraId="20213A55" w14:textId="77777777" w:rsidR="00222B1A" w:rsidRPr="00682296" w:rsidRDefault="00222B1A" w:rsidP="00682296">
            <w:pPr>
              <w:pStyle w:val="TableBody"/>
            </w:pPr>
            <w:r w:rsidRPr="00682296">
              <w:t>2021</w:t>
            </w:r>
          </w:p>
        </w:tc>
        <w:tc>
          <w:tcPr>
            <w:tcW w:w="556" w:type="pct"/>
            <w:noWrap/>
            <w:hideMark/>
          </w:tcPr>
          <w:p w14:paraId="35C791A4" w14:textId="77777777" w:rsidR="00222B1A" w:rsidRPr="00F678CE" w:rsidRDefault="00222B1A" w:rsidP="00F678CE">
            <w:pPr>
              <w:pStyle w:val="TableBody"/>
            </w:pPr>
            <w:r w:rsidRPr="00F678CE">
              <w:t>13,126</w:t>
            </w:r>
          </w:p>
        </w:tc>
        <w:tc>
          <w:tcPr>
            <w:tcW w:w="556" w:type="pct"/>
            <w:noWrap/>
            <w:hideMark/>
          </w:tcPr>
          <w:p w14:paraId="442B1459" w14:textId="77777777" w:rsidR="00222B1A" w:rsidRPr="00F678CE" w:rsidRDefault="00222B1A" w:rsidP="00F678CE">
            <w:pPr>
              <w:pStyle w:val="TableBody"/>
            </w:pPr>
            <w:r w:rsidRPr="00F678CE">
              <w:t>9,952</w:t>
            </w:r>
          </w:p>
        </w:tc>
        <w:tc>
          <w:tcPr>
            <w:tcW w:w="556" w:type="pct"/>
            <w:noWrap/>
            <w:hideMark/>
          </w:tcPr>
          <w:p w14:paraId="43B87705" w14:textId="77777777" w:rsidR="00222B1A" w:rsidRPr="00F678CE" w:rsidRDefault="00222B1A" w:rsidP="00F678CE">
            <w:pPr>
              <w:pStyle w:val="TableBody"/>
            </w:pPr>
            <w:r w:rsidRPr="00F678CE">
              <w:t>6,716</w:t>
            </w:r>
          </w:p>
        </w:tc>
        <w:tc>
          <w:tcPr>
            <w:tcW w:w="555" w:type="pct"/>
            <w:noWrap/>
            <w:hideMark/>
          </w:tcPr>
          <w:p w14:paraId="16BAC8BF" w14:textId="77777777" w:rsidR="00222B1A" w:rsidRPr="00F678CE" w:rsidRDefault="00222B1A" w:rsidP="00F678CE">
            <w:pPr>
              <w:pStyle w:val="TableBody"/>
            </w:pPr>
            <w:r w:rsidRPr="00F678CE">
              <w:t>7,248</w:t>
            </w:r>
          </w:p>
        </w:tc>
        <w:tc>
          <w:tcPr>
            <w:tcW w:w="556" w:type="pct"/>
            <w:noWrap/>
            <w:hideMark/>
          </w:tcPr>
          <w:p w14:paraId="16B3F745" w14:textId="77777777" w:rsidR="00222B1A" w:rsidRPr="00F678CE" w:rsidRDefault="00222B1A" w:rsidP="00F678CE">
            <w:pPr>
              <w:pStyle w:val="TableBody"/>
            </w:pPr>
            <w:r w:rsidRPr="00F678CE">
              <w:t>3,105</w:t>
            </w:r>
          </w:p>
        </w:tc>
        <w:tc>
          <w:tcPr>
            <w:tcW w:w="556" w:type="pct"/>
            <w:noWrap/>
            <w:hideMark/>
          </w:tcPr>
          <w:p w14:paraId="1121C82B" w14:textId="77777777" w:rsidR="00222B1A" w:rsidRPr="00F678CE" w:rsidRDefault="00222B1A" w:rsidP="00F678CE">
            <w:pPr>
              <w:pStyle w:val="TableBody"/>
            </w:pPr>
            <w:r w:rsidRPr="00F678CE">
              <w:t>1,799</w:t>
            </w:r>
          </w:p>
        </w:tc>
        <w:tc>
          <w:tcPr>
            <w:tcW w:w="556" w:type="pct"/>
            <w:noWrap/>
            <w:hideMark/>
          </w:tcPr>
          <w:p w14:paraId="5808D2A4" w14:textId="77777777" w:rsidR="00222B1A" w:rsidRPr="00F678CE" w:rsidRDefault="00222B1A" w:rsidP="00F678CE">
            <w:pPr>
              <w:pStyle w:val="TableBody"/>
            </w:pPr>
            <w:r w:rsidRPr="00F678CE">
              <w:t>642</w:t>
            </w:r>
          </w:p>
        </w:tc>
        <w:tc>
          <w:tcPr>
            <w:tcW w:w="556" w:type="pct"/>
            <w:noWrap/>
            <w:hideMark/>
          </w:tcPr>
          <w:p w14:paraId="6585C02F" w14:textId="77777777" w:rsidR="00222B1A" w:rsidRPr="00F678CE" w:rsidRDefault="00222B1A" w:rsidP="00F678CE">
            <w:pPr>
              <w:pStyle w:val="TableBody"/>
            </w:pPr>
            <w:r w:rsidRPr="00F678CE">
              <w:t>379</w:t>
            </w:r>
          </w:p>
        </w:tc>
      </w:tr>
      <w:tr w:rsidR="00222B1A" w:rsidRPr="00222B1A" w14:paraId="5223FE88" w14:textId="77777777" w:rsidTr="009E5B59">
        <w:trPr>
          <w:trHeight w:val="288"/>
        </w:trPr>
        <w:tc>
          <w:tcPr>
            <w:tcW w:w="555" w:type="pct"/>
            <w:noWrap/>
            <w:hideMark/>
          </w:tcPr>
          <w:p w14:paraId="1A3EF419" w14:textId="77777777" w:rsidR="00222B1A" w:rsidRPr="00682296" w:rsidRDefault="00222B1A" w:rsidP="00682296">
            <w:pPr>
              <w:pStyle w:val="TableBody"/>
            </w:pPr>
            <w:r w:rsidRPr="00682296">
              <w:t>2022</w:t>
            </w:r>
          </w:p>
        </w:tc>
        <w:tc>
          <w:tcPr>
            <w:tcW w:w="556" w:type="pct"/>
            <w:noWrap/>
            <w:hideMark/>
          </w:tcPr>
          <w:p w14:paraId="7C271069" w14:textId="77777777" w:rsidR="00222B1A" w:rsidRPr="00F678CE" w:rsidRDefault="00222B1A" w:rsidP="00F678CE">
            <w:pPr>
              <w:pStyle w:val="TableBody"/>
            </w:pPr>
            <w:r w:rsidRPr="00F678CE">
              <w:t>12,372</w:t>
            </w:r>
          </w:p>
        </w:tc>
        <w:tc>
          <w:tcPr>
            <w:tcW w:w="556" w:type="pct"/>
            <w:noWrap/>
            <w:hideMark/>
          </w:tcPr>
          <w:p w14:paraId="01AD883B" w14:textId="77777777" w:rsidR="00222B1A" w:rsidRPr="00F678CE" w:rsidRDefault="00222B1A" w:rsidP="00F678CE">
            <w:pPr>
              <w:pStyle w:val="TableBody"/>
            </w:pPr>
            <w:r w:rsidRPr="00F678CE">
              <w:t>9,376</w:t>
            </w:r>
          </w:p>
        </w:tc>
        <w:tc>
          <w:tcPr>
            <w:tcW w:w="556" w:type="pct"/>
            <w:noWrap/>
            <w:hideMark/>
          </w:tcPr>
          <w:p w14:paraId="794FEB1D" w14:textId="77777777" w:rsidR="00222B1A" w:rsidRPr="00F678CE" w:rsidRDefault="00222B1A" w:rsidP="00F678CE">
            <w:pPr>
              <w:pStyle w:val="TableBody"/>
            </w:pPr>
            <w:r w:rsidRPr="00F678CE">
              <w:t>6,276</w:t>
            </w:r>
          </w:p>
        </w:tc>
        <w:tc>
          <w:tcPr>
            <w:tcW w:w="555" w:type="pct"/>
            <w:noWrap/>
            <w:hideMark/>
          </w:tcPr>
          <w:p w14:paraId="09FBB3C6" w14:textId="77777777" w:rsidR="00222B1A" w:rsidRPr="00F678CE" w:rsidRDefault="00222B1A" w:rsidP="00F678CE">
            <w:pPr>
              <w:pStyle w:val="TableBody"/>
            </w:pPr>
            <w:r w:rsidRPr="00F678CE">
              <w:t>6,569</w:t>
            </w:r>
          </w:p>
        </w:tc>
        <w:tc>
          <w:tcPr>
            <w:tcW w:w="556" w:type="pct"/>
            <w:noWrap/>
            <w:hideMark/>
          </w:tcPr>
          <w:p w14:paraId="182C5D44" w14:textId="77777777" w:rsidR="00222B1A" w:rsidRPr="00F678CE" w:rsidRDefault="00222B1A" w:rsidP="00F678CE">
            <w:pPr>
              <w:pStyle w:val="TableBody"/>
            </w:pPr>
            <w:r w:rsidRPr="00F678CE">
              <w:t>3,049</w:t>
            </w:r>
          </w:p>
        </w:tc>
        <w:tc>
          <w:tcPr>
            <w:tcW w:w="556" w:type="pct"/>
            <w:noWrap/>
            <w:hideMark/>
          </w:tcPr>
          <w:p w14:paraId="7902C53A" w14:textId="77777777" w:rsidR="00222B1A" w:rsidRPr="00F678CE" w:rsidRDefault="00222B1A" w:rsidP="00F678CE">
            <w:pPr>
              <w:pStyle w:val="TableBody"/>
            </w:pPr>
            <w:r w:rsidRPr="00F678CE">
              <w:t>1,934</w:t>
            </w:r>
          </w:p>
        </w:tc>
        <w:tc>
          <w:tcPr>
            <w:tcW w:w="556" w:type="pct"/>
            <w:noWrap/>
            <w:hideMark/>
          </w:tcPr>
          <w:p w14:paraId="7A5545DE" w14:textId="77777777" w:rsidR="00222B1A" w:rsidRPr="00F678CE" w:rsidRDefault="00222B1A" w:rsidP="00F678CE">
            <w:pPr>
              <w:pStyle w:val="TableBody"/>
            </w:pPr>
            <w:r w:rsidRPr="00F678CE">
              <w:t>630</w:t>
            </w:r>
          </w:p>
        </w:tc>
        <w:tc>
          <w:tcPr>
            <w:tcW w:w="556" w:type="pct"/>
            <w:noWrap/>
            <w:hideMark/>
          </w:tcPr>
          <w:p w14:paraId="346642F8" w14:textId="77777777" w:rsidR="00222B1A" w:rsidRPr="00F678CE" w:rsidRDefault="00222B1A" w:rsidP="00F678CE">
            <w:pPr>
              <w:pStyle w:val="TableBody"/>
            </w:pPr>
            <w:r w:rsidRPr="00F678CE">
              <w:t>381</w:t>
            </w:r>
          </w:p>
        </w:tc>
      </w:tr>
      <w:tr w:rsidR="00222B1A" w:rsidRPr="00222B1A" w14:paraId="1D34C5A7" w14:textId="77777777" w:rsidTr="009E5B59">
        <w:trPr>
          <w:trHeight w:val="288"/>
        </w:trPr>
        <w:tc>
          <w:tcPr>
            <w:tcW w:w="555" w:type="pct"/>
            <w:noWrap/>
            <w:hideMark/>
          </w:tcPr>
          <w:p w14:paraId="49E88A76" w14:textId="77777777" w:rsidR="00222B1A" w:rsidRPr="00682296" w:rsidRDefault="00222B1A" w:rsidP="00682296">
            <w:pPr>
              <w:pStyle w:val="TableBody"/>
            </w:pPr>
            <w:r w:rsidRPr="00682296">
              <w:t>2023</w:t>
            </w:r>
          </w:p>
        </w:tc>
        <w:tc>
          <w:tcPr>
            <w:tcW w:w="556" w:type="pct"/>
            <w:noWrap/>
            <w:hideMark/>
          </w:tcPr>
          <w:p w14:paraId="7914AFA6" w14:textId="77777777" w:rsidR="00222B1A" w:rsidRPr="00F678CE" w:rsidRDefault="00222B1A" w:rsidP="00F678CE">
            <w:pPr>
              <w:pStyle w:val="TableBody"/>
            </w:pPr>
            <w:r w:rsidRPr="00F678CE">
              <w:t>12,316</w:t>
            </w:r>
          </w:p>
        </w:tc>
        <w:tc>
          <w:tcPr>
            <w:tcW w:w="556" w:type="pct"/>
            <w:noWrap/>
            <w:hideMark/>
          </w:tcPr>
          <w:p w14:paraId="29A36AE4" w14:textId="77777777" w:rsidR="00222B1A" w:rsidRPr="00F678CE" w:rsidRDefault="00222B1A" w:rsidP="00F678CE">
            <w:pPr>
              <w:pStyle w:val="TableBody"/>
            </w:pPr>
            <w:r w:rsidRPr="00F678CE">
              <w:t>10,226</w:t>
            </w:r>
          </w:p>
        </w:tc>
        <w:tc>
          <w:tcPr>
            <w:tcW w:w="556" w:type="pct"/>
            <w:noWrap/>
            <w:hideMark/>
          </w:tcPr>
          <w:p w14:paraId="7D4882C4" w14:textId="77777777" w:rsidR="00222B1A" w:rsidRPr="00F678CE" w:rsidRDefault="00222B1A" w:rsidP="00F678CE">
            <w:pPr>
              <w:pStyle w:val="TableBody"/>
            </w:pPr>
            <w:r w:rsidRPr="00F678CE">
              <w:t>6,718</w:t>
            </w:r>
          </w:p>
        </w:tc>
        <w:tc>
          <w:tcPr>
            <w:tcW w:w="555" w:type="pct"/>
            <w:noWrap/>
            <w:hideMark/>
          </w:tcPr>
          <w:p w14:paraId="61CDA684" w14:textId="77777777" w:rsidR="00222B1A" w:rsidRPr="00F678CE" w:rsidRDefault="00222B1A" w:rsidP="00F678CE">
            <w:pPr>
              <w:pStyle w:val="TableBody"/>
            </w:pPr>
            <w:r w:rsidRPr="00F678CE">
              <w:t>6,440</w:t>
            </w:r>
          </w:p>
        </w:tc>
        <w:tc>
          <w:tcPr>
            <w:tcW w:w="556" w:type="pct"/>
            <w:noWrap/>
            <w:hideMark/>
          </w:tcPr>
          <w:p w14:paraId="297A05F9" w14:textId="77777777" w:rsidR="00222B1A" w:rsidRPr="00F678CE" w:rsidRDefault="00222B1A" w:rsidP="00F678CE">
            <w:pPr>
              <w:pStyle w:val="TableBody"/>
            </w:pPr>
            <w:r w:rsidRPr="00F678CE">
              <w:t>2,995</w:t>
            </w:r>
          </w:p>
        </w:tc>
        <w:tc>
          <w:tcPr>
            <w:tcW w:w="556" w:type="pct"/>
            <w:noWrap/>
            <w:hideMark/>
          </w:tcPr>
          <w:p w14:paraId="4943EA23" w14:textId="77777777" w:rsidR="00222B1A" w:rsidRPr="00F678CE" w:rsidRDefault="00222B1A" w:rsidP="00F678CE">
            <w:pPr>
              <w:pStyle w:val="TableBody"/>
            </w:pPr>
            <w:r w:rsidRPr="00F678CE">
              <w:t>2,106</w:t>
            </w:r>
          </w:p>
        </w:tc>
        <w:tc>
          <w:tcPr>
            <w:tcW w:w="556" w:type="pct"/>
            <w:noWrap/>
            <w:hideMark/>
          </w:tcPr>
          <w:p w14:paraId="4D7A21E5" w14:textId="77777777" w:rsidR="00222B1A" w:rsidRPr="00F678CE" w:rsidRDefault="00222B1A" w:rsidP="00F678CE">
            <w:pPr>
              <w:pStyle w:val="TableBody"/>
            </w:pPr>
            <w:r w:rsidRPr="00F678CE">
              <w:t>751</w:t>
            </w:r>
          </w:p>
        </w:tc>
        <w:tc>
          <w:tcPr>
            <w:tcW w:w="556" w:type="pct"/>
            <w:noWrap/>
            <w:hideMark/>
          </w:tcPr>
          <w:p w14:paraId="61733E95" w14:textId="77777777" w:rsidR="00222B1A" w:rsidRPr="00F678CE" w:rsidRDefault="00222B1A" w:rsidP="00F678CE">
            <w:pPr>
              <w:pStyle w:val="TableBody"/>
            </w:pPr>
            <w:r w:rsidRPr="00F678CE">
              <w:t>375</w:t>
            </w:r>
          </w:p>
        </w:tc>
      </w:tr>
      <w:tr w:rsidR="00222B1A" w:rsidRPr="00222B1A" w14:paraId="24AB9102" w14:textId="77777777" w:rsidTr="009E5B59">
        <w:trPr>
          <w:trHeight w:val="288"/>
        </w:trPr>
        <w:tc>
          <w:tcPr>
            <w:tcW w:w="555" w:type="pct"/>
            <w:noWrap/>
            <w:hideMark/>
          </w:tcPr>
          <w:p w14:paraId="0C8F6440" w14:textId="77777777" w:rsidR="00222B1A" w:rsidRPr="00682296" w:rsidRDefault="00222B1A" w:rsidP="00682296">
            <w:pPr>
              <w:pStyle w:val="TableBody"/>
            </w:pPr>
            <w:r w:rsidRPr="00682296">
              <w:t>2024</w:t>
            </w:r>
          </w:p>
        </w:tc>
        <w:tc>
          <w:tcPr>
            <w:tcW w:w="556" w:type="pct"/>
            <w:noWrap/>
            <w:hideMark/>
          </w:tcPr>
          <w:p w14:paraId="740590C9" w14:textId="77777777" w:rsidR="00222B1A" w:rsidRPr="00F678CE" w:rsidRDefault="00222B1A" w:rsidP="00F678CE">
            <w:pPr>
              <w:pStyle w:val="TableBody"/>
            </w:pPr>
            <w:r w:rsidRPr="00F678CE">
              <w:t>12,946</w:t>
            </w:r>
          </w:p>
        </w:tc>
        <w:tc>
          <w:tcPr>
            <w:tcW w:w="556" w:type="pct"/>
            <w:noWrap/>
            <w:hideMark/>
          </w:tcPr>
          <w:p w14:paraId="14906F4D" w14:textId="77777777" w:rsidR="00222B1A" w:rsidRPr="00F678CE" w:rsidRDefault="00222B1A" w:rsidP="00F678CE">
            <w:pPr>
              <w:pStyle w:val="TableBody"/>
            </w:pPr>
            <w:r w:rsidRPr="00F678CE">
              <w:t>10,879</w:t>
            </w:r>
          </w:p>
        </w:tc>
        <w:tc>
          <w:tcPr>
            <w:tcW w:w="556" w:type="pct"/>
            <w:noWrap/>
            <w:hideMark/>
          </w:tcPr>
          <w:p w14:paraId="040A8F41" w14:textId="77777777" w:rsidR="00222B1A" w:rsidRPr="00F678CE" w:rsidRDefault="00222B1A" w:rsidP="00F678CE">
            <w:pPr>
              <w:pStyle w:val="TableBody"/>
            </w:pPr>
            <w:r w:rsidRPr="00F678CE">
              <w:t>7,814</w:t>
            </w:r>
          </w:p>
        </w:tc>
        <w:tc>
          <w:tcPr>
            <w:tcW w:w="555" w:type="pct"/>
            <w:noWrap/>
            <w:hideMark/>
          </w:tcPr>
          <w:p w14:paraId="24265F85" w14:textId="77777777" w:rsidR="00222B1A" w:rsidRPr="00F678CE" w:rsidRDefault="00222B1A" w:rsidP="00F678CE">
            <w:pPr>
              <w:pStyle w:val="TableBody"/>
            </w:pPr>
            <w:r w:rsidRPr="00F678CE">
              <w:t>5,918</w:t>
            </w:r>
          </w:p>
        </w:tc>
        <w:tc>
          <w:tcPr>
            <w:tcW w:w="556" w:type="pct"/>
            <w:noWrap/>
            <w:hideMark/>
          </w:tcPr>
          <w:p w14:paraId="6F2B3FEA" w14:textId="77777777" w:rsidR="00222B1A" w:rsidRPr="00F678CE" w:rsidRDefault="00222B1A" w:rsidP="00F678CE">
            <w:pPr>
              <w:pStyle w:val="TableBody"/>
            </w:pPr>
            <w:r w:rsidRPr="00F678CE">
              <w:t>3,346</w:t>
            </w:r>
          </w:p>
        </w:tc>
        <w:tc>
          <w:tcPr>
            <w:tcW w:w="556" w:type="pct"/>
            <w:noWrap/>
            <w:hideMark/>
          </w:tcPr>
          <w:p w14:paraId="693FE29A" w14:textId="77777777" w:rsidR="00222B1A" w:rsidRPr="00F678CE" w:rsidRDefault="00222B1A" w:rsidP="00F678CE">
            <w:pPr>
              <w:pStyle w:val="TableBody"/>
            </w:pPr>
            <w:r w:rsidRPr="00F678CE">
              <w:t>2,284</w:t>
            </w:r>
          </w:p>
        </w:tc>
        <w:tc>
          <w:tcPr>
            <w:tcW w:w="556" w:type="pct"/>
            <w:noWrap/>
            <w:hideMark/>
          </w:tcPr>
          <w:p w14:paraId="52E50BAE" w14:textId="77777777" w:rsidR="00222B1A" w:rsidRPr="00F678CE" w:rsidRDefault="00222B1A" w:rsidP="00F678CE">
            <w:pPr>
              <w:pStyle w:val="TableBody"/>
            </w:pPr>
            <w:r w:rsidRPr="00F678CE">
              <w:t>801</w:t>
            </w:r>
          </w:p>
        </w:tc>
        <w:tc>
          <w:tcPr>
            <w:tcW w:w="556" w:type="pct"/>
            <w:noWrap/>
            <w:hideMark/>
          </w:tcPr>
          <w:p w14:paraId="37FDF4F8" w14:textId="77777777" w:rsidR="00222B1A" w:rsidRPr="00F678CE" w:rsidRDefault="00222B1A" w:rsidP="00F678CE">
            <w:pPr>
              <w:pStyle w:val="TableBody"/>
            </w:pPr>
            <w:r w:rsidRPr="00F678CE">
              <w:t>421</w:t>
            </w:r>
          </w:p>
        </w:tc>
      </w:tr>
    </w:tbl>
    <w:p w14:paraId="499E22FA" w14:textId="77777777" w:rsidR="00A4454A" w:rsidRPr="008C1137" w:rsidRDefault="00A4454A" w:rsidP="00D4532A">
      <w:r w:rsidRPr="000C258A">
        <w:rPr>
          <w:rStyle w:val="Strong"/>
        </w:rPr>
        <w:t>Source</w:t>
      </w:r>
      <w:r w:rsidRPr="008C1137">
        <w:t>: Australian Bureau of Statistics,</w:t>
      </w:r>
      <w:r w:rsidRPr="008C1137">
        <w:rPr>
          <w:rStyle w:val="Italic"/>
        </w:rPr>
        <w:t xml:space="preserve"> Prisoners in Australia</w:t>
      </w:r>
      <w:r w:rsidRPr="008C1137">
        <w:t>, cat. no. 4517.0 (abs.gov.au, 2024) Table 15</w:t>
      </w:r>
    </w:p>
    <w:p w14:paraId="52B0A62A" w14:textId="77777777" w:rsidR="00A4454A" w:rsidRPr="008C1137" w:rsidRDefault="00A4454A" w:rsidP="00BE4EDC">
      <w:pPr>
        <w:pStyle w:val="Caption"/>
      </w:pPr>
      <w:r w:rsidRPr="00157502">
        <w:t>Figure 39</w:t>
      </w:r>
      <w:r w:rsidRPr="008C1137">
        <w:t>: Per capita imprisonment rate (prisoners per 100,000 adults)</w:t>
      </w:r>
      <w:r w:rsidRPr="008C1137">
        <w:br/>
        <w:t>in the Northern Territory on 30 June, 2005 to 2024</w:t>
      </w:r>
    </w:p>
    <w:tbl>
      <w:tblPr>
        <w:tblStyle w:val="Table"/>
        <w:tblW w:w="5000" w:type="pct"/>
        <w:tblLook w:val="04A0" w:firstRow="1" w:lastRow="0" w:firstColumn="1" w:lastColumn="0" w:noHBand="0" w:noVBand="1"/>
      </w:tblPr>
      <w:tblGrid>
        <w:gridCol w:w="4508"/>
        <w:gridCol w:w="4508"/>
      </w:tblGrid>
      <w:tr w:rsidR="0083014D" w:rsidRPr="00157464" w14:paraId="31D277BD" w14:textId="77777777" w:rsidTr="00157464">
        <w:trPr>
          <w:trHeight w:val="306"/>
          <w:tblHeader/>
        </w:trPr>
        <w:tc>
          <w:tcPr>
            <w:tcW w:w="2500" w:type="pct"/>
            <w:noWrap/>
            <w:hideMark/>
          </w:tcPr>
          <w:p w14:paraId="4F5C8C4E" w14:textId="54DE3649" w:rsidR="0083014D" w:rsidRPr="00157464" w:rsidRDefault="00157464" w:rsidP="00157464">
            <w:pPr>
              <w:pStyle w:val="TableHeading"/>
            </w:pPr>
            <w:r w:rsidRPr="00157464">
              <w:t>Year</w:t>
            </w:r>
          </w:p>
        </w:tc>
        <w:tc>
          <w:tcPr>
            <w:tcW w:w="2500" w:type="pct"/>
            <w:noWrap/>
            <w:hideMark/>
          </w:tcPr>
          <w:p w14:paraId="2C7F7C5B" w14:textId="77777777" w:rsidR="0083014D" w:rsidRPr="00157464" w:rsidRDefault="0083014D" w:rsidP="00157464">
            <w:pPr>
              <w:pStyle w:val="TableHeading"/>
            </w:pPr>
            <w:r w:rsidRPr="00157464">
              <w:t>NT</w:t>
            </w:r>
          </w:p>
        </w:tc>
      </w:tr>
      <w:tr w:rsidR="0083014D" w:rsidRPr="00157464" w14:paraId="748BD9A8" w14:textId="77777777" w:rsidTr="00157464">
        <w:trPr>
          <w:trHeight w:val="288"/>
        </w:trPr>
        <w:tc>
          <w:tcPr>
            <w:tcW w:w="2500" w:type="pct"/>
            <w:noWrap/>
            <w:hideMark/>
          </w:tcPr>
          <w:p w14:paraId="72486ED7" w14:textId="77777777" w:rsidR="0083014D" w:rsidRPr="00157464" w:rsidRDefault="0083014D" w:rsidP="00157464">
            <w:pPr>
              <w:pStyle w:val="TableBody"/>
            </w:pPr>
            <w:r w:rsidRPr="00157464">
              <w:t>2004</w:t>
            </w:r>
          </w:p>
        </w:tc>
        <w:tc>
          <w:tcPr>
            <w:tcW w:w="2500" w:type="pct"/>
            <w:noWrap/>
            <w:hideMark/>
          </w:tcPr>
          <w:p w14:paraId="5FD11E7F" w14:textId="77777777" w:rsidR="0083014D" w:rsidRPr="00157464" w:rsidRDefault="0083014D" w:rsidP="00157464">
            <w:pPr>
              <w:pStyle w:val="TableBody"/>
            </w:pPr>
            <w:r w:rsidRPr="00157464">
              <w:t>505.3</w:t>
            </w:r>
          </w:p>
        </w:tc>
      </w:tr>
      <w:tr w:rsidR="0083014D" w:rsidRPr="00157464" w14:paraId="66912313" w14:textId="77777777" w:rsidTr="00157464">
        <w:trPr>
          <w:trHeight w:val="288"/>
        </w:trPr>
        <w:tc>
          <w:tcPr>
            <w:tcW w:w="2500" w:type="pct"/>
            <w:noWrap/>
            <w:hideMark/>
          </w:tcPr>
          <w:p w14:paraId="3429F4F9" w14:textId="77777777" w:rsidR="0083014D" w:rsidRPr="00157464" w:rsidRDefault="0083014D" w:rsidP="00157464">
            <w:pPr>
              <w:pStyle w:val="TableBody"/>
            </w:pPr>
            <w:r w:rsidRPr="00157464">
              <w:t>2005</w:t>
            </w:r>
          </w:p>
        </w:tc>
        <w:tc>
          <w:tcPr>
            <w:tcW w:w="2500" w:type="pct"/>
            <w:noWrap/>
            <w:hideMark/>
          </w:tcPr>
          <w:p w14:paraId="48A7C082" w14:textId="77777777" w:rsidR="0083014D" w:rsidRPr="00157464" w:rsidRDefault="0083014D" w:rsidP="00157464">
            <w:pPr>
              <w:pStyle w:val="TableBody"/>
            </w:pPr>
            <w:r w:rsidRPr="00157464">
              <w:t>566.9</w:t>
            </w:r>
          </w:p>
        </w:tc>
      </w:tr>
      <w:tr w:rsidR="0083014D" w:rsidRPr="00157464" w14:paraId="413982DA" w14:textId="77777777" w:rsidTr="00157464">
        <w:trPr>
          <w:trHeight w:val="288"/>
        </w:trPr>
        <w:tc>
          <w:tcPr>
            <w:tcW w:w="2500" w:type="pct"/>
            <w:noWrap/>
            <w:hideMark/>
          </w:tcPr>
          <w:p w14:paraId="68FB86A9" w14:textId="77777777" w:rsidR="0083014D" w:rsidRPr="00157464" w:rsidRDefault="0083014D" w:rsidP="00157464">
            <w:pPr>
              <w:pStyle w:val="TableBody"/>
            </w:pPr>
            <w:r w:rsidRPr="00157464">
              <w:t>2006</w:t>
            </w:r>
          </w:p>
        </w:tc>
        <w:tc>
          <w:tcPr>
            <w:tcW w:w="2500" w:type="pct"/>
            <w:noWrap/>
            <w:hideMark/>
          </w:tcPr>
          <w:p w14:paraId="1469FDC7" w14:textId="77777777" w:rsidR="0083014D" w:rsidRPr="00157464" w:rsidRDefault="0083014D" w:rsidP="00157464">
            <w:pPr>
              <w:pStyle w:val="TableBody"/>
            </w:pPr>
            <w:r w:rsidRPr="00157464">
              <w:t>536.2</w:t>
            </w:r>
          </w:p>
        </w:tc>
      </w:tr>
      <w:tr w:rsidR="0083014D" w:rsidRPr="00157464" w14:paraId="771943C9" w14:textId="77777777" w:rsidTr="00157464">
        <w:trPr>
          <w:trHeight w:val="288"/>
        </w:trPr>
        <w:tc>
          <w:tcPr>
            <w:tcW w:w="2500" w:type="pct"/>
            <w:noWrap/>
            <w:hideMark/>
          </w:tcPr>
          <w:p w14:paraId="565DAA94" w14:textId="77777777" w:rsidR="0083014D" w:rsidRPr="00157464" w:rsidRDefault="0083014D" w:rsidP="00157464">
            <w:pPr>
              <w:pStyle w:val="TableBody"/>
            </w:pPr>
            <w:r w:rsidRPr="00157464">
              <w:t>2007</w:t>
            </w:r>
          </w:p>
        </w:tc>
        <w:tc>
          <w:tcPr>
            <w:tcW w:w="2500" w:type="pct"/>
            <w:noWrap/>
            <w:hideMark/>
          </w:tcPr>
          <w:p w14:paraId="6265D13F" w14:textId="77777777" w:rsidR="0083014D" w:rsidRPr="00157464" w:rsidRDefault="0083014D" w:rsidP="00157464">
            <w:pPr>
              <w:pStyle w:val="TableBody"/>
            </w:pPr>
            <w:r w:rsidRPr="00157464">
              <w:t>599.2</w:t>
            </w:r>
          </w:p>
        </w:tc>
      </w:tr>
      <w:tr w:rsidR="0083014D" w:rsidRPr="00157464" w14:paraId="1683F2C0" w14:textId="77777777" w:rsidTr="00157464">
        <w:trPr>
          <w:trHeight w:val="288"/>
        </w:trPr>
        <w:tc>
          <w:tcPr>
            <w:tcW w:w="2500" w:type="pct"/>
            <w:noWrap/>
            <w:hideMark/>
          </w:tcPr>
          <w:p w14:paraId="1F4A776C" w14:textId="77777777" w:rsidR="0083014D" w:rsidRPr="00157464" w:rsidRDefault="0083014D" w:rsidP="00157464">
            <w:pPr>
              <w:pStyle w:val="TableBody"/>
            </w:pPr>
            <w:r w:rsidRPr="00157464">
              <w:t>2008</w:t>
            </w:r>
          </w:p>
        </w:tc>
        <w:tc>
          <w:tcPr>
            <w:tcW w:w="2500" w:type="pct"/>
            <w:noWrap/>
            <w:hideMark/>
          </w:tcPr>
          <w:p w14:paraId="06D43863" w14:textId="77777777" w:rsidR="0083014D" w:rsidRPr="00157464" w:rsidRDefault="0083014D" w:rsidP="00157464">
            <w:pPr>
              <w:pStyle w:val="TableBody"/>
            </w:pPr>
            <w:r w:rsidRPr="00157464">
              <w:t>610.4</w:t>
            </w:r>
          </w:p>
        </w:tc>
      </w:tr>
      <w:tr w:rsidR="0083014D" w:rsidRPr="00157464" w14:paraId="64E049A5" w14:textId="77777777" w:rsidTr="00157464">
        <w:trPr>
          <w:trHeight w:val="288"/>
        </w:trPr>
        <w:tc>
          <w:tcPr>
            <w:tcW w:w="2500" w:type="pct"/>
            <w:noWrap/>
            <w:hideMark/>
          </w:tcPr>
          <w:p w14:paraId="5F047FD9" w14:textId="77777777" w:rsidR="0083014D" w:rsidRPr="00157464" w:rsidRDefault="0083014D" w:rsidP="00157464">
            <w:pPr>
              <w:pStyle w:val="TableBody"/>
            </w:pPr>
            <w:r w:rsidRPr="00157464">
              <w:t>2009</w:t>
            </w:r>
          </w:p>
        </w:tc>
        <w:tc>
          <w:tcPr>
            <w:tcW w:w="2500" w:type="pct"/>
            <w:noWrap/>
            <w:hideMark/>
          </w:tcPr>
          <w:p w14:paraId="4AA98857" w14:textId="77777777" w:rsidR="0083014D" w:rsidRPr="00157464" w:rsidRDefault="0083014D" w:rsidP="00157464">
            <w:pPr>
              <w:pStyle w:val="TableBody"/>
            </w:pPr>
            <w:r w:rsidRPr="00157464">
              <w:t>652.8</w:t>
            </w:r>
          </w:p>
        </w:tc>
      </w:tr>
      <w:tr w:rsidR="0083014D" w:rsidRPr="00157464" w14:paraId="414E3FF6" w14:textId="77777777" w:rsidTr="00157464">
        <w:trPr>
          <w:trHeight w:val="288"/>
        </w:trPr>
        <w:tc>
          <w:tcPr>
            <w:tcW w:w="2500" w:type="pct"/>
            <w:noWrap/>
            <w:hideMark/>
          </w:tcPr>
          <w:p w14:paraId="0B762931" w14:textId="77777777" w:rsidR="0083014D" w:rsidRPr="00157464" w:rsidRDefault="0083014D" w:rsidP="00157464">
            <w:pPr>
              <w:pStyle w:val="TableBody"/>
            </w:pPr>
            <w:r w:rsidRPr="00157464">
              <w:lastRenderedPageBreak/>
              <w:t>2010</w:t>
            </w:r>
          </w:p>
        </w:tc>
        <w:tc>
          <w:tcPr>
            <w:tcW w:w="2500" w:type="pct"/>
            <w:noWrap/>
            <w:hideMark/>
          </w:tcPr>
          <w:p w14:paraId="4F170601" w14:textId="77777777" w:rsidR="0083014D" w:rsidRPr="00157464" w:rsidRDefault="0083014D" w:rsidP="00157464">
            <w:pPr>
              <w:pStyle w:val="TableBody"/>
            </w:pPr>
            <w:r w:rsidRPr="00157464">
              <w:t>660.7</w:t>
            </w:r>
          </w:p>
        </w:tc>
      </w:tr>
      <w:tr w:rsidR="0083014D" w:rsidRPr="00157464" w14:paraId="434F02D2" w14:textId="77777777" w:rsidTr="00157464">
        <w:trPr>
          <w:trHeight w:val="288"/>
        </w:trPr>
        <w:tc>
          <w:tcPr>
            <w:tcW w:w="2500" w:type="pct"/>
            <w:noWrap/>
            <w:hideMark/>
          </w:tcPr>
          <w:p w14:paraId="71F893E9" w14:textId="77777777" w:rsidR="0083014D" w:rsidRPr="00157464" w:rsidRDefault="0083014D" w:rsidP="00157464">
            <w:pPr>
              <w:pStyle w:val="TableBody"/>
            </w:pPr>
            <w:r w:rsidRPr="00157464">
              <w:t>2011</w:t>
            </w:r>
          </w:p>
        </w:tc>
        <w:tc>
          <w:tcPr>
            <w:tcW w:w="2500" w:type="pct"/>
            <w:noWrap/>
            <w:hideMark/>
          </w:tcPr>
          <w:p w14:paraId="684F3FC9" w14:textId="77777777" w:rsidR="0083014D" w:rsidRPr="00157464" w:rsidRDefault="0083014D" w:rsidP="00157464">
            <w:pPr>
              <w:pStyle w:val="TableBody"/>
            </w:pPr>
            <w:r w:rsidRPr="00157464">
              <w:t>756.1</w:t>
            </w:r>
          </w:p>
        </w:tc>
      </w:tr>
      <w:tr w:rsidR="0083014D" w:rsidRPr="00157464" w14:paraId="7BD25055" w14:textId="77777777" w:rsidTr="00157464">
        <w:trPr>
          <w:trHeight w:val="288"/>
        </w:trPr>
        <w:tc>
          <w:tcPr>
            <w:tcW w:w="2500" w:type="pct"/>
            <w:noWrap/>
            <w:hideMark/>
          </w:tcPr>
          <w:p w14:paraId="492C1558" w14:textId="77777777" w:rsidR="0083014D" w:rsidRPr="00157464" w:rsidRDefault="0083014D" w:rsidP="00157464">
            <w:pPr>
              <w:pStyle w:val="TableBody"/>
            </w:pPr>
            <w:r w:rsidRPr="00157464">
              <w:t>2012</w:t>
            </w:r>
          </w:p>
        </w:tc>
        <w:tc>
          <w:tcPr>
            <w:tcW w:w="2500" w:type="pct"/>
            <w:noWrap/>
            <w:hideMark/>
          </w:tcPr>
          <w:p w14:paraId="3B3BAFC1" w14:textId="77777777" w:rsidR="0083014D" w:rsidRPr="00157464" w:rsidRDefault="0083014D" w:rsidP="00157464">
            <w:pPr>
              <w:pStyle w:val="TableBody"/>
            </w:pPr>
            <w:r w:rsidRPr="00157464">
              <w:t>825.0</w:t>
            </w:r>
          </w:p>
        </w:tc>
      </w:tr>
      <w:tr w:rsidR="0083014D" w:rsidRPr="00157464" w14:paraId="5C9E70EB" w14:textId="77777777" w:rsidTr="00157464">
        <w:trPr>
          <w:trHeight w:val="288"/>
        </w:trPr>
        <w:tc>
          <w:tcPr>
            <w:tcW w:w="2500" w:type="pct"/>
            <w:noWrap/>
            <w:hideMark/>
          </w:tcPr>
          <w:p w14:paraId="4E60C92F" w14:textId="77777777" w:rsidR="0083014D" w:rsidRPr="00157464" w:rsidRDefault="0083014D" w:rsidP="00157464">
            <w:pPr>
              <w:pStyle w:val="TableBody"/>
            </w:pPr>
            <w:r w:rsidRPr="00157464">
              <w:t>2013</w:t>
            </w:r>
          </w:p>
        </w:tc>
        <w:tc>
          <w:tcPr>
            <w:tcW w:w="2500" w:type="pct"/>
            <w:noWrap/>
            <w:hideMark/>
          </w:tcPr>
          <w:p w14:paraId="7212F719" w14:textId="77777777" w:rsidR="0083014D" w:rsidRPr="00157464" w:rsidRDefault="0083014D" w:rsidP="00157464">
            <w:pPr>
              <w:pStyle w:val="TableBody"/>
            </w:pPr>
            <w:r w:rsidRPr="00157464">
              <w:t>821.3</w:t>
            </w:r>
          </w:p>
        </w:tc>
      </w:tr>
      <w:tr w:rsidR="0083014D" w:rsidRPr="00157464" w14:paraId="6B435176" w14:textId="77777777" w:rsidTr="00157464">
        <w:trPr>
          <w:trHeight w:val="288"/>
        </w:trPr>
        <w:tc>
          <w:tcPr>
            <w:tcW w:w="2500" w:type="pct"/>
            <w:noWrap/>
            <w:hideMark/>
          </w:tcPr>
          <w:p w14:paraId="455EC482" w14:textId="77777777" w:rsidR="0083014D" w:rsidRPr="00157464" w:rsidRDefault="0083014D" w:rsidP="00157464">
            <w:pPr>
              <w:pStyle w:val="TableBody"/>
            </w:pPr>
            <w:r w:rsidRPr="00157464">
              <w:t>2014</w:t>
            </w:r>
          </w:p>
        </w:tc>
        <w:tc>
          <w:tcPr>
            <w:tcW w:w="2500" w:type="pct"/>
            <w:noWrap/>
            <w:hideMark/>
          </w:tcPr>
          <w:p w14:paraId="5FA58099" w14:textId="77777777" w:rsidR="0083014D" w:rsidRPr="00157464" w:rsidRDefault="0083014D" w:rsidP="00157464">
            <w:pPr>
              <w:pStyle w:val="TableBody"/>
            </w:pPr>
            <w:r w:rsidRPr="00157464">
              <w:t>829.4</w:t>
            </w:r>
          </w:p>
        </w:tc>
      </w:tr>
      <w:tr w:rsidR="0083014D" w:rsidRPr="00157464" w14:paraId="263FFBE2" w14:textId="77777777" w:rsidTr="00157464">
        <w:trPr>
          <w:trHeight w:val="288"/>
        </w:trPr>
        <w:tc>
          <w:tcPr>
            <w:tcW w:w="2500" w:type="pct"/>
            <w:noWrap/>
            <w:hideMark/>
          </w:tcPr>
          <w:p w14:paraId="1098FA94" w14:textId="77777777" w:rsidR="0083014D" w:rsidRPr="00157464" w:rsidRDefault="0083014D" w:rsidP="00157464">
            <w:pPr>
              <w:pStyle w:val="TableBody"/>
            </w:pPr>
            <w:r w:rsidRPr="00157464">
              <w:t>2015</w:t>
            </w:r>
          </w:p>
        </w:tc>
        <w:tc>
          <w:tcPr>
            <w:tcW w:w="2500" w:type="pct"/>
            <w:noWrap/>
            <w:hideMark/>
          </w:tcPr>
          <w:p w14:paraId="57D1CA05" w14:textId="77777777" w:rsidR="0083014D" w:rsidRPr="00157464" w:rsidRDefault="0083014D" w:rsidP="00157464">
            <w:pPr>
              <w:pStyle w:val="TableBody"/>
            </w:pPr>
            <w:r w:rsidRPr="00157464">
              <w:t>885.1</w:t>
            </w:r>
          </w:p>
        </w:tc>
      </w:tr>
      <w:tr w:rsidR="0083014D" w:rsidRPr="00157464" w14:paraId="6765567D" w14:textId="77777777" w:rsidTr="00157464">
        <w:trPr>
          <w:trHeight w:val="288"/>
        </w:trPr>
        <w:tc>
          <w:tcPr>
            <w:tcW w:w="2500" w:type="pct"/>
            <w:noWrap/>
            <w:hideMark/>
          </w:tcPr>
          <w:p w14:paraId="7FAECD50" w14:textId="77777777" w:rsidR="0083014D" w:rsidRPr="00157464" w:rsidRDefault="0083014D" w:rsidP="00157464">
            <w:pPr>
              <w:pStyle w:val="TableBody"/>
            </w:pPr>
            <w:r w:rsidRPr="00157464">
              <w:t>2016</w:t>
            </w:r>
          </w:p>
        </w:tc>
        <w:tc>
          <w:tcPr>
            <w:tcW w:w="2500" w:type="pct"/>
            <w:noWrap/>
            <w:hideMark/>
          </w:tcPr>
          <w:p w14:paraId="70076973" w14:textId="77777777" w:rsidR="0083014D" w:rsidRPr="00157464" w:rsidRDefault="0083014D" w:rsidP="00157464">
            <w:pPr>
              <w:pStyle w:val="TableBody"/>
            </w:pPr>
            <w:r w:rsidRPr="00157464">
              <w:t>922.5</w:t>
            </w:r>
          </w:p>
        </w:tc>
      </w:tr>
      <w:tr w:rsidR="0083014D" w:rsidRPr="00157464" w14:paraId="6257C601" w14:textId="77777777" w:rsidTr="00157464">
        <w:trPr>
          <w:trHeight w:val="288"/>
        </w:trPr>
        <w:tc>
          <w:tcPr>
            <w:tcW w:w="2500" w:type="pct"/>
            <w:noWrap/>
            <w:hideMark/>
          </w:tcPr>
          <w:p w14:paraId="35B3E109" w14:textId="77777777" w:rsidR="0083014D" w:rsidRPr="00157464" w:rsidRDefault="0083014D" w:rsidP="00157464">
            <w:pPr>
              <w:pStyle w:val="TableBody"/>
            </w:pPr>
            <w:r w:rsidRPr="00157464">
              <w:t>2017</w:t>
            </w:r>
          </w:p>
        </w:tc>
        <w:tc>
          <w:tcPr>
            <w:tcW w:w="2500" w:type="pct"/>
            <w:noWrap/>
            <w:hideMark/>
          </w:tcPr>
          <w:p w14:paraId="50CCF820" w14:textId="77777777" w:rsidR="0083014D" w:rsidRPr="00157464" w:rsidRDefault="0083014D" w:rsidP="00157464">
            <w:pPr>
              <w:pStyle w:val="TableBody"/>
            </w:pPr>
            <w:r w:rsidRPr="00157464">
              <w:t>872.5</w:t>
            </w:r>
          </w:p>
        </w:tc>
      </w:tr>
      <w:tr w:rsidR="0083014D" w:rsidRPr="00157464" w14:paraId="02F99E0B" w14:textId="77777777" w:rsidTr="00157464">
        <w:trPr>
          <w:trHeight w:val="288"/>
        </w:trPr>
        <w:tc>
          <w:tcPr>
            <w:tcW w:w="2500" w:type="pct"/>
            <w:noWrap/>
            <w:hideMark/>
          </w:tcPr>
          <w:p w14:paraId="5C540128" w14:textId="77777777" w:rsidR="0083014D" w:rsidRPr="00157464" w:rsidRDefault="0083014D" w:rsidP="00157464">
            <w:pPr>
              <w:pStyle w:val="TableBody"/>
            </w:pPr>
            <w:r w:rsidRPr="00157464">
              <w:t>2018</w:t>
            </w:r>
          </w:p>
        </w:tc>
        <w:tc>
          <w:tcPr>
            <w:tcW w:w="2500" w:type="pct"/>
            <w:noWrap/>
            <w:hideMark/>
          </w:tcPr>
          <w:p w14:paraId="1DBD51D8" w14:textId="77777777" w:rsidR="0083014D" w:rsidRPr="00157464" w:rsidRDefault="0083014D" w:rsidP="00157464">
            <w:pPr>
              <w:pStyle w:val="TableBody"/>
            </w:pPr>
            <w:r w:rsidRPr="00157464">
              <w:t>955.5</w:t>
            </w:r>
          </w:p>
        </w:tc>
      </w:tr>
      <w:tr w:rsidR="0083014D" w:rsidRPr="00157464" w14:paraId="2265E17B" w14:textId="77777777" w:rsidTr="00157464">
        <w:trPr>
          <w:trHeight w:val="288"/>
        </w:trPr>
        <w:tc>
          <w:tcPr>
            <w:tcW w:w="2500" w:type="pct"/>
            <w:noWrap/>
            <w:hideMark/>
          </w:tcPr>
          <w:p w14:paraId="3D30C5EB" w14:textId="77777777" w:rsidR="0083014D" w:rsidRPr="00157464" w:rsidRDefault="0083014D" w:rsidP="00157464">
            <w:pPr>
              <w:pStyle w:val="TableBody"/>
            </w:pPr>
            <w:r w:rsidRPr="00157464">
              <w:t>2019</w:t>
            </w:r>
          </w:p>
        </w:tc>
        <w:tc>
          <w:tcPr>
            <w:tcW w:w="2500" w:type="pct"/>
            <w:noWrap/>
            <w:hideMark/>
          </w:tcPr>
          <w:p w14:paraId="13258B83" w14:textId="77777777" w:rsidR="0083014D" w:rsidRPr="00157464" w:rsidRDefault="0083014D" w:rsidP="00157464">
            <w:pPr>
              <w:pStyle w:val="TableBody"/>
            </w:pPr>
            <w:r w:rsidRPr="00157464">
              <w:t>942.9</w:t>
            </w:r>
          </w:p>
        </w:tc>
      </w:tr>
      <w:tr w:rsidR="0083014D" w:rsidRPr="00157464" w14:paraId="7436BC39" w14:textId="77777777" w:rsidTr="00157464">
        <w:trPr>
          <w:trHeight w:val="288"/>
        </w:trPr>
        <w:tc>
          <w:tcPr>
            <w:tcW w:w="2500" w:type="pct"/>
            <w:noWrap/>
            <w:hideMark/>
          </w:tcPr>
          <w:p w14:paraId="3987EAB3" w14:textId="77777777" w:rsidR="0083014D" w:rsidRPr="00157464" w:rsidRDefault="0083014D" w:rsidP="00157464">
            <w:pPr>
              <w:pStyle w:val="TableBody"/>
            </w:pPr>
            <w:r w:rsidRPr="00157464">
              <w:t>2020</w:t>
            </w:r>
          </w:p>
        </w:tc>
        <w:tc>
          <w:tcPr>
            <w:tcW w:w="2500" w:type="pct"/>
            <w:noWrap/>
            <w:hideMark/>
          </w:tcPr>
          <w:p w14:paraId="2E43A5A7" w14:textId="77777777" w:rsidR="0083014D" w:rsidRPr="00157464" w:rsidRDefault="0083014D" w:rsidP="00157464">
            <w:pPr>
              <w:pStyle w:val="TableBody"/>
            </w:pPr>
            <w:r w:rsidRPr="00157464">
              <w:t>886.7</w:t>
            </w:r>
          </w:p>
        </w:tc>
      </w:tr>
      <w:tr w:rsidR="0083014D" w:rsidRPr="00157464" w14:paraId="0C6FA960" w14:textId="77777777" w:rsidTr="00157464">
        <w:trPr>
          <w:trHeight w:val="288"/>
        </w:trPr>
        <w:tc>
          <w:tcPr>
            <w:tcW w:w="2500" w:type="pct"/>
            <w:noWrap/>
            <w:hideMark/>
          </w:tcPr>
          <w:p w14:paraId="72DFDEA0" w14:textId="77777777" w:rsidR="0083014D" w:rsidRPr="00157464" w:rsidRDefault="0083014D" w:rsidP="00157464">
            <w:pPr>
              <w:pStyle w:val="TableBody"/>
            </w:pPr>
            <w:r w:rsidRPr="00157464">
              <w:t>2021</w:t>
            </w:r>
          </w:p>
        </w:tc>
        <w:tc>
          <w:tcPr>
            <w:tcW w:w="2500" w:type="pct"/>
            <w:noWrap/>
            <w:hideMark/>
          </w:tcPr>
          <w:p w14:paraId="116C8D26" w14:textId="77777777" w:rsidR="0083014D" w:rsidRPr="00157464" w:rsidRDefault="0083014D" w:rsidP="00157464">
            <w:pPr>
              <w:pStyle w:val="TableBody"/>
            </w:pPr>
            <w:r w:rsidRPr="00157464">
              <w:t>970.6</w:t>
            </w:r>
          </w:p>
        </w:tc>
      </w:tr>
      <w:tr w:rsidR="0083014D" w:rsidRPr="00157464" w14:paraId="0579F105" w14:textId="77777777" w:rsidTr="00157464">
        <w:trPr>
          <w:trHeight w:val="288"/>
        </w:trPr>
        <w:tc>
          <w:tcPr>
            <w:tcW w:w="2500" w:type="pct"/>
            <w:noWrap/>
            <w:hideMark/>
          </w:tcPr>
          <w:p w14:paraId="32C16EB0" w14:textId="77777777" w:rsidR="0083014D" w:rsidRPr="00157464" w:rsidRDefault="0083014D" w:rsidP="00157464">
            <w:pPr>
              <w:pStyle w:val="TableBody"/>
            </w:pPr>
            <w:r w:rsidRPr="00157464">
              <w:t>2022</w:t>
            </w:r>
          </w:p>
        </w:tc>
        <w:tc>
          <w:tcPr>
            <w:tcW w:w="2500" w:type="pct"/>
            <w:noWrap/>
            <w:hideMark/>
          </w:tcPr>
          <w:p w14:paraId="41C03339" w14:textId="77777777" w:rsidR="0083014D" w:rsidRPr="00157464" w:rsidRDefault="0083014D" w:rsidP="00157464">
            <w:pPr>
              <w:pStyle w:val="TableBody"/>
            </w:pPr>
            <w:r w:rsidRPr="00157464">
              <w:t>1,026.6</w:t>
            </w:r>
          </w:p>
        </w:tc>
      </w:tr>
      <w:tr w:rsidR="0083014D" w:rsidRPr="00157464" w14:paraId="56BB1423" w14:textId="77777777" w:rsidTr="00157464">
        <w:trPr>
          <w:trHeight w:val="288"/>
        </w:trPr>
        <w:tc>
          <w:tcPr>
            <w:tcW w:w="2500" w:type="pct"/>
            <w:noWrap/>
            <w:hideMark/>
          </w:tcPr>
          <w:p w14:paraId="32200217" w14:textId="77777777" w:rsidR="0083014D" w:rsidRPr="00157464" w:rsidRDefault="0083014D" w:rsidP="00157464">
            <w:pPr>
              <w:pStyle w:val="TableBody"/>
            </w:pPr>
            <w:r w:rsidRPr="00157464">
              <w:t>2023</w:t>
            </w:r>
          </w:p>
        </w:tc>
        <w:tc>
          <w:tcPr>
            <w:tcW w:w="2500" w:type="pct"/>
            <w:noWrap/>
            <w:hideMark/>
          </w:tcPr>
          <w:p w14:paraId="10FD0BD1" w14:textId="77777777" w:rsidR="0083014D" w:rsidRPr="00157464" w:rsidRDefault="0083014D" w:rsidP="00157464">
            <w:pPr>
              <w:pStyle w:val="TableBody"/>
            </w:pPr>
            <w:r w:rsidRPr="00157464">
              <w:t>1,106.9</w:t>
            </w:r>
          </w:p>
        </w:tc>
      </w:tr>
      <w:tr w:rsidR="0083014D" w:rsidRPr="00157464" w14:paraId="4CC39431" w14:textId="77777777" w:rsidTr="00157464">
        <w:trPr>
          <w:trHeight w:val="288"/>
        </w:trPr>
        <w:tc>
          <w:tcPr>
            <w:tcW w:w="2500" w:type="pct"/>
            <w:noWrap/>
            <w:hideMark/>
          </w:tcPr>
          <w:p w14:paraId="620059EE" w14:textId="77777777" w:rsidR="0083014D" w:rsidRPr="00157464" w:rsidRDefault="0083014D" w:rsidP="00157464">
            <w:pPr>
              <w:pStyle w:val="TableBody"/>
            </w:pPr>
            <w:r w:rsidRPr="00157464">
              <w:t>2024</w:t>
            </w:r>
          </w:p>
        </w:tc>
        <w:tc>
          <w:tcPr>
            <w:tcW w:w="2500" w:type="pct"/>
            <w:noWrap/>
            <w:hideMark/>
          </w:tcPr>
          <w:p w14:paraId="4286E9C9" w14:textId="77777777" w:rsidR="0083014D" w:rsidRPr="00157464" w:rsidRDefault="0083014D" w:rsidP="00157464">
            <w:pPr>
              <w:pStyle w:val="TableBody"/>
            </w:pPr>
            <w:r w:rsidRPr="00157464">
              <w:t>1,182.0</w:t>
            </w:r>
          </w:p>
        </w:tc>
      </w:tr>
    </w:tbl>
    <w:p w14:paraId="791F7F1F" w14:textId="77777777" w:rsidR="00A4454A" w:rsidRPr="008C1137" w:rsidRDefault="00A4454A" w:rsidP="00D4532A">
      <w:r w:rsidRPr="000C258A">
        <w:rPr>
          <w:rStyle w:val="Strong"/>
        </w:rPr>
        <w:t>Source</w:t>
      </w:r>
      <w:r w:rsidRPr="008C1137">
        <w:t>: Australian Bureau of Statistics,</w:t>
      </w:r>
      <w:r w:rsidRPr="008C1137">
        <w:rPr>
          <w:rStyle w:val="Italic"/>
        </w:rPr>
        <w:t xml:space="preserve"> Prisoners in Australia</w:t>
      </w:r>
      <w:r w:rsidRPr="008C1137">
        <w:t>, cat. no. 4517.0 (abs.gov.au, 2024) Table 19</w:t>
      </w:r>
    </w:p>
    <w:p w14:paraId="485CCCBC" w14:textId="77777777" w:rsidR="00A4454A" w:rsidRPr="008C1137" w:rsidRDefault="00A4454A" w:rsidP="00BE4EDC">
      <w:pPr>
        <w:pStyle w:val="Caption"/>
      </w:pPr>
      <w:r w:rsidRPr="00157502">
        <w:t>Figure 40</w:t>
      </w:r>
      <w:r w:rsidRPr="008C1137">
        <w:t>: Per capita imprisonment rate (prisoners per 100,000 adults) in Australian jurisdictions on 30 June, 2005 to 2024</w:t>
      </w:r>
    </w:p>
    <w:tbl>
      <w:tblPr>
        <w:tblStyle w:val="Table"/>
        <w:tblW w:w="5000" w:type="pct"/>
        <w:tblLook w:val="04A0" w:firstRow="1" w:lastRow="0" w:firstColumn="1" w:lastColumn="0" w:noHBand="0" w:noVBand="1"/>
      </w:tblPr>
      <w:tblGrid>
        <w:gridCol w:w="1127"/>
        <w:gridCol w:w="1127"/>
        <w:gridCol w:w="1127"/>
        <w:gridCol w:w="1127"/>
        <w:gridCol w:w="1127"/>
        <w:gridCol w:w="1127"/>
        <w:gridCol w:w="1127"/>
        <w:gridCol w:w="1127"/>
      </w:tblGrid>
      <w:tr w:rsidR="0083014D" w:rsidRPr="00D16565" w14:paraId="313A74AB" w14:textId="77777777" w:rsidTr="00BD32A2">
        <w:trPr>
          <w:trHeight w:val="306"/>
          <w:tblHeader/>
        </w:trPr>
        <w:tc>
          <w:tcPr>
            <w:tcW w:w="625" w:type="pct"/>
            <w:noWrap/>
            <w:hideMark/>
          </w:tcPr>
          <w:p w14:paraId="70DD50B1" w14:textId="7F0CA5F1" w:rsidR="0083014D" w:rsidRPr="0033180A" w:rsidRDefault="0033180A" w:rsidP="0033180A">
            <w:pPr>
              <w:pStyle w:val="TableHeading"/>
            </w:pPr>
            <w:r>
              <w:t>Year</w:t>
            </w:r>
          </w:p>
        </w:tc>
        <w:tc>
          <w:tcPr>
            <w:tcW w:w="625" w:type="pct"/>
            <w:noWrap/>
            <w:hideMark/>
          </w:tcPr>
          <w:p w14:paraId="03797B23" w14:textId="77777777" w:rsidR="0083014D" w:rsidRPr="0033180A" w:rsidRDefault="0083014D" w:rsidP="0033180A">
            <w:pPr>
              <w:pStyle w:val="TableHeading"/>
            </w:pPr>
            <w:r w:rsidRPr="0033180A">
              <w:t>WA</w:t>
            </w:r>
          </w:p>
        </w:tc>
        <w:tc>
          <w:tcPr>
            <w:tcW w:w="625" w:type="pct"/>
            <w:noWrap/>
            <w:hideMark/>
          </w:tcPr>
          <w:p w14:paraId="66759101" w14:textId="77777777" w:rsidR="0083014D" w:rsidRPr="0033180A" w:rsidRDefault="0083014D" w:rsidP="0033180A">
            <w:pPr>
              <w:pStyle w:val="TableHeading"/>
            </w:pPr>
            <w:r w:rsidRPr="0033180A">
              <w:t>Qld.</w:t>
            </w:r>
          </w:p>
        </w:tc>
        <w:tc>
          <w:tcPr>
            <w:tcW w:w="625" w:type="pct"/>
            <w:noWrap/>
            <w:hideMark/>
          </w:tcPr>
          <w:p w14:paraId="4748C268" w14:textId="77777777" w:rsidR="0083014D" w:rsidRPr="0033180A" w:rsidRDefault="0083014D" w:rsidP="0033180A">
            <w:pPr>
              <w:pStyle w:val="TableHeading"/>
            </w:pPr>
            <w:r w:rsidRPr="0033180A">
              <w:t>SA</w:t>
            </w:r>
          </w:p>
        </w:tc>
        <w:tc>
          <w:tcPr>
            <w:tcW w:w="625" w:type="pct"/>
            <w:noWrap/>
            <w:hideMark/>
          </w:tcPr>
          <w:p w14:paraId="4D56F0F6" w14:textId="77777777" w:rsidR="0083014D" w:rsidRPr="0033180A" w:rsidRDefault="0083014D" w:rsidP="0033180A">
            <w:pPr>
              <w:pStyle w:val="TableHeading"/>
            </w:pPr>
            <w:r w:rsidRPr="0033180A">
              <w:t>NSW</w:t>
            </w:r>
          </w:p>
        </w:tc>
        <w:tc>
          <w:tcPr>
            <w:tcW w:w="625" w:type="pct"/>
            <w:noWrap/>
            <w:hideMark/>
          </w:tcPr>
          <w:p w14:paraId="1B66FDC3" w14:textId="75258EAC" w:rsidR="0083014D" w:rsidRPr="0033180A" w:rsidRDefault="0083014D" w:rsidP="0033180A">
            <w:pPr>
              <w:pStyle w:val="TableHeading"/>
            </w:pPr>
            <w:r w:rsidRPr="0033180A">
              <w:t>Tas</w:t>
            </w:r>
          </w:p>
        </w:tc>
        <w:tc>
          <w:tcPr>
            <w:tcW w:w="625" w:type="pct"/>
            <w:noWrap/>
            <w:hideMark/>
          </w:tcPr>
          <w:p w14:paraId="5921E6FF" w14:textId="3CDF59FD" w:rsidR="0083014D" w:rsidRPr="0033180A" w:rsidRDefault="0083014D" w:rsidP="0033180A">
            <w:pPr>
              <w:pStyle w:val="TableHeading"/>
            </w:pPr>
            <w:r w:rsidRPr="0033180A">
              <w:t>Vic</w:t>
            </w:r>
          </w:p>
        </w:tc>
        <w:tc>
          <w:tcPr>
            <w:tcW w:w="625" w:type="pct"/>
            <w:noWrap/>
            <w:hideMark/>
          </w:tcPr>
          <w:p w14:paraId="04A7B795" w14:textId="77777777" w:rsidR="0083014D" w:rsidRPr="0033180A" w:rsidRDefault="0083014D" w:rsidP="0033180A">
            <w:pPr>
              <w:pStyle w:val="TableHeading"/>
            </w:pPr>
            <w:r w:rsidRPr="0033180A">
              <w:t>ACT</w:t>
            </w:r>
          </w:p>
        </w:tc>
      </w:tr>
      <w:tr w:rsidR="0083014D" w:rsidRPr="00D16565" w14:paraId="66E80C5C" w14:textId="77777777" w:rsidTr="00BD32A2">
        <w:trPr>
          <w:trHeight w:val="288"/>
        </w:trPr>
        <w:tc>
          <w:tcPr>
            <w:tcW w:w="625" w:type="pct"/>
            <w:noWrap/>
            <w:hideMark/>
          </w:tcPr>
          <w:p w14:paraId="2A9A9E09" w14:textId="77777777" w:rsidR="0083014D" w:rsidRPr="0033180A" w:rsidRDefault="0083014D" w:rsidP="0033180A">
            <w:pPr>
              <w:pStyle w:val="TableBody"/>
            </w:pPr>
            <w:r w:rsidRPr="0033180A">
              <w:t>2004</w:t>
            </w:r>
          </w:p>
        </w:tc>
        <w:tc>
          <w:tcPr>
            <w:tcW w:w="625" w:type="pct"/>
            <w:noWrap/>
            <w:hideMark/>
          </w:tcPr>
          <w:p w14:paraId="06A99AEB" w14:textId="77777777" w:rsidR="0083014D" w:rsidRPr="0033180A" w:rsidRDefault="0083014D" w:rsidP="0033180A">
            <w:pPr>
              <w:pStyle w:val="TableBody"/>
            </w:pPr>
            <w:r w:rsidRPr="0033180A">
              <w:t>213.0</w:t>
            </w:r>
          </w:p>
        </w:tc>
        <w:tc>
          <w:tcPr>
            <w:tcW w:w="625" w:type="pct"/>
            <w:noWrap/>
            <w:hideMark/>
          </w:tcPr>
          <w:p w14:paraId="33A8D19C" w14:textId="77777777" w:rsidR="0083014D" w:rsidRPr="0033180A" w:rsidRDefault="0083014D" w:rsidP="0033180A">
            <w:pPr>
              <w:pStyle w:val="TableBody"/>
            </w:pPr>
            <w:r w:rsidRPr="0033180A">
              <w:t>179.8</w:t>
            </w:r>
          </w:p>
        </w:tc>
        <w:tc>
          <w:tcPr>
            <w:tcW w:w="625" w:type="pct"/>
            <w:noWrap/>
            <w:hideMark/>
          </w:tcPr>
          <w:p w14:paraId="6E7E15E6" w14:textId="77777777" w:rsidR="0083014D" w:rsidRPr="0033180A" w:rsidRDefault="0083014D" w:rsidP="0033180A">
            <w:pPr>
              <w:pStyle w:val="TableBody"/>
            </w:pPr>
            <w:r w:rsidRPr="0033180A">
              <w:t>125.9</w:t>
            </w:r>
          </w:p>
        </w:tc>
        <w:tc>
          <w:tcPr>
            <w:tcW w:w="625" w:type="pct"/>
            <w:noWrap/>
            <w:hideMark/>
          </w:tcPr>
          <w:p w14:paraId="761B1CA6" w14:textId="77777777" w:rsidR="0083014D" w:rsidRPr="0033180A" w:rsidRDefault="0083014D" w:rsidP="0033180A">
            <w:pPr>
              <w:pStyle w:val="TableBody"/>
            </w:pPr>
            <w:r w:rsidRPr="0033180A">
              <w:t>182.1</w:t>
            </w:r>
          </w:p>
        </w:tc>
        <w:tc>
          <w:tcPr>
            <w:tcW w:w="625" w:type="pct"/>
            <w:noWrap/>
            <w:hideMark/>
          </w:tcPr>
          <w:p w14:paraId="09271581" w14:textId="77777777" w:rsidR="0083014D" w:rsidRPr="0033180A" w:rsidRDefault="0083014D" w:rsidP="0033180A">
            <w:pPr>
              <w:pStyle w:val="TableBody"/>
            </w:pPr>
            <w:r w:rsidRPr="0033180A">
              <w:t>122.5</w:t>
            </w:r>
          </w:p>
        </w:tc>
        <w:tc>
          <w:tcPr>
            <w:tcW w:w="625" w:type="pct"/>
            <w:noWrap/>
            <w:hideMark/>
          </w:tcPr>
          <w:p w14:paraId="3B709974" w14:textId="77777777" w:rsidR="0083014D" w:rsidRPr="0033180A" w:rsidRDefault="0083014D" w:rsidP="0033180A">
            <w:pPr>
              <w:pStyle w:val="TableBody"/>
            </w:pPr>
            <w:r w:rsidRPr="0033180A">
              <w:t>94.6</w:t>
            </w:r>
          </w:p>
        </w:tc>
        <w:tc>
          <w:tcPr>
            <w:tcW w:w="625" w:type="pct"/>
            <w:noWrap/>
            <w:hideMark/>
          </w:tcPr>
          <w:p w14:paraId="69BBDBB1" w14:textId="77777777" w:rsidR="0083014D" w:rsidRPr="0033180A" w:rsidRDefault="0083014D" w:rsidP="0033180A">
            <w:pPr>
              <w:pStyle w:val="TableBody"/>
            </w:pPr>
            <w:r w:rsidRPr="0033180A">
              <w:t>110.9</w:t>
            </w:r>
          </w:p>
        </w:tc>
      </w:tr>
      <w:tr w:rsidR="0083014D" w:rsidRPr="00D16565" w14:paraId="71819213" w14:textId="77777777" w:rsidTr="00BD32A2">
        <w:trPr>
          <w:trHeight w:val="288"/>
        </w:trPr>
        <w:tc>
          <w:tcPr>
            <w:tcW w:w="625" w:type="pct"/>
            <w:noWrap/>
            <w:hideMark/>
          </w:tcPr>
          <w:p w14:paraId="6F2F174F" w14:textId="77777777" w:rsidR="0083014D" w:rsidRPr="0033180A" w:rsidRDefault="0083014D" w:rsidP="0033180A">
            <w:pPr>
              <w:pStyle w:val="TableBody"/>
            </w:pPr>
            <w:r w:rsidRPr="0033180A">
              <w:t>2005</w:t>
            </w:r>
          </w:p>
        </w:tc>
        <w:tc>
          <w:tcPr>
            <w:tcW w:w="625" w:type="pct"/>
            <w:noWrap/>
            <w:hideMark/>
          </w:tcPr>
          <w:p w14:paraId="5C773675" w14:textId="77777777" w:rsidR="0083014D" w:rsidRPr="0033180A" w:rsidRDefault="0083014D" w:rsidP="0033180A">
            <w:pPr>
              <w:pStyle w:val="TableBody"/>
            </w:pPr>
            <w:r w:rsidRPr="0033180A">
              <w:t>229.7</w:t>
            </w:r>
          </w:p>
        </w:tc>
        <w:tc>
          <w:tcPr>
            <w:tcW w:w="625" w:type="pct"/>
            <w:noWrap/>
            <w:hideMark/>
          </w:tcPr>
          <w:p w14:paraId="647100F1" w14:textId="77777777" w:rsidR="0083014D" w:rsidRPr="0033180A" w:rsidRDefault="0083014D" w:rsidP="0033180A">
            <w:pPr>
              <w:pStyle w:val="TableBody"/>
            </w:pPr>
            <w:r w:rsidRPr="0033180A">
              <w:t>179.3</w:t>
            </w:r>
          </w:p>
        </w:tc>
        <w:tc>
          <w:tcPr>
            <w:tcW w:w="625" w:type="pct"/>
            <w:noWrap/>
            <w:hideMark/>
          </w:tcPr>
          <w:p w14:paraId="5E3E009B" w14:textId="77777777" w:rsidR="0083014D" w:rsidRPr="0033180A" w:rsidRDefault="0083014D" w:rsidP="0033180A">
            <w:pPr>
              <w:pStyle w:val="TableBody"/>
            </w:pPr>
            <w:r w:rsidRPr="0033180A">
              <w:t>123.7</w:t>
            </w:r>
          </w:p>
        </w:tc>
        <w:tc>
          <w:tcPr>
            <w:tcW w:w="625" w:type="pct"/>
            <w:noWrap/>
            <w:hideMark/>
          </w:tcPr>
          <w:p w14:paraId="0BAA1919" w14:textId="77777777" w:rsidR="0083014D" w:rsidRPr="0033180A" w:rsidRDefault="0083014D" w:rsidP="0033180A">
            <w:pPr>
              <w:pStyle w:val="TableBody"/>
            </w:pPr>
            <w:r w:rsidRPr="0033180A">
              <w:t>190.4</w:t>
            </w:r>
          </w:p>
        </w:tc>
        <w:tc>
          <w:tcPr>
            <w:tcW w:w="625" w:type="pct"/>
            <w:noWrap/>
            <w:hideMark/>
          </w:tcPr>
          <w:p w14:paraId="17917EF2" w14:textId="77777777" w:rsidR="0083014D" w:rsidRPr="0033180A" w:rsidRDefault="0083014D" w:rsidP="0033180A">
            <w:pPr>
              <w:pStyle w:val="TableBody"/>
            </w:pPr>
            <w:r w:rsidRPr="0033180A">
              <w:t>149.5</w:t>
            </w:r>
          </w:p>
        </w:tc>
        <w:tc>
          <w:tcPr>
            <w:tcW w:w="625" w:type="pct"/>
            <w:noWrap/>
            <w:hideMark/>
          </w:tcPr>
          <w:p w14:paraId="43BFB97E" w14:textId="77777777" w:rsidR="0083014D" w:rsidRPr="0033180A" w:rsidRDefault="0083014D" w:rsidP="0033180A">
            <w:pPr>
              <w:pStyle w:val="TableBody"/>
            </w:pPr>
            <w:r w:rsidRPr="0033180A">
              <w:t>95.0</w:t>
            </w:r>
          </w:p>
        </w:tc>
        <w:tc>
          <w:tcPr>
            <w:tcW w:w="625" w:type="pct"/>
            <w:noWrap/>
            <w:hideMark/>
          </w:tcPr>
          <w:p w14:paraId="2D3BFDBA" w14:textId="77777777" w:rsidR="0083014D" w:rsidRPr="0033180A" w:rsidRDefault="0083014D" w:rsidP="0033180A">
            <w:pPr>
              <w:pStyle w:val="TableBody"/>
            </w:pPr>
            <w:r w:rsidRPr="0033180A">
              <w:t>108.5</w:t>
            </w:r>
          </w:p>
        </w:tc>
      </w:tr>
      <w:tr w:rsidR="0083014D" w:rsidRPr="00D16565" w14:paraId="09C047E0" w14:textId="77777777" w:rsidTr="00BD32A2">
        <w:trPr>
          <w:trHeight w:val="288"/>
        </w:trPr>
        <w:tc>
          <w:tcPr>
            <w:tcW w:w="625" w:type="pct"/>
            <w:noWrap/>
            <w:hideMark/>
          </w:tcPr>
          <w:p w14:paraId="12CDC403" w14:textId="77777777" w:rsidR="0083014D" w:rsidRPr="0033180A" w:rsidRDefault="0083014D" w:rsidP="0033180A">
            <w:pPr>
              <w:pStyle w:val="TableBody"/>
            </w:pPr>
            <w:r w:rsidRPr="0033180A">
              <w:t>2006</w:t>
            </w:r>
          </w:p>
        </w:tc>
        <w:tc>
          <w:tcPr>
            <w:tcW w:w="625" w:type="pct"/>
            <w:noWrap/>
            <w:hideMark/>
          </w:tcPr>
          <w:p w14:paraId="4E262373" w14:textId="77777777" w:rsidR="0083014D" w:rsidRPr="0033180A" w:rsidRDefault="0083014D" w:rsidP="0033180A">
            <w:pPr>
              <w:pStyle w:val="TableBody"/>
            </w:pPr>
            <w:r w:rsidRPr="0033180A">
              <w:t>227.8</w:t>
            </w:r>
          </w:p>
        </w:tc>
        <w:tc>
          <w:tcPr>
            <w:tcW w:w="625" w:type="pct"/>
            <w:noWrap/>
            <w:hideMark/>
          </w:tcPr>
          <w:p w14:paraId="282ABF22" w14:textId="77777777" w:rsidR="0083014D" w:rsidRPr="0033180A" w:rsidRDefault="0083014D" w:rsidP="0033180A">
            <w:pPr>
              <w:pStyle w:val="TableBody"/>
            </w:pPr>
            <w:r w:rsidRPr="0033180A">
              <w:t>181.8</w:t>
            </w:r>
          </w:p>
        </w:tc>
        <w:tc>
          <w:tcPr>
            <w:tcW w:w="625" w:type="pct"/>
            <w:noWrap/>
            <w:hideMark/>
          </w:tcPr>
          <w:p w14:paraId="0AF3325A" w14:textId="77777777" w:rsidR="0083014D" w:rsidRPr="0033180A" w:rsidRDefault="0083014D" w:rsidP="0033180A">
            <w:pPr>
              <w:pStyle w:val="TableBody"/>
            </w:pPr>
            <w:r w:rsidRPr="0033180A">
              <w:t>130.2</w:t>
            </w:r>
          </w:p>
        </w:tc>
        <w:tc>
          <w:tcPr>
            <w:tcW w:w="625" w:type="pct"/>
            <w:noWrap/>
            <w:hideMark/>
          </w:tcPr>
          <w:p w14:paraId="2EDF669C" w14:textId="77777777" w:rsidR="0083014D" w:rsidRPr="0033180A" w:rsidRDefault="0083014D" w:rsidP="0033180A">
            <w:pPr>
              <w:pStyle w:val="TableBody"/>
            </w:pPr>
            <w:r w:rsidRPr="0033180A">
              <w:t>188.7</w:t>
            </w:r>
          </w:p>
        </w:tc>
        <w:tc>
          <w:tcPr>
            <w:tcW w:w="625" w:type="pct"/>
            <w:noWrap/>
            <w:hideMark/>
          </w:tcPr>
          <w:p w14:paraId="4B704630" w14:textId="77777777" w:rsidR="0083014D" w:rsidRPr="0033180A" w:rsidRDefault="0083014D" w:rsidP="0033180A">
            <w:pPr>
              <w:pStyle w:val="TableBody"/>
            </w:pPr>
            <w:r w:rsidRPr="0033180A">
              <w:t>137.7</w:t>
            </w:r>
          </w:p>
        </w:tc>
        <w:tc>
          <w:tcPr>
            <w:tcW w:w="625" w:type="pct"/>
            <w:noWrap/>
            <w:hideMark/>
          </w:tcPr>
          <w:p w14:paraId="2D417F46" w14:textId="77777777" w:rsidR="0083014D" w:rsidRPr="0033180A" w:rsidRDefault="0083014D" w:rsidP="0033180A">
            <w:pPr>
              <w:pStyle w:val="TableBody"/>
            </w:pPr>
            <w:r w:rsidRPr="0033180A">
              <w:t>100.5</w:t>
            </w:r>
          </w:p>
        </w:tc>
        <w:tc>
          <w:tcPr>
            <w:tcW w:w="625" w:type="pct"/>
            <w:noWrap/>
            <w:hideMark/>
          </w:tcPr>
          <w:p w14:paraId="44BC601E" w14:textId="77777777" w:rsidR="0083014D" w:rsidRPr="0033180A" w:rsidRDefault="0083014D" w:rsidP="0033180A">
            <w:pPr>
              <w:pStyle w:val="TableBody"/>
            </w:pPr>
            <w:r w:rsidRPr="0033180A">
              <w:t>84.7</w:t>
            </w:r>
          </w:p>
        </w:tc>
      </w:tr>
      <w:tr w:rsidR="0083014D" w:rsidRPr="00D16565" w14:paraId="4AA1F5D0" w14:textId="77777777" w:rsidTr="00BD32A2">
        <w:trPr>
          <w:trHeight w:val="288"/>
        </w:trPr>
        <w:tc>
          <w:tcPr>
            <w:tcW w:w="625" w:type="pct"/>
            <w:noWrap/>
            <w:hideMark/>
          </w:tcPr>
          <w:p w14:paraId="30922236" w14:textId="77777777" w:rsidR="0083014D" w:rsidRPr="0033180A" w:rsidRDefault="0083014D" w:rsidP="0033180A">
            <w:pPr>
              <w:pStyle w:val="TableBody"/>
            </w:pPr>
            <w:r w:rsidRPr="0033180A">
              <w:t>2007</w:t>
            </w:r>
          </w:p>
        </w:tc>
        <w:tc>
          <w:tcPr>
            <w:tcW w:w="625" w:type="pct"/>
            <w:noWrap/>
            <w:hideMark/>
          </w:tcPr>
          <w:p w14:paraId="6D40483F" w14:textId="77777777" w:rsidR="0083014D" w:rsidRPr="0033180A" w:rsidRDefault="0083014D" w:rsidP="0033180A">
            <w:pPr>
              <w:pStyle w:val="TableBody"/>
            </w:pPr>
            <w:r w:rsidRPr="0033180A">
              <w:t>241.9</w:t>
            </w:r>
          </w:p>
        </w:tc>
        <w:tc>
          <w:tcPr>
            <w:tcW w:w="625" w:type="pct"/>
            <w:noWrap/>
            <w:hideMark/>
          </w:tcPr>
          <w:p w14:paraId="56209CAF" w14:textId="77777777" w:rsidR="0083014D" w:rsidRPr="0033180A" w:rsidRDefault="0083014D" w:rsidP="0033180A">
            <w:pPr>
              <w:pStyle w:val="TableBody"/>
            </w:pPr>
            <w:r w:rsidRPr="0033180A">
              <w:t>177.3</w:t>
            </w:r>
          </w:p>
        </w:tc>
        <w:tc>
          <w:tcPr>
            <w:tcW w:w="625" w:type="pct"/>
            <w:noWrap/>
            <w:hideMark/>
          </w:tcPr>
          <w:p w14:paraId="3C27D2E5" w14:textId="77777777" w:rsidR="0083014D" w:rsidRPr="0033180A" w:rsidRDefault="0083014D" w:rsidP="0033180A">
            <w:pPr>
              <w:pStyle w:val="TableBody"/>
            </w:pPr>
            <w:r w:rsidRPr="0033180A">
              <w:t>145.3</w:t>
            </w:r>
          </w:p>
        </w:tc>
        <w:tc>
          <w:tcPr>
            <w:tcW w:w="625" w:type="pct"/>
            <w:noWrap/>
            <w:hideMark/>
          </w:tcPr>
          <w:p w14:paraId="5ED2758E" w14:textId="77777777" w:rsidR="0083014D" w:rsidRPr="0033180A" w:rsidRDefault="0083014D" w:rsidP="0033180A">
            <w:pPr>
              <w:pStyle w:val="TableBody"/>
            </w:pPr>
            <w:r w:rsidRPr="0033180A">
              <w:t>195.3</w:t>
            </w:r>
          </w:p>
        </w:tc>
        <w:tc>
          <w:tcPr>
            <w:tcW w:w="625" w:type="pct"/>
            <w:noWrap/>
            <w:hideMark/>
          </w:tcPr>
          <w:p w14:paraId="4AF4A4AC" w14:textId="77777777" w:rsidR="0083014D" w:rsidRPr="0033180A" w:rsidRDefault="0083014D" w:rsidP="0033180A">
            <w:pPr>
              <w:pStyle w:val="TableBody"/>
            </w:pPr>
            <w:r w:rsidRPr="0033180A">
              <w:t>140.6</w:t>
            </w:r>
          </w:p>
        </w:tc>
        <w:tc>
          <w:tcPr>
            <w:tcW w:w="625" w:type="pct"/>
            <w:noWrap/>
            <w:hideMark/>
          </w:tcPr>
          <w:p w14:paraId="265E3D64" w14:textId="77777777" w:rsidR="0083014D" w:rsidRPr="0033180A" w:rsidRDefault="0083014D" w:rsidP="0033180A">
            <w:pPr>
              <w:pStyle w:val="TableBody"/>
            </w:pPr>
            <w:r w:rsidRPr="0033180A">
              <w:t>105.7</w:t>
            </w:r>
          </w:p>
        </w:tc>
        <w:tc>
          <w:tcPr>
            <w:tcW w:w="625" w:type="pct"/>
            <w:noWrap/>
            <w:hideMark/>
          </w:tcPr>
          <w:p w14:paraId="0865F62E" w14:textId="77777777" w:rsidR="0083014D" w:rsidRPr="0033180A" w:rsidRDefault="0083014D" w:rsidP="0033180A">
            <w:pPr>
              <w:pStyle w:val="TableBody"/>
            </w:pPr>
            <w:r w:rsidRPr="0033180A">
              <w:t>90.2</w:t>
            </w:r>
          </w:p>
        </w:tc>
      </w:tr>
      <w:tr w:rsidR="0083014D" w:rsidRPr="00D16565" w14:paraId="20713B32" w14:textId="77777777" w:rsidTr="00BD32A2">
        <w:trPr>
          <w:trHeight w:val="288"/>
        </w:trPr>
        <w:tc>
          <w:tcPr>
            <w:tcW w:w="625" w:type="pct"/>
            <w:noWrap/>
            <w:hideMark/>
          </w:tcPr>
          <w:p w14:paraId="426001C2" w14:textId="77777777" w:rsidR="0083014D" w:rsidRPr="0033180A" w:rsidRDefault="0083014D" w:rsidP="0033180A">
            <w:pPr>
              <w:pStyle w:val="TableBody"/>
            </w:pPr>
            <w:r w:rsidRPr="0033180A">
              <w:t>2008</w:t>
            </w:r>
          </w:p>
        </w:tc>
        <w:tc>
          <w:tcPr>
            <w:tcW w:w="625" w:type="pct"/>
            <w:noWrap/>
            <w:hideMark/>
          </w:tcPr>
          <w:p w14:paraId="6CBEF985" w14:textId="77777777" w:rsidR="0083014D" w:rsidRPr="0033180A" w:rsidRDefault="0083014D" w:rsidP="0033180A">
            <w:pPr>
              <w:pStyle w:val="TableBody"/>
            </w:pPr>
            <w:r w:rsidRPr="0033180A">
              <w:t>229.3</w:t>
            </w:r>
          </w:p>
        </w:tc>
        <w:tc>
          <w:tcPr>
            <w:tcW w:w="625" w:type="pct"/>
            <w:noWrap/>
            <w:hideMark/>
          </w:tcPr>
          <w:p w14:paraId="7577671D" w14:textId="77777777" w:rsidR="0083014D" w:rsidRPr="0033180A" w:rsidRDefault="0083014D" w:rsidP="0033180A">
            <w:pPr>
              <w:pStyle w:val="TableBody"/>
            </w:pPr>
            <w:r w:rsidRPr="0033180A">
              <w:t>171.9</w:t>
            </w:r>
          </w:p>
        </w:tc>
        <w:tc>
          <w:tcPr>
            <w:tcW w:w="625" w:type="pct"/>
            <w:noWrap/>
            <w:hideMark/>
          </w:tcPr>
          <w:p w14:paraId="00BBB0DC" w14:textId="77777777" w:rsidR="0083014D" w:rsidRPr="0033180A" w:rsidRDefault="0083014D" w:rsidP="0033180A">
            <w:pPr>
              <w:pStyle w:val="TableBody"/>
            </w:pPr>
            <w:r w:rsidRPr="0033180A">
              <w:t>157.3</w:t>
            </w:r>
          </w:p>
        </w:tc>
        <w:tc>
          <w:tcPr>
            <w:tcW w:w="625" w:type="pct"/>
            <w:noWrap/>
            <w:hideMark/>
          </w:tcPr>
          <w:p w14:paraId="3B7C9BFF" w14:textId="77777777" w:rsidR="0083014D" w:rsidRPr="0033180A" w:rsidRDefault="0083014D" w:rsidP="0033180A">
            <w:pPr>
              <w:pStyle w:val="TableBody"/>
            </w:pPr>
            <w:r w:rsidRPr="0033180A">
              <w:t>196.3</w:t>
            </w:r>
          </w:p>
        </w:tc>
        <w:tc>
          <w:tcPr>
            <w:tcW w:w="625" w:type="pct"/>
            <w:noWrap/>
            <w:hideMark/>
          </w:tcPr>
          <w:p w14:paraId="367968B2" w14:textId="77777777" w:rsidR="0083014D" w:rsidRPr="0033180A" w:rsidRDefault="0083014D" w:rsidP="0033180A">
            <w:pPr>
              <w:pStyle w:val="TableBody"/>
            </w:pPr>
            <w:r w:rsidRPr="0033180A">
              <w:t>135.5</w:t>
            </w:r>
          </w:p>
        </w:tc>
        <w:tc>
          <w:tcPr>
            <w:tcW w:w="625" w:type="pct"/>
            <w:noWrap/>
            <w:hideMark/>
          </w:tcPr>
          <w:p w14:paraId="6AB2388C" w14:textId="77777777" w:rsidR="0083014D" w:rsidRPr="0033180A" w:rsidRDefault="0083014D" w:rsidP="0033180A">
            <w:pPr>
              <w:pStyle w:val="TableBody"/>
            </w:pPr>
            <w:r w:rsidRPr="0033180A">
              <w:t>104.4</w:t>
            </w:r>
          </w:p>
        </w:tc>
        <w:tc>
          <w:tcPr>
            <w:tcW w:w="625" w:type="pct"/>
            <w:noWrap/>
            <w:hideMark/>
          </w:tcPr>
          <w:p w14:paraId="5230426D" w14:textId="77777777" w:rsidR="0083014D" w:rsidRPr="0033180A" w:rsidRDefault="0083014D" w:rsidP="0033180A">
            <w:pPr>
              <w:pStyle w:val="TableBody"/>
            </w:pPr>
            <w:r w:rsidRPr="0033180A">
              <w:t>93.3</w:t>
            </w:r>
          </w:p>
        </w:tc>
      </w:tr>
      <w:tr w:rsidR="0083014D" w:rsidRPr="00D16565" w14:paraId="0DDE7888" w14:textId="77777777" w:rsidTr="00BD32A2">
        <w:trPr>
          <w:trHeight w:val="288"/>
        </w:trPr>
        <w:tc>
          <w:tcPr>
            <w:tcW w:w="625" w:type="pct"/>
            <w:noWrap/>
            <w:hideMark/>
          </w:tcPr>
          <w:p w14:paraId="32F8C0B6" w14:textId="77777777" w:rsidR="0083014D" w:rsidRPr="0033180A" w:rsidRDefault="0083014D" w:rsidP="0033180A">
            <w:pPr>
              <w:pStyle w:val="TableBody"/>
            </w:pPr>
            <w:r w:rsidRPr="0033180A">
              <w:t>2009</w:t>
            </w:r>
          </w:p>
        </w:tc>
        <w:tc>
          <w:tcPr>
            <w:tcW w:w="625" w:type="pct"/>
            <w:noWrap/>
            <w:hideMark/>
          </w:tcPr>
          <w:p w14:paraId="55B8CAD8" w14:textId="77777777" w:rsidR="0083014D" w:rsidRPr="0033180A" w:rsidRDefault="0083014D" w:rsidP="0033180A">
            <w:pPr>
              <w:pStyle w:val="TableBody"/>
            </w:pPr>
            <w:r w:rsidRPr="0033180A">
              <w:t>259.5</w:t>
            </w:r>
          </w:p>
        </w:tc>
        <w:tc>
          <w:tcPr>
            <w:tcW w:w="625" w:type="pct"/>
            <w:noWrap/>
            <w:hideMark/>
          </w:tcPr>
          <w:p w14:paraId="2D4A9597" w14:textId="77777777" w:rsidR="0083014D" w:rsidRPr="0033180A" w:rsidRDefault="0083014D" w:rsidP="0033180A">
            <w:pPr>
              <w:pStyle w:val="TableBody"/>
            </w:pPr>
            <w:r w:rsidRPr="0033180A">
              <w:t>170.7</w:t>
            </w:r>
          </w:p>
        </w:tc>
        <w:tc>
          <w:tcPr>
            <w:tcW w:w="625" w:type="pct"/>
            <w:noWrap/>
            <w:hideMark/>
          </w:tcPr>
          <w:p w14:paraId="21598285" w14:textId="77777777" w:rsidR="0083014D" w:rsidRPr="0033180A" w:rsidRDefault="0083014D" w:rsidP="0033180A">
            <w:pPr>
              <w:pStyle w:val="TableBody"/>
            </w:pPr>
            <w:r w:rsidRPr="0033180A">
              <w:t>156.4</w:t>
            </w:r>
          </w:p>
        </w:tc>
        <w:tc>
          <w:tcPr>
            <w:tcW w:w="625" w:type="pct"/>
            <w:noWrap/>
            <w:hideMark/>
          </w:tcPr>
          <w:p w14:paraId="01F0F8CB" w14:textId="77777777" w:rsidR="0083014D" w:rsidRPr="0033180A" w:rsidRDefault="0083014D" w:rsidP="0033180A">
            <w:pPr>
              <w:pStyle w:val="TableBody"/>
            </w:pPr>
            <w:r w:rsidRPr="0033180A">
              <w:t>205.6</w:t>
            </w:r>
          </w:p>
        </w:tc>
        <w:tc>
          <w:tcPr>
            <w:tcW w:w="625" w:type="pct"/>
            <w:noWrap/>
            <w:hideMark/>
          </w:tcPr>
          <w:p w14:paraId="14853A5F" w14:textId="77777777" w:rsidR="0083014D" w:rsidRPr="0033180A" w:rsidRDefault="0083014D" w:rsidP="0033180A">
            <w:pPr>
              <w:pStyle w:val="TableBody"/>
            </w:pPr>
            <w:r w:rsidRPr="0033180A">
              <w:t>138.7</w:t>
            </w:r>
          </w:p>
        </w:tc>
        <w:tc>
          <w:tcPr>
            <w:tcW w:w="625" w:type="pct"/>
            <w:noWrap/>
            <w:hideMark/>
          </w:tcPr>
          <w:p w14:paraId="561D11F3" w14:textId="77777777" w:rsidR="0083014D" w:rsidRPr="0033180A" w:rsidRDefault="0083014D" w:rsidP="0033180A">
            <w:pPr>
              <w:pStyle w:val="TableBody"/>
            </w:pPr>
            <w:r w:rsidRPr="0033180A">
              <w:t>104.9</w:t>
            </w:r>
          </w:p>
        </w:tc>
        <w:tc>
          <w:tcPr>
            <w:tcW w:w="625" w:type="pct"/>
            <w:noWrap/>
            <w:hideMark/>
          </w:tcPr>
          <w:p w14:paraId="3446740A" w14:textId="77777777" w:rsidR="0083014D" w:rsidRPr="0033180A" w:rsidRDefault="0083014D" w:rsidP="0033180A">
            <w:pPr>
              <w:pStyle w:val="TableBody"/>
            </w:pPr>
            <w:r w:rsidRPr="0033180A">
              <w:t>74.0</w:t>
            </w:r>
          </w:p>
        </w:tc>
      </w:tr>
      <w:tr w:rsidR="0083014D" w:rsidRPr="00D16565" w14:paraId="24E5FA44" w14:textId="77777777" w:rsidTr="00BD32A2">
        <w:trPr>
          <w:trHeight w:val="288"/>
        </w:trPr>
        <w:tc>
          <w:tcPr>
            <w:tcW w:w="625" w:type="pct"/>
            <w:noWrap/>
            <w:hideMark/>
          </w:tcPr>
          <w:p w14:paraId="2AC2A52A" w14:textId="77777777" w:rsidR="0083014D" w:rsidRPr="0033180A" w:rsidRDefault="0083014D" w:rsidP="0033180A">
            <w:pPr>
              <w:pStyle w:val="TableBody"/>
            </w:pPr>
            <w:r w:rsidRPr="0033180A">
              <w:t>2010</w:t>
            </w:r>
          </w:p>
        </w:tc>
        <w:tc>
          <w:tcPr>
            <w:tcW w:w="625" w:type="pct"/>
            <w:noWrap/>
            <w:hideMark/>
          </w:tcPr>
          <w:p w14:paraId="2A9A8995" w14:textId="77777777" w:rsidR="0083014D" w:rsidRPr="0033180A" w:rsidRDefault="0083014D" w:rsidP="0033180A">
            <w:pPr>
              <w:pStyle w:val="TableBody"/>
            </w:pPr>
            <w:r w:rsidRPr="0033180A">
              <w:t>273.4</w:t>
            </w:r>
          </w:p>
        </w:tc>
        <w:tc>
          <w:tcPr>
            <w:tcW w:w="625" w:type="pct"/>
            <w:noWrap/>
            <w:hideMark/>
          </w:tcPr>
          <w:p w14:paraId="059CE722" w14:textId="77777777" w:rsidR="0083014D" w:rsidRPr="0033180A" w:rsidRDefault="0083014D" w:rsidP="0033180A">
            <w:pPr>
              <w:pStyle w:val="TableBody"/>
            </w:pPr>
            <w:r w:rsidRPr="0033180A">
              <w:t>165.7</w:t>
            </w:r>
          </w:p>
        </w:tc>
        <w:tc>
          <w:tcPr>
            <w:tcW w:w="625" w:type="pct"/>
            <w:noWrap/>
            <w:hideMark/>
          </w:tcPr>
          <w:p w14:paraId="6F5BBA32" w14:textId="77777777" w:rsidR="0083014D" w:rsidRPr="0033180A" w:rsidRDefault="0083014D" w:rsidP="0033180A">
            <w:pPr>
              <w:pStyle w:val="TableBody"/>
            </w:pPr>
            <w:r w:rsidRPr="0033180A">
              <w:t>154.4</w:t>
            </w:r>
          </w:p>
        </w:tc>
        <w:tc>
          <w:tcPr>
            <w:tcW w:w="625" w:type="pct"/>
            <w:noWrap/>
            <w:hideMark/>
          </w:tcPr>
          <w:p w14:paraId="2D030EDF" w14:textId="77777777" w:rsidR="0083014D" w:rsidRPr="0033180A" w:rsidRDefault="0083014D" w:rsidP="0033180A">
            <w:pPr>
              <w:pStyle w:val="TableBody"/>
            </w:pPr>
            <w:r w:rsidRPr="0033180A">
              <w:t>199.2</w:t>
            </w:r>
          </w:p>
        </w:tc>
        <w:tc>
          <w:tcPr>
            <w:tcW w:w="625" w:type="pct"/>
            <w:noWrap/>
            <w:hideMark/>
          </w:tcPr>
          <w:p w14:paraId="695E3A7B" w14:textId="77777777" w:rsidR="0083014D" w:rsidRPr="0033180A" w:rsidRDefault="0083014D" w:rsidP="0033180A">
            <w:pPr>
              <w:pStyle w:val="TableBody"/>
            </w:pPr>
            <w:r w:rsidRPr="0033180A">
              <w:t>125.2</w:t>
            </w:r>
          </w:p>
        </w:tc>
        <w:tc>
          <w:tcPr>
            <w:tcW w:w="625" w:type="pct"/>
            <w:noWrap/>
            <w:hideMark/>
          </w:tcPr>
          <w:p w14:paraId="5EF666BC" w14:textId="77777777" w:rsidR="0083014D" w:rsidRPr="0033180A" w:rsidRDefault="0083014D" w:rsidP="0033180A">
            <w:pPr>
              <w:pStyle w:val="TableBody"/>
            </w:pPr>
            <w:r w:rsidRPr="0033180A">
              <w:t>107.2</w:t>
            </w:r>
          </w:p>
        </w:tc>
        <w:tc>
          <w:tcPr>
            <w:tcW w:w="625" w:type="pct"/>
            <w:noWrap/>
            <w:hideMark/>
          </w:tcPr>
          <w:p w14:paraId="2DD02346" w14:textId="77777777" w:rsidR="0083014D" w:rsidRPr="0033180A" w:rsidRDefault="0083014D" w:rsidP="0033180A">
            <w:pPr>
              <w:pStyle w:val="TableBody"/>
            </w:pPr>
            <w:r w:rsidRPr="0033180A">
              <w:t>99.9</w:t>
            </w:r>
          </w:p>
        </w:tc>
      </w:tr>
      <w:tr w:rsidR="0083014D" w:rsidRPr="00D16565" w14:paraId="47F4CF7F" w14:textId="77777777" w:rsidTr="00BD32A2">
        <w:trPr>
          <w:trHeight w:val="288"/>
        </w:trPr>
        <w:tc>
          <w:tcPr>
            <w:tcW w:w="625" w:type="pct"/>
            <w:noWrap/>
            <w:hideMark/>
          </w:tcPr>
          <w:p w14:paraId="25BEC145" w14:textId="77777777" w:rsidR="0083014D" w:rsidRPr="0033180A" w:rsidRDefault="0083014D" w:rsidP="0033180A">
            <w:pPr>
              <w:pStyle w:val="TableBody"/>
            </w:pPr>
            <w:r w:rsidRPr="0033180A">
              <w:t>2011</w:t>
            </w:r>
          </w:p>
        </w:tc>
        <w:tc>
          <w:tcPr>
            <w:tcW w:w="625" w:type="pct"/>
            <w:noWrap/>
            <w:hideMark/>
          </w:tcPr>
          <w:p w14:paraId="5818C4CF" w14:textId="77777777" w:rsidR="0083014D" w:rsidRPr="0033180A" w:rsidRDefault="0083014D" w:rsidP="0033180A">
            <w:pPr>
              <w:pStyle w:val="TableBody"/>
            </w:pPr>
            <w:r w:rsidRPr="0033180A">
              <w:t>258.9</w:t>
            </w:r>
          </w:p>
        </w:tc>
        <w:tc>
          <w:tcPr>
            <w:tcW w:w="625" w:type="pct"/>
            <w:noWrap/>
            <w:hideMark/>
          </w:tcPr>
          <w:p w14:paraId="49431882" w14:textId="77777777" w:rsidR="0083014D" w:rsidRPr="0033180A" w:rsidRDefault="0083014D" w:rsidP="0033180A">
            <w:pPr>
              <w:pStyle w:val="TableBody"/>
            </w:pPr>
            <w:r w:rsidRPr="0033180A">
              <w:t>161.6</w:t>
            </w:r>
          </w:p>
        </w:tc>
        <w:tc>
          <w:tcPr>
            <w:tcW w:w="625" w:type="pct"/>
            <w:noWrap/>
            <w:hideMark/>
          </w:tcPr>
          <w:p w14:paraId="2E100EDE" w14:textId="77777777" w:rsidR="0083014D" w:rsidRPr="0033180A" w:rsidRDefault="0083014D" w:rsidP="0033180A">
            <w:pPr>
              <w:pStyle w:val="TableBody"/>
            </w:pPr>
            <w:r w:rsidRPr="0033180A">
              <w:t>157.8</w:t>
            </w:r>
          </w:p>
        </w:tc>
        <w:tc>
          <w:tcPr>
            <w:tcW w:w="625" w:type="pct"/>
            <w:noWrap/>
            <w:hideMark/>
          </w:tcPr>
          <w:p w14:paraId="391713BF" w14:textId="77777777" w:rsidR="0083014D" w:rsidRPr="0033180A" w:rsidRDefault="0083014D" w:rsidP="0033180A">
            <w:pPr>
              <w:pStyle w:val="TableBody"/>
            </w:pPr>
            <w:r w:rsidRPr="0033180A">
              <w:t>180.4</w:t>
            </w:r>
          </w:p>
        </w:tc>
        <w:tc>
          <w:tcPr>
            <w:tcW w:w="625" w:type="pct"/>
            <w:noWrap/>
            <w:hideMark/>
          </w:tcPr>
          <w:p w14:paraId="455D4999" w14:textId="77777777" w:rsidR="0083014D" w:rsidRPr="0033180A" w:rsidRDefault="0083014D" w:rsidP="0033180A">
            <w:pPr>
              <w:pStyle w:val="TableBody"/>
            </w:pPr>
            <w:r w:rsidRPr="0033180A">
              <w:t>129.1</w:t>
            </w:r>
          </w:p>
        </w:tc>
        <w:tc>
          <w:tcPr>
            <w:tcW w:w="625" w:type="pct"/>
            <w:noWrap/>
            <w:hideMark/>
          </w:tcPr>
          <w:p w14:paraId="26DD49CD" w14:textId="77777777" w:rsidR="0083014D" w:rsidRPr="0033180A" w:rsidRDefault="0083014D" w:rsidP="0033180A">
            <w:pPr>
              <w:pStyle w:val="TableBody"/>
            </w:pPr>
            <w:r w:rsidRPr="0033180A">
              <w:t>110.2</w:t>
            </w:r>
          </w:p>
        </w:tc>
        <w:tc>
          <w:tcPr>
            <w:tcW w:w="625" w:type="pct"/>
            <w:noWrap/>
            <w:hideMark/>
          </w:tcPr>
          <w:p w14:paraId="12650170" w14:textId="77777777" w:rsidR="0083014D" w:rsidRPr="0033180A" w:rsidRDefault="0083014D" w:rsidP="0033180A">
            <w:pPr>
              <w:pStyle w:val="TableBody"/>
            </w:pPr>
            <w:r w:rsidRPr="0033180A">
              <w:t>105.5</w:t>
            </w:r>
          </w:p>
        </w:tc>
      </w:tr>
      <w:tr w:rsidR="0083014D" w:rsidRPr="00D16565" w14:paraId="00436146" w14:textId="77777777" w:rsidTr="00BD32A2">
        <w:trPr>
          <w:trHeight w:val="288"/>
        </w:trPr>
        <w:tc>
          <w:tcPr>
            <w:tcW w:w="625" w:type="pct"/>
            <w:noWrap/>
            <w:hideMark/>
          </w:tcPr>
          <w:p w14:paraId="15C9229E" w14:textId="77777777" w:rsidR="0083014D" w:rsidRPr="0033180A" w:rsidRDefault="0083014D" w:rsidP="0033180A">
            <w:pPr>
              <w:pStyle w:val="TableBody"/>
            </w:pPr>
            <w:r w:rsidRPr="0033180A">
              <w:t>2012</w:t>
            </w:r>
          </w:p>
        </w:tc>
        <w:tc>
          <w:tcPr>
            <w:tcW w:w="625" w:type="pct"/>
            <w:noWrap/>
            <w:hideMark/>
          </w:tcPr>
          <w:p w14:paraId="53C7DF43" w14:textId="77777777" w:rsidR="0083014D" w:rsidRPr="0033180A" w:rsidRDefault="0083014D" w:rsidP="0033180A">
            <w:pPr>
              <w:pStyle w:val="TableBody"/>
            </w:pPr>
            <w:r w:rsidRPr="0033180A">
              <w:t>267.1</w:t>
            </w:r>
          </w:p>
        </w:tc>
        <w:tc>
          <w:tcPr>
            <w:tcW w:w="625" w:type="pct"/>
            <w:noWrap/>
            <w:hideMark/>
          </w:tcPr>
          <w:p w14:paraId="35CCF963" w14:textId="77777777" w:rsidR="0083014D" w:rsidRPr="0033180A" w:rsidRDefault="0083014D" w:rsidP="0033180A">
            <w:pPr>
              <w:pStyle w:val="TableBody"/>
            </w:pPr>
            <w:r w:rsidRPr="0033180A">
              <w:t>158.9</w:t>
            </w:r>
          </w:p>
        </w:tc>
        <w:tc>
          <w:tcPr>
            <w:tcW w:w="625" w:type="pct"/>
            <w:noWrap/>
            <w:hideMark/>
          </w:tcPr>
          <w:p w14:paraId="138821F6" w14:textId="77777777" w:rsidR="0083014D" w:rsidRPr="0033180A" w:rsidRDefault="0083014D" w:rsidP="0033180A">
            <w:pPr>
              <w:pStyle w:val="TableBody"/>
            </w:pPr>
            <w:r w:rsidRPr="0033180A">
              <w:t>160.1</w:t>
            </w:r>
          </w:p>
        </w:tc>
        <w:tc>
          <w:tcPr>
            <w:tcW w:w="625" w:type="pct"/>
            <w:noWrap/>
            <w:hideMark/>
          </w:tcPr>
          <w:p w14:paraId="688B896C" w14:textId="77777777" w:rsidR="0083014D" w:rsidRPr="0033180A" w:rsidRDefault="0083014D" w:rsidP="0033180A">
            <w:pPr>
              <w:pStyle w:val="TableBody"/>
            </w:pPr>
            <w:r w:rsidRPr="0033180A">
              <w:t>171.1</w:t>
            </w:r>
          </w:p>
        </w:tc>
        <w:tc>
          <w:tcPr>
            <w:tcW w:w="625" w:type="pct"/>
            <w:noWrap/>
            <w:hideMark/>
          </w:tcPr>
          <w:p w14:paraId="4C23D0C5" w14:textId="77777777" w:rsidR="0083014D" w:rsidRPr="0033180A" w:rsidRDefault="0083014D" w:rsidP="0033180A">
            <w:pPr>
              <w:pStyle w:val="TableBody"/>
            </w:pPr>
            <w:r w:rsidRPr="0033180A">
              <w:t>124.7</w:t>
            </w:r>
          </w:p>
        </w:tc>
        <w:tc>
          <w:tcPr>
            <w:tcW w:w="625" w:type="pct"/>
            <w:noWrap/>
            <w:hideMark/>
          </w:tcPr>
          <w:p w14:paraId="150CFBEC" w14:textId="77777777" w:rsidR="0083014D" w:rsidRPr="0033180A" w:rsidRDefault="0083014D" w:rsidP="0033180A">
            <w:pPr>
              <w:pStyle w:val="TableBody"/>
            </w:pPr>
            <w:r w:rsidRPr="0033180A">
              <w:t>111.6</w:t>
            </w:r>
          </w:p>
        </w:tc>
        <w:tc>
          <w:tcPr>
            <w:tcW w:w="625" w:type="pct"/>
            <w:noWrap/>
            <w:hideMark/>
          </w:tcPr>
          <w:p w14:paraId="2E2944DB" w14:textId="77777777" w:rsidR="0083014D" w:rsidRPr="0033180A" w:rsidRDefault="0083014D" w:rsidP="0033180A">
            <w:pPr>
              <w:pStyle w:val="TableBody"/>
            </w:pPr>
            <w:r w:rsidRPr="0033180A">
              <w:t>107.3</w:t>
            </w:r>
          </w:p>
        </w:tc>
      </w:tr>
      <w:tr w:rsidR="0083014D" w:rsidRPr="00D16565" w14:paraId="1A28ADB4" w14:textId="77777777" w:rsidTr="00BD32A2">
        <w:trPr>
          <w:trHeight w:val="288"/>
        </w:trPr>
        <w:tc>
          <w:tcPr>
            <w:tcW w:w="625" w:type="pct"/>
            <w:noWrap/>
            <w:hideMark/>
          </w:tcPr>
          <w:p w14:paraId="33F77A7F" w14:textId="77777777" w:rsidR="0083014D" w:rsidRPr="0033180A" w:rsidRDefault="0083014D" w:rsidP="0033180A">
            <w:pPr>
              <w:pStyle w:val="TableBody"/>
            </w:pPr>
            <w:r w:rsidRPr="0033180A">
              <w:t>2013</w:t>
            </w:r>
          </w:p>
        </w:tc>
        <w:tc>
          <w:tcPr>
            <w:tcW w:w="625" w:type="pct"/>
            <w:noWrap/>
            <w:hideMark/>
          </w:tcPr>
          <w:p w14:paraId="358BAC0C" w14:textId="77777777" w:rsidR="0083014D" w:rsidRPr="0033180A" w:rsidRDefault="0083014D" w:rsidP="0033180A">
            <w:pPr>
              <w:pStyle w:val="TableBody"/>
            </w:pPr>
            <w:r w:rsidRPr="0033180A">
              <w:t>255.8</w:t>
            </w:r>
          </w:p>
        </w:tc>
        <w:tc>
          <w:tcPr>
            <w:tcW w:w="625" w:type="pct"/>
            <w:noWrap/>
            <w:hideMark/>
          </w:tcPr>
          <w:p w14:paraId="4A542A5E" w14:textId="77777777" w:rsidR="0083014D" w:rsidRPr="0033180A" w:rsidRDefault="0083014D" w:rsidP="0033180A">
            <w:pPr>
              <w:pStyle w:val="TableBody"/>
            </w:pPr>
            <w:r w:rsidRPr="0033180A">
              <w:t>169.0</w:t>
            </w:r>
          </w:p>
        </w:tc>
        <w:tc>
          <w:tcPr>
            <w:tcW w:w="625" w:type="pct"/>
            <w:noWrap/>
            <w:hideMark/>
          </w:tcPr>
          <w:p w14:paraId="19EA221B" w14:textId="77777777" w:rsidR="0083014D" w:rsidRPr="0033180A" w:rsidRDefault="0083014D" w:rsidP="0033180A">
            <w:pPr>
              <w:pStyle w:val="TableBody"/>
            </w:pPr>
            <w:r w:rsidRPr="0033180A">
              <w:t>172.8</w:t>
            </w:r>
          </w:p>
        </w:tc>
        <w:tc>
          <w:tcPr>
            <w:tcW w:w="625" w:type="pct"/>
            <w:noWrap/>
            <w:hideMark/>
          </w:tcPr>
          <w:p w14:paraId="462B2400" w14:textId="77777777" w:rsidR="0083014D" w:rsidRPr="0033180A" w:rsidRDefault="0083014D" w:rsidP="0033180A">
            <w:pPr>
              <w:pStyle w:val="TableBody"/>
            </w:pPr>
            <w:r w:rsidRPr="0033180A">
              <w:t>173.2</w:t>
            </w:r>
          </w:p>
        </w:tc>
        <w:tc>
          <w:tcPr>
            <w:tcW w:w="625" w:type="pct"/>
            <w:noWrap/>
            <w:hideMark/>
          </w:tcPr>
          <w:p w14:paraId="0010E4B4" w14:textId="77777777" w:rsidR="0083014D" w:rsidRPr="0033180A" w:rsidRDefault="0083014D" w:rsidP="0033180A">
            <w:pPr>
              <w:pStyle w:val="TableBody"/>
            </w:pPr>
            <w:r w:rsidRPr="0033180A">
              <w:t>121.5</w:t>
            </w:r>
          </w:p>
        </w:tc>
        <w:tc>
          <w:tcPr>
            <w:tcW w:w="625" w:type="pct"/>
            <w:noWrap/>
            <w:hideMark/>
          </w:tcPr>
          <w:p w14:paraId="2322728F" w14:textId="77777777" w:rsidR="0083014D" w:rsidRPr="0033180A" w:rsidRDefault="0083014D" w:rsidP="0033180A">
            <w:pPr>
              <w:pStyle w:val="TableBody"/>
            </w:pPr>
            <w:r w:rsidRPr="0033180A">
              <w:t>119.8</w:t>
            </w:r>
          </w:p>
        </w:tc>
        <w:tc>
          <w:tcPr>
            <w:tcW w:w="625" w:type="pct"/>
            <w:noWrap/>
            <w:hideMark/>
          </w:tcPr>
          <w:p w14:paraId="7B918F05" w14:textId="77777777" w:rsidR="0083014D" w:rsidRPr="0033180A" w:rsidRDefault="0083014D" w:rsidP="0033180A">
            <w:pPr>
              <w:pStyle w:val="TableBody"/>
            </w:pPr>
            <w:r w:rsidRPr="0033180A">
              <w:t>118.3</w:t>
            </w:r>
          </w:p>
        </w:tc>
      </w:tr>
      <w:tr w:rsidR="0083014D" w:rsidRPr="00D16565" w14:paraId="5A02272A" w14:textId="77777777" w:rsidTr="00BD32A2">
        <w:trPr>
          <w:trHeight w:val="288"/>
        </w:trPr>
        <w:tc>
          <w:tcPr>
            <w:tcW w:w="625" w:type="pct"/>
            <w:noWrap/>
            <w:hideMark/>
          </w:tcPr>
          <w:p w14:paraId="259C81AC" w14:textId="77777777" w:rsidR="0083014D" w:rsidRPr="0033180A" w:rsidRDefault="0083014D" w:rsidP="0033180A">
            <w:pPr>
              <w:pStyle w:val="TableBody"/>
            </w:pPr>
            <w:r w:rsidRPr="0033180A">
              <w:t>2014</w:t>
            </w:r>
          </w:p>
        </w:tc>
        <w:tc>
          <w:tcPr>
            <w:tcW w:w="625" w:type="pct"/>
            <w:noWrap/>
            <w:hideMark/>
          </w:tcPr>
          <w:p w14:paraId="03C9644E" w14:textId="77777777" w:rsidR="0083014D" w:rsidRPr="0033180A" w:rsidRDefault="0083014D" w:rsidP="0033180A">
            <w:pPr>
              <w:pStyle w:val="TableBody"/>
            </w:pPr>
            <w:r w:rsidRPr="0033180A">
              <w:t>264.6</w:t>
            </w:r>
          </w:p>
        </w:tc>
        <w:tc>
          <w:tcPr>
            <w:tcW w:w="625" w:type="pct"/>
            <w:noWrap/>
            <w:hideMark/>
          </w:tcPr>
          <w:p w14:paraId="6019BD95" w14:textId="77777777" w:rsidR="0083014D" w:rsidRPr="0033180A" w:rsidRDefault="0083014D" w:rsidP="0033180A">
            <w:pPr>
              <w:pStyle w:val="TableBody"/>
            </w:pPr>
            <w:r w:rsidRPr="0033180A">
              <w:t>192.9</w:t>
            </w:r>
          </w:p>
        </w:tc>
        <w:tc>
          <w:tcPr>
            <w:tcW w:w="625" w:type="pct"/>
            <w:noWrap/>
            <w:hideMark/>
          </w:tcPr>
          <w:p w14:paraId="568ADCA6" w14:textId="77777777" w:rsidR="0083014D" w:rsidRPr="0033180A" w:rsidRDefault="0083014D" w:rsidP="0033180A">
            <w:pPr>
              <w:pStyle w:val="TableBody"/>
            </w:pPr>
            <w:r w:rsidRPr="0033180A">
              <w:t>187.9</w:t>
            </w:r>
          </w:p>
        </w:tc>
        <w:tc>
          <w:tcPr>
            <w:tcW w:w="625" w:type="pct"/>
            <w:noWrap/>
            <w:hideMark/>
          </w:tcPr>
          <w:p w14:paraId="283FA5FF" w14:textId="77777777" w:rsidR="0083014D" w:rsidRPr="0033180A" w:rsidRDefault="0083014D" w:rsidP="0033180A">
            <w:pPr>
              <w:pStyle w:val="TableBody"/>
            </w:pPr>
            <w:r w:rsidRPr="0033180A">
              <w:t>181.7</w:t>
            </w:r>
          </w:p>
        </w:tc>
        <w:tc>
          <w:tcPr>
            <w:tcW w:w="625" w:type="pct"/>
            <w:noWrap/>
            <w:hideMark/>
          </w:tcPr>
          <w:p w14:paraId="2CCFEB60" w14:textId="77777777" w:rsidR="0083014D" w:rsidRPr="0033180A" w:rsidRDefault="0083014D" w:rsidP="0033180A">
            <w:pPr>
              <w:pStyle w:val="TableBody"/>
            </w:pPr>
            <w:r w:rsidRPr="0033180A">
              <w:t>112.0</w:t>
            </w:r>
          </w:p>
        </w:tc>
        <w:tc>
          <w:tcPr>
            <w:tcW w:w="625" w:type="pct"/>
            <w:noWrap/>
            <w:hideMark/>
          </w:tcPr>
          <w:p w14:paraId="3F857D25" w14:textId="77777777" w:rsidR="0083014D" w:rsidRPr="0033180A" w:rsidRDefault="0083014D" w:rsidP="0033180A">
            <w:pPr>
              <w:pStyle w:val="TableBody"/>
            </w:pPr>
            <w:r w:rsidRPr="0033180A">
              <w:t>134.4</w:t>
            </w:r>
          </w:p>
        </w:tc>
        <w:tc>
          <w:tcPr>
            <w:tcW w:w="625" w:type="pct"/>
            <w:noWrap/>
            <w:hideMark/>
          </w:tcPr>
          <w:p w14:paraId="7F1EC1EA" w14:textId="77777777" w:rsidR="0083014D" w:rsidRPr="0033180A" w:rsidRDefault="0083014D" w:rsidP="0033180A">
            <w:pPr>
              <w:pStyle w:val="TableBody"/>
            </w:pPr>
            <w:r w:rsidRPr="0033180A">
              <w:t>130.4</w:t>
            </w:r>
          </w:p>
        </w:tc>
      </w:tr>
      <w:tr w:rsidR="0083014D" w:rsidRPr="00D16565" w14:paraId="16FACD23" w14:textId="77777777" w:rsidTr="00BD32A2">
        <w:trPr>
          <w:trHeight w:val="288"/>
        </w:trPr>
        <w:tc>
          <w:tcPr>
            <w:tcW w:w="625" w:type="pct"/>
            <w:noWrap/>
            <w:hideMark/>
          </w:tcPr>
          <w:p w14:paraId="1FA56B86" w14:textId="77777777" w:rsidR="0083014D" w:rsidRPr="0033180A" w:rsidRDefault="0083014D" w:rsidP="0033180A">
            <w:pPr>
              <w:pStyle w:val="TableBody"/>
            </w:pPr>
            <w:r w:rsidRPr="0033180A">
              <w:t>2015</w:t>
            </w:r>
          </w:p>
        </w:tc>
        <w:tc>
          <w:tcPr>
            <w:tcW w:w="625" w:type="pct"/>
            <w:noWrap/>
            <w:hideMark/>
          </w:tcPr>
          <w:p w14:paraId="2315497D" w14:textId="77777777" w:rsidR="0083014D" w:rsidRPr="0033180A" w:rsidRDefault="0083014D" w:rsidP="0033180A">
            <w:pPr>
              <w:pStyle w:val="TableBody"/>
            </w:pPr>
            <w:r w:rsidRPr="0033180A">
              <w:t>278.2</w:t>
            </w:r>
          </w:p>
        </w:tc>
        <w:tc>
          <w:tcPr>
            <w:tcW w:w="625" w:type="pct"/>
            <w:noWrap/>
            <w:hideMark/>
          </w:tcPr>
          <w:p w14:paraId="02B0FE4E" w14:textId="77777777" w:rsidR="0083014D" w:rsidRPr="0033180A" w:rsidRDefault="0083014D" w:rsidP="0033180A">
            <w:pPr>
              <w:pStyle w:val="TableBody"/>
            </w:pPr>
            <w:r w:rsidRPr="0033180A">
              <w:t>197.7</w:t>
            </w:r>
          </w:p>
        </w:tc>
        <w:tc>
          <w:tcPr>
            <w:tcW w:w="625" w:type="pct"/>
            <w:noWrap/>
            <w:hideMark/>
          </w:tcPr>
          <w:p w14:paraId="5B18AB29" w14:textId="77777777" w:rsidR="0083014D" w:rsidRPr="0033180A" w:rsidRDefault="0083014D" w:rsidP="0033180A">
            <w:pPr>
              <w:pStyle w:val="TableBody"/>
            </w:pPr>
            <w:r w:rsidRPr="0033180A">
              <w:t>204.4</w:t>
            </w:r>
          </w:p>
        </w:tc>
        <w:tc>
          <w:tcPr>
            <w:tcW w:w="625" w:type="pct"/>
            <w:noWrap/>
            <w:hideMark/>
          </w:tcPr>
          <w:p w14:paraId="5C6B1FE8" w14:textId="77777777" w:rsidR="0083014D" w:rsidRPr="0033180A" w:rsidRDefault="0083014D" w:rsidP="0033180A">
            <w:pPr>
              <w:pStyle w:val="TableBody"/>
            </w:pPr>
            <w:r w:rsidRPr="0033180A">
              <w:t>199.9</w:t>
            </w:r>
          </w:p>
        </w:tc>
        <w:tc>
          <w:tcPr>
            <w:tcW w:w="625" w:type="pct"/>
            <w:noWrap/>
            <w:hideMark/>
          </w:tcPr>
          <w:p w14:paraId="14B3FA39" w14:textId="77777777" w:rsidR="0083014D" w:rsidRPr="0033180A" w:rsidRDefault="0083014D" w:rsidP="0033180A">
            <w:pPr>
              <w:pStyle w:val="TableBody"/>
            </w:pPr>
            <w:r w:rsidRPr="0033180A">
              <w:t>129.6</w:t>
            </w:r>
          </w:p>
        </w:tc>
        <w:tc>
          <w:tcPr>
            <w:tcW w:w="625" w:type="pct"/>
            <w:noWrap/>
            <w:hideMark/>
          </w:tcPr>
          <w:p w14:paraId="5793289C" w14:textId="77777777" w:rsidR="0083014D" w:rsidRPr="0033180A" w:rsidRDefault="0083014D" w:rsidP="0033180A">
            <w:pPr>
              <w:pStyle w:val="TableBody"/>
            </w:pPr>
            <w:r w:rsidRPr="0033180A">
              <w:t>134.4</w:t>
            </w:r>
          </w:p>
        </w:tc>
        <w:tc>
          <w:tcPr>
            <w:tcW w:w="625" w:type="pct"/>
            <w:noWrap/>
            <w:hideMark/>
          </w:tcPr>
          <w:p w14:paraId="4389C296" w14:textId="77777777" w:rsidR="0083014D" w:rsidRPr="0033180A" w:rsidRDefault="0083014D" w:rsidP="0033180A">
            <w:pPr>
              <w:pStyle w:val="TableBody"/>
            </w:pPr>
            <w:r w:rsidRPr="0033180A">
              <w:t>131.3</w:t>
            </w:r>
          </w:p>
        </w:tc>
      </w:tr>
      <w:tr w:rsidR="0083014D" w:rsidRPr="00D16565" w14:paraId="2D9F0A9B" w14:textId="77777777" w:rsidTr="00BD32A2">
        <w:trPr>
          <w:trHeight w:val="288"/>
        </w:trPr>
        <w:tc>
          <w:tcPr>
            <w:tcW w:w="625" w:type="pct"/>
            <w:noWrap/>
            <w:hideMark/>
          </w:tcPr>
          <w:p w14:paraId="2E9C669F" w14:textId="77777777" w:rsidR="0083014D" w:rsidRPr="0033180A" w:rsidRDefault="0083014D" w:rsidP="0033180A">
            <w:pPr>
              <w:pStyle w:val="TableBody"/>
            </w:pPr>
            <w:r w:rsidRPr="0033180A">
              <w:t>2016</w:t>
            </w:r>
          </w:p>
        </w:tc>
        <w:tc>
          <w:tcPr>
            <w:tcW w:w="625" w:type="pct"/>
            <w:noWrap/>
            <w:hideMark/>
          </w:tcPr>
          <w:p w14:paraId="118FA805" w14:textId="77777777" w:rsidR="0083014D" w:rsidRPr="0033180A" w:rsidRDefault="0083014D" w:rsidP="0033180A">
            <w:pPr>
              <w:pStyle w:val="TableBody"/>
            </w:pPr>
            <w:r w:rsidRPr="0033180A">
              <w:t>313.8</w:t>
            </w:r>
          </w:p>
        </w:tc>
        <w:tc>
          <w:tcPr>
            <w:tcW w:w="625" w:type="pct"/>
            <w:noWrap/>
            <w:hideMark/>
          </w:tcPr>
          <w:p w14:paraId="4F2D7F30" w14:textId="77777777" w:rsidR="0083014D" w:rsidRPr="0033180A" w:rsidRDefault="0083014D" w:rsidP="0033180A">
            <w:pPr>
              <w:pStyle w:val="TableBody"/>
            </w:pPr>
            <w:r w:rsidRPr="0033180A">
              <w:t>206.3</w:t>
            </w:r>
          </w:p>
        </w:tc>
        <w:tc>
          <w:tcPr>
            <w:tcW w:w="625" w:type="pct"/>
            <w:noWrap/>
            <w:hideMark/>
          </w:tcPr>
          <w:p w14:paraId="1F753732" w14:textId="77777777" w:rsidR="0083014D" w:rsidRPr="0033180A" w:rsidRDefault="0083014D" w:rsidP="0033180A">
            <w:pPr>
              <w:pStyle w:val="TableBody"/>
            </w:pPr>
            <w:r w:rsidRPr="0033180A">
              <w:t>219.1</w:t>
            </w:r>
          </w:p>
        </w:tc>
        <w:tc>
          <w:tcPr>
            <w:tcW w:w="625" w:type="pct"/>
            <w:noWrap/>
            <w:hideMark/>
          </w:tcPr>
          <w:p w14:paraId="6ED33C13" w14:textId="77777777" w:rsidR="0083014D" w:rsidRPr="0033180A" w:rsidRDefault="0083014D" w:rsidP="0033180A">
            <w:pPr>
              <w:pStyle w:val="TableBody"/>
            </w:pPr>
            <w:r w:rsidRPr="0033180A">
              <w:t>210.8</w:t>
            </w:r>
          </w:p>
        </w:tc>
        <w:tc>
          <w:tcPr>
            <w:tcW w:w="625" w:type="pct"/>
            <w:noWrap/>
            <w:hideMark/>
          </w:tcPr>
          <w:p w14:paraId="38B4869C" w14:textId="77777777" w:rsidR="0083014D" w:rsidRPr="0033180A" w:rsidRDefault="0083014D" w:rsidP="0033180A">
            <w:pPr>
              <w:pStyle w:val="TableBody"/>
            </w:pPr>
            <w:r w:rsidRPr="0033180A">
              <w:t>140.6</w:t>
            </w:r>
          </w:p>
        </w:tc>
        <w:tc>
          <w:tcPr>
            <w:tcW w:w="625" w:type="pct"/>
            <w:noWrap/>
            <w:hideMark/>
          </w:tcPr>
          <w:p w14:paraId="009CE31F" w14:textId="77777777" w:rsidR="0083014D" w:rsidRPr="0033180A" w:rsidRDefault="0083014D" w:rsidP="0033180A">
            <w:pPr>
              <w:pStyle w:val="TableBody"/>
            </w:pPr>
            <w:r w:rsidRPr="0033180A">
              <w:t>138.1</w:t>
            </w:r>
          </w:p>
        </w:tc>
        <w:tc>
          <w:tcPr>
            <w:tcW w:w="625" w:type="pct"/>
            <w:noWrap/>
            <w:hideMark/>
          </w:tcPr>
          <w:p w14:paraId="1DC1C493" w14:textId="77777777" w:rsidR="0083014D" w:rsidRPr="0033180A" w:rsidRDefault="0083014D" w:rsidP="0033180A">
            <w:pPr>
              <w:pStyle w:val="TableBody"/>
            </w:pPr>
            <w:r w:rsidRPr="0033180A">
              <w:t>143.6</w:t>
            </w:r>
          </w:p>
        </w:tc>
      </w:tr>
      <w:tr w:rsidR="0083014D" w:rsidRPr="00D16565" w14:paraId="36E69BDE" w14:textId="77777777" w:rsidTr="00BD32A2">
        <w:trPr>
          <w:trHeight w:val="288"/>
        </w:trPr>
        <w:tc>
          <w:tcPr>
            <w:tcW w:w="625" w:type="pct"/>
            <w:noWrap/>
            <w:hideMark/>
          </w:tcPr>
          <w:p w14:paraId="49669B10" w14:textId="77777777" w:rsidR="0083014D" w:rsidRPr="0033180A" w:rsidRDefault="0083014D" w:rsidP="0033180A">
            <w:pPr>
              <w:pStyle w:val="TableBody"/>
            </w:pPr>
            <w:r w:rsidRPr="0033180A">
              <w:t>2017</w:t>
            </w:r>
          </w:p>
        </w:tc>
        <w:tc>
          <w:tcPr>
            <w:tcW w:w="625" w:type="pct"/>
            <w:noWrap/>
            <w:hideMark/>
          </w:tcPr>
          <w:p w14:paraId="37DF1746" w14:textId="77777777" w:rsidR="0083014D" w:rsidRPr="0033180A" w:rsidRDefault="0083014D" w:rsidP="0033180A">
            <w:pPr>
              <w:pStyle w:val="TableBody"/>
            </w:pPr>
            <w:r w:rsidRPr="0033180A">
              <w:t>340.9</w:t>
            </w:r>
          </w:p>
        </w:tc>
        <w:tc>
          <w:tcPr>
            <w:tcW w:w="625" w:type="pct"/>
            <w:noWrap/>
            <w:hideMark/>
          </w:tcPr>
          <w:p w14:paraId="048CA8FC" w14:textId="77777777" w:rsidR="0083014D" w:rsidRPr="0033180A" w:rsidRDefault="0083014D" w:rsidP="0033180A">
            <w:pPr>
              <w:pStyle w:val="TableBody"/>
            </w:pPr>
            <w:r w:rsidRPr="0033180A">
              <w:t>221.9</w:t>
            </w:r>
          </w:p>
        </w:tc>
        <w:tc>
          <w:tcPr>
            <w:tcW w:w="625" w:type="pct"/>
            <w:noWrap/>
            <w:hideMark/>
          </w:tcPr>
          <w:p w14:paraId="233B712A" w14:textId="77777777" w:rsidR="0083014D" w:rsidRPr="0033180A" w:rsidRDefault="0083014D" w:rsidP="0033180A">
            <w:pPr>
              <w:pStyle w:val="TableBody"/>
            </w:pPr>
            <w:r w:rsidRPr="0033180A">
              <w:t>223.7</w:t>
            </w:r>
          </w:p>
        </w:tc>
        <w:tc>
          <w:tcPr>
            <w:tcW w:w="625" w:type="pct"/>
            <w:noWrap/>
            <w:hideMark/>
          </w:tcPr>
          <w:p w14:paraId="3A7112C7" w14:textId="77777777" w:rsidR="0083014D" w:rsidRPr="0033180A" w:rsidRDefault="0083014D" w:rsidP="0033180A">
            <w:pPr>
              <w:pStyle w:val="TableBody"/>
            </w:pPr>
            <w:r w:rsidRPr="0033180A">
              <w:t>215.6</w:t>
            </w:r>
          </w:p>
        </w:tc>
        <w:tc>
          <w:tcPr>
            <w:tcW w:w="625" w:type="pct"/>
            <w:noWrap/>
            <w:hideMark/>
          </w:tcPr>
          <w:p w14:paraId="1EEA30D0" w14:textId="77777777" w:rsidR="0083014D" w:rsidRPr="0033180A" w:rsidRDefault="0083014D" w:rsidP="0033180A">
            <w:pPr>
              <w:pStyle w:val="TableBody"/>
            </w:pPr>
            <w:r w:rsidRPr="0033180A">
              <w:t>145.8</w:t>
            </w:r>
          </w:p>
        </w:tc>
        <w:tc>
          <w:tcPr>
            <w:tcW w:w="625" w:type="pct"/>
            <w:noWrap/>
            <w:hideMark/>
          </w:tcPr>
          <w:p w14:paraId="195F7135" w14:textId="77777777" w:rsidR="0083014D" w:rsidRPr="0033180A" w:rsidRDefault="0083014D" w:rsidP="0033180A">
            <w:pPr>
              <w:pStyle w:val="TableBody"/>
            </w:pPr>
            <w:r w:rsidRPr="0033180A">
              <w:t>145.4</w:t>
            </w:r>
          </w:p>
        </w:tc>
        <w:tc>
          <w:tcPr>
            <w:tcW w:w="625" w:type="pct"/>
            <w:noWrap/>
            <w:hideMark/>
          </w:tcPr>
          <w:p w14:paraId="7D86C954" w14:textId="77777777" w:rsidR="0083014D" w:rsidRPr="0033180A" w:rsidRDefault="0083014D" w:rsidP="0033180A">
            <w:pPr>
              <w:pStyle w:val="TableBody"/>
            </w:pPr>
            <w:r w:rsidRPr="0033180A">
              <w:t>140.6</w:t>
            </w:r>
          </w:p>
        </w:tc>
      </w:tr>
      <w:tr w:rsidR="0083014D" w:rsidRPr="00D16565" w14:paraId="4757D5AE" w14:textId="77777777" w:rsidTr="00BD32A2">
        <w:trPr>
          <w:trHeight w:val="288"/>
        </w:trPr>
        <w:tc>
          <w:tcPr>
            <w:tcW w:w="625" w:type="pct"/>
            <w:noWrap/>
            <w:hideMark/>
          </w:tcPr>
          <w:p w14:paraId="47F67355" w14:textId="77777777" w:rsidR="0083014D" w:rsidRPr="0033180A" w:rsidRDefault="0083014D" w:rsidP="0033180A">
            <w:pPr>
              <w:pStyle w:val="TableBody"/>
            </w:pPr>
            <w:r w:rsidRPr="0033180A">
              <w:t>2018</w:t>
            </w:r>
          </w:p>
        </w:tc>
        <w:tc>
          <w:tcPr>
            <w:tcW w:w="625" w:type="pct"/>
            <w:noWrap/>
            <w:hideMark/>
          </w:tcPr>
          <w:p w14:paraId="7FDD107D" w14:textId="77777777" w:rsidR="0083014D" w:rsidRPr="0033180A" w:rsidRDefault="0083014D" w:rsidP="0033180A">
            <w:pPr>
              <w:pStyle w:val="TableBody"/>
            </w:pPr>
            <w:r w:rsidRPr="0033180A">
              <w:t>344.5</w:t>
            </w:r>
          </w:p>
        </w:tc>
        <w:tc>
          <w:tcPr>
            <w:tcW w:w="625" w:type="pct"/>
            <w:noWrap/>
            <w:hideMark/>
          </w:tcPr>
          <w:p w14:paraId="5ECE76DB" w14:textId="77777777" w:rsidR="0083014D" w:rsidRPr="0033180A" w:rsidRDefault="0083014D" w:rsidP="0033180A">
            <w:pPr>
              <w:pStyle w:val="TableBody"/>
            </w:pPr>
            <w:r w:rsidRPr="0033180A">
              <w:t>227.3</w:t>
            </w:r>
          </w:p>
        </w:tc>
        <w:tc>
          <w:tcPr>
            <w:tcW w:w="625" w:type="pct"/>
            <w:noWrap/>
            <w:hideMark/>
          </w:tcPr>
          <w:p w14:paraId="31B29BAE" w14:textId="77777777" w:rsidR="0083014D" w:rsidRPr="0033180A" w:rsidRDefault="0083014D" w:rsidP="0033180A">
            <w:pPr>
              <w:pStyle w:val="TableBody"/>
            </w:pPr>
            <w:r w:rsidRPr="0033180A">
              <w:t>218.8</w:t>
            </w:r>
          </w:p>
        </w:tc>
        <w:tc>
          <w:tcPr>
            <w:tcW w:w="625" w:type="pct"/>
            <w:noWrap/>
            <w:hideMark/>
          </w:tcPr>
          <w:p w14:paraId="2C0B402C" w14:textId="77777777" w:rsidR="0083014D" w:rsidRPr="0033180A" w:rsidRDefault="0083014D" w:rsidP="0033180A">
            <w:pPr>
              <w:pStyle w:val="TableBody"/>
            </w:pPr>
            <w:r w:rsidRPr="0033180A">
              <w:t>221.6</w:t>
            </w:r>
          </w:p>
        </w:tc>
        <w:tc>
          <w:tcPr>
            <w:tcW w:w="625" w:type="pct"/>
            <w:noWrap/>
            <w:hideMark/>
          </w:tcPr>
          <w:p w14:paraId="46A9A948" w14:textId="77777777" w:rsidR="0083014D" w:rsidRPr="0033180A" w:rsidRDefault="0083014D" w:rsidP="0033180A">
            <w:pPr>
              <w:pStyle w:val="TableBody"/>
            </w:pPr>
            <w:r w:rsidRPr="0033180A">
              <w:t>148.1</w:t>
            </w:r>
          </w:p>
        </w:tc>
        <w:tc>
          <w:tcPr>
            <w:tcW w:w="625" w:type="pct"/>
            <w:noWrap/>
            <w:hideMark/>
          </w:tcPr>
          <w:p w14:paraId="75D00C10" w14:textId="77777777" w:rsidR="0083014D" w:rsidRPr="0033180A" w:rsidRDefault="0083014D" w:rsidP="0033180A">
            <w:pPr>
              <w:pStyle w:val="TableBody"/>
            </w:pPr>
            <w:r w:rsidRPr="0033180A">
              <w:t>152.3</w:t>
            </w:r>
          </w:p>
        </w:tc>
        <w:tc>
          <w:tcPr>
            <w:tcW w:w="625" w:type="pct"/>
            <w:noWrap/>
            <w:hideMark/>
          </w:tcPr>
          <w:p w14:paraId="496BCB02" w14:textId="77777777" w:rsidR="0083014D" w:rsidRPr="0033180A" w:rsidRDefault="0083014D" w:rsidP="0033180A">
            <w:pPr>
              <w:pStyle w:val="TableBody"/>
            </w:pPr>
            <w:r w:rsidRPr="0033180A">
              <w:t>151.1</w:t>
            </w:r>
          </w:p>
        </w:tc>
      </w:tr>
      <w:tr w:rsidR="0083014D" w:rsidRPr="00D16565" w14:paraId="0D2B6103" w14:textId="77777777" w:rsidTr="00BD32A2">
        <w:trPr>
          <w:trHeight w:val="288"/>
        </w:trPr>
        <w:tc>
          <w:tcPr>
            <w:tcW w:w="625" w:type="pct"/>
            <w:noWrap/>
            <w:hideMark/>
          </w:tcPr>
          <w:p w14:paraId="0FAD58C5" w14:textId="77777777" w:rsidR="0083014D" w:rsidRPr="0033180A" w:rsidRDefault="0083014D" w:rsidP="0033180A">
            <w:pPr>
              <w:pStyle w:val="TableBody"/>
            </w:pPr>
            <w:r w:rsidRPr="0033180A">
              <w:t>2019</w:t>
            </w:r>
          </w:p>
        </w:tc>
        <w:tc>
          <w:tcPr>
            <w:tcW w:w="625" w:type="pct"/>
            <w:noWrap/>
            <w:hideMark/>
          </w:tcPr>
          <w:p w14:paraId="2D8E9472" w14:textId="77777777" w:rsidR="0083014D" w:rsidRPr="0033180A" w:rsidRDefault="0083014D" w:rsidP="0033180A">
            <w:pPr>
              <w:pStyle w:val="TableBody"/>
            </w:pPr>
            <w:r w:rsidRPr="0033180A">
              <w:t>344.7</w:t>
            </w:r>
          </w:p>
        </w:tc>
        <w:tc>
          <w:tcPr>
            <w:tcW w:w="625" w:type="pct"/>
            <w:noWrap/>
            <w:hideMark/>
          </w:tcPr>
          <w:p w14:paraId="51E1B6D9" w14:textId="77777777" w:rsidR="0083014D" w:rsidRPr="0033180A" w:rsidRDefault="0083014D" w:rsidP="0033180A">
            <w:pPr>
              <w:pStyle w:val="TableBody"/>
            </w:pPr>
            <w:r w:rsidRPr="0033180A">
              <w:t>224.8</w:t>
            </w:r>
          </w:p>
        </w:tc>
        <w:tc>
          <w:tcPr>
            <w:tcW w:w="625" w:type="pct"/>
            <w:noWrap/>
            <w:hideMark/>
          </w:tcPr>
          <w:p w14:paraId="5B309013" w14:textId="77777777" w:rsidR="0083014D" w:rsidRPr="0033180A" w:rsidRDefault="0083014D" w:rsidP="0033180A">
            <w:pPr>
              <w:pStyle w:val="TableBody"/>
            </w:pPr>
            <w:r w:rsidRPr="0033180A">
              <w:t>207.3</w:t>
            </w:r>
          </w:p>
        </w:tc>
        <w:tc>
          <w:tcPr>
            <w:tcW w:w="625" w:type="pct"/>
            <w:noWrap/>
            <w:hideMark/>
          </w:tcPr>
          <w:p w14:paraId="711422A8" w14:textId="77777777" w:rsidR="0083014D" w:rsidRPr="0033180A" w:rsidRDefault="0083014D" w:rsidP="0033180A">
            <w:pPr>
              <w:pStyle w:val="TableBody"/>
            </w:pPr>
            <w:r w:rsidRPr="0033180A">
              <w:t>213.6</w:t>
            </w:r>
          </w:p>
        </w:tc>
        <w:tc>
          <w:tcPr>
            <w:tcW w:w="625" w:type="pct"/>
            <w:noWrap/>
            <w:hideMark/>
          </w:tcPr>
          <w:p w14:paraId="2C828D9B" w14:textId="77777777" w:rsidR="0083014D" w:rsidRPr="0033180A" w:rsidRDefault="0083014D" w:rsidP="0033180A">
            <w:pPr>
              <w:pStyle w:val="TableBody"/>
            </w:pPr>
            <w:r w:rsidRPr="0033180A">
              <w:t>164.7</w:t>
            </w:r>
          </w:p>
        </w:tc>
        <w:tc>
          <w:tcPr>
            <w:tcW w:w="625" w:type="pct"/>
            <w:noWrap/>
            <w:hideMark/>
          </w:tcPr>
          <w:p w14:paraId="277F2F7A" w14:textId="77777777" w:rsidR="0083014D" w:rsidRPr="0033180A" w:rsidRDefault="0083014D" w:rsidP="0033180A">
            <w:pPr>
              <w:pStyle w:val="TableBody"/>
            </w:pPr>
            <w:r w:rsidRPr="0033180A">
              <w:t>157.1</w:t>
            </w:r>
          </w:p>
        </w:tc>
        <w:tc>
          <w:tcPr>
            <w:tcW w:w="625" w:type="pct"/>
            <w:noWrap/>
            <w:hideMark/>
          </w:tcPr>
          <w:p w14:paraId="554D2FB0" w14:textId="77777777" w:rsidR="0083014D" w:rsidRPr="0033180A" w:rsidRDefault="0083014D" w:rsidP="0033180A">
            <w:pPr>
              <w:pStyle w:val="TableBody"/>
            </w:pPr>
            <w:r w:rsidRPr="0033180A">
              <w:t>143.2</w:t>
            </w:r>
          </w:p>
        </w:tc>
      </w:tr>
      <w:tr w:rsidR="0083014D" w:rsidRPr="00D16565" w14:paraId="0965FAF9" w14:textId="77777777" w:rsidTr="00BD32A2">
        <w:trPr>
          <w:trHeight w:val="288"/>
        </w:trPr>
        <w:tc>
          <w:tcPr>
            <w:tcW w:w="625" w:type="pct"/>
            <w:noWrap/>
            <w:hideMark/>
          </w:tcPr>
          <w:p w14:paraId="54355D0C" w14:textId="77777777" w:rsidR="0083014D" w:rsidRPr="0033180A" w:rsidRDefault="0083014D" w:rsidP="0033180A">
            <w:pPr>
              <w:pStyle w:val="TableBody"/>
            </w:pPr>
            <w:r w:rsidRPr="0033180A">
              <w:t>2020</w:t>
            </w:r>
          </w:p>
        </w:tc>
        <w:tc>
          <w:tcPr>
            <w:tcW w:w="625" w:type="pct"/>
            <w:noWrap/>
            <w:hideMark/>
          </w:tcPr>
          <w:p w14:paraId="0282CA3D" w14:textId="77777777" w:rsidR="0083014D" w:rsidRPr="0033180A" w:rsidRDefault="0083014D" w:rsidP="0033180A">
            <w:pPr>
              <w:pStyle w:val="TableBody"/>
            </w:pPr>
            <w:r w:rsidRPr="0033180A">
              <w:t>330.1</w:t>
            </w:r>
          </w:p>
        </w:tc>
        <w:tc>
          <w:tcPr>
            <w:tcW w:w="625" w:type="pct"/>
            <w:noWrap/>
            <w:hideMark/>
          </w:tcPr>
          <w:p w14:paraId="6E9533CA" w14:textId="77777777" w:rsidR="0083014D" w:rsidRPr="0033180A" w:rsidRDefault="0083014D" w:rsidP="0033180A">
            <w:pPr>
              <w:pStyle w:val="TableBody"/>
            </w:pPr>
            <w:r w:rsidRPr="0033180A">
              <w:t>217.8</w:t>
            </w:r>
          </w:p>
        </w:tc>
        <w:tc>
          <w:tcPr>
            <w:tcW w:w="625" w:type="pct"/>
            <w:noWrap/>
            <w:hideMark/>
          </w:tcPr>
          <w:p w14:paraId="6CF0BDF9" w14:textId="77777777" w:rsidR="0083014D" w:rsidRPr="0033180A" w:rsidRDefault="0083014D" w:rsidP="0033180A">
            <w:pPr>
              <w:pStyle w:val="TableBody"/>
            </w:pPr>
            <w:r w:rsidRPr="0033180A">
              <w:t>213.5</w:t>
            </w:r>
          </w:p>
        </w:tc>
        <w:tc>
          <w:tcPr>
            <w:tcW w:w="625" w:type="pct"/>
            <w:noWrap/>
            <w:hideMark/>
          </w:tcPr>
          <w:p w14:paraId="6AB4F875" w14:textId="77777777" w:rsidR="0083014D" w:rsidRPr="0033180A" w:rsidRDefault="0083014D" w:rsidP="0033180A">
            <w:pPr>
              <w:pStyle w:val="TableBody"/>
            </w:pPr>
            <w:r w:rsidRPr="0033180A">
              <w:t>199.5</w:t>
            </w:r>
          </w:p>
        </w:tc>
        <w:tc>
          <w:tcPr>
            <w:tcW w:w="625" w:type="pct"/>
            <w:noWrap/>
            <w:hideMark/>
          </w:tcPr>
          <w:p w14:paraId="3BAC9C36" w14:textId="77777777" w:rsidR="0083014D" w:rsidRPr="0033180A" w:rsidRDefault="0083014D" w:rsidP="0033180A">
            <w:pPr>
              <w:pStyle w:val="TableBody"/>
            </w:pPr>
            <w:r w:rsidRPr="0033180A">
              <w:t>156.3</w:t>
            </w:r>
          </w:p>
        </w:tc>
        <w:tc>
          <w:tcPr>
            <w:tcW w:w="625" w:type="pct"/>
            <w:noWrap/>
            <w:hideMark/>
          </w:tcPr>
          <w:p w14:paraId="67F1992F" w14:textId="77777777" w:rsidR="0083014D" w:rsidRPr="0033180A" w:rsidRDefault="0083014D" w:rsidP="0033180A">
            <w:pPr>
              <w:pStyle w:val="TableBody"/>
            </w:pPr>
            <w:r w:rsidRPr="0033180A">
              <w:t>136.0</w:t>
            </w:r>
          </w:p>
        </w:tc>
        <w:tc>
          <w:tcPr>
            <w:tcW w:w="625" w:type="pct"/>
            <w:noWrap/>
            <w:hideMark/>
          </w:tcPr>
          <w:p w14:paraId="3A8E8A8C" w14:textId="77777777" w:rsidR="0083014D" w:rsidRPr="0033180A" w:rsidRDefault="0083014D" w:rsidP="0033180A">
            <w:pPr>
              <w:pStyle w:val="TableBody"/>
            </w:pPr>
            <w:r w:rsidRPr="0033180A">
              <w:t>134.5</w:t>
            </w:r>
          </w:p>
        </w:tc>
      </w:tr>
      <w:tr w:rsidR="0083014D" w:rsidRPr="00D16565" w14:paraId="2A58349B" w14:textId="77777777" w:rsidTr="00BD32A2">
        <w:trPr>
          <w:trHeight w:val="288"/>
        </w:trPr>
        <w:tc>
          <w:tcPr>
            <w:tcW w:w="625" w:type="pct"/>
            <w:noWrap/>
            <w:hideMark/>
          </w:tcPr>
          <w:p w14:paraId="2859DB54" w14:textId="77777777" w:rsidR="0083014D" w:rsidRPr="0033180A" w:rsidRDefault="0083014D" w:rsidP="0033180A">
            <w:pPr>
              <w:pStyle w:val="TableBody"/>
            </w:pPr>
            <w:r w:rsidRPr="0033180A">
              <w:t>2021</w:t>
            </w:r>
          </w:p>
        </w:tc>
        <w:tc>
          <w:tcPr>
            <w:tcW w:w="625" w:type="pct"/>
            <w:noWrap/>
            <w:hideMark/>
          </w:tcPr>
          <w:p w14:paraId="236DC0A8" w14:textId="77777777" w:rsidR="0083014D" w:rsidRPr="0033180A" w:rsidRDefault="0083014D" w:rsidP="0033180A">
            <w:pPr>
              <w:pStyle w:val="TableBody"/>
            </w:pPr>
            <w:r w:rsidRPr="0033180A">
              <w:t>325.7</w:t>
            </w:r>
          </w:p>
        </w:tc>
        <w:tc>
          <w:tcPr>
            <w:tcW w:w="625" w:type="pct"/>
            <w:noWrap/>
            <w:hideMark/>
          </w:tcPr>
          <w:p w14:paraId="4484AFDE" w14:textId="77777777" w:rsidR="0083014D" w:rsidRPr="0033180A" w:rsidRDefault="0083014D" w:rsidP="0033180A">
            <w:pPr>
              <w:pStyle w:val="TableBody"/>
            </w:pPr>
            <w:r w:rsidRPr="0033180A">
              <w:t>248.0</w:t>
            </w:r>
          </w:p>
        </w:tc>
        <w:tc>
          <w:tcPr>
            <w:tcW w:w="625" w:type="pct"/>
            <w:noWrap/>
            <w:hideMark/>
          </w:tcPr>
          <w:p w14:paraId="315BB263" w14:textId="77777777" w:rsidR="0083014D" w:rsidRPr="0033180A" w:rsidRDefault="0083014D" w:rsidP="0033180A">
            <w:pPr>
              <w:pStyle w:val="TableBody"/>
            </w:pPr>
            <w:r w:rsidRPr="0033180A">
              <w:t>221.4</w:t>
            </w:r>
          </w:p>
        </w:tc>
        <w:tc>
          <w:tcPr>
            <w:tcW w:w="625" w:type="pct"/>
            <w:noWrap/>
            <w:hideMark/>
          </w:tcPr>
          <w:p w14:paraId="25D75888" w14:textId="77777777" w:rsidR="0083014D" w:rsidRPr="0033180A" w:rsidRDefault="0083014D" w:rsidP="0033180A">
            <w:pPr>
              <w:pStyle w:val="TableBody"/>
            </w:pPr>
            <w:r w:rsidRPr="0033180A">
              <w:t>205.5</w:t>
            </w:r>
          </w:p>
        </w:tc>
        <w:tc>
          <w:tcPr>
            <w:tcW w:w="625" w:type="pct"/>
            <w:noWrap/>
            <w:hideMark/>
          </w:tcPr>
          <w:p w14:paraId="516C27B5" w14:textId="77777777" w:rsidR="0083014D" w:rsidRPr="0033180A" w:rsidRDefault="0083014D" w:rsidP="0033180A">
            <w:pPr>
              <w:pStyle w:val="TableBody"/>
            </w:pPr>
            <w:r w:rsidRPr="0033180A">
              <w:t>149.4</w:t>
            </w:r>
          </w:p>
        </w:tc>
        <w:tc>
          <w:tcPr>
            <w:tcW w:w="625" w:type="pct"/>
            <w:noWrap/>
            <w:hideMark/>
          </w:tcPr>
          <w:p w14:paraId="3D3C1D7A" w14:textId="77777777" w:rsidR="0083014D" w:rsidRPr="0033180A" w:rsidRDefault="0083014D" w:rsidP="0033180A">
            <w:pPr>
              <w:pStyle w:val="TableBody"/>
            </w:pPr>
            <w:r w:rsidRPr="0033180A">
              <w:t>138.7</w:t>
            </w:r>
          </w:p>
        </w:tc>
        <w:tc>
          <w:tcPr>
            <w:tcW w:w="625" w:type="pct"/>
            <w:noWrap/>
            <w:hideMark/>
          </w:tcPr>
          <w:p w14:paraId="4643992D" w14:textId="77777777" w:rsidR="0083014D" w:rsidRPr="0033180A" w:rsidRDefault="0083014D" w:rsidP="0033180A">
            <w:pPr>
              <w:pStyle w:val="TableBody"/>
            </w:pPr>
            <w:r w:rsidRPr="0033180A">
              <w:t>113.2</w:t>
            </w:r>
          </w:p>
        </w:tc>
      </w:tr>
      <w:tr w:rsidR="0083014D" w:rsidRPr="00D16565" w14:paraId="43643E06" w14:textId="77777777" w:rsidTr="00BD32A2">
        <w:trPr>
          <w:trHeight w:val="288"/>
        </w:trPr>
        <w:tc>
          <w:tcPr>
            <w:tcW w:w="625" w:type="pct"/>
            <w:noWrap/>
            <w:hideMark/>
          </w:tcPr>
          <w:p w14:paraId="14E6EF4F" w14:textId="77777777" w:rsidR="0083014D" w:rsidRPr="0033180A" w:rsidRDefault="0083014D" w:rsidP="0033180A">
            <w:pPr>
              <w:pStyle w:val="TableBody"/>
            </w:pPr>
            <w:r w:rsidRPr="0033180A">
              <w:t>2022</w:t>
            </w:r>
          </w:p>
        </w:tc>
        <w:tc>
          <w:tcPr>
            <w:tcW w:w="625" w:type="pct"/>
            <w:noWrap/>
            <w:hideMark/>
          </w:tcPr>
          <w:p w14:paraId="5246A19C" w14:textId="77777777" w:rsidR="0083014D" w:rsidRPr="0033180A" w:rsidRDefault="0083014D" w:rsidP="0033180A">
            <w:pPr>
              <w:pStyle w:val="TableBody"/>
            </w:pPr>
            <w:r w:rsidRPr="0033180A">
              <w:t>293.0</w:t>
            </w:r>
          </w:p>
        </w:tc>
        <w:tc>
          <w:tcPr>
            <w:tcW w:w="625" w:type="pct"/>
            <w:noWrap/>
            <w:hideMark/>
          </w:tcPr>
          <w:p w14:paraId="7AB2CC7D" w14:textId="77777777" w:rsidR="0083014D" w:rsidRPr="0033180A" w:rsidRDefault="0083014D" w:rsidP="0033180A">
            <w:pPr>
              <w:pStyle w:val="TableBody"/>
            </w:pPr>
            <w:r w:rsidRPr="0033180A">
              <w:t>228.9</w:t>
            </w:r>
          </w:p>
        </w:tc>
        <w:tc>
          <w:tcPr>
            <w:tcW w:w="625" w:type="pct"/>
            <w:noWrap/>
            <w:hideMark/>
          </w:tcPr>
          <w:p w14:paraId="385BCA0D" w14:textId="77777777" w:rsidR="0083014D" w:rsidRPr="0033180A" w:rsidRDefault="0083014D" w:rsidP="0033180A">
            <w:pPr>
              <w:pStyle w:val="TableBody"/>
            </w:pPr>
            <w:r w:rsidRPr="0033180A">
              <w:t>211.5</w:t>
            </w:r>
          </w:p>
        </w:tc>
        <w:tc>
          <w:tcPr>
            <w:tcW w:w="625" w:type="pct"/>
            <w:noWrap/>
            <w:hideMark/>
          </w:tcPr>
          <w:p w14:paraId="34632B44" w14:textId="77777777" w:rsidR="0083014D" w:rsidRPr="0033180A" w:rsidRDefault="0083014D" w:rsidP="0033180A">
            <w:pPr>
              <w:pStyle w:val="TableBody"/>
            </w:pPr>
            <w:r w:rsidRPr="0033180A">
              <w:t>194.9</w:t>
            </w:r>
          </w:p>
        </w:tc>
        <w:tc>
          <w:tcPr>
            <w:tcW w:w="625" w:type="pct"/>
            <w:noWrap/>
            <w:hideMark/>
          </w:tcPr>
          <w:p w14:paraId="5B7FA1AC" w14:textId="77777777" w:rsidR="0083014D" w:rsidRPr="0033180A" w:rsidRDefault="0083014D" w:rsidP="0033180A">
            <w:pPr>
              <w:pStyle w:val="TableBody"/>
            </w:pPr>
            <w:r w:rsidRPr="0033180A">
              <w:t>138.1</w:t>
            </w:r>
          </w:p>
        </w:tc>
        <w:tc>
          <w:tcPr>
            <w:tcW w:w="625" w:type="pct"/>
            <w:noWrap/>
            <w:hideMark/>
          </w:tcPr>
          <w:p w14:paraId="4A6A38BF" w14:textId="77777777" w:rsidR="0083014D" w:rsidRPr="0033180A" w:rsidRDefault="0083014D" w:rsidP="0033180A">
            <w:pPr>
              <w:pStyle w:val="TableBody"/>
            </w:pPr>
            <w:r w:rsidRPr="0033180A">
              <w:t>126.9</w:t>
            </w:r>
          </w:p>
        </w:tc>
        <w:tc>
          <w:tcPr>
            <w:tcW w:w="625" w:type="pct"/>
            <w:noWrap/>
            <w:hideMark/>
          </w:tcPr>
          <w:p w14:paraId="680FDB7D" w14:textId="77777777" w:rsidR="0083014D" w:rsidRPr="0033180A" w:rsidRDefault="0083014D" w:rsidP="0033180A">
            <w:pPr>
              <w:pStyle w:val="TableBody"/>
            </w:pPr>
            <w:r w:rsidRPr="0033180A">
              <w:t>106.5</w:t>
            </w:r>
          </w:p>
        </w:tc>
      </w:tr>
      <w:tr w:rsidR="0083014D" w:rsidRPr="00D16565" w14:paraId="53CF077E" w14:textId="77777777" w:rsidTr="00BD32A2">
        <w:trPr>
          <w:trHeight w:val="288"/>
        </w:trPr>
        <w:tc>
          <w:tcPr>
            <w:tcW w:w="625" w:type="pct"/>
            <w:noWrap/>
            <w:hideMark/>
          </w:tcPr>
          <w:p w14:paraId="77AC506E" w14:textId="77777777" w:rsidR="0083014D" w:rsidRPr="0033180A" w:rsidRDefault="0083014D" w:rsidP="0033180A">
            <w:pPr>
              <w:pStyle w:val="TableBody"/>
            </w:pPr>
            <w:r w:rsidRPr="0033180A">
              <w:t>2023</w:t>
            </w:r>
          </w:p>
        </w:tc>
        <w:tc>
          <w:tcPr>
            <w:tcW w:w="625" w:type="pct"/>
            <w:noWrap/>
            <w:hideMark/>
          </w:tcPr>
          <w:p w14:paraId="32BFB6AE" w14:textId="77777777" w:rsidR="0083014D" w:rsidRPr="0033180A" w:rsidRDefault="0083014D" w:rsidP="0033180A">
            <w:pPr>
              <w:pStyle w:val="TableBody"/>
            </w:pPr>
            <w:r w:rsidRPr="0033180A">
              <w:t>303.6</w:t>
            </w:r>
          </w:p>
        </w:tc>
        <w:tc>
          <w:tcPr>
            <w:tcW w:w="625" w:type="pct"/>
            <w:noWrap/>
            <w:hideMark/>
          </w:tcPr>
          <w:p w14:paraId="7FCFEDC0" w14:textId="77777777" w:rsidR="0083014D" w:rsidRPr="0033180A" w:rsidRDefault="0083014D" w:rsidP="0033180A">
            <w:pPr>
              <w:pStyle w:val="TableBody"/>
            </w:pPr>
            <w:r w:rsidRPr="0033180A">
              <w:t>243.1</w:t>
            </w:r>
          </w:p>
        </w:tc>
        <w:tc>
          <w:tcPr>
            <w:tcW w:w="625" w:type="pct"/>
            <w:noWrap/>
            <w:hideMark/>
          </w:tcPr>
          <w:p w14:paraId="66E0D5F5" w14:textId="77777777" w:rsidR="0083014D" w:rsidRPr="0033180A" w:rsidRDefault="0083014D" w:rsidP="0033180A">
            <w:pPr>
              <w:pStyle w:val="TableBody"/>
            </w:pPr>
            <w:r w:rsidRPr="0033180A">
              <w:t>204.1</w:t>
            </w:r>
          </w:p>
        </w:tc>
        <w:tc>
          <w:tcPr>
            <w:tcW w:w="625" w:type="pct"/>
            <w:noWrap/>
            <w:hideMark/>
          </w:tcPr>
          <w:p w14:paraId="5A7D17E8" w14:textId="77777777" w:rsidR="0083014D" w:rsidRPr="0033180A" w:rsidRDefault="0083014D" w:rsidP="0033180A">
            <w:pPr>
              <w:pStyle w:val="TableBody"/>
            </w:pPr>
            <w:r w:rsidRPr="0033180A">
              <w:t>189.5</w:t>
            </w:r>
          </w:p>
        </w:tc>
        <w:tc>
          <w:tcPr>
            <w:tcW w:w="625" w:type="pct"/>
            <w:noWrap/>
            <w:hideMark/>
          </w:tcPr>
          <w:p w14:paraId="0C0AFB72" w14:textId="77777777" w:rsidR="0083014D" w:rsidRPr="0033180A" w:rsidRDefault="0083014D" w:rsidP="0033180A">
            <w:pPr>
              <w:pStyle w:val="TableBody"/>
            </w:pPr>
            <w:r w:rsidRPr="0033180A">
              <w:t>163.9</w:t>
            </w:r>
          </w:p>
        </w:tc>
        <w:tc>
          <w:tcPr>
            <w:tcW w:w="625" w:type="pct"/>
            <w:noWrap/>
            <w:hideMark/>
          </w:tcPr>
          <w:p w14:paraId="1C5D07ED" w14:textId="77777777" w:rsidR="0083014D" w:rsidRPr="0033180A" w:rsidRDefault="0083014D" w:rsidP="0033180A">
            <w:pPr>
              <w:pStyle w:val="TableBody"/>
            </w:pPr>
            <w:r w:rsidRPr="0033180A">
              <w:t>120.9</w:t>
            </w:r>
          </w:p>
        </w:tc>
        <w:tc>
          <w:tcPr>
            <w:tcW w:w="625" w:type="pct"/>
            <w:noWrap/>
            <w:hideMark/>
          </w:tcPr>
          <w:p w14:paraId="3805DBD3" w14:textId="77777777" w:rsidR="0083014D" w:rsidRPr="0033180A" w:rsidRDefault="0083014D" w:rsidP="0033180A">
            <w:pPr>
              <w:pStyle w:val="TableBody"/>
            </w:pPr>
            <w:r w:rsidRPr="0033180A">
              <w:t>102.5</w:t>
            </w:r>
          </w:p>
        </w:tc>
      </w:tr>
      <w:tr w:rsidR="0083014D" w:rsidRPr="00D16565" w14:paraId="4579F784" w14:textId="77777777" w:rsidTr="00BD32A2">
        <w:trPr>
          <w:trHeight w:val="288"/>
        </w:trPr>
        <w:tc>
          <w:tcPr>
            <w:tcW w:w="625" w:type="pct"/>
            <w:noWrap/>
            <w:hideMark/>
          </w:tcPr>
          <w:p w14:paraId="485F3E72" w14:textId="77777777" w:rsidR="0083014D" w:rsidRPr="0033180A" w:rsidRDefault="0083014D" w:rsidP="0033180A">
            <w:pPr>
              <w:pStyle w:val="TableBody"/>
            </w:pPr>
            <w:r w:rsidRPr="0033180A">
              <w:t>2024</w:t>
            </w:r>
          </w:p>
        </w:tc>
        <w:tc>
          <w:tcPr>
            <w:tcW w:w="625" w:type="pct"/>
            <w:noWrap/>
            <w:hideMark/>
          </w:tcPr>
          <w:p w14:paraId="4BECD110" w14:textId="77777777" w:rsidR="0083014D" w:rsidRPr="0033180A" w:rsidRDefault="0083014D" w:rsidP="0033180A">
            <w:pPr>
              <w:pStyle w:val="TableBody"/>
            </w:pPr>
            <w:r w:rsidRPr="0033180A">
              <w:t>339.9</w:t>
            </w:r>
          </w:p>
        </w:tc>
        <w:tc>
          <w:tcPr>
            <w:tcW w:w="625" w:type="pct"/>
            <w:noWrap/>
            <w:hideMark/>
          </w:tcPr>
          <w:p w14:paraId="571D1E90" w14:textId="77777777" w:rsidR="0083014D" w:rsidRPr="0033180A" w:rsidRDefault="0083014D" w:rsidP="0033180A">
            <w:pPr>
              <w:pStyle w:val="TableBody"/>
            </w:pPr>
            <w:r w:rsidRPr="0033180A">
              <w:t>250.9</w:t>
            </w:r>
          </w:p>
        </w:tc>
        <w:tc>
          <w:tcPr>
            <w:tcW w:w="625" w:type="pct"/>
            <w:noWrap/>
            <w:hideMark/>
          </w:tcPr>
          <w:p w14:paraId="132A6CA8" w14:textId="77777777" w:rsidR="0083014D" w:rsidRPr="0033180A" w:rsidRDefault="0083014D" w:rsidP="0033180A">
            <w:pPr>
              <w:pStyle w:val="TableBody"/>
            </w:pPr>
            <w:r w:rsidRPr="0033180A">
              <w:t>223.8</w:t>
            </w:r>
          </w:p>
        </w:tc>
        <w:tc>
          <w:tcPr>
            <w:tcW w:w="625" w:type="pct"/>
            <w:noWrap/>
            <w:hideMark/>
          </w:tcPr>
          <w:p w14:paraId="5D97238C" w14:textId="77777777" w:rsidR="0083014D" w:rsidRPr="0033180A" w:rsidRDefault="0083014D" w:rsidP="0033180A">
            <w:pPr>
              <w:pStyle w:val="TableBody"/>
            </w:pPr>
            <w:r w:rsidRPr="0033180A">
              <w:t>194.0</w:t>
            </w:r>
          </w:p>
        </w:tc>
        <w:tc>
          <w:tcPr>
            <w:tcW w:w="625" w:type="pct"/>
            <w:noWrap/>
            <w:hideMark/>
          </w:tcPr>
          <w:p w14:paraId="0A3BACBF" w14:textId="77777777" w:rsidR="0083014D" w:rsidRPr="0033180A" w:rsidRDefault="0083014D" w:rsidP="0033180A">
            <w:pPr>
              <w:pStyle w:val="TableBody"/>
            </w:pPr>
            <w:r w:rsidRPr="0033180A">
              <w:t>173.5</w:t>
            </w:r>
          </w:p>
        </w:tc>
        <w:tc>
          <w:tcPr>
            <w:tcW w:w="625" w:type="pct"/>
            <w:noWrap/>
            <w:hideMark/>
          </w:tcPr>
          <w:p w14:paraId="2E5ECAAB" w14:textId="77777777" w:rsidR="0083014D" w:rsidRPr="0033180A" w:rsidRDefault="0083014D" w:rsidP="0033180A">
            <w:pPr>
              <w:pStyle w:val="TableBody"/>
            </w:pPr>
            <w:r w:rsidRPr="0033180A">
              <w:t>107.6</w:t>
            </w:r>
          </w:p>
        </w:tc>
        <w:tc>
          <w:tcPr>
            <w:tcW w:w="625" w:type="pct"/>
            <w:noWrap/>
            <w:hideMark/>
          </w:tcPr>
          <w:p w14:paraId="0591CD34" w14:textId="77777777" w:rsidR="0083014D" w:rsidRPr="0033180A" w:rsidRDefault="0083014D" w:rsidP="0033180A">
            <w:pPr>
              <w:pStyle w:val="TableBody"/>
            </w:pPr>
            <w:r w:rsidRPr="0033180A">
              <w:t>112.6</w:t>
            </w:r>
          </w:p>
        </w:tc>
      </w:tr>
    </w:tbl>
    <w:p w14:paraId="18246114" w14:textId="77777777" w:rsidR="00A4454A" w:rsidRPr="008C1137" w:rsidRDefault="00A4454A" w:rsidP="00D4532A">
      <w:r w:rsidRPr="000C258A">
        <w:rPr>
          <w:rStyle w:val="Strong"/>
        </w:rPr>
        <w:lastRenderedPageBreak/>
        <w:t>Source</w:t>
      </w:r>
      <w:r w:rsidRPr="008C1137">
        <w:t>: Australian Bureau of Statistics,</w:t>
      </w:r>
      <w:r w:rsidRPr="008C1137">
        <w:rPr>
          <w:rStyle w:val="Italic"/>
        </w:rPr>
        <w:t xml:space="preserve"> Prisoners in Australia</w:t>
      </w:r>
      <w:r w:rsidRPr="008C1137">
        <w:t>, cat. no. 4517.0 (abs.gov.au, 2024) Table 19</w:t>
      </w:r>
    </w:p>
    <w:p w14:paraId="46ACF97B" w14:textId="77777777" w:rsidR="00A4454A" w:rsidRPr="008C1137" w:rsidRDefault="00A4454A" w:rsidP="0002476E">
      <w:pPr>
        <w:pStyle w:val="Heading2"/>
      </w:pPr>
      <w:r w:rsidRPr="008C1137">
        <w:t>Comparing Victoria’s prison population to prison populations in international jurisdictions</w:t>
      </w:r>
    </w:p>
    <w:p w14:paraId="74EBCCE1" w14:textId="377721CB" w:rsidR="00A4454A" w:rsidRPr="008C1137" w:rsidRDefault="00A4454A" w:rsidP="00210207">
      <w:pPr>
        <w:pStyle w:val="Numbered"/>
      </w:pPr>
      <w:r w:rsidRPr="008C1137">
        <w:t>Incorporating data from the World Prison Brief,</w:t>
      </w:r>
      <w:r w:rsidRPr="008C1137">
        <w:rPr>
          <w:rStyle w:val="Superscript"/>
        </w:rPr>
        <w:footnoteReference w:id="133"/>
      </w:r>
      <w:r w:rsidRPr="008C1137">
        <w:t xml:space="preserve"> Figures 41 (below) and 42</w:t>
      </w:r>
      <w:r w:rsidR="009E33A5">
        <w:t xml:space="preserve"> </w:t>
      </w:r>
      <w:r w:rsidRPr="008C1137">
        <w:t>compare Victoria’s prison population with prison populations in comparable jurisdictions (in terms of legal systems and general population size) during the period between 2004 and 2024.</w:t>
      </w:r>
      <w:r w:rsidRPr="008C1137">
        <w:rPr>
          <w:rStyle w:val="Superscript"/>
        </w:rPr>
        <w:footnoteReference w:id="134"/>
      </w:r>
      <w:r w:rsidRPr="008C1137">
        <w:t xml:space="preserve"> </w:t>
      </w:r>
    </w:p>
    <w:p w14:paraId="151FD4D8" w14:textId="77777777" w:rsidR="00A4454A" w:rsidRPr="008C1137" w:rsidRDefault="00A4454A" w:rsidP="00210207">
      <w:pPr>
        <w:pStyle w:val="Numbered"/>
      </w:pPr>
      <w:r w:rsidRPr="008C1137">
        <w:t>Trends in Victoria, Ireland, New Zealand and Scotland are presented in Figure 41, separately from trends in England and Wales and Australia in Figure 42, due to their respective sizes. During the 20-year period, prison populations increased by 84% (Australia), 56% (Ireland), 47% (New Zealand), 20% (Scotland) and 18% (England and Wales).</w:t>
      </w:r>
    </w:p>
    <w:p w14:paraId="013514C0" w14:textId="77777777" w:rsidR="00A4454A" w:rsidRPr="008C1137" w:rsidRDefault="00A4454A" w:rsidP="00BE4EDC">
      <w:pPr>
        <w:pStyle w:val="Caption"/>
      </w:pPr>
      <w:r w:rsidRPr="00157502">
        <w:t>Figure 41</w:t>
      </w:r>
      <w:r w:rsidRPr="008C1137">
        <w:t>: Prison population in Victoria, Ireland, New Zealand and Scotland, 2004 to 2024</w:t>
      </w:r>
    </w:p>
    <w:tbl>
      <w:tblPr>
        <w:tblStyle w:val="Table"/>
        <w:tblW w:w="5000" w:type="pct"/>
        <w:tblLook w:val="04A0" w:firstRow="1" w:lastRow="0" w:firstColumn="1" w:lastColumn="0" w:noHBand="0" w:noVBand="1"/>
      </w:tblPr>
      <w:tblGrid>
        <w:gridCol w:w="1804"/>
        <w:gridCol w:w="1803"/>
        <w:gridCol w:w="1803"/>
        <w:gridCol w:w="1803"/>
        <w:gridCol w:w="1803"/>
      </w:tblGrid>
      <w:tr w:rsidR="006C6372" w:rsidRPr="007D785B" w14:paraId="5E0C09BD" w14:textId="77777777" w:rsidTr="004078B0">
        <w:trPr>
          <w:trHeight w:val="288"/>
          <w:tblHeader/>
        </w:trPr>
        <w:tc>
          <w:tcPr>
            <w:tcW w:w="1000" w:type="pct"/>
            <w:noWrap/>
            <w:hideMark/>
          </w:tcPr>
          <w:p w14:paraId="59F420FB" w14:textId="5789AC98" w:rsidR="006C6372" w:rsidRPr="007D785B" w:rsidRDefault="007D785B" w:rsidP="007D785B">
            <w:pPr>
              <w:pStyle w:val="TableHeading"/>
            </w:pPr>
            <w:r w:rsidRPr="007D785B">
              <w:t>Year</w:t>
            </w:r>
          </w:p>
        </w:tc>
        <w:tc>
          <w:tcPr>
            <w:tcW w:w="1000" w:type="pct"/>
            <w:noWrap/>
            <w:hideMark/>
          </w:tcPr>
          <w:p w14:paraId="39A16D17" w14:textId="77777777" w:rsidR="006C6372" w:rsidRPr="007D785B" w:rsidRDefault="006C6372" w:rsidP="007D785B">
            <w:pPr>
              <w:pStyle w:val="TableHeading"/>
            </w:pPr>
            <w:r w:rsidRPr="007D785B">
              <w:t>New Zealand</w:t>
            </w:r>
          </w:p>
        </w:tc>
        <w:tc>
          <w:tcPr>
            <w:tcW w:w="1000" w:type="pct"/>
            <w:noWrap/>
            <w:hideMark/>
          </w:tcPr>
          <w:p w14:paraId="00E2D6AA" w14:textId="77777777" w:rsidR="006C6372" w:rsidRPr="007D785B" w:rsidRDefault="006C6372" w:rsidP="007D785B">
            <w:pPr>
              <w:pStyle w:val="TableHeading"/>
            </w:pPr>
            <w:r w:rsidRPr="007D785B">
              <w:t>Scotland</w:t>
            </w:r>
          </w:p>
        </w:tc>
        <w:tc>
          <w:tcPr>
            <w:tcW w:w="1000" w:type="pct"/>
            <w:noWrap/>
            <w:hideMark/>
          </w:tcPr>
          <w:p w14:paraId="1951D9EE" w14:textId="77777777" w:rsidR="006C6372" w:rsidRPr="007D785B" w:rsidRDefault="006C6372" w:rsidP="007D785B">
            <w:pPr>
              <w:pStyle w:val="TableHeading"/>
            </w:pPr>
            <w:r w:rsidRPr="007D785B">
              <w:t>Victoria</w:t>
            </w:r>
          </w:p>
        </w:tc>
        <w:tc>
          <w:tcPr>
            <w:tcW w:w="1000" w:type="pct"/>
            <w:noWrap/>
            <w:hideMark/>
          </w:tcPr>
          <w:p w14:paraId="74222C57" w14:textId="77777777" w:rsidR="006C6372" w:rsidRPr="007D785B" w:rsidRDefault="006C6372" w:rsidP="007D785B">
            <w:pPr>
              <w:pStyle w:val="TableHeading"/>
            </w:pPr>
            <w:r w:rsidRPr="007D785B">
              <w:t>Ireland</w:t>
            </w:r>
          </w:p>
        </w:tc>
      </w:tr>
      <w:tr w:rsidR="006C6372" w:rsidRPr="007D785B" w14:paraId="3778DEED" w14:textId="77777777" w:rsidTr="004078B0">
        <w:trPr>
          <w:trHeight w:val="288"/>
        </w:trPr>
        <w:tc>
          <w:tcPr>
            <w:tcW w:w="1000" w:type="pct"/>
            <w:noWrap/>
            <w:hideMark/>
          </w:tcPr>
          <w:p w14:paraId="0EDE911F" w14:textId="77777777" w:rsidR="006C6372" w:rsidRPr="007D785B" w:rsidRDefault="006C6372" w:rsidP="007D785B">
            <w:pPr>
              <w:pStyle w:val="TableBody"/>
            </w:pPr>
            <w:r w:rsidRPr="007D785B">
              <w:t>2004</w:t>
            </w:r>
          </w:p>
        </w:tc>
        <w:tc>
          <w:tcPr>
            <w:tcW w:w="1000" w:type="pct"/>
            <w:noWrap/>
            <w:hideMark/>
          </w:tcPr>
          <w:p w14:paraId="32D9B83C" w14:textId="77777777" w:rsidR="006C6372" w:rsidRPr="007D785B" w:rsidRDefault="006C6372" w:rsidP="007D785B">
            <w:pPr>
              <w:pStyle w:val="TableBody"/>
            </w:pPr>
            <w:r w:rsidRPr="007D785B">
              <w:t>6,556</w:t>
            </w:r>
          </w:p>
        </w:tc>
        <w:tc>
          <w:tcPr>
            <w:tcW w:w="1000" w:type="pct"/>
            <w:noWrap/>
            <w:hideMark/>
          </w:tcPr>
          <w:p w14:paraId="657DA8AA" w14:textId="77777777" w:rsidR="006C6372" w:rsidRPr="007D785B" w:rsidRDefault="006C6372" w:rsidP="007D785B">
            <w:pPr>
              <w:pStyle w:val="TableBody"/>
            </w:pPr>
            <w:r w:rsidRPr="007D785B">
              <w:t>6,805</w:t>
            </w:r>
          </w:p>
        </w:tc>
        <w:tc>
          <w:tcPr>
            <w:tcW w:w="1000" w:type="pct"/>
            <w:noWrap/>
            <w:hideMark/>
          </w:tcPr>
          <w:p w14:paraId="20BC7DEB" w14:textId="77777777" w:rsidR="006C6372" w:rsidRPr="007D785B" w:rsidRDefault="006C6372" w:rsidP="007D785B">
            <w:pPr>
              <w:pStyle w:val="TableBody"/>
            </w:pPr>
            <w:r w:rsidRPr="007D785B">
              <w:t>3,651</w:t>
            </w:r>
          </w:p>
        </w:tc>
        <w:tc>
          <w:tcPr>
            <w:tcW w:w="1000" w:type="pct"/>
            <w:noWrap/>
            <w:hideMark/>
          </w:tcPr>
          <w:p w14:paraId="7A375305" w14:textId="77777777" w:rsidR="006C6372" w:rsidRPr="007D785B" w:rsidRDefault="006C6372" w:rsidP="007D785B">
            <w:pPr>
              <w:pStyle w:val="TableBody"/>
            </w:pPr>
            <w:r w:rsidRPr="007D785B">
              <w:t>3,199</w:t>
            </w:r>
          </w:p>
        </w:tc>
      </w:tr>
      <w:tr w:rsidR="006C6372" w:rsidRPr="007D785B" w14:paraId="561D7846" w14:textId="77777777" w:rsidTr="004078B0">
        <w:trPr>
          <w:trHeight w:val="288"/>
        </w:trPr>
        <w:tc>
          <w:tcPr>
            <w:tcW w:w="1000" w:type="pct"/>
            <w:noWrap/>
            <w:hideMark/>
          </w:tcPr>
          <w:p w14:paraId="330D0A88" w14:textId="77777777" w:rsidR="006C6372" w:rsidRPr="007D785B" w:rsidRDefault="006C6372" w:rsidP="007D785B">
            <w:pPr>
              <w:pStyle w:val="TableBody"/>
            </w:pPr>
            <w:r w:rsidRPr="007D785B">
              <w:t>2006</w:t>
            </w:r>
          </w:p>
        </w:tc>
        <w:tc>
          <w:tcPr>
            <w:tcW w:w="1000" w:type="pct"/>
            <w:noWrap/>
            <w:hideMark/>
          </w:tcPr>
          <w:p w14:paraId="0F393AB1" w14:textId="77777777" w:rsidR="006C6372" w:rsidRPr="007D785B" w:rsidRDefault="006C6372" w:rsidP="007D785B">
            <w:pPr>
              <w:pStyle w:val="TableBody"/>
            </w:pPr>
            <w:r w:rsidRPr="007D785B">
              <w:t>7,595</w:t>
            </w:r>
          </w:p>
        </w:tc>
        <w:tc>
          <w:tcPr>
            <w:tcW w:w="1000" w:type="pct"/>
            <w:noWrap/>
            <w:hideMark/>
          </w:tcPr>
          <w:p w14:paraId="218D6122" w14:textId="77777777" w:rsidR="006C6372" w:rsidRPr="007D785B" w:rsidRDefault="006C6372" w:rsidP="007D785B">
            <w:pPr>
              <w:pStyle w:val="TableBody"/>
            </w:pPr>
            <w:r w:rsidRPr="007D785B">
              <w:t>7,111</w:t>
            </w:r>
          </w:p>
        </w:tc>
        <w:tc>
          <w:tcPr>
            <w:tcW w:w="1000" w:type="pct"/>
            <w:noWrap/>
            <w:hideMark/>
          </w:tcPr>
          <w:p w14:paraId="47D41E1B" w14:textId="77777777" w:rsidR="006C6372" w:rsidRPr="007D785B" w:rsidRDefault="006C6372" w:rsidP="007D785B">
            <w:pPr>
              <w:pStyle w:val="TableBody"/>
            </w:pPr>
            <w:r w:rsidRPr="007D785B">
              <w:t>3,906</w:t>
            </w:r>
          </w:p>
        </w:tc>
        <w:tc>
          <w:tcPr>
            <w:tcW w:w="1000" w:type="pct"/>
            <w:noWrap/>
            <w:hideMark/>
          </w:tcPr>
          <w:p w14:paraId="2F93D9F6" w14:textId="77777777" w:rsidR="006C6372" w:rsidRPr="007D785B" w:rsidRDefault="006C6372" w:rsidP="007D785B">
            <w:pPr>
              <w:pStyle w:val="TableBody"/>
            </w:pPr>
            <w:r w:rsidRPr="007D785B">
              <w:t>3,191</w:t>
            </w:r>
          </w:p>
        </w:tc>
      </w:tr>
      <w:tr w:rsidR="006C6372" w:rsidRPr="007D785B" w14:paraId="21D75B36" w14:textId="77777777" w:rsidTr="004078B0">
        <w:trPr>
          <w:trHeight w:val="288"/>
        </w:trPr>
        <w:tc>
          <w:tcPr>
            <w:tcW w:w="1000" w:type="pct"/>
            <w:noWrap/>
            <w:hideMark/>
          </w:tcPr>
          <w:p w14:paraId="439C0154" w14:textId="77777777" w:rsidR="006C6372" w:rsidRPr="007D785B" w:rsidRDefault="006C6372" w:rsidP="007D785B">
            <w:pPr>
              <w:pStyle w:val="TableBody"/>
            </w:pPr>
            <w:r w:rsidRPr="007D785B">
              <w:t>2008</w:t>
            </w:r>
          </w:p>
        </w:tc>
        <w:tc>
          <w:tcPr>
            <w:tcW w:w="1000" w:type="pct"/>
            <w:noWrap/>
            <w:hideMark/>
          </w:tcPr>
          <w:p w14:paraId="38AE0AB3" w14:textId="77777777" w:rsidR="006C6372" w:rsidRPr="007D785B" w:rsidRDefault="006C6372" w:rsidP="007D785B">
            <w:pPr>
              <w:pStyle w:val="TableBody"/>
            </w:pPr>
            <w:r w:rsidRPr="007D785B">
              <w:t>7,763</w:t>
            </w:r>
          </w:p>
        </w:tc>
        <w:tc>
          <w:tcPr>
            <w:tcW w:w="1000" w:type="pct"/>
            <w:noWrap/>
            <w:hideMark/>
          </w:tcPr>
          <w:p w14:paraId="07DD50D1" w14:textId="77777777" w:rsidR="006C6372" w:rsidRPr="007D785B" w:rsidRDefault="006C6372" w:rsidP="007D785B">
            <w:pPr>
              <w:pStyle w:val="TableBody"/>
            </w:pPr>
            <w:r w:rsidRPr="007D785B">
              <w:t>7,741</w:t>
            </w:r>
          </w:p>
        </w:tc>
        <w:tc>
          <w:tcPr>
            <w:tcW w:w="1000" w:type="pct"/>
            <w:noWrap/>
            <w:hideMark/>
          </w:tcPr>
          <w:p w14:paraId="507228F5" w14:textId="77777777" w:rsidR="006C6372" w:rsidRPr="007D785B" w:rsidRDefault="006C6372" w:rsidP="007D785B">
            <w:pPr>
              <w:pStyle w:val="TableBody"/>
            </w:pPr>
            <w:r w:rsidRPr="007D785B">
              <w:t>4,223</w:t>
            </w:r>
          </w:p>
        </w:tc>
        <w:tc>
          <w:tcPr>
            <w:tcW w:w="1000" w:type="pct"/>
            <w:noWrap/>
            <w:hideMark/>
          </w:tcPr>
          <w:p w14:paraId="469A2056" w14:textId="77777777" w:rsidR="006C6372" w:rsidRPr="007D785B" w:rsidRDefault="006C6372" w:rsidP="007D785B">
            <w:pPr>
              <w:pStyle w:val="TableBody"/>
            </w:pPr>
            <w:r w:rsidRPr="007D785B">
              <w:t>3,544</w:t>
            </w:r>
          </w:p>
        </w:tc>
      </w:tr>
      <w:tr w:rsidR="006C6372" w:rsidRPr="007D785B" w14:paraId="2C98B841" w14:textId="77777777" w:rsidTr="004078B0">
        <w:trPr>
          <w:trHeight w:val="288"/>
        </w:trPr>
        <w:tc>
          <w:tcPr>
            <w:tcW w:w="1000" w:type="pct"/>
            <w:noWrap/>
            <w:hideMark/>
          </w:tcPr>
          <w:p w14:paraId="5DD2E388" w14:textId="77777777" w:rsidR="006C6372" w:rsidRPr="007D785B" w:rsidRDefault="006C6372" w:rsidP="007D785B">
            <w:pPr>
              <w:pStyle w:val="TableBody"/>
            </w:pPr>
            <w:r w:rsidRPr="007D785B">
              <w:t>2010</w:t>
            </w:r>
          </w:p>
        </w:tc>
        <w:tc>
          <w:tcPr>
            <w:tcW w:w="1000" w:type="pct"/>
            <w:noWrap/>
            <w:hideMark/>
          </w:tcPr>
          <w:p w14:paraId="21F59FF1" w14:textId="77777777" w:rsidR="006C6372" w:rsidRPr="007D785B" w:rsidRDefault="006C6372" w:rsidP="007D785B">
            <w:pPr>
              <w:pStyle w:val="TableBody"/>
            </w:pPr>
            <w:r w:rsidRPr="007D785B">
              <w:t>8,604</w:t>
            </w:r>
          </w:p>
        </w:tc>
        <w:tc>
          <w:tcPr>
            <w:tcW w:w="1000" w:type="pct"/>
            <w:noWrap/>
            <w:hideMark/>
          </w:tcPr>
          <w:p w14:paraId="6705B7B1" w14:textId="77777777" w:rsidR="006C6372" w:rsidRPr="007D785B" w:rsidRDefault="006C6372" w:rsidP="007D785B">
            <w:pPr>
              <w:pStyle w:val="TableBody"/>
            </w:pPr>
            <w:r w:rsidRPr="007D785B">
              <w:t>7,806</w:t>
            </w:r>
          </w:p>
        </w:tc>
        <w:tc>
          <w:tcPr>
            <w:tcW w:w="1000" w:type="pct"/>
            <w:noWrap/>
            <w:hideMark/>
          </w:tcPr>
          <w:p w14:paraId="6164E4A7" w14:textId="77777777" w:rsidR="006C6372" w:rsidRPr="007D785B" w:rsidRDefault="006C6372" w:rsidP="007D785B">
            <w:pPr>
              <w:pStyle w:val="TableBody"/>
            </w:pPr>
            <w:r w:rsidRPr="007D785B">
              <w:t>4,537</w:t>
            </w:r>
          </w:p>
        </w:tc>
        <w:tc>
          <w:tcPr>
            <w:tcW w:w="1000" w:type="pct"/>
            <w:noWrap/>
            <w:hideMark/>
          </w:tcPr>
          <w:p w14:paraId="76A4D553" w14:textId="77777777" w:rsidR="006C6372" w:rsidRPr="007D785B" w:rsidRDefault="006C6372" w:rsidP="007D785B">
            <w:pPr>
              <w:pStyle w:val="TableBody"/>
            </w:pPr>
            <w:r w:rsidRPr="007D785B">
              <w:t>4,290</w:t>
            </w:r>
          </w:p>
        </w:tc>
      </w:tr>
      <w:tr w:rsidR="006C6372" w:rsidRPr="007D785B" w14:paraId="3F52D45F" w14:textId="77777777" w:rsidTr="004078B0">
        <w:trPr>
          <w:trHeight w:val="288"/>
        </w:trPr>
        <w:tc>
          <w:tcPr>
            <w:tcW w:w="1000" w:type="pct"/>
            <w:noWrap/>
            <w:hideMark/>
          </w:tcPr>
          <w:p w14:paraId="79E16D0D" w14:textId="77777777" w:rsidR="006C6372" w:rsidRPr="007D785B" w:rsidRDefault="006C6372" w:rsidP="007D785B">
            <w:pPr>
              <w:pStyle w:val="TableBody"/>
            </w:pPr>
            <w:r w:rsidRPr="007D785B">
              <w:t>2012</w:t>
            </w:r>
          </w:p>
        </w:tc>
        <w:tc>
          <w:tcPr>
            <w:tcW w:w="1000" w:type="pct"/>
            <w:noWrap/>
            <w:hideMark/>
          </w:tcPr>
          <w:p w14:paraId="19DC769A" w14:textId="77777777" w:rsidR="006C6372" w:rsidRPr="007D785B" w:rsidRDefault="006C6372" w:rsidP="007D785B">
            <w:pPr>
              <w:pStyle w:val="TableBody"/>
            </w:pPr>
            <w:r w:rsidRPr="007D785B">
              <w:t>8,618</w:t>
            </w:r>
          </w:p>
        </w:tc>
        <w:tc>
          <w:tcPr>
            <w:tcW w:w="1000" w:type="pct"/>
            <w:noWrap/>
            <w:hideMark/>
          </w:tcPr>
          <w:p w14:paraId="39BEC21F" w14:textId="77777777" w:rsidR="006C6372" w:rsidRPr="007D785B" w:rsidRDefault="006C6372" w:rsidP="007D785B">
            <w:pPr>
              <w:pStyle w:val="TableBody"/>
            </w:pPr>
            <w:r w:rsidRPr="007D785B">
              <w:t>8,212</w:t>
            </w:r>
          </w:p>
        </w:tc>
        <w:tc>
          <w:tcPr>
            <w:tcW w:w="1000" w:type="pct"/>
            <w:noWrap/>
            <w:hideMark/>
          </w:tcPr>
          <w:p w14:paraId="6629E05F" w14:textId="77777777" w:rsidR="006C6372" w:rsidRPr="007D785B" w:rsidRDefault="006C6372" w:rsidP="007D785B">
            <w:pPr>
              <w:pStyle w:val="TableBody"/>
            </w:pPr>
            <w:r w:rsidRPr="007D785B">
              <w:t>4,884</w:t>
            </w:r>
          </w:p>
        </w:tc>
        <w:tc>
          <w:tcPr>
            <w:tcW w:w="1000" w:type="pct"/>
            <w:noWrap/>
            <w:hideMark/>
          </w:tcPr>
          <w:p w14:paraId="6F9196CB" w14:textId="77777777" w:rsidR="006C6372" w:rsidRPr="007D785B" w:rsidRDefault="006C6372" w:rsidP="007D785B">
            <w:pPr>
              <w:pStyle w:val="TableBody"/>
            </w:pPr>
            <w:r w:rsidRPr="007D785B">
              <w:t>4,318</w:t>
            </w:r>
          </w:p>
        </w:tc>
      </w:tr>
      <w:tr w:rsidR="006C6372" w:rsidRPr="007D785B" w14:paraId="77F6DAE9" w14:textId="77777777" w:rsidTr="004078B0">
        <w:trPr>
          <w:trHeight w:val="288"/>
        </w:trPr>
        <w:tc>
          <w:tcPr>
            <w:tcW w:w="1000" w:type="pct"/>
            <w:noWrap/>
            <w:hideMark/>
          </w:tcPr>
          <w:p w14:paraId="67AA0645" w14:textId="77777777" w:rsidR="006C6372" w:rsidRPr="007D785B" w:rsidRDefault="006C6372" w:rsidP="007D785B">
            <w:pPr>
              <w:pStyle w:val="TableBody"/>
            </w:pPr>
            <w:r w:rsidRPr="007D785B">
              <w:lastRenderedPageBreak/>
              <w:t>2014</w:t>
            </w:r>
          </w:p>
        </w:tc>
        <w:tc>
          <w:tcPr>
            <w:tcW w:w="1000" w:type="pct"/>
            <w:noWrap/>
            <w:hideMark/>
          </w:tcPr>
          <w:p w14:paraId="4946D4D7" w14:textId="77777777" w:rsidR="006C6372" w:rsidRPr="007D785B" w:rsidRDefault="006C6372" w:rsidP="007D785B">
            <w:pPr>
              <w:pStyle w:val="TableBody"/>
            </w:pPr>
            <w:r w:rsidRPr="007D785B">
              <w:t>8,571</w:t>
            </w:r>
          </w:p>
        </w:tc>
        <w:tc>
          <w:tcPr>
            <w:tcW w:w="1000" w:type="pct"/>
            <w:noWrap/>
            <w:hideMark/>
          </w:tcPr>
          <w:p w14:paraId="3D601905" w14:textId="77777777" w:rsidR="006C6372" w:rsidRPr="007D785B" w:rsidRDefault="006C6372" w:rsidP="007D785B">
            <w:pPr>
              <w:pStyle w:val="TableBody"/>
            </w:pPr>
            <w:r w:rsidRPr="007D785B">
              <w:t>7,819</w:t>
            </w:r>
          </w:p>
        </w:tc>
        <w:tc>
          <w:tcPr>
            <w:tcW w:w="1000" w:type="pct"/>
            <w:noWrap/>
            <w:hideMark/>
          </w:tcPr>
          <w:p w14:paraId="2AAC9CC0" w14:textId="77777777" w:rsidR="006C6372" w:rsidRPr="007D785B" w:rsidRDefault="006C6372" w:rsidP="007D785B">
            <w:pPr>
              <w:pStyle w:val="TableBody"/>
            </w:pPr>
            <w:r w:rsidRPr="007D785B">
              <w:t>6,113</w:t>
            </w:r>
          </w:p>
        </w:tc>
        <w:tc>
          <w:tcPr>
            <w:tcW w:w="1000" w:type="pct"/>
            <w:noWrap/>
            <w:hideMark/>
          </w:tcPr>
          <w:p w14:paraId="3B06339D" w14:textId="77777777" w:rsidR="006C6372" w:rsidRPr="007D785B" w:rsidRDefault="006C6372" w:rsidP="007D785B">
            <w:pPr>
              <w:pStyle w:val="TableBody"/>
            </w:pPr>
            <w:r w:rsidRPr="007D785B">
              <w:t>3,915</w:t>
            </w:r>
          </w:p>
        </w:tc>
      </w:tr>
      <w:tr w:rsidR="006C6372" w:rsidRPr="007D785B" w14:paraId="2FD423E2" w14:textId="77777777" w:rsidTr="004078B0">
        <w:trPr>
          <w:trHeight w:val="288"/>
        </w:trPr>
        <w:tc>
          <w:tcPr>
            <w:tcW w:w="1000" w:type="pct"/>
            <w:noWrap/>
            <w:hideMark/>
          </w:tcPr>
          <w:p w14:paraId="5439046B" w14:textId="77777777" w:rsidR="006C6372" w:rsidRPr="007D785B" w:rsidRDefault="006C6372" w:rsidP="007D785B">
            <w:pPr>
              <w:pStyle w:val="TableBody"/>
            </w:pPr>
            <w:r w:rsidRPr="007D785B">
              <w:t>2016</w:t>
            </w:r>
          </w:p>
        </w:tc>
        <w:tc>
          <w:tcPr>
            <w:tcW w:w="1000" w:type="pct"/>
            <w:noWrap/>
            <w:hideMark/>
          </w:tcPr>
          <w:p w14:paraId="76376FC4" w14:textId="77777777" w:rsidR="006C6372" w:rsidRPr="007D785B" w:rsidRDefault="006C6372" w:rsidP="007D785B">
            <w:pPr>
              <w:pStyle w:val="TableBody"/>
            </w:pPr>
            <w:r w:rsidRPr="007D785B">
              <w:t>9,495</w:t>
            </w:r>
          </w:p>
        </w:tc>
        <w:tc>
          <w:tcPr>
            <w:tcW w:w="1000" w:type="pct"/>
            <w:noWrap/>
            <w:hideMark/>
          </w:tcPr>
          <w:p w14:paraId="47C79BA1" w14:textId="77777777" w:rsidR="006C6372" w:rsidRPr="007D785B" w:rsidRDefault="006C6372" w:rsidP="007D785B">
            <w:pPr>
              <w:pStyle w:val="TableBody"/>
            </w:pPr>
            <w:r w:rsidRPr="007D785B">
              <w:t>7,611</w:t>
            </w:r>
          </w:p>
        </w:tc>
        <w:tc>
          <w:tcPr>
            <w:tcW w:w="1000" w:type="pct"/>
            <w:noWrap/>
            <w:hideMark/>
          </w:tcPr>
          <w:p w14:paraId="4FAA38D8" w14:textId="77777777" w:rsidR="006C6372" w:rsidRPr="007D785B" w:rsidRDefault="006C6372" w:rsidP="007D785B">
            <w:pPr>
              <w:pStyle w:val="TableBody"/>
            </w:pPr>
            <w:r w:rsidRPr="007D785B">
              <w:t>6,519</w:t>
            </w:r>
          </w:p>
        </w:tc>
        <w:tc>
          <w:tcPr>
            <w:tcW w:w="1000" w:type="pct"/>
            <w:noWrap/>
            <w:hideMark/>
          </w:tcPr>
          <w:p w14:paraId="505389A3" w14:textId="77777777" w:rsidR="006C6372" w:rsidRPr="007D785B" w:rsidRDefault="006C6372" w:rsidP="007D785B">
            <w:pPr>
              <w:pStyle w:val="TableBody"/>
            </w:pPr>
            <w:r w:rsidRPr="007D785B">
              <w:t>3,718</w:t>
            </w:r>
          </w:p>
        </w:tc>
      </w:tr>
      <w:tr w:rsidR="006C6372" w:rsidRPr="007D785B" w14:paraId="3F272178" w14:textId="77777777" w:rsidTr="004078B0">
        <w:trPr>
          <w:trHeight w:val="288"/>
        </w:trPr>
        <w:tc>
          <w:tcPr>
            <w:tcW w:w="1000" w:type="pct"/>
            <w:noWrap/>
            <w:hideMark/>
          </w:tcPr>
          <w:p w14:paraId="78715DA1" w14:textId="77777777" w:rsidR="006C6372" w:rsidRPr="007D785B" w:rsidRDefault="006C6372" w:rsidP="007D785B">
            <w:pPr>
              <w:pStyle w:val="TableBody"/>
            </w:pPr>
            <w:r w:rsidRPr="007D785B">
              <w:t>2018</w:t>
            </w:r>
          </w:p>
        </w:tc>
        <w:tc>
          <w:tcPr>
            <w:tcW w:w="1000" w:type="pct"/>
            <w:noWrap/>
            <w:hideMark/>
          </w:tcPr>
          <w:p w14:paraId="1F12086E" w14:textId="77777777" w:rsidR="006C6372" w:rsidRPr="007D785B" w:rsidRDefault="006C6372" w:rsidP="007D785B">
            <w:pPr>
              <w:pStyle w:val="TableBody"/>
            </w:pPr>
            <w:r w:rsidRPr="007D785B">
              <w:t>10,435</w:t>
            </w:r>
          </w:p>
        </w:tc>
        <w:tc>
          <w:tcPr>
            <w:tcW w:w="1000" w:type="pct"/>
            <w:noWrap/>
            <w:hideMark/>
          </w:tcPr>
          <w:p w14:paraId="11DA2F58" w14:textId="77777777" w:rsidR="006C6372" w:rsidRPr="007D785B" w:rsidRDefault="006C6372" w:rsidP="007D785B">
            <w:pPr>
              <w:pStyle w:val="TableBody"/>
            </w:pPr>
            <w:r w:rsidRPr="007D785B">
              <w:t>7,595</w:t>
            </w:r>
          </w:p>
        </w:tc>
        <w:tc>
          <w:tcPr>
            <w:tcW w:w="1000" w:type="pct"/>
            <w:noWrap/>
            <w:hideMark/>
          </w:tcPr>
          <w:p w14:paraId="7A56EC1A" w14:textId="77777777" w:rsidR="006C6372" w:rsidRPr="007D785B" w:rsidRDefault="006C6372" w:rsidP="007D785B">
            <w:pPr>
              <w:pStyle w:val="TableBody"/>
            </w:pPr>
            <w:r w:rsidRPr="007D785B">
              <w:t>7,668</w:t>
            </w:r>
          </w:p>
        </w:tc>
        <w:tc>
          <w:tcPr>
            <w:tcW w:w="1000" w:type="pct"/>
            <w:noWrap/>
            <w:hideMark/>
          </w:tcPr>
          <w:p w14:paraId="73AC96EE" w14:textId="77777777" w:rsidR="006C6372" w:rsidRPr="007D785B" w:rsidRDefault="006C6372" w:rsidP="007D785B">
            <w:pPr>
              <w:pStyle w:val="TableBody"/>
            </w:pPr>
            <w:r w:rsidRPr="007D785B">
              <w:t>3,893</w:t>
            </w:r>
          </w:p>
        </w:tc>
      </w:tr>
      <w:tr w:rsidR="006C6372" w:rsidRPr="007D785B" w14:paraId="01E6E0E4" w14:textId="77777777" w:rsidTr="004078B0">
        <w:trPr>
          <w:trHeight w:val="288"/>
        </w:trPr>
        <w:tc>
          <w:tcPr>
            <w:tcW w:w="1000" w:type="pct"/>
            <w:noWrap/>
            <w:hideMark/>
          </w:tcPr>
          <w:p w14:paraId="5B3BDFEB" w14:textId="77777777" w:rsidR="006C6372" w:rsidRPr="007D785B" w:rsidRDefault="006C6372" w:rsidP="007D785B">
            <w:pPr>
              <w:pStyle w:val="TableBody"/>
            </w:pPr>
            <w:r w:rsidRPr="007D785B">
              <w:t>2020</w:t>
            </w:r>
          </w:p>
        </w:tc>
        <w:tc>
          <w:tcPr>
            <w:tcW w:w="1000" w:type="pct"/>
            <w:noWrap/>
            <w:hideMark/>
          </w:tcPr>
          <w:p w14:paraId="577C2D58" w14:textId="77777777" w:rsidR="006C6372" w:rsidRPr="007D785B" w:rsidRDefault="006C6372" w:rsidP="007D785B">
            <w:pPr>
              <w:pStyle w:val="TableBody"/>
            </w:pPr>
            <w:r w:rsidRPr="007D785B">
              <w:t>9,469</w:t>
            </w:r>
          </w:p>
        </w:tc>
        <w:tc>
          <w:tcPr>
            <w:tcW w:w="1000" w:type="pct"/>
            <w:noWrap/>
            <w:hideMark/>
          </w:tcPr>
          <w:p w14:paraId="51E47444" w14:textId="77777777" w:rsidR="006C6372" w:rsidRPr="007D785B" w:rsidRDefault="006C6372" w:rsidP="007D785B">
            <w:pPr>
              <w:pStyle w:val="TableBody"/>
            </w:pPr>
            <w:r w:rsidRPr="007D785B">
              <w:t>7,004</w:t>
            </w:r>
          </w:p>
        </w:tc>
        <w:tc>
          <w:tcPr>
            <w:tcW w:w="1000" w:type="pct"/>
            <w:noWrap/>
            <w:hideMark/>
          </w:tcPr>
          <w:p w14:paraId="444D32BD" w14:textId="77777777" w:rsidR="006C6372" w:rsidRPr="007D785B" w:rsidRDefault="006C6372" w:rsidP="007D785B">
            <w:pPr>
              <w:pStyle w:val="TableBody"/>
            </w:pPr>
            <w:r w:rsidRPr="007D785B">
              <w:t>7,151</w:t>
            </w:r>
          </w:p>
        </w:tc>
        <w:tc>
          <w:tcPr>
            <w:tcW w:w="1000" w:type="pct"/>
            <w:noWrap/>
            <w:hideMark/>
          </w:tcPr>
          <w:p w14:paraId="60A054ED" w14:textId="77777777" w:rsidR="006C6372" w:rsidRPr="007D785B" w:rsidRDefault="006C6372" w:rsidP="007D785B">
            <w:pPr>
              <w:pStyle w:val="TableBody"/>
            </w:pPr>
            <w:r w:rsidRPr="007D785B">
              <w:t>3,717</w:t>
            </w:r>
          </w:p>
        </w:tc>
      </w:tr>
      <w:tr w:rsidR="006C6372" w:rsidRPr="007D785B" w14:paraId="324D7284" w14:textId="77777777" w:rsidTr="004078B0">
        <w:trPr>
          <w:trHeight w:val="288"/>
        </w:trPr>
        <w:tc>
          <w:tcPr>
            <w:tcW w:w="1000" w:type="pct"/>
            <w:noWrap/>
            <w:hideMark/>
          </w:tcPr>
          <w:p w14:paraId="114E47AC" w14:textId="77777777" w:rsidR="006C6372" w:rsidRPr="007D785B" w:rsidRDefault="006C6372" w:rsidP="007D785B">
            <w:pPr>
              <w:pStyle w:val="TableBody"/>
            </w:pPr>
            <w:r w:rsidRPr="007D785B">
              <w:t>2022</w:t>
            </w:r>
          </w:p>
        </w:tc>
        <w:tc>
          <w:tcPr>
            <w:tcW w:w="1000" w:type="pct"/>
            <w:noWrap/>
            <w:hideMark/>
          </w:tcPr>
          <w:p w14:paraId="0AD6D975" w14:textId="77777777" w:rsidR="006C6372" w:rsidRPr="007D785B" w:rsidRDefault="006C6372" w:rsidP="007D785B">
            <w:pPr>
              <w:pStyle w:val="TableBody"/>
            </w:pPr>
            <w:r w:rsidRPr="007D785B">
              <w:t>7,728</w:t>
            </w:r>
          </w:p>
        </w:tc>
        <w:tc>
          <w:tcPr>
            <w:tcW w:w="1000" w:type="pct"/>
            <w:noWrap/>
            <w:hideMark/>
          </w:tcPr>
          <w:p w14:paraId="6F6104C4" w14:textId="77777777" w:rsidR="006C6372" w:rsidRPr="007D785B" w:rsidRDefault="006C6372" w:rsidP="007D785B">
            <w:pPr>
              <w:pStyle w:val="TableBody"/>
            </w:pPr>
            <w:r w:rsidRPr="007D785B">
              <w:t>7,447</w:t>
            </w:r>
          </w:p>
        </w:tc>
        <w:tc>
          <w:tcPr>
            <w:tcW w:w="1000" w:type="pct"/>
            <w:noWrap/>
            <w:hideMark/>
          </w:tcPr>
          <w:p w14:paraId="7800CAED" w14:textId="77777777" w:rsidR="006C6372" w:rsidRPr="007D785B" w:rsidRDefault="006C6372" w:rsidP="007D785B">
            <w:pPr>
              <w:pStyle w:val="TableBody"/>
            </w:pPr>
            <w:r w:rsidRPr="007D785B">
              <w:t>6,568</w:t>
            </w:r>
          </w:p>
        </w:tc>
        <w:tc>
          <w:tcPr>
            <w:tcW w:w="1000" w:type="pct"/>
            <w:noWrap/>
            <w:hideMark/>
          </w:tcPr>
          <w:p w14:paraId="5175E134" w14:textId="77777777" w:rsidR="006C6372" w:rsidRPr="007D785B" w:rsidRDefault="006C6372" w:rsidP="007D785B">
            <w:pPr>
              <w:pStyle w:val="TableBody"/>
            </w:pPr>
            <w:r w:rsidRPr="007D785B">
              <w:t>4,122</w:t>
            </w:r>
          </w:p>
        </w:tc>
      </w:tr>
      <w:tr w:rsidR="006C6372" w:rsidRPr="007D785B" w14:paraId="47EF9F69" w14:textId="77777777" w:rsidTr="004078B0">
        <w:trPr>
          <w:trHeight w:val="288"/>
        </w:trPr>
        <w:tc>
          <w:tcPr>
            <w:tcW w:w="1000" w:type="pct"/>
            <w:noWrap/>
            <w:hideMark/>
          </w:tcPr>
          <w:p w14:paraId="602EF7A3" w14:textId="77777777" w:rsidR="006C6372" w:rsidRPr="007D785B" w:rsidRDefault="006C6372" w:rsidP="007D785B">
            <w:pPr>
              <w:pStyle w:val="TableBody"/>
            </w:pPr>
            <w:r w:rsidRPr="007D785B">
              <w:t>2024</w:t>
            </w:r>
          </w:p>
        </w:tc>
        <w:tc>
          <w:tcPr>
            <w:tcW w:w="1000" w:type="pct"/>
            <w:noWrap/>
            <w:hideMark/>
          </w:tcPr>
          <w:p w14:paraId="79F169AB" w14:textId="77777777" w:rsidR="006C6372" w:rsidRPr="007D785B" w:rsidRDefault="006C6372" w:rsidP="007D785B">
            <w:pPr>
              <w:pStyle w:val="TableBody"/>
            </w:pPr>
            <w:r w:rsidRPr="007D785B">
              <w:t>9,638</w:t>
            </w:r>
          </w:p>
        </w:tc>
        <w:tc>
          <w:tcPr>
            <w:tcW w:w="1000" w:type="pct"/>
            <w:noWrap/>
            <w:hideMark/>
          </w:tcPr>
          <w:p w14:paraId="3D6FC805" w14:textId="77777777" w:rsidR="006C6372" w:rsidRPr="007D785B" w:rsidRDefault="006C6372" w:rsidP="007D785B">
            <w:pPr>
              <w:pStyle w:val="TableBody"/>
            </w:pPr>
            <w:r w:rsidRPr="007D785B">
              <w:t>8,140</w:t>
            </w:r>
          </w:p>
        </w:tc>
        <w:tc>
          <w:tcPr>
            <w:tcW w:w="1000" w:type="pct"/>
            <w:noWrap/>
            <w:hideMark/>
          </w:tcPr>
          <w:p w14:paraId="04594E3F" w14:textId="77777777" w:rsidR="006C6372" w:rsidRPr="007D785B" w:rsidRDefault="006C6372" w:rsidP="007D785B">
            <w:pPr>
              <w:pStyle w:val="TableBody"/>
            </w:pPr>
            <w:r w:rsidRPr="007D785B">
              <w:t>5,915</w:t>
            </w:r>
          </w:p>
        </w:tc>
        <w:tc>
          <w:tcPr>
            <w:tcW w:w="1000" w:type="pct"/>
            <w:noWrap/>
            <w:hideMark/>
          </w:tcPr>
          <w:p w14:paraId="711B85F9" w14:textId="77777777" w:rsidR="006C6372" w:rsidRPr="007D785B" w:rsidRDefault="006C6372" w:rsidP="007D785B">
            <w:pPr>
              <w:pStyle w:val="TableBody"/>
            </w:pPr>
            <w:r w:rsidRPr="007D785B">
              <w:t>4,998</w:t>
            </w:r>
          </w:p>
        </w:tc>
      </w:tr>
    </w:tbl>
    <w:p w14:paraId="2EDDD3A2" w14:textId="77777777" w:rsidR="00A4454A" w:rsidRPr="008C1137" w:rsidRDefault="00A4454A" w:rsidP="00D4532A">
      <w:r w:rsidRPr="000C258A">
        <w:rPr>
          <w:rStyle w:val="Strong"/>
        </w:rPr>
        <w:t>Sources</w:t>
      </w:r>
      <w:r w:rsidRPr="008C1137">
        <w:t>: Australian Bureau of Statistics,</w:t>
      </w:r>
      <w:r w:rsidRPr="008C1137">
        <w:rPr>
          <w:rStyle w:val="Italic"/>
        </w:rPr>
        <w:t xml:space="preserve"> Prisoners in Australia</w:t>
      </w:r>
      <w:r w:rsidRPr="008C1137">
        <w:t>, cat. no. 4517.0 (abs.gov.au, 2024) Table 15 (Victoria);</w:t>
      </w:r>
      <w:r w:rsidRPr="008C1137">
        <w:rPr>
          <w:rStyle w:val="Italic"/>
        </w:rPr>
        <w:t xml:space="preserve"> </w:t>
      </w:r>
      <w:r w:rsidRPr="008C1137">
        <w:t xml:space="preserve">Institute for Crime &amp; Justice Policy Research, </w:t>
      </w:r>
      <w:r w:rsidRPr="008C1137">
        <w:rPr>
          <w:rStyle w:val="Italic"/>
        </w:rPr>
        <w:t>‘</w:t>
      </w:r>
      <w:r w:rsidRPr="008C1137">
        <w:t>World Prison Brief Data’ (prisonstudies.org, 2024) (New Zealand, Scotland, Ireland)</w:t>
      </w:r>
    </w:p>
    <w:p w14:paraId="0F0CC1B3" w14:textId="77777777" w:rsidR="00A4454A" w:rsidRPr="008C1137" w:rsidRDefault="00A4454A" w:rsidP="00BE4EDC">
      <w:pPr>
        <w:pStyle w:val="Caption"/>
      </w:pPr>
      <w:r w:rsidRPr="00157502">
        <w:t>Figure 42</w:t>
      </w:r>
      <w:r w:rsidRPr="008C1137">
        <w:t>: Prison population in England and Wales and Australia, 2004 to 2024</w:t>
      </w:r>
    </w:p>
    <w:tbl>
      <w:tblPr>
        <w:tblStyle w:val="Table"/>
        <w:tblW w:w="5000" w:type="pct"/>
        <w:tblLook w:val="04A0" w:firstRow="1" w:lastRow="0" w:firstColumn="1" w:lastColumn="0" w:noHBand="0" w:noVBand="1"/>
      </w:tblPr>
      <w:tblGrid>
        <w:gridCol w:w="3005"/>
        <w:gridCol w:w="3005"/>
        <w:gridCol w:w="3006"/>
      </w:tblGrid>
      <w:tr w:rsidR="00817DB9" w:rsidRPr="007A00C3" w14:paraId="139B1EDF" w14:textId="77777777" w:rsidTr="002066AF">
        <w:trPr>
          <w:trHeight w:val="288"/>
          <w:tblHeader/>
        </w:trPr>
        <w:tc>
          <w:tcPr>
            <w:tcW w:w="1666" w:type="pct"/>
            <w:noWrap/>
            <w:hideMark/>
          </w:tcPr>
          <w:p w14:paraId="187AA769" w14:textId="0DDB7544" w:rsidR="00817DB9" w:rsidRPr="007A00C3" w:rsidRDefault="007A00C3" w:rsidP="007A00C3">
            <w:pPr>
              <w:pStyle w:val="TableHeading"/>
            </w:pPr>
            <w:r>
              <w:t>Year</w:t>
            </w:r>
          </w:p>
        </w:tc>
        <w:tc>
          <w:tcPr>
            <w:tcW w:w="1666" w:type="pct"/>
            <w:noWrap/>
            <w:hideMark/>
          </w:tcPr>
          <w:p w14:paraId="347517C6" w14:textId="72F47968" w:rsidR="00817DB9" w:rsidRPr="007A00C3" w:rsidRDefault="00817DB9" w:rsidP="007A00C3">
            <w:pPr>
              <w:pStyle w:val="TableHeading"/>
            </w:pPr>
            <w:r w:rsidRPr="007A00C3">
              <w:t xml:space="preserve">England </w:t>
            </w:r>
            <w:r w:rsidR="005F4CA6">
              <w:t>and</w:t>
            </w:r>
            <w:r w:rsidRPr="007A00C3">
              <w:t xml:space="preserve"> Wales</w:t>
            </w:r>
          </w:p>
        </w:tc>
        <w:tc>
          <w:tcPr>
            <w:tcW w:w="1667" w:type="pct"/>
            <w:noWrap/>
            <w:hideMark/>
          </w:tcPr>
          <w:p w14:paraId="0B1DDC5A" w14:textId="77777777" w:rsidR="00817DB9" w:rsidRPr="007A00C3" w:rsidRDefault="00817DB9" w:rsidP="007A00C3">
            <w:pPr>
              <w:pStyle w:val="TableHeading"/>
            </w:pPr>
            <w:r w:rsidRPr="007A00C3">
              <w:t>Australia</w:t>
            </w:r>
          </w:p>
        </w:tc>
      </w:tr>
      <w:tr w:rsidR="00817DB9" w:rsidRPr="007A00C3" w14:paraId="346A4BE8" w14:textId="77777777" w:rsidTr="002066AF">
        <w:trPr>
          <w:trHeight w:val="288"/>
        </w:trPr>
        <w:tc>
          <w:tcPr>
            <w:tcW w:w="1666" w:type="pct"/>
            <w:noWrap/>
            <w:hideMark/>
          </w:tcPr>
          <w:p w14:paraId="40FC1100" w14:textId="77777777" w:rsidR="00817DB9" w:rsidRPr="007A00C3" w:rsidRDefault="00817DB9" w:rsidP="007A00C3">
            <w:pPr>
              <w:pStyle w:val="TableBody"/>
            </w:pPr>
            <w:r w:rsidRPr="007A00C3">
              <w:t>2004</w:t>
            </w:r>
          </w:p>
        </w:tc>
        <w:tc>
          <w:tcPr>
            <w:tcW w:w="1666" w:type="pct"/>
            <w:noWrap/>
            <w:hideMark/>
          </w:tcPr>
          <w:p w14:paraId="21250B7D" w14:textId="77777777" w:rsidR="00817DB9" w:rsidRPr="007A00C3" w:rsidRDefault="00817DB9" w:rsidP="007A00C3">
            <w:pPr>
              <w:pStyle w:val="TableBody"/>
            </w:pPr>
            <w:r w:rsidRPr="007A00C3">
              <w:t>74,657</w:t>
            </w:r>
          </w:p>
        </w:tc>
        <w:tc>
          <w:tcPr>
            <w:tcW w:w="1667" w:type="pct"/>
            <w:noWrap/>
            <w:hideMark/>
          </w:tcPr>
          <w:p w14:paraId="25366FC3" w14:textId="77777777" w:rsidR="00817DB9" w:rsidRPr="007A00C3" w:rsidRDefault="00817DB9" w:rsidP="007A00C3">
            <w:pPr>
              <w:pStyle w:val="TableBody"/>
            </w:pPr>
            <w:r w:rsidRPr="007A00C3">
              <w:t>24,171</w:t>
            </w:r>
          </w:p>
        </w:tc>
      </w:tr>
      <w:tr w:rsidR="00817DB9" w:rsidRPr="007A00C3" w14:paraId="2EBBCCB1" w14:textId="77777777" w:rsidTr="002066AF">
        <w:trPr>
          <w:trHeight w:val="288"/>
        </w:trPr>
        <w:tc>
          <w:tcPr>
            <w:tcW w:w="1666" w:type="pct"/>
            <w:noWrap/>
            <w:hideMark/>
          </w:tcPr>
          <w:p w14:paraId="6CEEC25E" w14:textId="77777777" w:rsidR="00817DB9" w:rsidRPr="007A00C3" w:rsidRDefault="00817DB9" w:rsidP="007A00C3">
            <w:pPr>
              <w:pStyle w:val="TableBody"/>
            </w:pPr>
            <w:r w:rsidRPr="007A00C3">
              <w:t>2006</w:t>
            </w:r>
          </w:p>
        </w:tc>
        <w:tc>
          <w:tcPr>
            <w:tcW w:w="1666" w:type="pct"/>
            <w:noWrap/>
            <w:hideMark/>
          </w:tcPr>
          <w:p w14:paraId="1EA38E1B" w14:textId="77777777" w:rsidR="00817DB9" w:rsidRPr="007A00C3" w:rsidRDefault="00817DB9" w:rsidP="007A00C3">
            <w:pPr>
              <w:pStyle w:val="TableBody"/>
            </w:pPr>
            <w:r w:rsidRPr="007A00C3">
              <w:t>78,150</w:t>
            </w:r>
          </w:p>
        </w:tc>
        <w:tc>
          <w:tcPr>
            <w:tcW w:w="1667" w:type="pct"/>
            <w:noWrap/>
            <w:hideMark/>
          </w:tcPr>
          <w:p w14:paraId="038F6253" w14:textId="77777777" w:rsidR="00817DB9" w:rsidRPr="007A00C3" w:rsidRDefault="00817DB9" w:rsidP="007A00C3">
            <w:pPr>
              <w:pStyle w:val="TableBody"/>
            </w:pPr>
            <w:r w:rsidRPr="007A00C3">
              <w:t>25,790</w:t>
            </w:r>
          </w:p>
        </w:tc>
      </w:tr>
      <w:tr w:rsidR="00817DB9" w:rsidRPr="007A00C3" w14:paraId="21D4BF0D" w14:textId="77777777" w:rsidTr="002066AF">
        <w:trPr>
          <w:trHeight w:val="288"/>
        </w:trPr>
        <w:tc>
          <w:tcPr>
            <w:tcW w:w="1666" w:type="pct"/>
            <w:noWrap/>
            <w:hideMark/>
          </w:tcPr>
          <w:p w14:paraId="75A8612A" w14:textId="77777777" w:rsidR="00817DB9" w:rsidRPr="007A00C3" w:rsidRDefault="00817DB9" w:rsidP="007A00C3">
            <w:pPr>
              <w:pStyle w:val="TableBody"/>
            </w:pPr>
            <w:r w:rsidRPr="007A00C3">
              <w:t>2008</w:t>
            </w:r>
          </w:p>
        </w:tc>
        <w:tc>
          <w:tcPr>
            <w:tcW w:w="1666" w:type="pct"/>
            <w:noWrap/>
            <w:hideMark/>
          </w:tcPr>
          <w:p w14:paraId="57A4714E" w14:textId="77777777" w:rsidR="00817DB9" w:rsidRPr="007A00C3" w:rsidRDefault="00817DB9" w:rsidP="007A00C3">
            <w:pPr>
              <w:pStyle w:val="TableBody"/>
            </w:pPr>
            <w:r w:rsidRPr="007A00C3">
              <w:t>82,636</w:t>
            </w:r>
          </w:p>
        </w:tc>
        <w:tc>
          <w:tcPr>
            <w:tcW w:w="1667" w:type="pct"/>
            <w:noWrap/>
            <w:hideMark/>
          </w:tcPr>
          <w:p w14:paraId="5A9BB0A6" w14:textId="77777777" w:rsidR="00817DB9" w:rsidRPr="007A00C3" w:rsidRDefault="00817DB9" w:rsidP="007A00C3">
            <w:pPr>
              <w:pStyle w:val="TableBody"/>
            </w:pPr>
            <w:r w:rsidRPr="007A00C3">
              <w:t>27,615</w:t>
            </w:r>
          </w:p>
        </w:tc>
      </w:tr>
      <w:tr w:rsidR="00817DB9" w:rsidRPr="007A00C3" w14:paraId="57D2D1DA" w14:textId="77777777" w:rsidTr="002066AF">
        <w:trPr>
          <w:trHeight w:val="306"/>
        </w:trPr>
        <w:tc>
          <w:tcPr>
            <w:tcW w:w="1666" w:type="pct"/>
            <w:noWrap/>
            <w:hideMark/>
          </w:tcPr>
          <w:p w14:paraId="79B21B07" w14:textId="77777777" w:rsidR="00817DB9" w:rsidRPr="007A00C3" w:rsidRDefault="00817DB9" w:rsidP="007A00C3">
            <w:pPr>
              <w:pStyle w:val="TableBody"/>
            </w:pPr>
            <w:r w:rsidRPr="007A00C3">
              <w:t>2010</w:t>
            </w:r>
          </w:p>
        </w:tc>
        <w:tc>
          <w:tcPr>
            <w:tcW w:w="1666" w:type="pct"/>
            <w:noWrap/>
            <w:hideMark/>
          </w:tcPr>
          <w:p w14:paraId="40C3DC6B" w14:textId="77777777" w:rsidR="00817DB9" w:rsidRPr="007A00C3" w:rsidRDefault="00817DB9" w:rsidP="007A00C3">
            <w:pPr>
              <w:pStyle w:val="TableBody"/>
            </w:pPr>
            <w:r w:rsidRPr="007A00C3">
              <w:t>84,725</w:t>
            </w:r>
          </w:p>
        </w:tc>
        <w:tc>
          <w:tcPr>
            <w:tcW w:w="1667" w:type="pct"/>
            <w:noWrap/>
            <w:hideMark/>
          </w:tcPr>
          <w:p w14:paraId="34EBDEE5" w14:textId="77777777" w:rsidR="00817DB9" w:rsidRPr="007A00C3" w:rsidRDefault="00817DB9" w:rsidP="007A00C3">
            <w:pPr>
              <w:pStyle w:val="TableBody"/>
            </w:pPr>
            <w:r w:rsidRPr="007A00C3">
              <w:t>29,700</w:t>
            </w:r>
          </w:p>
        </w:tc>
      </w:tr>
      <w:tr w:rsidR="00817DB9" w:rsidRPr="007A00C3" w14:paraId="53746F4A" w14:textId="77777777" w:rsidTr="002066AF">
        <w:trPr>
          <w:trHeight w:val="306"/>
        </w:trPr>
        <w:tc>
          <w:tcPr>
            <w:tcW w:w="1666" w:type="pct"/>
            <w:noWrap/>
            <w:hideMark/>
          </w:tcPr>
          <w:p w14:paraId="4DC99028" w14:textId="77777777" w:rsidR="00817DB9" w:rsidRPr="007A00C3" w:rsidRDefault="00817DB9" w:rsidP="007A00C3">
            <w:pPr>
              <w:pStyle w:val="TableBody"/>
            </w:pPr>
            <w:r w:rsidRPr="007A00C3">
              <w:t>2012</w:t>
            </w:r>
          </w:p>
        </w:tc>
        <w:tc>
          <w:tcPr>
            <w:tcW w:w="1666" w:type="pct"/>
            <w:noWrap/>
            <w:hideMark/>
          </w:tcPr>
          <w:p w14:paraId="48AC20F4" w14:textId="77777777" w:rsidR="00817DB9" w:rsidRPr="007A00C3" w:rsidRDefault="00817DB9" w:rsidP="007A00C3">
            <w:pPr>
              <w:pStyle w:val="TableBody"/>
            </w:pPr>
            <w:r w:rsidRPr="007A00C3">
              <w:t>86,634</w:t>
            </w:r>
          </w:p>
        </w:tc>
        <w:tc>
          <w:tcPr>
            <w:tcW w:w="1667" w:type="pct"/>
            <w:noWrap/>
            <w:hideMark/>
          </w:tcPr>
          <w:p w14:paraId="0E7902FD" w14:textId="77777777" w:rsidR="00817DB9" w:rsidRPr="007A00C3" w:rsidRDefault="00817DB9" w:rsidP="007A00C3">
            <w:pPr>
              <w:pStyle w:val="TableBody"/>
            </w:pPr>
            <w:r w:rsidRPr="007A00C3">
              <w:t>29,383</w:t>
            </w:r>
          </w:p>
        </w:tc>
      </w:tr>
      <w:tr w:rsidR="00817DB9" w:rsidRPr="007A00C3" w14:paraId="39C4DA3B" w14:textId="77777777" w:rsidTr="002066AF">
        <w:trPr>
          <w:trHeight w:val="306"/>
        </w:trPr>
        <w:tc>
          <w:tcPr>
            <w:tcW w:w="1666" w:type="pct"/>
            <w:noWrap/>
            <w:hideMark/>
          </w:tcPr>
          <w:p w14:paraId="34DE3962" w14:textId="77777777" w:rsidR="00817DB9" w:rsidRPr="007A00C3" w:rsidRDefault="00817DB9" w:rsidP="007A00C3">
            <w:pPr>
              <w:pStyle w:val="TableBody"/>
            </w:pPr>
            <w:r w:rsidRPr="007A00C3">
              <w:t>2014</w:t>
            </w:r>
          </w:p>
        </w:tc>
        <w:tc>
          <w:tcPr>
            <w:tcW w:w="1666" w:type="pct"/>
            <w:noWrap/>
            <w:hideMark/>
          </w:tcPr>
          <w:p w14:paraId="4C4C33BA" w14:textId="77777777" w:rsidR="00817DB9" w:rsidRPr="007A00C3" w:rsidRDefault="00817DB9" w:rsidP="007A00C3">
            <w:pPr>
              <w:pStyle w:val="TableBody"/>
            </w:pPr>
            <w:r w:rsidRPr="007A00C3">
              <w:t>85,307</w:t>
            </w:r>
          </w:p>
        </w:tc>
        <w:tc>
          <w:tcPr>
            <w:tcW w:w="1667" w:type="pct"/>
            <w:noWrap/>
            <w:hideMark/>
          </w:tcPr>
          <w:p w14:paraId="22693938" w14:textId="77777777" w:rsidR="00817DB9" w:rsidRPr="007A00C3" w:rsidRDefault="00817DB9" w:rsidP="007A00C3">
            <w:pPr>
              <w:pStyle w:val="TableBody"/>
            </w:pPr>
            <w:r w:rsidRPr="007A00C3">
              <w:t>33,791</w:t>
            </w:r>
          </w:p>
        </w:tc>
      </w:tr>
      <w:tr w:rsidR="00817DB9" w:rsidRPr="007A00C3" w14:paraId="4E1E9B32" w14:textId="77777777" w:rsidTr="002066AF">
        <w:trPr>
          <w:trHeight w:val="306"/>
        </w:trPr>
        <w:tc>
          <w:tcPr>
            <w:tcW w:w="1666" w:type="pct"/>
            <w:noWrap/>
            <w:hideMark/>
          </w:tcPr>
          <w:p w14:paraId="4FF4EED0" w14:textId="77777777" w:rsidR="00817DB9" w:rsidRPr="007A00C3" w:rsidRDefault="00817DB9" w:rsidP="007A00C3">
            <w:pPr>
              <w:pStyle w:val="TableBody"/>
            </w:pPr>
            <w:r w:rsidRPr="007A00C3">
              <w:t>2016</w:t>
            </w:r>
          </w:p>
        </w:tc>
        <w:tc>
          <w:tcPr>
            <w:tcW w:w="1666" w:type="pct"/>
            <w:noWrap/>
            <w:hideMark/>
          </w:tcPr>
          <w:p w14:paraId="027A7230" w14:textId="77777777" w:rsidR="00817DB9" w:rsidRPr="007A00C3" w:rsidRDefault="00817DB9" w:rsidP="007A00C3">
            <w:pPr>
              <w:pStyle w:val="TableBody"/>
            </w:pPr>
            <w:r w:rsidRPr="007A00C3">
              <w:t>85,348</w:t>
            </w:r>
          </w:p>
        </w:tc>
        <w:tc>
          <w:tcPr>
            <w:tcW w:w="1667" w:type="pct"/>
            <w:noWrap/>
            <w:hideMark/>
          </w:tcPr>
          <w:p w14:paraId="2E7B6000" w14:textId="77777777" w:rsidR="00817DB9" w:rsidRPr="007A00C3" w:rsidRDefault="00817DB9" w:rsidP="007A00C3">
            <w:pPr>
              <w:pStyle w:val="TableBody"/>
            </w:pPr>
            <w:r w:rsidRPr="007A00C3">
              <w:t>38,845</w:t>
            </w:r>
          </w:p>
        </w:tc>
      </w:tr>
      <w:tr w:rsidR="00817DB9" w:rsidRPr="007A00C3" w14:paraId="701BA08D" w14:textId="77777777" w:rsidTr="002066AF">
        <w:trPr>
          <w:trHeight w:val="306"/>
        </w:trPr>
        <w:tc>
          <w:tcPr>
            <w:tcW w:w="1666" w:type="pct"/>
            <w:noWrap/>
            <w:hideMark/>
          </w:tcPr>
          <w:p w14:paraId="0734AAAE" w14:textId="77777777" w:rsidR="00817DB9" w:rsidRPr="007A00C3" w:rsidRDefault="00817DB9" w:rsidP="007A00C3">
            <w:pPr>
              <w:pStyle w:val="TableBody"/>
            </w:pPr>
            <w:r w:rsidRPr="007A00C3">
              <w:t>2018</w:t>
            </w:r>
          </w:p>
        </w:tc>
        <w:tc>
          <w:tcPr>
            <w:tcW w:w="1666" w:type="pct"/>
            <w:noWrap/>
            <w:hideMark/>
          </w:tcPr>
          <w:p w14:paraId="0A847CB4" w14:textId="77777777" w:rsidR="00817DB9" w:rsidRPr="007A00C3" w:rsidRDefault="00817DB9" w:rsidP="007A00C3">
            <w:pPr>
              <w:pStyle w:val="TableBody"/>
            </w:pPr>
            <w:r w:rsidRPr="007A00C3">
              <w:t>82,773</w:t>
            </w:r>
          </w:p>
        </w:tc>
        <w:tc>
          <w:tcPr>
            <w:tcW w:w="1667" w:type="pct"/>
            <w:noWrap/>
            <w:hideMark/>
          </w:tcPr>
          <w:p w14:paraId="17B0AE4E" w14:textId="77777777" w:rsidR="00817DB9" w:rsidRPr="007A00C3" w:rsidRDefault="00817DB9" w:rsidP="007A00C3">
            <w:pPr>
              <w:pStyle w:val="TableBody"/>
            </w:pPr>
            <w:r w:rsidRPr="007A00C3">
              <w:t>42,974</w:t>
            </w:r>
          </w:p>
        </w:tc>
      </w:tr>
      <w:tr w:rsidR="00817DB9" w:rsidRPr="007A00C3" w14:paraId="384E2897" w14:textId="77777777" w:rsidTr="002066AF">
        <w:trPr>
          <w:trHeight w:val="306"/>
        </w:trPr>
        <w:tc>
          <w:tcPr>
            <w:tcW w:w="1666" w:type="pct"/>
            <w:noWrap/>
            <w:hideMark/>
          </w:tcPr>
          <w:p w14:paraId="6EEB4698" w14:textId="77777777" w:rsidR="00817DB9" w:rsidRPr="007A00C3" w:rsidRDefault="00817DB9" w:rsidP="007A00C3">
            <w:pPr>
              <w:pStyle w:val="TableBody"/>
            </w:pPr>
            <w:r w:rsidRPr="007A00C3">
              <w:t>2020</w:t>
            </w:r>
          </w:p>
        </w:tc>
        <w:tc>
          <w:tcPr>
            <w:tcW w:w="1666" w:type="pct"/>
            <w:noWrap/>
            <w:hideMark/>
          </w:tcPr>
          <w:p w14:paraId="53001B58" w14:textId="77777777" w:rsidR="00817DB9" w:rsidRPr="007A00C3" w:rsidRDefault="00817DB9" w:rsidP="007A00C3">
            <w:pPr>
              <w:pStyle w:val="TableBody"/>
            </w:pPr>
            <w:r w:rsidRPr="007A00C3">
              <w:t>79,514</w:t>
            </w:r>
          </w:p>
        </w:tc>
        <w:tc>
          <w:tcPr>
            <w:tcW w:w="1667" w:type="pct"/>
            <w:noWrap/>
            <w:hideMark/>
          </w:tcPr>
          <w:p w14:paraId="4625EEFD" w14:textId="77777777" w:rsidR="00817DB9" w:rsidRPr="007A00C3" w:rsidRDefault="00817DB9" w:rsidP="007A00C3">
            <w:pPr>
              <w:pStyle w:val="TableBody"/>
            </w:pPr>
            <w:r w:rsidRPr="007A00C3">
              <w:t>41,060</w:t>
            </w:r>
          </w:p>
        </w:tc>
      </w:tr>
      <w:tr w:rsidR="00817DB9" w:rsidRPr="007A00C3" w14:paraId="3B8D0D06" w14:textId="77777777" w:rsidTr="002066AF">
        <w:trPr>
          <w:trHeight w:val="306"/>
        </w:trPr>
        <w:tc>
          <w:tcPr>
            <w:tcW w:w="1666" w:type="pct"/>
            <w:noWrap/>
            <w:hideMark/>
          </w:tcPr>
          <w:p w14:paraId="29780A0A" w14:textId="77777777" w:rsidR="00817DB9" w:rsidRPr="007A00C3" w:rsidRDefault="00817DB9" w:rsidP="007A00C3">
            <w:pPr>
              <w:pStyle w:val="TableBody"/>
            </w:pPr>
            <w:r w:rsidRPr="007A00C3">
              <w:t>2022</w:t>
            </w:r>
          </w:p>
        </w:tc>
        <w:tc>
          <w:tcPr>
            <w:tcW w:w="1666" w:type="pct"/>
            <w:noWrap/>
            <w:hideMark/>
          </w:tcPr>
          <w:p w14:paraId="7D25EBA9" w14:textId="77777777" w:rsidR="00817DB9" w:rsidRPr="007A00C3" w:rsidRDefault="00817DB9" w:rsidP="007A00C3">
            <w:pPr>
              <w:pStyle w:val="TableBody"/>
            </w:pPr>
            <w:r w:rsidRPr="007A00C3">
              <w:t>80,659</w:t>
            </w:r>
          </w:p>
        </w:tc>
        <w:tc>
          <w:tcPr>
            <w:tcW w:w="1667" w:type="pct"/>
            <w:noWrap/>
            <w:hideMark/>
          </w:tcPr>
          <w:p w14:paraId="32CE9DEB" w14:textId="77777777" w:rsidR="00817DB9" w:rsidRPr="007A00C3" w:rsidRDefault="00817DB9" w:rsidP="007A00C3">
            <w:pPr>
              <w:pStyle w:val="TableBody"/>
            </w:pPr>
            <w:r w:rsidRPr="007A00C3">
              <w:t>40,591</w:t>
            </w:r>
          </w:p>
        </w:tc>
      </w:tr>
      <w:tr w:rsidR="00817DB9" w:rsidRPr="007A00C3" w14:paraId="673E5DD7" w14:textId="77777777" w:rsidTr="002066AF">
        <w:trPr>
          <w:trHeight w:val="306"/>
        </w:trPr>
        <w:tc>
          <w:tcPr>
            <w:tcW w:w="1666" w:type="pct"/>
            <w:noWrap/>
            <w:hideMark/>
          </w:tcPr>
          <w:p w14:paraId="2D39720D" w14:textId="77777777" w:rsidR="00817DB9" w:rsidRPr="007A00C3" w:rsidRDefault="00817DB9" w:rsidP="007A00C3">
            <w:pPr>
              <w:pStyle w:val="TableBody"/>
            </w:pPr>
            <w:r w:rsidRPr="007A00C3">
              <w:t>2024</w:t>
            </w:r>
          </w:p>
        </w:tc>
        <w:tc>
          <w:tcPr>
            <w:tcW w:w="1666" w:type="pct"/>
            <w:noWrap/>
            <w:hideMark/>
          </w:tcPr>
          <w:p w14:paraId="0FD93285" w14:textId="77777777" w:rsidR="00817DB9" w:rsidRPr="007A00C3" w:rsidRDefault="00817DB9" w:rsidP="007A00C3">
            <w:pPr>
              <w:pStyle w:val="TableBody"/>
            </w:pPr>
            <w:r w:rsidRPr="007A00C3">
              <w:t>87,726</w:t>
            </w:r>
          </w:p>
        </w:tc>
        <w:tc>
          <w:tcPr>
            <w:tcW w:w="1667" w:type="pct"/>
            <w:noWrap/>
            <w:hideMark/>
          </w:tcPr>
          <w:p w14:paraId="1A73CAF8" w14:textId="77777777" w:rsidR="00817DB9" w:rsidRPr="007A00C3" w:rsidRDefault="00817DB9" w:rsidP="007A00C3">
            <w:pPr>
              <w:pStyle w:val="TableBody"/>
            </w:pPr>
            <w:r w:rsidRPr="007A00C3">
              <w:t>44,403</w:t>
            </w:r>
          </w:p>
        </w:tc>
      </w:tr>
    </w:tbl>
    <w:p w14:paraId="1258EC99" w14:textId="77777777" w:rsidR="00A4454A" w:rsidRPr="008C1137" w:rsidRDefault="00A4454A" w:rsidP="00D4532A">
      <w:r w:rsidRPr="000C258A">
        <w:rPr>
          <w:rStyle w:val="Strong"/>
        </w:rPr>
        <w:t>Sources</w:t>
      </w:r>
      <w:r w:rsidRPr="008C1137">
        <w:t>: Australian Bureau of Statistics,</w:t>
      </w:r>
      <w:r w:rsidRPr="008C1137">
        <w:rPr>
          <w:rStyle w:val="Italic"/>
        </w:rPr>
        <w:t xml:space="preserve"> Prisoners in Australia</w:t>
      </w:r>
      <w:r w:rsidRPr="008C1137">
        <w:t>, cat. no. 4517.0 (abs.gov.au, 2024) Table 15 (Australia); Institute for Crime &amp; Justice Policy Research, ‘World Prison Brief Data’, World Prison Brief (prisonstudies.org, 2024) (England and Wales)</w:t>
      </w:r>
    </w:p>
    <w:p w14:paraId="787959E8" w14:textId="77777777" w:rsidR="00A4454A" w:rsidRPr="008C1137" w:rsidRDefault="00A4454A" w:rsidP="00210207">
      <w:pPr>
        <w:pStyle w:val="Numbered"/>
      </w:pPr>
      <w:r w:rsidRPr="008C1137">
        <w:t xml:space="preserve">Like Australia’s states and territories (other than Victoria), the international jurisdictions presented here observed a steady or upward trend in the 15 years to 2019, a stabilising or reduction when the COVID-19 pandemic commenced, and then a return to (if not an increase above) pre-pandemic levels shortly after. Across Australia, and compared with these international jurisdictions, Victoria was the </w:t>
      </w:r>
      <w:r w:rsidRPr="003B3217">
        <w:rPr>
          <w:rStyle w:val="Italic"/>
        </w:rPr>
        <w:t xml:space="preserve">only </w:t>
      </w:r>
      <w:r w:rsidRPr="008C1137">
        <w:t>jurisdiction to continue experiencing a decline in the prison population after 2021.</w:t>
      </w:r>
    </w:p>
    <w:p w14:paraId="627B1F8D" w14:textId="77777777" w:rsidR="00A4454A" w:rsidRPr="008C1137" w:rsidRDefault="00A4454A" w:rsidP="0002476E">
      <w:pPr>
        <w:pStyle w:val="Heading2"/>
      </w:pPr>
      <w:r w:rsidRPr="008C1137">
        <w:lastRenderedPageBreak/>
        <w:t>Imprisonment rate</w:t>
      </w:r>
    </w:p>
    <w:p w14:paraId="2876513F" w14:textId="038F56B9" w:rsidR="00A4454A" w:rsidRPr="008C1137" w:rsidRDefault="00A4454A" w:rsidP="00210207">
      <w:pPr>
        <w:pStyle w:val="Numbered"/>
      </w:pPr>
      <w:r w:rsidRPr="008C1137">
        <w:t>Growth in Victoria’s prison population (62%) outpaced growth in the general Victorian population (which grew by 39%). Accordingly, the per capita imprisonment rate measures the number of Victorians in custody per 100,000 adults. Figure 43</w:t>
      </w:r>
      <w:r w:rsidR="009E33A5">
        <w:t xml:space="preserve"> </w:t>
      </w:r>
      <w:r w:rsidRPr="008C1137">
        <w:t xml:space="preserve">shows that there was a 14% increase in the </w:t>
      </w:r>
      <w:r w:rsidRPr="003B3217">
        <w:rPr>
          <w:rStyle w:val="Italic"/>
        </w:rPr>
        <w:t xml:space="preserve">per capita imprisonment rate </w:t>
      </w:r>
      <w:r w:rsidRPr="008C1137">
        <w:t xml:space="preserve">in Victoria in the 20-year period, from 94.2 prisoners per 100,000 adults to 107.6. Much of that growth again occurred between 30 June 2012 and 30 June 2019. There was a significant drop in the imprisonment rate in the 12 months to 30 June 2020, which is unsurprising given the reduction in the prison population during the COVID-19 pandemic. However, the decline continued post-2020, with a further 21% decrease in the 4 years to 30 June 2024. </w:t>
      </w:r>
    </w:p>
    <w:p w14:paraId="5E179C60" w14:textId="77777777" w:rsidR="00A4454A" w:rsidRPr="008C1137" w:rsidRDefault="00A4454A" w:rsidP="00BE4EDC">
      <w:pPr>
        <w:pStyle w:val="Caption"/>
      </w:pPr>
      <w:r w:rsidRPr="00157502">
        <w:t>Figure 43</w:t>
      </w:r>
      <w:r w:rsidRPr="008C1137">
        <w:t>: Per capita imprisonment rate (prisoners per 100,000 adults) on 30 June, 2005 to 2024</w:t>
      </w:r>
    </w:p>
    <w:tbl>
      <w:tblPr>
        <w:tblStyle w:val="Table"/>
        <w:tblW w:w="5000" w:type="pct"/>
        <w:tblLook w:val="04A0" w:firstRow="1" w:lastRow="0" w:firstColumn="1" w:lastColumn="0" w:noHBand="0" w:noVBand="1"/>
      </w:tblPr>
      <w:tblGrid>
        <w:gridCol w:w="2943"/>
        <w:gridCol w:w="6073"/>
      </w:tblGrid>
      <w:tr w:rsidR="005E706A" w:rsidRPr="005E706A" w14:paraId="2BC22C39" w14:textId="77777777" w:rsidTr="00464C91">
        <w:trPr>
          <w:trHeight w:val="288"/>
          <w:tblHeader/>
        </w:trPr>
        <w:tc>
          <w:tcPr>
            <w:tcW w:w="1632" w:type="pct"/>
            <w:noWrap/>
            <w:hideMark/>
          </w:tcPr>
          <w:p w14:paraId="426A8A46" w14:textId="77777777" w:rsidR="005E706A" w:rsidRPr="005E706A" w:rsidRDefault="005E706A" w:rsidP="00464C91">
            <w:pPr>
              <w:pStyle w:val="TableHeading"/>
            </w:pPr>
            <w:r w:rsidRPr="005E706A">
              <w:t>Year (as at 30 June)</w:t>
            </w:r>
          </w:p>
        </w:tc>
        <w:tc>
          <w:tcPr>
            <w:tcW w:w="3368" w:type="pct"/>
            <w:noWrap/>
            <w:hideMark/>
          </w:tcPr>
          <w:p w14:paraId="0C4770E1" w14:textId="77777777" w:rsidR="005E706A" w:rsidRPr="005E706A" w:rsidRDefault="005E706A" w:rsidP="00464C91">
            <w:pPr>
              <w:pStyle w:val="TableHeading"/>
            </w:pPr>
            <w:r w:rsidRPr="005E706A">
              <w:t>Prisoners (per 100,000 adults)</w:t>
            </w:r>
          </w:p>
        </w:tc>
      </w:tr>
      <w:tr w:rsidR="005E706A" w:rsidRPr="005E706A" w14:paraId="453AD9B4" w14:textId="77777777" w:rsidTr="00464C91">
        <w:trPr>
          <w:trHeight w:val="288"/>
        </w:trPr>
        <w:tc>
          <w:tcPr>
            <w:tcW w:w="1632" w:type="pct"/>
            <w:noWrap/>
            <w:hideMark/>
          </w:tcPr>
          <w:p w14:paraId="5327614B" w14:textId="77777777" w:rsidR="005E706A" w:rsidRPr="00A85956" w:rsidRDefault="005E706A" w:rsidP="00A85956">
            <w:pPr>
              <w:pStyle w:val="TableBody"/>
            </w:pPr>
            <w:r w:rsidRPr="00A85956">
              <w:t>2005</w:t>
            </w:r>
          </w:p>
        </w:tc>
        <w:tc>
          <w:tcPr>
            <w:tcW w:w="3368" w:type="pct"/>
            <w:noWrap/>
            <w:hideMark/>
          </w:tcPr>
          <w:p w14:paraId="28CC6B3D" w14:textId="77777777" w:rsidR="005E706A" w:rsidRPr="00F678CE" w:rsidRDefault="005E706A" w:rsidP="00F678CE">
            <w:pPr>
              <w:pStyle w:val="TableBody"/>
            </w:pPr>
            <w:r w:rsidRPr="00F678CE">
              <w:t>94.2</w:t>
            </w:r>
          </w:p>
        </w:tc>
      </w:tr>
      <w:tr w:rsidR="005E706A" w:rsidRPr="005E706A" w14:paraId="42DDC3C1" w14:textId="77777777" w:rsidTr="00464C91">
        <w:trPr>
          <w:trHeight w:val="288"/>
        </w:trPr>
        <w:tc>
          <w:tcPr>
            <w:tcW w:w="1632" w:type="pct"/>
            <w:noWrap/>
            <w:hideMark/>
          </w:tcPr>
          <w:p w14:paraId="7DBEA05C" w14:textId="77777777" w:rsidR="005E706A" w:rsidRPr="00A85956" w:rsidRDefault="005E706A" w:rsidP="00A85956">
            <w:pPr>
              <w:pStyle w:val="TableBody"/>
            </w:pPr>
            <w:r w:rsidRPr="00A85956">
              <w:t>2006</w:t>
            </w:r>
          </w:p>
        </w:tc>
        <w:tc>
          <w:tcPr>
            <w:tcW w:w="3368" w:type="pct"/>
            <w:noWrap/>
            <w:hideMark/>
          </w:tcPr>
          <w:p w14:paraId="151ADEB0" w14:textId="77777777" w:rsidR="005E706A" w:rsidRPr="00F678CE" w:rsidRDefault="005E706A" w:rsidP="00F678CE">
            <w:pPr>
              <w:pStyle w:val="TableBody"/>
            </w:pPr>
            <w:r w:rsidRPr="00F678CE">
              <w:t>99.7</w:t>
            </w:r>
          </w:p>
        </w:tc>
      </w:tr>
      <w:tr w:rsidR="005E706A" w:rsidRPr="005E706A" w14:paraId="6EDDE6A6" w14:textId="77777777" w:rsidTr="00464C91">
        <w:trPr>
          <w:trHeight w:val="288"/>
        </w:trPr>
        <w:tc>
          <w:tcPr>
            <w:tcW w:w="1632" w:type="pct"/>
            <w:noWrap/>
            <w:hideMark/>
          </w:tcPr>
          <w:p w14:paraId="50AB9755" w14:textId="77777777" w:rsidR="005E706A" w:rsidRPr="00A85956" w:rsidRDefault="005E706A" w:rsidP="00A85956">
            <w:pPr>
              <w:pStyle w:val="TableBody"/>
            </w:pPr>
            <w:r w:rsidRPr="00A85956">
              <w:t>2007</w:t>
            </w:r>
          </w:p>
        </w:tc>
        <w:tc>
          <w:tcPr>
            <w:tcW w:w="3368" w:type="pct"/>
            <w:noWrap/>
            <w:hideMark/>
          </w:tcPr>
          <w:p w14:paraId="61D97803" w14:textId="77777777" w:rsidR="005E706A" w:rsidRPr="00A85956" w:rsidRDefault="005E706A" w:rsidP="00A85956">
            <w:pPr>
              <w:pStyle w:val="TableBody"/>
            </w:pPr>
            <w:r w:rsidRPr="00A85956">
              <w:t>104.6</w:t>
            </w:r>
          </w:p>
        </w:tc>
      </w:tr>
      <w:tr w:rsidR="005E706A" w:rsidRPr="005E706A" w14:paraId="7F64B8C8" w14:textId="77777777" w:rsidTr="00464C91">
        <w:trPr>
          <w:trHeight w:val="288"/>
        </w:trPr>
        <w:tc>
          <w:tcPr>
            <w:tcW w:w="1632" w:type="pct"/>
            <w:noWrap/>
            <w:hideMark/>
          </w:tcPr>
          <w:p w14:paraId="51E66D28" w14:textId="77777777" w:rsidR="005E706A" w:rsidRPr="00A85956" w:rsidRDefault="005E706A" w:rsidP="00A85956">
            <w:pPr>
              <w:pStyle w:val="TableBody"/>
            </w:pPr>
            <w:r w:rsidRPr="00A85956">
              <w:t>2008</w:t>
            </w:r>
          </w:p>
        </w:tc>
        <w:tc>
          <w:tcPr>
            <w:tcW w:w="3368" w:type="pct"/>
            <w:noWrap/>
            <w:hideMark/>
          </w:tcPr>
          <w:p w14:paraId="0FF6854E" w14:textId="77777777" w:rsidR="005E706A" w:rsidRPr="00A85956" w:rsidRDefault="005E706A" w:rsidP="00A85956">
            <w:pPr>
              <w:pStyle w:val="TableBody"/>
            </w:pPr>
            <w:r w:rsidRPr="00A85956">
              <w:t>103.7</w:t>
            </w:r>
          </w:p>
        </w:tc>
      </w:tr>
      <w:tr w:rsidR="005E706A" w:rsidRPr="005E706A" w14:paraId="76A6BE47" w14:textId="77777777" w:rsidTr="00464C91">
        <w:trPr>
          <w:trHeight w:val="288"/>
        </w:trPr>
        <w:tc>
          <w:tcPr>
            <w:tcW w:w="1632" w:type="pct"/>
            <w:noWrap/>
            <w:hideMark/>
          </w:tcPr>
          <w:p w14:paraId="5611BA61" w14:textId="77777777" w:rsidR="005E706A" w:rsidRPr="00A85956" w:rsidRDefault="005E706A" w:rsidP="00A85956">
            <w:pPr>
              <w:pStyle w:val="TableBody"/>
            </w:pPr>
            <w:r w:rsidRPr="00A85956">
              <w:t>2009</w:t>
            </w:r>
          </w:p>
        </w:tc>
        <w:tc>
          <w:tcPr>
            <w:tcW w:w="3368" w:type="pct"/>
            <w:noWrap/>
            <w:hideMark/>
          </w:tcPr>
          <w:p w14:paraId="01280078" w14:textId="77777777" w:rsidR="005E706A" w:rsidRPr="00A85956" w:rsidRDefault="005E706A" w:rsidP="00A85956">
            <w:pPr>
              <w:pStyle w:val="TableBody"/>
            </w:pPr>
            <w:r w:rsidRPr="00A85956">
              <w:t>104.0</w:t>
            </w:r>
          </w:p>
        </w:tc>
      </w:tr>
      <w:tr w:rsidR="005E706A" w:rsidRPr="005E706A" w14:paraId="234BDC25" w14:textId="77777777" w:rsidTr="00464C91">
        <w:trPr>
          <w:trHeight w:val="288"/>
        </w:trPr>
        <w:tc>
          <w:tcPr>
            <w:tcW w:w="1632" w:type="pct"/>
            <w:noWrap/>
            <w:hideMark/>
          </w:tcPr>
          <w:p w14:paraId="75DE9CF5" w14:textId="77777777" w:rsidR="005E706A" w:rsidRPr="00A85956" w:rsidRDefault="005E706A" w:rsidP="00A85956">
            <w:pPr>
              <w:pStyle w:val="TableBody"/>
            </w:pPr>
            <w:r w:rsidRPr="00A85956">
              <w:t>2010</w:t>
            </w:r>
          </w:p>
        </w:tc>
        <w:tc>
          <w:tcPr>
            <w:tcW w:w="3368" w:type="pct"/>
            <w:noWrap/>
            <w:hideMark/>
          </w:tcPr>
          <w:p w14:paraId="78384F6C" w14:textId="77777777" w:rsidR="005E706A" w:rsidRPr="00A85956" w:rsidRDefault="005E706A" w:rsidP="00A85956">
            <w:pPr>
              <w:pStyle w:val="TableBody"/>
            </w:pPr>
            <w:r w:rsidRPr="00A85956">
              <w:t>105.5</w:t>
            </w:r>
          </w:p>
        </w:tc>
      </w:tr>
      <w:tr w:rsidR="005E706A" w:rsidRPr="005E706A" w14:paraId="0B1C40A6" w14:textId="77777777" w:rsidTr="00464C91">
        <w:trPr>
          <w:trHeight w:val="288"/>
        </w:trPr>
        <w:tc>
          <w:tcPr>
            <w:tcW w:w="1632" w:type="pct"/>
            <w:noWrap/>
            <w:hideMark/>
          </w:tcPr>
          <w:p w14:paraId="30493F4D" w14:textId="77777777" w:rsidR="005E706A" w:rsidRPr="00A85956" w:rsidRDefault="005E706A" w:rsidP="00A85956">
            <w:pPr>
              <w:pStyle w:val="TableBody"/>
            </w:pPr>
            <w:r w:rsidRPr="00A85956">
              <w:t>2011</w:t>
            </w:r>
          </w:p>
        </w:tc>
        <w:tc>
          <w:tcPr>
            <w:tcW w:w="3368" w:type="pct"/>
            <w:noWrap/>
            <w:hideMark/>
          </w:tcPr>
          <w:p w14:paraId="050E27DF" w14:textId="77777777" w:rsidR="005E706A" w:rsidRPr="00A85956" w:rsidRDefault="005E706A" w:rsidP="00A85956">
            <w:pPr>
              <w:pStyle w:val="TableBody"/>
            </w:pPr>
            <w:r w:rsidRPr="00A85956">
              <w:t>108.5</w:t>
            </w:r>
          </w:p>
        </w:tc>
      </w:tr>
      <w:tr w:rsidR="005E706A" w:rsidRPr="005E706A" w14:paraId="0FFE5B1E" w14:textId="77777777" w:rsidTr="00464C91">
        <w:trPr>
          <w:trHeight w:val="288"/>
        </w:trPr>
        <w:tc>
          <w:tcPr>
            <w:tcW w:w="1632" w:type="pct"/>
            <w:noWrap/>
            <w:hideMark/>
          </w:tcPr>
          <w:p w14:paraId="55E8E157" w14:textId="77777777" w:rsidR="005E706A" w:rsidRPr="00A85956" w:rsidRDefault="005E706A" w:rsidP="00A85956">
            <w:pPr>
              <w:pStyle w:val="TableBody"/>
            </w:pPr>
            <w:r w:rsidRPr="00A85956">
              <w:t>2012</w:t>
            </w:r>
          </w:p>
        </w:tc>
        <w:tc>
          <w:tcPr>
            <w:tcW w:w="3368" w:type="pct"/>
            <w:noWrap/>
            <w:hideMark/>
          </w:tcPr>
          <w:p w14:paraId="6219B9EB" w14:textId="77777777" w:rsidR="005E706A" w:rsidRPr="00A85956" w:rsidRDefault="005E706A" w:rsidP="00A85956">
            <w:pPr>
              <w:pStyle w:val="TableBody"/>
            </w:pPr>
            <w:r w:rsidRPr="00A85956">
              <w:t>111.7</w:t>
            </w:r>
          </w:p>
        </w:tc>
      </w:tr>
      <w:tr w:rsidR="005E706A" w:rsidRPr="005E706A" w14:paraId="4BAC333A" w14:textId="77777777" w:rsidTr="00464C91">
        <w:trPr>
          <w:trHeight w:val="288"/>
        </w:trPr>
        <w:tc>
          <w:tcPr>
            <w:tcW w:w="1632" w:type="pct"/>
            <w:noWrap/>
            <w:hideMark/>
          </w:tcPr>
          <w:p w14:paraId="2BFA5335" w14:textId="77777777" w:rsidR="005E706A" w:rsidRPr="00A85956" w:rsidRDefault="005E706A" w:rsidP="00A85956">
            <w:pPr>
              <w:pStyle w:val="TableBody"/>
            </w:pPr>
            <w:r w:rsidRPr="00A85956">
              <w:t>2013</w:t>
            </w:r>
          </w:p>
        </w:tc>
        <w:tc>
          <w:tcPr>
            <w:tcW w:w="3368" w:type="pct"/>
            <w:noWrap/>
            <w:hideMark/>
          </w:tcPr>
          <w:p w14:paraId="3D56F2C5" w14:textId="77777777" w:rsidR="005E706A" w:rsidRPr="00A85956" w:rsidRDefault="005E706A" w:rsidP="00A85956">
            <w:pPr>
              <w:pStyle w:val="TableBody"/>
            </w:pPr>
            <w:r w:rsidRPr="00A85956">
              <w:t>119.8</w:t>
            </w:r>
          </w:p>
        </w:tc>
      </w:tr>
      <w:tr w:rsidR="005E706A" w:rsidRPr="005E706A" w14:paraId="7A5F2E9C" w14:textId="77777777" w:rsidTr="00464C91">
        <w:trPr>
          <w:trHeight w:val="288"/>
        </w:trPr>
        <w:tc>
          <w:tcPr>
            <w:tcW w:w="1632" w:type="pct"/>
            <w:noWrap/>
            <w:hideMark/>
          </w:tcPr>
          <w:p w14:paraId="283612BC" w14:textId="77777777" w:rsidR="005E706A" w:rsidRPr="00A85956" w:rsidRDefault="005E706A" w:rsidP="00A85956">
            <w:pPr>
              <w:pStyle w:val="TableBody"/>
            </w:pPr>
            <w:r w:rsidRPr="00A85956">
              <w:t>2014</w:t>
            </w:r>
          </w:p>
        </w:tc>
        <w:tc>
          <w:tcPr>
            <w:tcW w:w="3368" w:type="pct"/>
            <w:noWrap/>
            <w:hideMark/>
          </w:tcPr>
          <w:p w14:paraId="3D7987E5" w14:textId="77777777" w:rsidR="005E706A" w:rsidRPr="00A85956" w:rsidRDefault="005E706A" w:rsidP="00A85956">
            <w:pPr>
              <w:pStyle w:val="TableBody"/>
            </w:pPr>
            <w:r w:rsidRPr="00A85956">
              <w:t>134.4</w:t>
            </w:r>
          </w:p>
        </w:tc>
      </w:tr>
      <w:tr w:rsidR="005E706A" w:rsidRPr="005E706A" w14:paraId="3E57658E" w14:textId="77777777" w:rsidTr="00464C91">
        <w:trPr>
          <w:trHeight w:val="288"/>
        </w:trPr>
        <w:tc>
          <w:tcPr>
            <w:tcW w:w="1632" w:type="pct"/>
            <w:noWrap/>
            <w:hideMark/>
          </w:tcPr>
          <w:p w14:paraId="308C0F62" w14:textId="77777777" w:rsidR="005E706A" w:rsidRPr="00A85956" w:rsidRDefault="005E706A" w:rsidP="00A85956">
            <w:pPr>
              <w:pStyle w:val="TableBody"/>
            </w:pPr>
            <w:r w:rsidRPr="00A85956">
              <w:t>2015</w:t>
            </w:r>
          </w:p>
        </w:tc>
        <w:tc>
          <w:tcPr>
            <w:tcW w:w="3368" w:type="pct"/>
            <w:noWrap/>
            <w:hideMark/>
          </w:tcPr>
          <w:p w14:paraId="0836EE0F" w14:textId="77777777" w:rsidR="005E706A" w:rsidRPr="00A85956" w:rsidRDefault="005E706A" w:rsidP="00A85956">
            <w:pPr>
              <w:pStyle w:val="TableBody"/>
            </w:pPr>
            <w:r w:rsidRPr="00A85956">
              <w:t>134.4</w:t>
            </w:r>
          </w:p>
        </w:tc>
      </w:tr>
      <w:tr w:rsidR="005E706A" w:rsidRPr="005E706A" w14:paraId="5AC8571A" w14:textId="77777777" w:rsidTr="00464C91">
        <w:trPr>
          <w:trHeight w:val="288"/>
        </w:trPr>
        <w:tc>
          <w:tcPr>
            <w:tcW w:w="1632" w:type="pct"/>
            <w:noWrap/>
            <w:hideMark/>
          </w:tcPr>
          <w:p w14:paraId="39DFC397" w14:textId="77777777" w:rsidR="005E706A" w:rsidRPr="00A85956" w:rsidRDefault="005E706A" w:rsidP="00A85956">
            <w:pPr>
              <w:pStyle w:val="TableBody"/>
            </w:pPr>
            <w:r w:rsidRPr="00A85956">
              <w:t>2016</w:t>
            </w:r>
          </w:p>
        </w:tc>
        <w:tc>
          <w:tcPr>
            <w:tcW w:w="3368" w:type="pct"/>
            <w:noWrap/>
            <w:hideMark/>
          </w:tcPr>
          <w:p w14:paraId="585F4AE0" w14:textId="77777777" w:rsidR="005E706A" w:rsidRPr="00A85956" w:rsidRDefault="005E706A" w:rsidP="00A85956">
            <w:pPr>
              <w:pStyle w:val="TableBody"/>
            </w:pPr>
            <w:r w:rsidRPr="00A85956">
              <w:t>138.1</w:t>
            </w:r>
          </w:p>
        </w:tc>
      </w:tr>
      <w:tr w:rsidR="005E706A" w:rsidRPr="005E706A" w14:paraId="04181072" w14:textId="77777777" w:rsidTr="00464C91">
        <w:trPr>
          <w:trHeight w:val="288"/>
        </w:trPr>
        <w:tc>
          <w:tcPr>
            <w:tcW w:w="1632" w:type="pct"/>
            <w:noWrap/>
            <w:hideMark/>
          </w:tcPr>
          <w:p w14:paraId="52C27795" w14:textId="77777777" w:rsidR="005E706A" w:rsidRPr="00A85956" w:rsidRDefault="005E706A" w:rsidP="00A85956">
            <w:pPr>
              <w:pStyle w:val="TableBody"/>
            </w:pPr>
            <w:r w:rsidRPr="00A85956">
              <w:t>2017</w:t>
            </w:r>
          </w:p>
        </w:tc>
        <w:tc>
          <w:tcPr>
            <w:tcW w:w="3368" w:type="pct"/>
            <w:noWrap/>
            <w:hideMark/>
          </w:tcPr>
          <w:p w14:paraId="097261A1" w14:textId="77777777" w:rsidR="005E706A" w:rsidRPr="00A85956" w:rsidRDefault="005E706A" w:rsidP="00A85956">
            <w:pPr>
              <w:pStyle w:val="TableBody"/>
            </w:pPr>
            <w:r w:rsidRPr="00A85956">
              <w:t>145.4</w:t>
            </w:r>
          </w:p>
        </w:tc>
      </w:tr>
      <w:tr w:rsidR="005E706A" w:rsidRPr="005E706A" w14:paraId="30655702" w14:textId="77777777" w:rsidTr="00464C91">
        <w:trPr>
          <w:trHeight w:val="288"/>
        </w:trPr>
        <w:tc>
          <w:tcPr>
            <w:tcW w:w="1632" w:type="pct"/>
            <w:noWrap/>
            <w:hideMark/>
          </w:tcPr>
          <w:p w14:paraId="2A3B864F" w14:textId="77777777" w:rsidR="005E706A" w:rsidRPr="00A85956" w:rsidRDefault="005E706A" w:rsidP="00A85956">
            <w:pPr>
              <w:pStyle w:val="TableBody"/>
            </w:pPr>
            <w:r w:rsidRPr="00A85956">
              <w:t>2018</w:t>
            </w:r>
          </w:p>
        </w:tc>
        <w:tc>
          <w:tcPr>
            <w:tcW w:w="3368" w:type="pct"/>
            <w:noWrap/>
            <w:hideMark/>
          </w:tcPr>
          <w:p w14:paraId="489C5493" w14:textId="77777777" w:rsidR="005E706A" w:rsidRPr="00A85956" w:rsidRDefault="005E706A" w:rsidP="00A85956">
            <w:pPr>
              <w:pStyle w:val="TableBody"/>
            </w:pPr>
            <w:r w:rsidRPr="00A85956">
              <w:t>152.3</w:t>
            </w:r>
          </w:p>
        </w:tc>
      </w:tr>
      <w:tr w:rsidR="005E706A" w:rsidRPr="005E706A" w14:paraId="66B71F49" w14:textId="77777777" w:rsidTr="00464C91">
        <w:trPr>
          <w:trHeight w:val="288"/>
        </w:trPr>
        <w:tc>
          <w:tcPr>
            <w:tcW w:w="1632" w:type="pct"/>
            <w:noWrap/>
            <w:hideMark/>
          </w:tcPr>
          <w:p w14:paraId="3AC7A5C5" w14:textId="77777777" w:rsidR="005E706A" w:rsidRPr="00A85956" w:rsidRDefault="005E706A" w:rsidP="00A85956">
            <w:pPr>
              <w:pStyle w:val="TableBody"/>
            </w:pPr>
            <w:r w:rsidRPr="00A85956">
              <w:t>2019</w:t>
            </w:r>
          </w:p>
        </w:tc>
        <w:tc>
          <w:tcPr>
            <w:tcW w:w="3368" w:type="pct"/>
            <w:noWrap/>
            <w:hideMark/>
          </w:tcPr>
          <w:p w14:paraId="182F3955" w14:textId="77777777" w:rsidR="005E706A" w:rsidRPr="00A85956" w:rsidRDefault="005E706A" w:rsidP="00A85956">
            <w:pPr>
              <w:pStyle w:val="TableBody"/>
            </w:pPr>
            <w:r w:rsidRPr="00A85956">
              <w:t>157.1</w:t>
            </w:r>
          </w:p>
        </w:tc>
      </w:tr>
      <w:tr w:rsidR="005E706A" w:rsidRPr="005E706A" w14:paraId="6FCBADF3" w14:textId="77777777" w:rsidTr="00464C91">
        <w:trPr>
          <w:trHeight w:val="288"/>
        </w:trPr>
        <w:tc>
          <w:tcPr>
            <w:tcW w:w="1632" w:type="pct"/>
            <w:noWrap/>
            <w:hideMark/>
          </w:tcPr>
          <w:p w14:paraId="1A381035" w14:textId="77777777" w:rsidR="005E706A" w:rsidRPr="00A85956" w:rsidRDefault="005E706A" w:rsidP="00A85956">
            <w:pPr>
              <w:pStyle w:val="TableBody"/>
            </w:pPr>
            <w:r w:rsidRPr="00A85956">
              <w:t>2020</w:t>
            </w:r>
          </w:p>
        </w:tc>
        <w:tc>
          <w:tcPr>
            <w:tcW w:w="3368" w:type="pct"/>
            <w:noWrap/>
            <w:hideMark/>
          </w:tcPr>
          <w:p w14:paraId="73D28F2D" w14:textId="77777777" w:rsidR="005E706A" w:rsidRPr="00A85956" w:rsidRDefault="005E706A" w:rsidP="00A85956">
            <w:pPr>
              <w:pStyle w:val="TableBody"/>
            </w:pPr>
            <w:r w:rsidRPr="00A85956">
              <w:t>136.0</w:t>
            </w:r>
          </w:p>
        </w:tc>
      </w:tr>
      <w:tr w:rsidR="005E706A" w:rsidRPr="005E706A" w14:paraId="6B0F1B75" w14:textId="77777777" w:rsidTr="00464C91">
        <w:trPr>
          <w:trHeight w:val="288"/>
        </w:trPr>
        <w:tc>
          <w:tcPr>
            <w:tcW w:w="1632" w:type="pct"/>
            <w:noWrap/>
            <w:hideMark/>
          </w:tcPr>
          <w:p w14:paraId="73DD462D" w14:textId="77777777" w:rsidR="005E706A" w:rsidRPr="00A85956" w:rsidRDefault="005E706A" w:rsidP="00A85956">
            <w:pPr>
              <w:pStyle w:val="TableBody"/>
            </w:pPr>
            <w:r w:rsidRPr="00A85956">
              <w:t>2021</w:t>
            </w:r>
          </w:p>
        </w:tc>
        <w:tc>
          <w:tcPr>
            <w:tcW w:w="3368" w:type="pct"/>
            <w:noWrap/>
            <w:hideMark/>
          </w:tcPr>
          <w:p w14:paraId="0ADA12C7" w14:textId="77777777" w:rsidR="005E706A" w:rsidRPr="00A85956" w:rsidRDefault="005E706A" w:rsidP="00A85956">
            <w:pPr>
              <w:pStyle w:val="TableBody"/>
            </w:pPr>
            <w:r w:rsidRPr="00A85956">
              <w:t>138.7</w:t>
            </w:r>
          </w:p>
        </w:tc>
      </w:tr>
      <w:tr w:rsidR="005E706A" w:rsidRPr="005E706A" w14:paraId="6FB011D1" w14:textId="77777777" w:rsidTr="00464C91">
        <w:trPr>
          <w:trHeight w:val="288"/>
        </w:trPr>
        <w:tc>
          <w:tcPr>
            <w:tcW w:w="1632" w:type="pct"/>
            <w:noWrap/>
            <w:hideMark/>
          </w:tcPr>
          <w:p w14:paraId="3D9D3610" w14:textId="77777777" w:rsidR="005E706A" w:rsidRPr="00A85956" w:rsidRDefault="005E706A" w:rsidP="00A85956">
            <w:pPr>
              <w:pStyle w:val="TableBody"/>
            </w:pPr>
            <w:r w:rsidRPr="00A85956">
              <w:t>2022</w:t>
            </w:r>
          </w:p>
        </w:tc>
        <w:tc>
          <w:tcPr>
            <w:tcW w:w="3368" w:type="pct"/>
            <w:noWrap/>
            <w:hideMark/>
          </w:tcPr>
          <w:p w14:paraId="532FE6A4" w14:textId="77777777" w:rsidR="005E706A" w:rsidRPr="00A85956" w:rsidRDefault="005E706A" w:rsidP="00A85956">
            <w:pPr>
              <w:pStyle w:val="TableBody"/>
            </w:pPr>
            <w:r w:rsidRPr="00A85956">
              <w:t>126.9</w:t>
            </w:r>
          </w:p>
        </w:tc>
      </w:tr>
      <w:tr w:rsidR="005E706A" w:rsidRPr="005E706A" w14:paraId="185E4931" w14:textId="77777777" w:rsidTr="00464C91">
        <w:trPr>
          <w:trHeight w:val="288"/>
        </w:trPr>
        <w:tc>
          <w:tcPr>
            <w:tcW w:w="1632" w:type="pct"/>
            <w:noWrap/>
            <w:hideMark/>
          </w:tcPr>
          <w:p w14:paraId="50A882E0" w14:textId="77777777" w:rsidR="005E706A" w:rsidRPr="00A85956" w:rsidRDefault="005E706A" w:rsidP="00A85956">
            <w:pPr>
              <w:pStyle w:val="TableBody"/>
            </w:pPr>
            <w:r w:rsidRPr="00A85956">
              <w:t>2023</w:t>
            </w:r>
          </w:p>
        </w:tc>
        <w:tc>
          <w:tcPr>
            <w:tcW w:w="3368" w:type="pct"/>
            <w:noWrap/>
            <w:hideMark/>
          </w:tcPr>
          <w:p w14:paraId="6BB1A044" w14:textId="77777777" w:rsidR="005E706A" w:rsidRPr="00A85956" w:rsidRDefault="005E706A" w:rsidP="00A85956">
            <w:pPr>
              <w:pStyle w:val="TableBody"/>
            </w:pPr>
            <w:r w:rsidRPr="00A85956">
              <w:t>120.9</w:t>
            </w:r>
          </w:p>
        </w:tc>
      </w:tr>
      <w:tr w:rsidR="005E706A" w:rsidRPr="005E706A" w14:paraId="3ABDCB66" w14:textId="77777777" w:rsidTr="00464C91">
        <w:trPr>
          <w:trHeight w:val="288"/>
        </w:trPr>
        <w:tc>
          <w:tcPr>
            <w:tcW w:w="1632" w:type="pct"/>
            <w:noWrap/>
            <w:hideMark/>
          </w:tcPr>
          <w:p w14:paraId="742A9345" w14:textId="77777777" w:rsidR="005E706A" w:rsidRPr="00A85956" w:rsidRDefault="005E706A" w:rsidP="00A85956">
            <w:pPr>
              <w:pStyle w:val="TableBody"/>
            </w:pPr>
            <w:r w:rsidRPr="00A85956">
              <w:t>2024</w:t>
            </w:r>
          </w:p>
        </w:tc>
        <w:tc>
          <w:tcPr>
            <w:tcW w:w="3368" w:type="pct"/>
            <w:noWrap/>
            <w:hideMark/>
          </w:tcPr>
          <w:p w14:paraId="2060C04B" w14:textId="77777777" w:rsidR="005E706A" w:rsidRPr="00A85956" w:rsidRDefault="005E706A" w:rsidP="00A85956">
            <w:pPr>
              <w:pStyle w:val="TableBody"/>
            </w:pPr>
            <w:r w:rsidRPr="00A85956">
              <w:t>107.6</w:t>
            </w:r>
          </w:p>
        </w:tc>
      </w:tr>
    </w:tbl>
    <w:p w14:paraId="347925D2" w14:textId="77777777" w:rsidR="00A4454A" w:rsidRPr="008C1137" w:rsidRDefault="00A4454A" w:rsidP="00D4532A">
      <w:r w:rsidRPr="000C258A">
        <w:rPr>
          <w:rStyle w:val="Strong"/>
        </w:rPr>
        <w:lastRenderedPageBreak/>
        <w:t>Source</w:t>
      </w:r>
      <w:r w:rsidRPr="008C1137">
        <w:t>: Australian Bureau of Statistics,</w:t>
      </w:r>
      <w:r w:rsidRPr="008C1137">
        <w:rPr>
          <w:rStyle w:val="Italic"/>
        </w:rPr>
        <w:t xml:space="preserve"> Prisoners in Australia</w:t>
      </w:r>
      <w:r w:rsidRPr="008C1137">
        <w:t>, cat. no. 4517.0 (abs.gov.au, 2024) Table 19</w:t>
      </w:r>
    </w:p>
    <w:p w14:paraId="26ACC83A" w14:textId="77777777" w:rsidR="00A4454A" w:rsidRPr="008C1137" w:rsidRDefault="00A4454A" w:rsidP="00BE4EDC">
      <w:pPr>
        <w:pStyle w:val="Caption"/>
      </w:pPr>
      <w:r w:rsidRPr="00157502">
        <w:t>Figure 44</w:t>
      </w:r>
      <w:r w:rsidRPr="008C1137">
        <w:t>: Per capita imprisonment rate (prisoners per 100,000 female adults and prisoners per 100,000 male adults) for male and female prisoners on 30 June, 2005 to 2024</w:t>
      </w:r>
    </w:p>
    <w:tbl>
      <w:tblPr>
        <w:tblStyle w:val="Table"/>
        <w:tblW w:w="5000" w:type="pct"/>
        <w:tblLook w:val="04A0" w:firstRow="1" w:lastRow="0" w:firstColumn="1" w:lastColumn="0" w:noHBand="0" w:noVBand="1"/>
      </w:tblPr>
      <w:tblGrid>
        <w:gridCol w:w="3005"/>
        <w:gridCol w:w="3005"/>
        <w:gridCol w:w="3006"/>
      </w:tblGrid>
      <w:tr w:rsidR="0009124B" w:rsidRPr="0009124B" w14:paraId="5A29EBBD" w14:textId="77777777" w:rsidTr="008C47DD">
        <w:trPr>
          <w:trHeight w:val="288"/>
          <w:tblHeader/>
        </w:trPr>
        <w:tc>
          <w:tcPr>
            <w:tcW w:w="1666" w:type="pct"/>
            <w:noWrap/>
            <w:hideMark/>
          </w:tcPr>
          <w:p w14:paraId="48BD1732" w14:textId="77777777" w:rsidR="0009124B" w:rsidRPr="0009124B" w:rsidRDefault="0009124B" w:rsidP="00C77DD6">
            <w:pPr>
              <w:pStyle w:val="TableHeading"/>
            </w:pPr>
            <w:r w:rsidRPr="0009124B">
              <w:t>Year (as at 30 June)</w:t>
            </w:r>
          </w:p>
        </w:tc>
        <w:tc>
          <w:tcPr>
            <w:tcW w:w="1666" w:type="pct"/>
            <w:noWrap/>
            <w:hideMark/>
          </w:tcPr>
          <w:p w14:paraId="192FBB2C" w14:textId="77777777" w:rsidR="0009124B" w:rsidRPr="0009124B" w:rsidRDefault="0009124B" w:rsidP="00C77DD6">
            <w:pPr>
              <w:pStyle w:val="TableHeading"/>
            </w:pPr>
            <w:r w:rsidRPr="0009124B">
              <w:t>Male</w:t>
            </w:r>
          </w:p>
        </w:tc>
        <w:tc>
          <w:tcPr>
            <w:tcW w:w="1667" w:type="pct"/>
            <w:noWrap/>
            <w:hideMark/>
          </w:tcPr>
          <w:p w14:paraId="572C50F0" w14:textId="77777777" w:rsidR="0009124B" w:rsidRPr="0009124B" w:rsidRDefault="0009124B" w:rsidP="00C77DD6">
            <w:pPr>
              <w:pStyle w:val="TableHeading"/>
            </w:pPr>
            <w:r w:rsidRPr="0009124B">
              <w:t>Female</w:t>
            </w:r>
          </w:p>
        </w:tc>
      </w:tr>
      <w:tr w:rsidR="0009124B" w:rsidRPr="0009124B" w14:paraId="1647242F" w14:textId="77777777" w:rsidTr="001373DF">
        <w:trPr>
          <w:trHeight w:val="288"/>
        </w:trPr>
        <w:tc>
          <w:tcPr>
            <w:tcW w:w="1666" w:type="pct"/>
            <w:noWrap/>
            <w:hideMark/>
          </w:tcPr>
          <w:p w14:paraId="1545A8B9" w14:textId="77777777" w:rsidR="0009124B" w:rsidRPr="00A85956" w:rsidRDefault="0009124B" w:rsidP="00A85956">
            <w:pPr>
              <w:pStyle w:val="TableBody"/>
            </w:pPr>
            <w:r w:rsidRPr="00A85956">
              <w:t>2005</w:t>
            </w:r>
          </w:p>
        </w:tc>
        <w:tc>
          <w:tcPr>
            <w:tcW w:w="1666" w:type="pct"/>
            <w:noWrap/>
            <w:hideMark/>
          </w:tcPr>
          <w:p w14:paraId="2C668CBC" w14:textId="77777777" w:rsidR="0009124B" w:rsidRPr="00F678CE" w:rsidRDefault="0009124B" w:rsidP="00F678CE">
            <w:pPr>
              <w:pStyle w:val="TableBody"/>
            </w:pPr>
            <w:r w:rsidRPr="00F678CE">
              <w:t>179.4</w:t>
            </w:r>
          </w:p>
        </w:tc>
        <w:tc>
          <w:tcPr>
            <w:tcW w:w="1667" w:type="pct"/>
            <w:noWrap/>
            <w:hideMark/>
          </w:tcPr>
          <w:p w14:paraId="7531E5BB" w14:textId="77777777" w:rsidR="0009124B" w:rsidRPr="00F678CE" w:rsidRDefault="0009124B" w:rsidP="00F678CE">
            <w:pPr>
              <w:pStyle w:val="TableBody"/>
            </w:pPr>
            <w:r w:rsidRPr="00F678CE">
              <w:t>12.8</w:t>
            </w:r>
          </w:p>
        </w:tc>
      </w:tr>
      <w:tr w:rsidR="0009124B" w:rsidRPr="0009124B" w14:paraId="2F2B2F53" w14:textId="77777777" w:rsidTr="001373DF">
        <w:trPr>
          <w:trHeight w:val="288"/>
        </w:trPr>
        <w:tc>
          <w:tcPr>
            <w:tcW w:w="1666" w:type="pct"/>
            <w:noWrap/>
            <w:hideMark/>
          </w:tcPr>
          <w:p w14:paraId="4243CC42" w14:textId="77777777" w:rsidR="0009124B" w:rsidRPr="00A85956" w:rsidRDefault="0009124B" w:rsidP="00A85956">
            <w:pPr>
              <w:pStyle w:val="TableBody"/>
            </w:pPr>
            <w:r w:rsidRPr="00A85956">
              <w:t>2006</w:t>
            </w:r>
          </w:p>
        </w:tc>
        <w:tc>
          <w:tcPr>
            <w:tcW w:w="1666" w:type="pct"/>
            <w:noWrap/>
            <w:hideMark/>
          </w:tcPr>
          <w:p w14:paraId="3DFFC7C2" w14:textId="77777777" w:rsidR="0009124B" w:rsidRPr="00F678CE" w:rsidRDefault="0009124B" w:rsidP="00F678CE">
            <w:pPr>
              <w:pStyle w:val="TableBody"/>
            </w:pPr>
            <w:r w:rsidRPr="00F678CE">
              <w:t>191.4</w:t>
            </w:r>
          </w:p>
        </w:tc>
        <w:tc>
          <w:tcPr>
            <w:tcW w:w="1667" w:type="pct"/>
            <w:noWrap/>
            <w:hideMark/>
          </w:tcPr>
          <w:p w14:paraId="189F37C5" w14:textId="77777777" w:rsidR="0009124B" w:rsidRPr="00F678CE" w:rsidRDefault="0009124B" w:rsidP="00F678CE">
            <w:pPr>
              <w:pStyle w:val="TableBody"/>
            </w:pPr>
            <w:r w:rsidRPr="00F678CE">
              <w:t>12.2</w:t>
            </w:r>
          </w:p>
        </w:tc>
      </w:tr>
      <w:tr w:rsidR="0009124B" w:rsidRPr="0009124B" w14:paraId="71D5386E" w14:textId="77777777" w:rsidTr="001373DF">
        <w:trPr>
          <w:trHeight w:val="288"/>
        </w:trPr>
        <w:tc>
          <w:tcPr>
            <w:tcW w:w="1666" w:type="pct"/>
            <w:noWrap/>
            <w:hideMark/>
          </w:tcPr>
          <w:p w14:paraId="26C343D1" w14:textId="77777777" w:rsidR="0009124B" w:rsidRPr="00A85956" w:rsidRDefault="0009124B" w:rsidP="00A85956">
            <w:pPr>
              <w:pStyle w:val="TableBody"/>
            </w:pPr>
            <w:r w:rsidRPr="00A85956">
              <w:t>2007</w:t>
            </w:r>
          </w:p>
        </w:tc>
        <w:tc>
          <w:tcPr>
            <w:tcW w:w="1666" w:type="pct"/>
            <w:noWrap/>
            <w:hideMark/>
          </w:tcPr>
          <w:p w14:paraId="2C0D7966" w14:textId="77777777" w:rsidR="0009124B" w:rsidRPr="00A85956" w:rsidRDefault="0009124B" w:rsidP="00A85956">
            <w:pPr>
              <w:pStyle w:val="TableBody"/>
            </w:pPr>
            <w:r w:rsidRPr="00A85956">
              <w:t>200.5</w:t>
            </w:r>
          </w:p>
        </w:tc>
        <w:tc>
          <w:tcPr>
            <w:tcW w:w="1667" w:type="pct"/>
            <w:noWrap/>
            <w:hideMark/>
          </w:tcPr>
          <w:p w14:paraId="1BF71B0B" w14:textId="77777777" w:rsidR="0009124B" w:rsidRPr="00A85956" w:rsidRDefault="0009124B" w:rsidP="00A85956">
            <w:pPr>
              <w:pStyle w:val="TableBody"/>
            </w:pPr>
            <w:r w:rsidRPr="00A85956">
              <w:t>12.6</w:t>
            </w:r>
          </w:p>
        </w:tc>
      </w:tr>
      <w:tr w:rsidR="0009124B" w:rsidRPr="0009124B" w14:paraId="685CA3F8" w14:textId="77777777" w:rsidTr="001373DF">
        <w:trPr>
          <w:trHeight w:val="288"/>
        </w:trPr>
        <w:tc>
          <w:tcPr>
            <w:tcW w:w="1666" w:type="pct"/>
            <w:noWrap/>
            <w:hideMark/>
          </w:tcPr>
          <w:p w14:paraId="1BE2C016" w14:textId="77777777" w:rsidR="0009124B" w:rsidRPr="00A85956" w:rsidRDefault="0009124B" w:rsidP="00A85956">
            <w:pPr>
              <w:pStyle w:val="TableBody"/>
            </w:pPr>
            <w:r w:rsidRPr="00A85956">
              <w:t>2008</w:t>
            </w:r>
          </w:p>
        </w:tc>
        <w:tc>
          <w:tcPr>
            <w:tcW w:w="1666" w:type="pct"/>
            <w:noWrap/>
            <w:hideMark/>
          </w:tcPr>
          <w:p w14:paraId="64EFC3A9" w14:textId="77777777" w:rsidR="0009124B" w:rsidRPr="00A85956" w:rsidRDefault="0009124B" w:rsidP="00A85956">
            <w:pPr>
              <w:pStyle w:val="TableBody"/>
            </w:pPr>
            <w:r w:rsidRPr="00A85956">
              <w:t>199.9</w:t>
            </w:r>
          </w:p>
        </w:tc>
        <w:tc>
          <w:tcPr>
            <w:tcW w:w="1667" w:type="pct"/>
            <w:noWrap/>
            <w:hideMark/>
          </w:tcPr>
          <w:p w14:paraId="5D322906" w14:textId="77777777" w:rsidR="0009124B" w:rsidRPr="00A85956" w:rsidRDefault="0009124B" w:rsidP="00A85956">
            <w:pPr>
              <w:pStyle w:val="TableBody"/>
            </w:pPr>
            <w:r w:rsidRPr="00A85956">
              <w:t>11.4</w:t>
            </w:r>
          </w:p>
        </w:tc>
      </w:tr>
      <w:tr w:rsidR="0009124B" w:rsidRPr="0009124B" w14:paraId="58B0439D" w14:textId="77777777" w:rsidTr="001373DF">
        <w:trPr>
          <w:trHeight w:val="288"/>
        </w:trPr>
        <w:tc>
          <w:tcPr>
            <w:tcW w:w="1666" w:type="pct"/>
            <w:noWrap/>
            <w:hideMark/>
          </w:tcPr>
          <w:p w14:paraId="450B444C" w14:textId="77777777" w:rsidR="0009124B" w:rsidRPr="00A85956" w:rsidRDefault="0009124B" w:rsidP="00A85956">
            <w:pPr>
              <w:pStyle w:val="TableBody"/>
            </w:pPr>
            <w:r w:rsidRPr="00A85956">
              <w:t>2009</w:t>
            </w:r>
          </w:p>
        </w:tc>
        <w:tc>
          <w:tcPr>
            <w:tcW w:w="1666" w:type="pct"/>
            <w:noWrap/>
            <w:hideMark/>
          </w:tcPr>
          <w:p w14:paraId="5C480454" w14:textId="77777777" w:rsidR="0009124B" w:rsidRPr="00A85956" w:rsidRDefault="0009124B" w:rsidP="00A85956">
            <w:pPr>
              <w:pStyle w:val="TableBody"/>
            </w:pPr>
            <w:r w:rsidRPr="00A85956">
              <w:t>198.3</w:t>
            </w:r>
          </w:p>
        </w:tc>
        <w:tc>
          <w:tcPr>
            <w:tcW w:w="1667" w:type="pct"/>
            <w:noWrap/>
            <w:hideMark/>
          </w:tcPr>
          <w:p w14:paraId="51DAF9DC" w14:textId="77777777" w:rsidR="0009124B" w:rsidRPr="00A85956" w:rsidRDefault="0009124B" w:rsidP="00A85956">
            <w:pPr>
              <w:pStyle w:val="TableBody"/>
            </w:pPr>
            <w:r w:rsidRPr="00A85956">
              <w:t>13.2</w:t>
            </w:r>
          </w:p>
        </w:tc>
      </w:tr>
      <w:tr w:rsidR="0009124B" w:rsidRPr="0009124B" w14:paraId="60361345" w14:textId="77777777" w:rsidTr="001373DF">
        <w:trPr>
          <w:trHeight w:val="288"/>
        </w:trPr>
        <w:tc>
          <w:tcPr>
            <w:tcW w:w="1666" w:type="pct"/>
            <w:noWrap/>
            <w:hideMark/>
          </w:tcPr>
          <w:p w14:paraId="7D1EBDF1" w14:textId="77777777" w:rsidR="0009124B" w:rsidRPr="00A85956" w:rsidRDefault="0009124B" w:rsidP="00A85956">
            <w:pPr>
              <w:pStyle w:val="TableBody"/>
            </w:pPr>
            <w:r w:rsidRPr="00A85956">
              <w:t>2010</w:t>
            </w:r>
          </w:p>
        </w:tc>
        <w:tc>
          <w:tcPr>
            <w:tcW w:w="1666" w:type="pct"/>
            <w:noWrap/>
            <w:hideMark/>
          </w:tcPr>
          <w:p w14:paraId="1F69B393" w14:textId="77777777" w:rsidR="0009124B" w:rsidRPr="00A85956" w:rsidRDefault="0009124B" w:rsidP="00A85956">
            <w:pPr>
              <w:pStyle w:val="TableBody"/>
            </w:pPr>
            <w:r w:rsidRPr="00A85956">
              <w:t>200.0</w:t>
            </w:r>
          </w:p>
        </w:tc>
        <w:tc>
          <w:tcPr>
            <w:tcW w:w="1667" w:type="pct"/>
            <w:noWrap/>
            <w:hideMark/>
          </w:tcPr>
          <w:p w14:paraId="351ACCF8" w14:textId="77777777" w:rsidR="0009124B" w:rsidRPr="00A85956" w:rsidRDefault="0009124B" w:rsidP="00A85956">
            <w:pPr>
              <w:pStyle w:val="TableBody"/>
            </w:pPr>
            <w:r w:rsidRPr="00A85956">
              <w:t>14.3</w:t>
            </w:r>
          </w:p>
        </w:tc>
      </w:tr>
      <w:tr w:rsidR="0009124B" w:rsidRPr="0009124B" w14:paraId="708F5C75" w14:textId="77777777" w:rsidTr="001373DF">
        <w:trPr>
          <w:trHeight w:val="288"/>
        </w:trPr>
        <w:tc>
          <w:tcPr>
            <w:tcW w:w="1666" w:type="pct"/>
            <w:noWrap/>
            <w:hideMark/>
          </w:tcPr>
          <w:p w14:paraId="158E1B5B" w14:textId="77777777" w:rsidR="0009124B" w:rsidRPr="00A85956" w:rsidRDefault="0009124B" w:rsidP="00A85956">
            <w:pPr>
              <w:pStyle w:val="TableBody"/>
            </w:pPr>
            <w:r w:rsidRPr="00A85956">
              <w:t>2011</w:t>
            </w:r>
          </w:p>
        </w:tc>
        <w:tc>
          <w:tcPr>
            <w:tcW w:w="1666" w:type="pct"/>
            <w:noWrap/>
            <w:hideMark/>
          </w:tcPr>
          <w:p w14:paraId="07BC2B02" w14:textId="77777777" w:rsidR="0009124B" w:rsidRPr="00A85956" w:rsidRDefault="0009124B" w:rsidP="00A85956">
            <w:pPr>
              <w:pStyle w:val="TableBody"/>
            </w:pPr>
            <w:r w:rsidRPr="00A85956">
              <w:t>206.1</w:t>
            </w:r>
          </w:p>
        </w:tc>
        <w:tc>
          <w:tcPr>
            <w:tcW w:w="1667" w:type="pct"/>
            <w:noWrap/>
            <w:hideMark/>
          </w:tcPr>
          <w:p w14:paraId="58CAA100" w14:textId="77777777" w:rsidR="0009124B" w:rsidRPr="00A85956" w:rsidRDefault="0009124B" w:rsidP="00A85956">
            <w:pPr>
              <w:pStyle w:val="TableBody"/>
            </w:pPr>
            <w:r w:rsidRPr="00A85956">
              <w:t>14.4</w:t>
            </w:r>
          </w:p>
        </w:tc>
      </w:tr>
      <w:tr w:rsidR="0009124B" w:rsidRPr="0009124B" w14:paraId="7F1037C9" w14:textId="77777777" w:rsidTr="001373DF">
        <w:trPr>
          <w:trHeight w:val="288"/>
        </w:trPr>
        <w:tc>
          <w:tcPr>
            <w:tcW w:w="1666" w:type="pct"/>
            <w:noWrap/>
            <w:hideMark/>
          </w:tcPr>
          <w:p w14:paraId="46DADE14" w14:textId="77777777" w:rsidR="0009124B" w:rsidRPr="00A85956" w:rsidRDefault="0009124B" w:rsidP="00A85956">
            <w:pPr>
              <w:pStyle w:val="TableBody"/>
            </w:pPr>
            <w:r w:rsidRPr="00A85956">
              <w:t>2012</w:t>
            </w:r>
          </w:p>
        </w:tc>
        <w:tc>
          <w:tcPr>
            <w:tcW w:w="1666" w:type="pct"/>
            <w:noWrap/>
            <w:hideMark/>
          </w:tcPr>
          <w:p w14:paraId="55867C8E" w14:textId="77777777" w:rsidR="0009124B" w:rsidRPr="00A85956" w:rsidRDefault="0009124B" w:rsidP="00A85956">
            <w:pPr>
              <w:pStyle w:val="TableBody"/>
            </w:pPr>
            <w:r w:rsidRPr="00A85956">
              <w:t>212.4</w:t>
            </w:r>
          </w:p>
        </w:tc>
        <w:tc>
          <w:tcPr>
            <w:tcW w:w="1667" w:type="pct"/>
            <w:noWrap/>
            <w:hideMark/>
          </w:tcPr>
          <w:p w14:paraId="236544E1" w14:textId="77777777" w:rsidR="0009124B" w:rsidRPr="00A85956" w:rsidRDefault="0009124B" w:rsidP="00A85956">
            <w:pPr>
              <w:pStyle w:val="TableBody"/>
            </w:pPr>
            <w:r w:rsidRPr="00A85956">
              <w:t>15.2</w:t>
            </w:r>
          </w:p>
        </w:tc>
      </w:tr>
      <w:tr w:rsidR="0009124B" w:rsidRPr="0009124B" w14:paraId="5E0DB069" w14:textId="77777777" w:rsidTr="001373DF">
        <w:trPr>
          <w:trHeight w:val="288"/>
        </w:trPr>
        <w:tc>
          <w:tcPr>
            <w:tcW w:w="1666" w:type="pct"/>
            <w:noWrap/>
            <w:hideMark/>
          </w:tcPr>
          <w:p w14:paraId="2C39283C" w14:textId="77777777" w:rsidR="0009124B" w:rsidRPr="00A85956" w:rsidRDefault="0009124B" w:rsidP="00A85956">
            <w:pPr>
              <w:pStyle w:val="TableBody"/>
            </w:pPr>
            <w:r w:rsidRPr="00A85956">
              <w:t>2013</w:t>
            </w:r>
          </w:p>
        </w:tc>
        <w:tc>
          <w:tcPr>
            <w:tcW w:w="1666" w:type="pct"/>
            <w:noWrap/>
            <w:hideMark/>
          </w:tcPr>
          <w:p w14:paraId="27C95659" w14:textId="77777777" w:rsidR="0009124B" w:rsidRPr="00F678CE" w:rsidRDefault="0009124B" w:rsidP="00F678CE">
            <w:pPr>
              <w:pStyle w:val="TableBody"/>
            </w:pPr>
            <w:r w:rsidRPr="00F678CE">
              <w:t>227.3</w:t>
            </w:r>
          </w:p>
        </w:tc>
        <w:tc>
          <w:tcPr>
            <w:tcW w:w="1667" w:type="pct"/>
            <w:noWrap/>
            <w:hideMark/>
          </w:tcPr>
          <w:p w14:paraId="720251EC" w14:textId="77777777" w:rsidR="0009124B" w:rsidRPr="00F678CE" w:rsidRDefault="0009124B" w:rsidP="00F678CE">
            <w:pPr>
              <w:pStyle w:val="TableBody"/>
            </w:pPr>
            <w:r w:rsidRPr="00F678CE">
              <w:t>16.5</w:t>
            </w:r>
          </w:p>
        </w:tc>
      </w:tr>
      <w:tr w:rsidR="0009124B" w:rsidRPr="0009124B" w14:paraId="25200C4A" w14:textId="77777777" w:rsidTr="001373DF">
        <w:trPr>
          <w:trHeight w:val="288"/>
        </w:trPr>
        <w:tc>
          <w:tcPr>
            <w:tcW w:w="1666" w:type="pct"/>
            <w:noWrap/>
            <w:hideMark/>
          </w:tcPr>
          <w:p w14:paraId="4E3598B7" w14:textId="77777777" w:rsidR="0009124B" w:rsidRPr="00A85956" w:rsidRDefault="0009124B" w:rsidP="00A85956">
            <w:pPr>
              <w:pStyle w:val="TableBody"/>
            </w:pPr>
            <w:r w:rsidRPr="00A85956">
              <w:t>2014</w:t>
            </w:r>
          </w:p>
        </w:tc>
        <w:tc>
          <w:tcPr>
            <w:tcW w:w="1666" w:type="pct"/>
            <w:noWrap/>
            <w:hideMark/>
          </w:tcPr>
          <w:p w14:paraId="793085E2" w14:textId="77777777" w:rsidR="0009124B" w:rsidRPr="00A85956" w:rsidRDefault="0009124B" w:rsidP="00A85956">
            <w:pPr>
              <w:pStyle w:val="TableBody"/>
            </w:pPr>
            <w:r w:rsidRPr="00A85956">
              <w:t>256.2</w:t>
            </w:r>
          </w:p>
        </w:tc>
        <w:tc>
          <w:tcPr>
            <w:tcW w:w="1667" w:type="pct"/>
            <w:noWrap/>
            <w:hideMark/>
          </w:tcPr>
          <w:p w14:paraId="558D3466" w14:textId="77777777" w:rsidR="0009124B" w:rsidRPr="00A85956" w:rsidRDefault="0009124B" w:rsidP="00A85956">
            <w:pPr>
              <w:pStyle w:val="TableBody"/>
            </w:pPr>
            <w:r w:rsidRPr="00A85956">
              <w:t>17.5</w:t>
            </w:r>
          </w:p>
        </w:tc>
      </w:tr>
      <w:tr w:rsidR="0009124B" w:rsidRPr="0009124B" w14:paraId="769CA538" w14:textId="77777777" w:rsidTr="001373DF">
        <w:trPr>
          <w:trHeight w:val="288"/>
        </w:trPr>
        <w:tc>
          <w:tcPr>
            <w:tcW w:w="1666" w:type="pct"/>
            <w:noWrap/>
            <w:hideMark/>
          </w:tcPr>
          <w:p w14:paraId="5984478D" w14:textId="77777777" w:rsidR="0009124B" w:rsidRPr="00A85956" w:rsidRDefault="0009124B" w:rsidP="00A85956">
            <w:pPr>
              <w:pStyle w:val="TableBody"/>
            </w:pPr>
            <w:r w:rsidRPr="00A85956">
              <w:t>2015</w:t>
            </w:r>
          </w:p>
        </w:tc>
        <w:tc>
          <w:tcPr>
            <w:tcW w:w="1666" w:type="pct"/>
            <w:noWrap/>
            <w:hideMark/>
          </w:tcPr>
          <w:p w14:paraId="42B9CFCD" w14:textId="77777777" w:rsidR="0009124B" w:rsidRPr="00A85956" w:rsidRDefault="0009124B" w:rsidP="00A85956">
            <w:pPr>
              <w:pStyle w:val="TableBody"/>
            </w:pPr>
            <w:r w:rsidRPr="00A85956">
              <w:t>256.1</w:t>
            </w:r>
          </w:p>
        </w:tc>
        <w:tc>
          <w:tcPr>
            <w:tcW w:w="1667" w:type="pct"/>
            <w:noWrap/>
            <w:hideMark/>
          </w:tcPr>
          <w:p w14:paraId="6D65D4AB" w14:textId="77777777" w:rsidR="0009124B" w:rsidRPr="00A85956" w:rsidRDefault="0009124B" w:rsidP="00A85956">
            <w:pPr>
              <w:pStyle w:val="TableBody"/>
            </w:pPr>
            <w:r w:rsidRPr="00A85956">
              <w:t>17.8</w:t>
            </w:r>
          </w:p>
        </w:tc>
      </w:tr>
      <w:tr w:rsidR="0009124B" w:rsidRPr="0009124B" w14:paraId="39538DDB" w14:textId="77777777" w:rsidTr="001373DF">
        <w:trPr>
          <w:trHeight w:val="288"/>
        </w:trPr>
        <w:tc>
          <w:tcPr>
            <w:tcW w:w="1666" w:type="pct"/>
            <w:noWrap/>
            <w:hideMark/>
          </w:tcPr>
          <w:p w14:paraId="727B5458" w14:textId="77777777" w:rsidR="0009124B" w:rsidRPr="00A85956" w:rsidRDefault="0009124B" w:rsidP="00A85956">
            <w:pPr>
              <w:pStyle w:val="TableBody"/>
            </w:pPr>
            <w:r w:rsidRPr="00A85956">
              <w:t>2016</w:t>
            </w:r>
          </w:p>
        </w:tc>
        <w:tc>
          <w:tcPr>
            <w:tcW w:w="1666" w:type="pct"/>
            <w:noWrap/>
            <w:hideMark/>
          </w:tcPr>
          <w:p w14:paraId="005FAFAE" w14:textId="77777777" w:rsidR="0009124B" w:rsidRPr="00A85956" w:rsidRDefault="0009124B" w:rsidP="00A85956">
            <w:pPr>
              <w:pStyle w:val="TableBody"/>
            </w:pPr>
            <w:r w:rsidRPr="00A85956">
              <w:t>263.7</w:t>
            </w:r>
          </w:p>
        </w:tc>
        <w:tc>
          <w:tcPr>
            <w:tcW w:w="1667" w:type="pct"/>
            <w:noWrap/>
            <w:hideMark/>
          </w:tcPr>
          <w:p w14:paraId="71E3557D" w14:textId="77777777" w:rsidR="0009124B" w:rsidRPr="00A85956" w:rsidRDefault="0009124B" w:rsidP="00A85956">
            <w:pPr>
              <w:pStyle w:val="TableBody"/>
            </w:pPr>
            <w:r w:rsidRPr="00A85956">
              <w:t>17.8</w:t>
            </w:r>
          </w:p>
        </w:tc>
      </w:tr>
      <w:tr w:rsidR="0009124B" w:rsidRPr="0009124B" w14:paraId="0B30C11E" w14:textId="77777777" w:rsidTr="001373DF">
        <w:trPr>
          <w:trHeight w:val="288"/>
        </w:trPr>
        <w:tc>
          <w:tcPr>
            <w:tcW w:w="1666" w:type="pct"/>
            <w:noWrap/>
            <w:hideMark/>
          </w:tcPr>
          <w:p w14:paraId="5575CC92" w14:textId="77777777" w:rsidR="0009124B" w:rsidRPr="00A85956" w:rsidRDefault="0009124B" w:rsidP="00A85956">
            <w:pPr>
              <w:pStyle w:val="TableBody"/>
            </w:pPr>
            <w:r w:rsidRPr="00A85956">
              <w:t>2017</w:t>
            </w:r>
          </w:p>
        </w:tc>
        <w:tc>
          <w:tcPr>
            <w:tcW w:w="1666" w:type="pct"/>
            <w:noWrap/>
            <w:hideMark/>
          </w:tcPr>
          <w:p w14:paraId="2335D7DB" w14:textId="77777777" w:rsidR="0009124B" w:rsidRPr="00A85956" w:rsidRDefault="0009124B" w:rsidP="00A85956">
            <w:pPr>
              <w:pStyle w:val="TableBody"/>
            </w:pPr>
            <w:r w:rsidRPr="00A85956">
              <w:t>276.2</w:t>
            </w:r>
          </w:p>
        </w:tc>
        <w:tc>
          <w:tcPr>
            <w:tcW w:w="1667" w:type="pct"/>
            <w:noWrap/>
            <w:hideMark/>
          </w:tcPr>
          <w:p w14:paraId="63A6A5BA" w14:textId="77777777" w:rsidR="0009124B" w:rsidRPr="00A85956" w:rsidRDefault="0009124B" w:rsidP="00A85956">
            <w:pPr>
              <w:pStyle w:val="TableBody"/>
            </w:pPr>
            <w:r w:rsidRPr="00A85956">
              <w:t>20.2</w:t>
            </w:r>
          </w:p>
        </w:tc>
      </w:tr>
      <w:tr w:rsidR="0009124B" w:rsidRPr="0009124B" w14:paraId="099E963B" w14:textId="77777777" w:rsidTr="001373DF">
        <w:trPr>
          <w:trHeight w:val="288"/>
        </w:trPr>
        <w:tc>
          <w:tcPr>
            <w:tcW w:w="1666" w:type="pct"/>
            <w:noWrap/>
            <w:hideMark/>
          </w:tcPr>
          <w:p w14:paraId="686D48A1" w14:textId="77777777" w:rsidR="0009124B" w:rsidRPr="00A85956" w:rsidRDefault="0009124B" w:rsidP="00A85956">
            <w:pPr>
              <w:pStyle w:val="TableBody"/>
            </w:pPr>
            <w:r w:rsidRPr="00A85956">
              <w:t>2018</w:t>
            </w:r>
          </w:p>
        </w:tc>
        <w:tc>
          <w:tcPr>
            <w:tcW w:w="1666" w:type="pct"/>
            <w:noWrap/>
            <w:hideMark/>
          </w:tcPr>
          <w:p w14:paraId="43883330" w14:textId="77777777" w:rsidR="0009124B" w:rsidRPr="00A85956" w:rsidRDefault="0009124B" w:rsidP="00A85956">
            <w:pPr>
              <w:pStyle w:val="TableBody"/>
            </w:pPr>
            <w:r w:rsidRPr="00A85956">
              <w:t>288.2</w:t>
            </w:r>
          </w:p>
        </w:tc>
        <w:tc>
          <w:tcPr>
            <w:tcW w:w="1667" w:type="pct"/>
            <w:noWrap/>
            <w:hideMark/>
          </w:tcPr>
          <w:p w14:paraId="5B208516" w14:textId="77777777" w:rsidR="0009124B" w:rsidRPr="00A85956" w:rsidRDefault="0009124B" w:rsidP="00A85956">
            <w:pPr>
              <w:pStyle w:val="TableBody"/>
            </w:pPr>
            <w:r w:rsidRPr="00A85956">
              <w:t>21.9</w:t>
            </w:r>
          </w:p>
        </w:tc>
      </w:tr>
      <w:tr w:rsidR="0009124B" w:rsidRPr="0009124B" w14:paraId="52E38533" w14:textId="77777777" w:rsidTr="001373DF">
        <w:trPr>
          <w:trHeight w:val="288"/>
        </w:trPr>
        <w:tc>
          <w:tcPr>
            <w:tcW w:w="1666" w:type="pct"/>
            <w:noWrap/>
            <w:hideMark/>
          </w:tcPr>
          <w:p w14:paraId="23F604DE" w14:textId="77777777" w:rsidR="0009124B" w:rsidRPr="00A85956" w:rsidRDefault="0009124B" w:rsidP="00A85956">
            <w:pPr>
              <w:pStyle w:val="TableBody"/>
            </w:pPr>
            <w:r w:rsidRPr="00A85956">
              <w:t>2019</w:t>
            </w:r>
          </w:p>
        </w:tc>
        <w:tc>
          <w:tcPr>
            <w:tcW w:w="1666" w:type="pct"/>
            <w:noWrap/>
            <w:hideMark/>
          </w:tcPr>
          <w:p w14:paraId="30256B4D" w14:textId="77777777" w:rsidR="0009124B" w:rsidRPr="00A85956" w:rsidRDefault="0009124B" w:rsidP="00A85956">
            <w:pPr>
              <w:pStyle w:val="TableBody"/>
            </w:pPr>
            <w:r w:rsidRPr="00A85956">
              <w:t>297.8</w:t>
            </w:r>
          </w:p>
        </w:tc>
        <w:tc>
          <w:tcPr>
            <w:tcW w:w="1667" w:type="pct"/>
            <w:noWrap/>
            <w:hideMark/>
          </w:tcPr>
          <w:p w14:paraId="26923AB9" w14:textId="77777777" w:rsidR="0009124B" w:rsidRPr="00A85956" w:rsidRDefault="0009124B" w:rsidP="00A85956">
            <w:pPr>
              <w:pStyle w:val="TableBody"/>
            </w:pPr>
            <w:r w:rsidRPr="00A85956">
              <w:t>22.0</w:t>
            </w:r>
          </w:p>
        </w:tc>
      </w:tr>
      <w:tr w:rsidR="0009124B" w:rsidRPr="0009124B" w14:paraId="2A1055AC" w14:textId="77777777" w:rsidTr="001373DF">
        <w:trPr>
          <w:trHeight w:val="288"/>
        </w:trPr>
        <w:tc>
          <w:tcPr>
            <w:tcW w:w="1666" w:type="pct"/>
            <w:noWrap/>
            <w:hideMark/>
          </w:tcPr>
          <w:p w14:paraId="7D79E5FE" w14:textId="77777777" w:rsidR="0009124B" w:rsidRPr="00A85956" w:rsidRDefault="0009124B" w:rsidP="00A85956">
            <w:pPr>
              <w:pStyle w:val="TableBody"/>
            </w:pPr>
            <w:r w:rsidRPr="00A85956">
              <w:t>2020</w:t>
            </w:r>
          </w:p>
        </w:tc>
        <w:tc>
          <w:tcPr>
            <w:tcW w:w="1666" w:type="pct"/>
            <w:noWrap/>
            <w:hideMark/>
          </w:tcPr>
          <w:p w14:paraId="487933C4" w14:textId="77777777" w:rsidR="0009124B" w:rsidRPr="00A85956" w:rsidRDefault="0009124B" w:rsidP="00A85956">
            <w:pPr>
              <w:pStyle w:val="TableBody"/>
            </w:pPr>
            <w:r w:rsidRPr="00A85956">
              <w:t>261.9</w:t>
            </w:r>
          </w:p>
        </w:tc>
        <w:tc>
          <w:tcPr>
            <w:tcW w:w="1667" w:type="pct"/>
            <w:noWrap/>
            <w:hideMark/>
          </w:tcPr>
          <w:p w14:paraId="6CC3AEA8" w14:textId="77777777" w:rsidR="0009124B" w:rsidRPr="00A85956" w:rsidRDefault="0009124B" w:rsidP="00A85956">
            <w:pPr>
              <w:pStyle w:val="TableBody"/>
            </w:pPr>
            <w:r w:rsidRPr="00A85956">
              <w:t>15.0</w:t>
            </w:r>
          </w:p>
        </w:tc>
      </w:tr>
      <w:tr w:rsidR="0009124B" w:rsidRPr="0009124B" w14:paraId="0C02D14E" w14:textId="77777777" w:rsidTr="001373DF">
        <w:trPr>
          <w:trHeight w:val="288"/>
        </w:trPr>
        <w:tc>
          <w:tcPr>
            <w:tcW w:w="1666" w:type="pct"/>
            <w:noWrap/>
            <w:hideMark/>
          </w:tcPr>
          <w:p w14:paraId="4FB37E07" w14:textId="77777777" w:rsidR="0009124B" w:rsidRPr="00A85956" w:rsidRDefault="0009124B" w:rsidP="00A85956">
            <w:pPr>
              <w:pStyle w:val="TableBody"/>
            </w:pPr>
            <w:r w:rsidRPr="00A85956">
              <w:t>2021</w:t>
            </w:r>
          </w:p>
        </w:tc>
        <w:tc>
          <w:tcPr>
            <w:tcW w:w="1666" w:type="pct"/>
            <w:noWrap/>
            <w:hideMark/>
          </w:tcPr>
          <w:p w14:paraId="33F6A484" w14:textId="77777777" w:rsidR="0009124B" w:rsidRPr="00A85956" w:rsidRDefault="0009124B" w:rsidP="00A85956">
            <w:pPr>
              <w:pStyle w:val="TableBody"/>
            </w:pPr>
            <w:r w:rsidRPr="00A85956">
              <w:t>267.1</w:t>
            </w:r>
          </w:p>
        </w:tc>
        <w:tc>
          <w:tcPr>
            <w:tcW w:w="1667" w:type="pct"/>
            <w:noWrap/>
            <w:hideMark/>
          </w:tcPr>
          <w:p w14:paraId="18122ADB" w14:textId="77777777" w:rsidR="0009124B" w:rsidRPr="00A85956" w:rsidRDefault="0009124B" w:rsidP="00A85956">
            <w:pPr>
              <w:pStyle w:val="TableBody"/>
            </w:pPr>
            <w:r w:rsidRPr="00A85956">
              <w:t>15.3</w:t>
            </w:r>
          </w:p>
        </w:tc>
      </w:tr>
      <w:tr w:rsidR="0009124B" w:rsidRPr="0009124B" w14:paraId="5660AD99" w14:textId="77777777" w:rsidTr="001373DF">
        <w:trPr>
          <w:trHeight w:val="288"/>
        </w:trPr>
        <w:tc>
          <w:tcPr>
            <w:tcW w:w="1666" w:type="pct"/>
            <w:noWrap/>
            <w:hideMark/>
          </w:tcPr>
          <w:p w14:paraId="63244439" w14:textId="77777777" w:rsidR="0009124B" w:rsidRPr="00A85956" w:rsidRDefault="0009124B" w:rsidP="00A85956">
            <w:pPr>
              <w:pStyle w:val="TableBody"/>
            </w:pPr>
            <w:r w:rsidRPr="00A85956">
              <w:t>2022</w:t>
            </w:r>
          </w:p>
        </w:tc>
        <w:tc>
          <w:tcPr>
            <w:tcW w:w="1666" w:type="pct"/>
            <w:noWrap/>
            <w:hideMark/>
          </w:tcPr>
          <w:p w14:paraId="015A22F7" w14:textId="77777777" w:rsidR="0009124B" w:rsidRPr="00A85956" w:rsidRDefault="0009124B" w:rsidP="00A85956">
            <w:pPr>
              <w:pStyle w:val="TableBody"/>
            </w:pPr>
            <w:r w:rsidRPr="00A85956">
              <w:t>245.6</w:t>
            </w:r>
          </w:p>
        </w:tc>
        <w:tc>
          <w:tcPr>
            <w:tcW w:w="1667" w:type="pct"/>
            <w:noWrap/>
            <w:hideMark/>
          </w:tcPr>
          <w:p w14:paraId="79FC128D" w14:textId="77777777" w:rsidR="0009124B" w:rsidRPr="00A85956" w:rsidRDefault="0009124B" w:rsidP="00A85956">
            <w:pPr>
              <w:pStyle w:val="TableBody"/>
            </w:pPr>
            <w:r w:rsidRPr="00A85956">
              <w:t>12.9</w:t>
            </w:r>
          </w:p>
        </w:tc>
      </w:tr>
      <w:tr w:rsidR="0009124B" w:rsidRPr="0009124B" w14:paraId="2279C29D" w14:textId="77777777" w:rsidTr="001373DF">
        <w:trPr>
          <w:trHeight w:val="288"/>
        </w:trPr>
        <w:tc>
          <w:tcPr>
            <w:tcW w:w="1666" w:type="pct"/>
            <w:noWrap/>
            <w:hideMark/>
          </w:tcPr>
          <w:p w14:paraId="55F0AE0F" w14:textId="77777777" w:rsidR="0009124B" w:rsidRPr="00A85956" w:rsidRDefault="0009124B" w:rsidP="00A85956">
            <w:pPr>
              <w:pStyle w:val="TableBody"/>
            </w:pPr>
            <w:r w:rsidRPr="00A85956">
              <w:t>2023</w:t>
            </w:r>
          </w:p>
        </w:tc>
        <w:tc>
          <w:tcPr>
            <w:tcW w:w="1666" w:type="pct"/>
            <w:noWrap/>
            <w:hideMark/>
          </w:tcPr>
          <w:p w14:paraId="0D52495F" w14:textId="77777777" w:rsidR="0009124B" w:rsidRPr="00A85956" w:rsidRDefault="0009124B" w:rsidP="00A85956">
            <w:pPr>
              <w:pStyle w:val="TableBody"/>
            </w:pPr>
            <w:r w:rsidRPr="00A85956">
              <w:t>235.6</w:t>
            </w:r>
          </w:p>
        </w:tc>
        <w:tc>
          <w:tcPr>
            <w:tcW w:w="1667" w:type="pct"/>
            <w:noWrap/>
            <w:hideMark/>
          </w:tcPr>
          <w:p w14:paraId="28D585C6" w14:textId="77777777" w:rsidR="0009124B" w:rsidRPr="00A85956" w:rsidRDefault="0009124B" w:rsidP="00A85956">
            <w:pPr>
              <w:pStyle w:val="TableBody"/>
            </w:pPr>
            <w:r w:rsidRPr="00A85956">
              <w:t>11.0</w:t>
            </w:r>
          </w:p>
        </w:tc>
      </w:tr>
      <w:tr w:rsidR="0009124B" w:rsidRPr="0009124B" w14:paraId="07539A46" w14:textId="77777777" w:rsidTr="001373DF">
        <w:trPr>
          <w:trHeight w:val="288"/>
        </w:trPr>
        <w:tc>
          <w:tcPr>
            <w:tcW w:w="1666" w:type="pct"/>
            <w:noWrap/>
            <w:hideMark/>
          </w:tcPr>
          <w:p w14:paraId="342BD807" w14:textId="77777777" w:rsidR="0009124B" w:rsidRPr="00A85956" w:rsidRDefault="0009124B" w:rsidP="00A85956">
            <w:pPr>
              <w:pStyle w:val="TableBody"/>
            </w:pPr>
            <w:r w:rsidRPr="00A85956">
              <w:t>2024</w:t>
            </w:r>
          </w:p>
        </w:tc>
        <w:tc>
          <w:tcPr>
            <w:tcW w:w="1666" w:type="pct"/>
            <w:noWrap/>
            <w:hideMark/>
          </w:tcPr>
          <w:p w14:paraId="110B59F7" w14:textId="77777777" w:rsidR="0009124B" w:rsidRPr="00A85956" w:rsidRDefault="0009124B" w:rsidP="00A85956">
            <w:pPr>
              <w:pStyle w:val="TableBody"/>
            </w:pPr>
            <w:r w:rsidRPr="00A85956">
              <w:t>209.2</w:t>
            </w:r>
          </w:p>
        </w:tc>
        <w:tc>
          <w:tcPr>
            <w:tcW w:w="1667" w:type="pct"/>
            <w:noWrap/>
            <w:hideMark/>
          </w:tcPr>
          <w:p w14:paraId="7B870EE6" w14:textId="77777777" w:rsidR="0009124B" w:rsidRPr="00A85956" w:rsidRDefault="0009124B" w:rsidP="00A85956">
            <w:pPr>
              <w:pStyle w:val="TableBody"/>
            </w:pPr>
            <w:r w:rsidRPr="00A85956">
              <w:t>9.9</w:t>
            </w:r>
          </w:p>
        </w:tc>
      </w:tr>
    </w:tbl>
    <w:p w14:paraId="44DC3F59" w14:textId="77777777" w:rsidR="00A4454A" w:rsidRPr="008C1137" w:rsidRDefault="00A4454A" w:rsidP="00D4532A">
      <w:r w:rsidRPr="000C258A">
        <w:rPr>
          <w:rStyle w:val="Strong"/>
        </w:rPr>
        <w:t>Source</w:t>
      </w:r>
      <w:r w:rsidRPr="008C1137">
        <w:t>: Australian Bureau of Statistics,</w:t>
      </w:r>
      <w:r w:rsidRPr="008C1137">
        <w:rPr>
          <w:rStyle w:val="Italic"/>
        </w:rPr>
        <w:t xml:space="preserve"> Prisoners in Australia</w:t>
      </w:r>
      <w:r w:rsidRPr="008C1137">
        <w:t>, cat. no. 4517.0 (abs.gov.au, 2024) Table 15</w:t>
      </w:r>
    </w:p>
    <w:p w14:paraId="50772108" w14:textId="77777777" w:rsidR="00A4454A" w:rsidRPr="008C1137" w:rsidRDefault="00A4454A" w:rsidP="0002476E">
      <w:pPr>
        <w:pStyle w:val="Heading2"/>
      </w:pPr>
      <w:r w:rsidRPr="008C1137">
        <w:t>Male and female prisoners</w:t>
      </w:r>
    </w:p>
    <w:p w14:paraId="053B18BC" w14:textId="3F6B5E51" w:rsidR="00A4454A" w:rsidRPr="008C1137" w:rsidRDefault="00A4454A" w:rsidP="00210207">
      <w:pPr>
        <w:pStyle w:val="Numbered"/>
      </w:pPr>
      <w:r w:rsidRPr="008C1137">
        <w:t>Figure 44</w:t>
      </w:r>
      <w:r w:rsidR="009E33A5">
        <w:t xml:space="preserve"> </w:t>
      </w:r>
      <w:r w:rsidRPr="008C1137">
        <w:t>shows the per capita imprisonment rates for male and female offenders in Victoria. The majority of people in Victorian prisons consistently are male (for example, on 30 June 2024, 95% of prisoners were male</w:t>
      </w:r>
      <w:r w:rsidRPr="008C1137">
        <w:rPr>
          <w:rStyle w:val="Superscript"/>
        </w:rPr>
        <w:footnoteReference w:id="135"/>
      </w:r>
      <w:r w:rsidRPr="008C1137">
        <w:t xml:space="preserve">), and as such, the male imprisonment rate closely mirrors the total imprisonment rate. </w:t>
      </w:r>
    </w:p>
    <w:p w14:paraId="47309C31" w14:textId="77777777" w:rsidR="00A4454A" w:rsidRPr="008C1137" w:rsidRDefault="00A4454A" w:rsidP="00210207">
      <w:pPr>
        <w:pStyle w:val="Numbered"/>
      </w:pPr>
      <w:r w:rsidRPr="008C1137">
        <w:lastRenderedPageBreak/>
        <w:t xml:space="preserve">The male and female imprisonment rates experienced similar trends. Both showed rapid growth in the first 15 years of our reference period, particularly between 30 June 2012 and 30 June 2019, and a subsequent decline from that peak. The decline in the female imprisonment rate was especially stark, more than halving from its peak on 30 June 2019 to 9.9 prisoners per 100,000 female adults on 30 June 2024, resulting in the </w:t>
      </w:r>
      <w:r w:rsidRPr="003B3217">
        <w:rPr>
          <w:rStyle w:val="Italic"/>
        </w:rPr>
        <w:t>lowest</w:t>
      </w:r>
      <w:r w:rsidRPr="008C1137">
        <w:t xml:space="preserve"> female imprisonment rate in over 20 years. In effect, as of 30 June 2024, only 1 in 10,000 women in Victoria were in prison, compared to around 1 in every 480 men. However, given the small number of women in prison, this reduction is unlikely to have had a substantial impact on the recent decline in Victoria’s prison population. The decrease in female imprisonment rates is, though, unique to Victoria. In the 12 months to 30 June 2024, while Victoria experienced a 7% decrease in the total number of women in prison, every other Australian jurisdiction saw an increase, with the growth in the number of women in prison outpacing the growth in the number of men in almost every state and territory.</w:t>
      </w:r>
      <w:r w:rsidRPr="008C1137">
        <w:rPr>
          <w:rStyle w:val="Superscript"/>
        </w:rPr>
        <w:footnoteReference w:id="136"/>
      </w:r>
      <w:r w:rsidRPr="008C1137">
        <w:t xml:space="preserve"> </w:t>
      </w:r>
    </w:p>
    <w:p w14:paraId="2EE4F0F9" w14:textId="77777777" w:rsidR="00A4454A" w:rsidRPr="008C1137" w:rsidRDefault="00A4454A" w:rsidP="00210207">
      <w:pPr>
        <w:pStyle w:val="Numbered"/>
      </w:pPr>
      <w:r w:rsidRPr="008C1137">
        <w:t xml:space="preserve">Overall, while the female imprisonment rate </w:t>
      </w:r>
      <w:r w:rsidRPr="003B3217">
        <w:rPr>
          <w:rStyle w:val="Italic"/>
        </w:rPr>
        <w:t>decreased</w:t>
      </w:r>
      <w:r w:rsidRPr="008C1137">
        <w:t xml:space="preserve"> by 23% in the 20 years to 30 June 2024, the male imprisonment rate </w:t>
      </w:r>
      <w:r w:rsidRPr="003B3217">
        <w:rPr>
          <w:rStyle w:val="Italic"/>
        </w:rPr>
        <w:t>increased</w:t>
      </w:r>
      <w:r w:rsidRPr="008C1137">
        <w:t xml:space="preserve"> by 17% at the same time. </w:t>
      </w:r>
    </w:p>
    <w:p w14:paraId="1FFD4CE3" w14:textId="77777777" w:rsidR="00A4454A" w:rsidRPr="008C1137" w:rsidRDefault="00A4454A" w:rsidP="0002476E">
      <w:pPr>
        <w:pStyle w:val="Heading2"/>
      </w:pPr>
      <w:r w:rsidRPr="008C1137">
        <w:t>Aboriginal prisoners</w:t>
      </w:r>
    </w:p>
    <w:p w14:paraId="537B5E6E" w14:textId="77777777" w:rsidR="00A4454A" w:rsidRPr="008C1137" w:rsidRDefault="00A4454A" w:rsidP="00210207">
      <w:pPr>
        <w:pStyle w:val="Numbered"/>
      </w:pPr>
      <w:r w:rsidRPr="008C1137">
        <w:t>This section focuses on the adult imprisonment rates for Aboriginal prisoners and non-Aboriginal prisoners in Victoria. Since the 1991 Royal Commission into Aboriginal Deaths in Custody highlighted the overrepresentation of Aboriginal and Torres Strait Islander people in police custody and prisons,</w:t>
      </w:r>
      <w:r w:rsidRPr="008C1137">
        <w:rPr>
          <w:rStyle w:val="Superscript"/>
        </w:rPr>
        <w:footnoteReference w:id="137"/>
      </w:r>
      <w:r w:rsidRPr="008C1137">
        <w:t xml:space="preserve"> efforts have been made to </w:t>
      </w:r>
      <w:r w:rsidRPr="008C1137">
        <w:lastRenderedPageBreak/>
        <w:t>establish targeted strategies to reduce overrepresentation and improve outcomes for Aboriginal Australians. For example, in 2019 a partnership between the federal and state governments and Aboriginal and Torres Strait Islander people was established, known as the National Agreement on Closing the Gap. The agreement focused on overcoming the inequality in social and economic outcomes for Aboriginal and Torres Strait Islander people, one target being to reduce the overrepresentation of Aboriginal and Torres Strait Islander adults and young people in the criminal justice system.</w:t>
      </w:r>
      <w:r w:rsidRPr="008C1137">
        <w:rPr>
          <w:rStyle w:val="Superscript"/>
        </w:rPr>
        <w:footnoteReference w:id="138"/>
      </w:r>
      <w:r w:rsidRPr="008C1137">
        <w:t xml:space="preserve"> The Victorian Government has additionally committed to ‘goals … over and above targets set under the National Agreement’.</w:t>
      </w:r>
      <w:r w:rsidRPr="008C1137">
        <w:rPr>
          <w:rStyle w:val="Superscript"/>
        </w:rPr>
        <w:footnoteReference w:id="139"/>
      </w:r>
      <w:r w:rsidRPr="008C1137">
        <w:t xml:space="preserve"> </w:t>
      </w:r>
    </w:p>
    <w:p w14:paraId="3EE2841E" w14:textId="5C08ED6E" w:rsidR="00A4454A" w:rsidRPr="008C1137" w:rsidRDefault="00A4454A" w:rsidP="00210207">
      <w:pPr>
        <w:pStyle w:val="Numbered"/>
      </w:pPr>
      <w:r w:rsidRPr="008C1137">
        <w:t>As the Productivity Commission highlights in its dashboard on the Closing the Gap targets, the adult imprisonment rate for Aboriginal people is actually worsening, meaning that the target of reducing that rate by 2031 is not on track.</w:t>
      </w:r>
      <w:r w:rsidRPr="008C1137">
        <w:rPr>
          <w:rStyle w:val="Superscript"/>
        </w:rPr>
        <w:footnoteReference w:id="140"/>
      </w:r>
      <w:r w:rsidRPr="008C1137">
        <w:t xml:space="preserve"> Over the 20 years to 30 June 2024, the imprisonment rates for Aboriginal people in Victoria were markedly higher than the imprisonment rates for non-Aboriginal people, albeit both show similar overall trends (increasing to 30 June 2019 before showing a downward trend to 30 June 2024) (Figure 45). Overall, the imprisonment rate for Aboriginal people increased by 68% over the 20-year period, peaking on 30 June 2019 at 2,218 Aboriginal prisoners per 100,000 Aboriginal adults (more than 1 in 50).</w:t>
      </w:r>
      <w:r w:rsidRPr="008C1137">
        <w:rPr>
          <w:rStyle w:val="Superscript"/>
        </w:rPr>
        <w:footnoteReference w:id="141"/>
      </w:r>
      <w:r w:rsidRPr="008C1137">
        <w:t xml:space="preserve"> Conversely, the imprisonment rate </w:t>
      </w:r>
      <w:r w:rsidRPr="008C1137">
        <w:lastRenderedPageBreak/>
        <w:t>for non-Aboriginal adults grew by just 2% during this period, similarly peaking on 30 June 2019 (at 142 non-Aboriginal prisoners per 100,000 non-Aboriginal adults).</w:t>
      </w:r>
    </w:p>
    <w:p w14:paraId="12F34ACB" w14:textId="77777777" w:rsidR="00A4454A" w:rsidRPr="008C1137" w:rsidRDefault="00A4454A" w:rsidP="00210207">
      <w:pPr>
        <w:pStyle w:val="Numbered"/>
      </w:pPr>
      <w:r w:rsidRPr="008C1137">
        <w:t>As of 30 June 2024, the number of Aboriginal prisoners in Victoria represented 12% of the adult prison population (compared to 0.8% of the Victorian adult population).</w:t>
      </w:r>
      <w:r w:rsidRPr="008C1137">
        <w:rPr>
          <w:rStyle w:val="Superscript"/>
        </w:rPr>
        <w:footnoteReference w:id="142"/>
      </w:r>
      <w:r w:rsidRPr="008C1137">
        <w:t xml:space="preserve"> Further, Aboriginal people are incarcerated at 18 times the rate of non-Aboriginal people. While there has been a decrease in the imprisonment rate for Aboriginal people since 30 June 2019, this must be contextualised against a significant increase over the last 20 years that runs contrary to all policy intentions to reduce the overincarceration of Aboriginal and Torres Strait Islander people.</w:t>
      </w:r>
      <w:r w:rsidRPr="008C1137">
        <w:rPr>
          <w:rStyle w:val="Superscript"/>
        </w:rPr>
        <w:footnoteReference w:id="143"/>
      </w:r>
    </w:p>
    <w:p w14:paraId="1A8903B2" w14:textId="77777777" w:rsidR="00A4454A" w:rsidRPr="008C1137" w:rsidRDefault="00A4454A" w:rsidP="00BE4EDC">
      <w:pPr>
        <w:pStyle w:val="Caption"/>
      </w:pPr>
      <w:r w:rsidRPr="00157502">
        <w:t>Figure 45</w:t>
      </w:r>
      <w:r w:rsidRPr="008C1137">
        <w:t>: Per capita imprisonment rate (prisoners per 100,000 Aboriginal adults and prisoners per 100,000 non-Aboriginal adults) for Aboriginal prisoners and non-Aboriginal prisoners in Victoria on 30 June, 2005 to 2024</w:t>
      </w:r>
      <w:r w:rsidRPr="008C1137">
        <w:rPr>
          <w:rStyle w:val="Superscript"/>
        </w:rPr>
        <w:footnoteReference w:id="144"/>
      </w:r>
    </w:p>
    <w:tbl>
      <w:tblPr>
        <w:tblStyle w:val="Table"/>
        <w:tblW w:w="5000" w:type="pct"/>
        <w:tblLook w:val="04A0" w:firstRow="1" w:lastRow="0" w:firstColumn="1" w:lastColumn="0" w:noHBand="0" w:noVBand="1"/>
      </w:tblPr>
      <w:tblGrid>
        <w:gridCol w:w="2511"/>
        <w:gridCol w:w="4470"/>
        <w:gridCol w:w="2035"/>
      </w:tblGrid>
      <w:tr w:rsidR="008A4566" w:rsidRPr="00E96B03" w14:paraId="6CABAD67" w14:textId="77777777" w:rsidTr="00D429CA">
        <w:trPr>
          <w:trHeight w:val="288"/>
          <w:tblHeader/>
        </w:trPr>
        <w:tc>
          <w:tcPr>
            <w:tcW w:w="1074" w:type="pct"/>
            <w:noWrap/>
            <w:hideMark/>
          </w:tcPr>
          <w:p w14:paraId="4FE98086" w14:textId="77777777" w:rsidR="008A4566" w:rsidRPr="00E96B03" w:rsidRDefault="008A4566" w:rsidP="00D429CA">
            <w:pPr>
              <w:pStyle w:val="TableHeading"/>
            </w:pPr>
            <w:r w:rsidRPr="00E96B03">
              <w:t>Year (as at 30 June)</w:t>
            </w:r>
          </w:p>
        </w:tc>
        <w:tc>
          <w:tcPr>
            <w:tcW w:w="2683" w:type="pct"/>
            <w:noWrap/>
            <w:hideMark/>
          </w:tcPr>
          <w:p w14:paraId="784311F2" w14:textId="77777777" w:rsidR="008A4566" w:rsidRPr="00E96B03" w:rsidRDefault="008A4566" w:rsidP="00D429CA">
            <w:pPr>
              <w:pStyle w:val="TableHeading"/>
            </w:pPr>
            <w:r w:rsidRPr="00E96B03">
              <w:t>Aboriginal and Torres Strait Islander</w:t>
            </w:r>
          </w:p>
        </w:tc>
        <w:tc>
          <w:tcPr>
            <w:tcW w:w="1242" w:type="pct"/>
            <w:noWrap/>
            <w:hideMark/>
          </w:tcPr>
          <w:p w14:paraId="40147A7C" w14:textId="77777777" w:rsidR="008A4566" w:rsidRPr="00E96B03" w:rsidRDefault="008A4566" w:rsidP="00D429CA">
            <w:pPr>
              <w:pStyle w:val="TableHeading"/>
            </w:pPr>
            <w:r w:rsidRPr="00E96B03">
              <w:t>Non-Indigenous</w:t>
            </w:r>
          </w:p>
        </w:tc>
      </w:tr>
      <w:tr w:rsidR="008A4566" w:rsidRPr="00E96B03" w14:paraId="65EDF2D5" w14:textId="77777777" w:rsidTr="00D429CA">
        <w:trPr>
          <w:trHeight w:val="288"/>
        </w:trPr>
        <w:tc>
          <w:tcPr>
            <w:tcW w:w="1074" w:type="pct"/>
            <w:noWrap/>
            <w:hideMark/>
          </w:tcPr>
          <w:p w14:paraId="112837C4" w14:textId="77777777" w:rsidR="008A4566" w:rsidRPr="00A85956" w:rsidRDefault="008A4566" w:rsidP="00A85956">
            <w:pPr>
              <w:pStyle w:val="TableBody"/>
            </w:pPr>
            <w:r w:rsidRPr="00A85956">
              <w:t>2005</w:t>
            </w:r>
          </w:p>
        </w:tc>
        <w:tc>
          <w:tcPr>
            <w:tcW w:w="2683" w:type="pct"/>
            <w:noWrap/>
            <w:hideMark/>
          </w:tcPr>
          <w:p w14:paraId="560AE7E3" w14:textId="77777777" w:rsidR="008A4566" w:rsidRPr="00A85956" w:rsidRDefault="008A4566" w:rsidP="00A85956">
            <w:pPr>
              <w:pStyle w:val="TableBody"/>
            </w:pPr>
            <w:r w:rsidRPr="00A85956">
              <w:t>987</w:t>
            </w:r>
          </w:p>
        </w:tc>
        <w:tc>
          <w:tcPr>
            <w:tcW w:w="1242" w:type="pct"/>
            <w:noWrap/>
            <w:hideMark/>
          </w:tcPr>
          <w:p w14:paraId="7B6ED4FD" w14:textId="77777777" w:rsidR="008A4566" w:rsidRPr="00A85956" w:rsidRDefault="008A4566" w:rsidP="00A85956">
            <w:pPr>
              <w:pStyle w:val="TableBody"/>
            </w:pPr>
            <w:r w:rsidRPr="00A85956">
              <w:t>90</w:t>
            </w:r>
          </w:p>
        </w:tc>
      </w:tr>
      <w:tr w:rsidR="008A4566" w:rsidRPr="00E96B03" w14:paraId="54C18E73" w14:textId="77777777" w:rsidTr="00D429CA">
        <w:trPr>
          <w:trHeight w:val="288"/>
        </w:trPr>
        <w:tc>
          <w:tcPr>
            <w:tcW w:w="1074" w:type="pct"/>
            <w:noWrap/>
            <w:hideMark/>
          </w:tcPr>
          <w:p w14:paraId="7489B835" w14:textId="77777777" w:rsidR="008A4566" w:rsidRPr="00A85956" w:rsidRDefault="008A4566" w:rsidP="00A85956">
            <w:pPr>
              <w:pStyle w:val="TableBody"/>
            </w:pPr>
            <w:r w:rsidRPr="00A85956">
              <w:t>2006</w:t>
            </w:r>
          </w:p>
        </w:tc>
        <w:tc>
          <w:tcPr>
            <w:tcW w:w="2683" w:type="pct"/>
            <w:noWrap/>
            <w:hideMark/>
          </w:tcPr>
          <w:p w14:paraId="652DAB7A" w14:textId="77777777" w:rsidR="008A4566" w:rsidRPr="00A85956" w:rsidRDefault="008A4566" w:rsidP="00A85956">
            <w:pPr>
              <w:pStyle w:val="TableBody"/>
            </w:pPr>
            <w:r w:rsidRPr="00A85956">
              <w:t>969</w:t>
            </w:r>
          </w:p>
        </w:tc>
        <w:tc>
          <w:tcPr>
            <w:tcW w:w="1242" w:type="pct"/>
            <w:noWrap/>
            <w:hideMark/>
          </w:tcPr>
          <w:p w14:paraId="241856AA" w14:textId="77777777" w:rsidR="008A4566" w:rsidRPr="00A85956" w:rsidRDefault="008A4566" w:rsidP="00A85956">
            <w:pPr>
              <w:pStyle w:val="TableBody"/>
            </w:pPr>
            <w:r w:rsidRPr="00A85956">
              <w:t>96</w:t>
            </w:r>
          </w:p>
        </w:tc>
      </w:tr>
      <w:tr w:rsidR="008A4566" w:rsidRPr="00E96B03" w14:paraId="06ACF731" w14:textId="77777777" w:rsidTr="00D429CA">
        <w:trPr>
          <w:trHeight w:val="288"/>
        </w:trPr>
        <w:tc>
          <w:tcPr>
            <w:tcW w:w="1074" w:type="pct"/>
            <w:noWrap/>
            <w:hideMark/>
          </w:tcPr>
          <w:p w14:paraId="2082B1B0" w14:textId="77777777" w:rsidR="008A4566" w:rsidRPr="00A85956" w:rsidRDefault="008A4566" w:rsidP="00A85956">
            <w:pPr>
              <w:pStyle w:val="TableBody"/>
            </w:pPr>
            <w:r w:rsidRPr="00A85956">
              <w:t>2007</w:t>
            </w:r>
          </w:p>
        </w:tc>
        <w:tc>
          <w:tcPr>
            <w:tcW w:w="2683" w:type="pct"/>
            <w:noWrap/>
            <w:hideMark/>
          </w:tcPr>
          <w:p w14:paraId="69B32194" w14:textId="77777777" w:rsidR="008A4566" w:rsidRPr="00A85956" w:rsidRDefault="008A4566" w:rsidP="00A85956">
            <w:pPr>
              <w:pStyle w:val="TableBody"/>
            </w:pPr>
            <w:r w:rsidRPr="00A85956">
              <w:t>1,028</w:t>
            </w:r>
          </w:p>
        </w:tc>
        <w:tc>
          <w:tcPr>
            <w:tcW w:w="1242" w:type="pct"/>
            <w:noWrap/>
            <w:hideMark/>
          </w:tcPr>
          <w:p w14:paraId="181C09B4" w14:textId="77777777" w:rsidR="008A4566" w:rsidRPr="00A85956" w:rsidRDefault="008A4566" w:rsidP="00A85956">
            <w:pPr>
              <w:pStyle w:val="TableBody"/>
            </w:pPr>
            <w:r w:rsidRPr="00A85956">
              <w:t>100</w:t>
            </w:r>
          </w:p>
        </w:tc>
      </w:tr>
      <w:tr w:rsidR="008A4566" w:rsidRPr="00E96B03" w14:paraId="131F5C08" w14:textId="77777777" w:rsidTr="00D429CA">
        <w:trPr>
          <w:trHeight w:val="288"/>
        </w:trPr>
        <w:tc>
          <w:tcPr>
            <w:tcW w:w="1074" w:type="pct"/>
            <w:noWrap/>
            <w:hideMark/>
          </w:tcPr>
          <w:p w14:paraId="3493BA24" w14:textId="77777777" w:rsidR="008A4566" w:rsidRPr="00A85956" w:rsidRDefault="008A4566" w:rsidP="00A85956">
            <w:pPr>
              <w:pStyle w:val="TableBody"/>
            </w:pPr>
            <w:r w:rsidRPr="00A85956">
              <w:t>2008</w:t>
            </w:r>
          </w:p>
        </w:tc>
        <w:tc>
          <w:tcPr>
            <w:tcW w:w="2683" w:type="pct"/>
            <w:noWrap/>
            <w:hideMark/>
          </w:tcPr>
          <w:p w14:paraId="645775E2" w14:textId="77777777" w:rsidR="008A4566" w:rsidRPr="00A85956" w:rsidRDefault="008A4566" w:rsidP="00A85956">
            <w:pPr>
              <w:pStyle w:val="TableBody"/>
            </w:pPr>
            <w:r w:rsidRPr="00A85956">
              <w:t>1,013</w:t>
            </w:r>
          </w:p>
        </w:tc>
        <w:tc>
          <w:tcPr>
            <w:tcW w:w="1242" w:type="pct"/>
            <w:noWrap/>
            <w:hideMark/>
          </w:tcPr>
          <w:p w14:paraId="0A5251F8" w14:textId="77777777" w:rsidR="008A4566" w:rsidRPr="00A85956" w:rsidRDefault="008A4566" w:rsidP="00A85956">
            <w:pPr>
              <w:pStyle w:val="TableBody"/>
            </w:pPr>
            <w:r w:rsidRPr="00A85956">
              <w:t>99</w:t>
            </w:r>
          </w:p>
        </w:tc>
      </w:tr>
      <w:tr w:rsidR="008A4566" w:rsidRPr="00E96B03" w14:paraId="0FC8BC78" w14:textId="77777777" w:rsidTr="00D429CA">
        <w:trPr>
          <w:trHeight w:val="288"/>
        </w:trPr>
        <w:tc>
          <w:tcPr>
            <w:tcW w:w="1074" w:type="pct"/>
            <w:noWrap/>
            <w:hideMark/>
          </w:tcPr>
          <w:p w14:paraId="351A5694" w14:textId="77777777" w:rsidR="008A4566" w:rsidRPr="00A85956" w:rsidRDefault="008A4566" w:rsidP="00A85956">
            <w:pPr>
              <w:pStyle w:val="TableBody"/>
            </w:pPr>
            <w:r w:rsidRPr="00A85956">
              <w:t>2009</w:t>
            </w:r>
          </w:p>
        </w:tc>
        <w:tc>
          <w:tcPr>
            <w:tcW w:w="2683" w:type="pct"/>
            <w:noWrap/>
            <w:hideMark/>
          </w:tcPr>
          <w:p w14:paraId="32661B5F" w14:textId="77777777" w:rsidR="008A4566" w:rsidRPr="00A85956" w:rsidRDefault="008A4566" w:rsidP="00A85956">
            <w:pPr>
              <w:pStyle w:val="TableBody"/>
            </w:pPr>
            <w:r w:rsidRPr="00A85956">
              <w:t>957</w:t>
            </w:r>
          </w:p>
        </w:tc>
        <w:tc>
          <w:tcPr>
            <w:tcW w:w="1242" w:type="pct"/>
            <w:noWrap/>
            <w:hideMark/>
          </w:tcPr>
          <w:p w14:paraId="1234D47F" w14:textId="77777777" w:rsidR="008A4566" w:rsidRPr="00A85956" w:rsidRDefault="008A4566" w:rsidP="00A85956">
            <w:pPr>
              <w:pStyle w:val="TableBody"/>
            </w:pPr>
            <w:r w:rsidRPr="00A85956">
              <w:t>100</w:t>
            </w:r>
          </w:p>
        </w:tc>
      </w:tr>
      <w:tr w:rsidR="008A4566" w:rsidRPr="00E96B03" w14:paraId="3B76F984" w14:textId="77777777" w:rsidTr="00D429CA">
        <w:trPr>
          <w:trHeight w:val="288"/>
        </w:trPr>
        <w:tc>
          <w:tcPr>
            <w:tcW w:w="1074" w:type="pct"/>
            <w:noWrap/>
            <w:hideMark/>
          </w:tcPr>
          <w:p w14:paraId="22F30124" w14:textId="77777777" w:rsidR="008A4566" w:rsidRPr="00A85956" w:rsidRDefault="008A4566" w:rsidP="00A85956">
            <w:pPr>
              <w:pStyle w:val="TableBody"/>
            </w:pPr>
            <w:r w:rsidRPr="00A85956">
              <w:t>2010</w:t>
            </w:r>
          </w:p>
        </w:tc>
        <w:tc>
          <w:tcPr>
            <w:tcW w:w="2683" w:type="pct"/>
            <w:noWrap/>
            <w:hideMark/>
          </w:tcPr>
          <w:p w14:paraId="1FDBAB49" w14:textId="77777777" w:rsidR="008A4566" w:rsidRPr="00A85956" w:rsidRDefault="008A4566" w:rsidP="00A85956">
            <w:pPr>
              <w:pStyle w:val="TableBody"/>
            </w:pPr>
            <w:r w:rsidRPr="00A85956">
              <w:t>1,106</w:t>
            </w:r>
          </w:p>
        </w:tc>
        <w:tc>
          <w:tcPr>
            <w:tcW w:w="1242" w:type="pct"/>
            <w:noWrap/>
            <w:hideMark/>
          </w:tcPr>
          <w:p w14:paraId="4946C817" w14:textId="77777777" w:rsidR="008A4566" w:rsidRPr="00A85956" w:rsidRDefault="008A4566" w:rsidP="00A85956">
            <w:pPr>
              <w:pStyle w:val="TableBody"/>
            </w:pPr>
            <w:r w:rsidRPr="00A85956">
              <w:t>101</w:t>
            </w:r>
          </w:p>
        </w:tc>
      </w:tr>
      <w:tr w:rsidR="008A4566" w:rsidRPr="00E96B03" w14:paraId="38F36CD4" w14:textId="77777777" w:rsidTr="00D429CA">
        <w:trPr>
          <w:trHeight w:val="288"/>
        </w:trPr>
        <w:tc>
          <w:tcPr>
            <w:tcW w:w="1074" w:type="pct"/>
            <w:noWrap/>
            <w:hideMark/>
          </w:tcPr>
          <w:p w14:paraId="5E4F0AA7" w14:textId="77777777" w:rsidR="008A4566" w:rsidRPr="00A85956" w:rsidRDefault="008A4566" w:rsidP="00A85956">
            <w:pPr>
              <w:pStyle w:val="TableBody"/>
            </w:pPr>
            <w:r w:rsidRPr="00A85956">
              <w:t>2011</w:t>
            </w:r>
          </w:p>
        </w:tc>
        <w:tc>
          <w:tcPr>
            <w:tcW w:w="2683" w:type="pct"/>
            <w:noWrap/>
            <w:hideMark/>
          </w:tcPr>
          <w:p w14:paraId="06294DCE" w14:textId="77777777" w:rsidR="008A4566" w:rsidRPr="00A85956" w:rsidRDefault="008A4566" w:rsidP="00A85956">
            <w:pPr>
              <w:pStyle w:val="TableBody"/>
            </w:pPr>
            <w:r w:rsidRPr="00A85956">
              <w:t>1,081</w:t>
            </w:r>
          </w:p>
        </w:tc>
        <w:tc>
          <w:tcPr>
            <w:tcW w:w="1242" w:type="pct"/>
            <w:noWrap/>
            <w:hideMark/>
          </w:tcPr>
          <w:p w14:paraId="799A8BD5" w14:textId="77777777" w:rsidR="008A4566" w:rsidRPr="00A85956" w:rsidRDefault="008A4566" w:rsidP="00A85956">
            <w:pPr>
              <w:pStyle w:val="TableBody"/>
            </w:pPr>
            <w:r w:rsidRPr="00A85956">
              <w:t>104</w:t>
            </w:r>
          </w:p>
        </w:tc>
      </w:tr>
      <w:tr w:rsidR="008A4566" w:rsidRPr="00E96B03" w14:paraId="1239CA5A" w14:textId="77777777" w:rsidTr="00D429CA">
        <w:trPr>
          <w:trHeight w:val="288"/>
        </w:trPr>
        <w:tc>
          <w:tcPr>
            <w:tcW w:w="1074" w:type="pct"/>
            <w:noWrap/>
            <w:hideMark/>
          </w:tcPr>
          <w:p w14:paraId="6DA2E3FE" w14:textId="77777777" w:rsidR="008A4566" w:rsidRPr="00A85956" w:rsidRDefault="008A4566" w:rsidP="00A85956">
            <w:pPr>
              <w:pStyle w:val="TableBody"/>
            </w:pPr>
            <w:r w:rsidRPr="00A85956">
              <w:t>2012</w:t>
            </w:r>
          </w:p>
        </w:tc>
        <w:tc>
          <w:tcPr>
            <w:tcW w:w="2683" w:type="pct"/>
            <w:noWrap/>
            <w:hideMark/>
          </w:tcPr>
          <w:p w14:paraId="21DDBB83" w14:textId="77777777" w:rsidR="008A4566" w:rsidRPr="00A85956" w:rsidRDefault="008A4566" w:rsidP="00A85956">
            <w:pPr>
              <w:pStyle w:val="TableBody"/>
            </w:pPr>
            <w:r w:rsidRPr="00A85956">
              <w:t>1,318</w:t>
            </w:r>
          </w:p>
        </w:tc>
        <w:tc>
          <w:tcPr>
            <w:tcW w:w="1242" w:type="pct"/>
            <w:noWrap/>
            <w:hideMark/>
          </w:tcPr>
          <w:p w14:paraId="526F4869" w14:textId="77777777" w:rsidR="008A4566" w:rsidRPr="00A85956" w:rsidRDefault="008A4566" w:rsidP="00A85956">
            <w:pPr>
              <w:pStyle w:val="TableBody"/>
            </w:pPr>
            <w:r w:rsidRPr="00A85956">
              <w:t>104</w:t>
            </w:r>
          </w:p>
        </w:tc>
      </w:tr>
      <w:tr w:rsidR="008A4566" w:rsidRPr="00E96B03" w14:paraId="6567FB8A" w14:textId="77777777" w:rsidTr="00D429CA">
        <w:trPr>
          <w:trHeight w:val="288"/>
        </w:trPr>
        <w:tc>
          <w:tcPr>
            <w:tcW w:w="1074" w:type="pct"/>
            <w:noWrap/>
            <w:hideMark/>
          </w:tcPr>
          <w:p w14:paraId="4E1488E1" w14:textId="77777777" w:rsidR="008A4566" w:rsidRPr="00A85956" w:rsidRDefault="008A4566" w:rsidP="00A85956">
            <w:pPr>
              <w:pStyle w:val="TableBody"/>
            </w:pPr>
            <w:r w:rsidRPr="00A85956">
              <w:t>2013</w:t>
            </w:r>
          </w:p>
        </w:tc>
        <w:tc>
          <w:tcPr>
            <w:tcW w:w="2683" w:type="pct"/>
            <w:noWrap/>
            <w:hideMark/>
          </w:tcPr>
          <w:p w14:paraId="6B8706DD" w14:textId="77777777" w:rsidR="008A4566" w:rsidRPr="00A85956" w:rsidRDefault="008A4566" w:rsidP="00A85956">
            <w:pPr>
              <w:pStyle w:val="TableBody"/>
            </w:pPr>
            <w:r w:rsidRPr="00A85956">
              <w:t>1,330</w:t>
            </w:r>
          </w:p>
        </w:tc>
        <w:tc>
          <w:tcPr>
            <w:tcW w:w="1242" w:type="pct"/>
            <w:noWrap/>
            <w:hideMark/>
          </w:tcPr>
          <w:p w14:paraId="361F2F57" w14:textId="77777777" w:rsidR="008A4566" w:rsidRPr="00A85956" w:rsidRDefault="008A4566" w:rsidP="00A85956">
            <w:pPr>
              <w:pStyle w:val="TableBody"/>
            </w:pPr>
            <w:r w:rsidRPr="00A85956">
              <w:t>112</w:t>
            </w:r>
          </w:p>
        </w:tc>
      </w:tr>
      <w:tr w:rsidR="008A4566" w:rsidRPr="00E96B03" w14:paraId="2BAE8188" w14:textId="77777777" w:rsidTr="00D429CA">
        <w:trPr>
          <w:trHeight w:val="288"/>
        </w:trPr>
        <w:tc>
          <w:tcPr>
            <w:tcW w:w="1074" w:type="pct"/>
            <w:noWrap/>
            <w:hideMark/>
          </w:tcPr>
          <w:p w14:paraId="6129BC4A" w14:textId="77777777" w:rsidR="008A4566" w:rsidRPr="00A85956" w:rsidRDefault="008A4566" w:rsidP="00A85956">
            <w:pPr>
              <w:pStyle w:val="TableBody"/>
            </w:pPr>
            <w:r w:rsidRPr="00A85956">
              <w:lastRenderedPageBreak/>
              <w:t>2014</w:t>
            </w:r>
          </w:p>
        </w:tc>
        <w:tc>
          <w:tcPr>
            <w:tcW w:w="2683" w:type="pct"/>
            <w:noWrap/>
            <w:hideMark/>
          </w:tcPr>
          <w:p w14:paraId="463C9A2E" w14:textId="77777777" w:rsidR="008A4566" w:rsidRPr="00A85956" w:rsidRDefault="008A4566" w:rsidP="00A85956">
            <w:pPr>
              <w:pStyle w:val="TableBody"/>
            </w:pPr>
            <w:r w:rsidRPr="00A85956">
              <w:t>1,573</w:t>
            </w:r>
          </w:p>
        </w:tc>
        <w:tc>
          <w:tcPr>
            <w:tcW w:w="1242" w:type="pct"/>
            <w:noWrap/>
            <w:hideMark/>
          </w:tcPr>
          <w:p w14:paraId="1DF3C3E2" w14:textId="77777777" w:rsidR="008A4566" w:rsidRPr="00A85956" w:rsidRDefault="008A4566" w:rsidP="00A85956">
            <w:pPr>
              <w:pStyle w:val="TableBody"/>
            </w:pPr>
            <w:r w:rsidRPr="00A85956">
              <w:t>125</w:t>
            </w:r>
          </w:p>
        </w:tc>
      </w:tr>
      <w:tr w:rsidR="008A4566" w:rsidRPr="00E96B03" w14:paraId="62E85CF0" w14:textId="77777777" w:rsidTr="00D429CA">
        <w:trPr>
          <w:trHeight w:val="288"/>
        </w:trPr>
        <w:tc>
          <w:tcPr>
            <w:tcW w:w="1074" w:type="pct"/>
            <w:noWrap/>
            <w:hideMark/>
          </w:tcPr>
          <w:p w14:paraId="60ABFC5F" w14:textId="77777777" w:rsidR="008A4566" w:rsidRPr="00A85956" w:rsidRDefault="008A4566" w:rsidP="00A85956">
            <w:pPr>
              <w:pStyle w:val="TableBody"/>
            </w:pPr>
            <w:r w:rsidRPr="00A85956">
              <w:t>2015</w:t>
            </w:r>
          </w:p>
        </w:tc>
        <w:tc>
          <w:tcPr>
            <w:tcW w:w="2683" w:type="pct"/>
            <w:noWrap/>
            <w:hideMark/>
          </w:tcPr>
          <w:p w14:paraId="383C7DDE" w14:textId="77777777" w:rsidR="008A4566" w:rsidRPr="00A85956" w:rsidRDefault="008A4566" w:rsidP="00A85956">
            <w:pPr>
              <w:pStyle w:val="TableBody"/>
            </w:pPr>
            <w:r w:rsidRPr="00A85956">
              <w:t>1,541</w:t>
            </w:r>
          </w:p>
        </w:tc>
        <w:tc>
          <w:tcPr>
            <w:tcW w:w="1242" w:type="pct"/>
            <w:noWrap/>
            <w:hideMark/>
          </w:tcPr>
          <w:p w14:paraId="03B57223" w14:textId="77777777" w:rsidR="008A4566" w:rsidRPr="00A85956" w:rsidRDefault="008A4566" w:rsidP="00A85956">
            <w:pPr>
              <w:pStyle w:val="TableBody"/>
            </w:pPr>
            <w:r w:rsidRPr="00A85956">
              <w:t>125</w:t>
            </w:r>
          </w:p>
        </w:tc>
      </w:tr>
      <w:tr w:rsidR="008A4566" w:rsidRPr="00E96B03" w14:paraId="0B8F9DA9" w14:textId="77777777" w:rsidTr="00D429CA">
        <w:trPr>
          <w:trHeight w:val="288"/>
        </w:trPr>
        <w:tc>
          <w:tcPr>
            <w:tcW w:w="1074" w:type="pct"/>
            <w:noWrap/>
            <w:hideMark/>
          </w:tcPr>
          <w:p w14:paraId="0742542F" w14:textId="77777777" w:rsidR="008A4566" w:rsidRPr="00A85956" w:rsidRDefault="008A4566" w:rsidP="00A85956">
            <w:pPr>
              <w:pStyle w:val="TableBody"/>
            </w:pPr>
            <w:r w:rsidRPr="00A85956">
              <w:t>2016</w:t>
            </w:r>
          </w:p>
        </w:tc>
        <w:tc>
          <w:tcPr>
            <w:tcW w:w="2683" w:type="pct"/>
            <w:noWrap/>
            <w:hideMark/>
          </w:tcPr>
          <w:p w14:paraId="0079E770" w14:textId="77777777" w:rsidR="008A4566" w:rsidRPr="00A85956" w:rsidRDefault="008A4566" w:rsidP="00A85956">
            <w:pPr>
              <w:pStyle w:val="TableBody"/>
            </w:pPr>
            <w:r w:rsidRPr="00A85956">
              <w:t>1,662</w:t>
            </w:r>
          </w:p>
        </w:tc>
        <w:tc>
          <w:tcPr>
            <w:tcW w:w="1242" w:type="pct"/>
            <w:noWrap/>
            <w:hideMark/>
          </w:tcPr>
          <w:p w14:paraId="5FB05A93" w14:textId="77777777" w:rsidR="008A4566" w:rsidRPr="00A85956" w:rsidRDefault="008A4566" w:rsidP="00A85956">
            <w:pPr>
              <w:pStyle w:val="TableBody"/>
            </w:pPr>
            <w:r w:rsidRPr="00A85956">
              <w:t>128</w:t>
            </w:r>
          </w:p>
        </w:tc>
      </w:tr>
      <w:tr w:rsidR="008A4566" w:rsidRPr="00E96B03" w14:paraId="79111F6F" w14:textId="77777777" w:rsidTr="00D429CA">
        <w:trPr>
          <w:trHeight w:val="288"/>
        </w:trPr>
        <w:tc>
          <w:tcPr>
            <w:tcW w:w="1074" w:type="pct"/>
            <w:noWrap/>
            <w:hideMark/>
          </w:tcPr>
          <w:p w14:paraId="1FA01CAF" w14:textId="77777777" w:rsidR="008A4566" w:rsidRPr="00A85956" w:rsidRDefault="008A4566" w:rsidP="00A85956">
            <w:pPr>
              <w:pStyle w:val="TableBody"/>
            </w:pPr>
            <w:r w:rsidRPr="00A85956">
              <w:t>2017</w:t>
            </w:r>
          </w:p>
        </w:tc>
        <w:tc>
          <w:tcPr>
            <w:tcW w:w="2683" w:type="pct"/>
            <w:noWrap/>
            <w:hideMark/>
          </w:tcPr>
          <w:p w14:paraId="1933D8DB" w14:textId="77777777" w:rsidR="008A4566" w:rsidRPr="00A85956" w:rsidRDefault="008A4566" w:rsidP="00A85956">
            <w:pPr>
              <w:pStyle w:val="TableBody"/>
            </w:pPr>
            <w:r w:rsidRPr="00A85956">
              <w:t>1,720</w:t>
            </w:r>
          </w:p>
        </w:tc>
        <w:tc>
          <w:tcPr>
            <w:tcW w:w="1242" w:type="pct"/>
            <w:noWrap/>
            <w:hideMark/>
          </w:tcPr>
          <w:p w14:paraId="75131B74" w14:textId="77777777" w:rsidR="008A4566" w:rsidRPr="00A85956" w:rsidRDefault="008A4566" w:rsidP="00A85956">
            <w:pPr>
              <w:pStyle w:val="TableBody"/>
            </w:pPr>
            <w:r w:rsidRPr="00A85956">
              <w:t>134</w:t>
            </w:r>
          </w:p>
        </w:tc>
      </w:tr>
      <w:tr w:rsidR="008A4566" w:rsidRPr="00E96B03" w14:paraId="0F5733EA" w14:textId="77777777" w:rsidTr="00D429CA">
        <w:trPr>
          <w:trHeight w:val="288"/>
        </w:trPr>
        <w:tc>
          <w:tcPr>
            <w:tcW w:w="1074" w:type="pct"/>
            <w:noWrap/>
            <w:hideMark/>
          </w:tcPr>
          <w:p w14:paraId="20EFCD8D" w14:textId="77777777" w:rsidR="008A4566" w:rsidRPr="00A85956" w:rsidRDefault="008A4566" w:rsidP="00A85956">
            <w:pPr>
              <w:pStyle w:val="TableBody"/>
            </w:pPr>
            <w:r w:rsidRPr="00A85956">
              <w:t>2018</w:t>
            </w:r>
          </w:p>
        </w:tc>
        <w:tc>
          <w:tcPr>
            <w:tcW w:w="2683" w:type="pct"/>
            <w:noWrap/>
            <w:hideMark/>
          </w:tcPr>
          <w:p w14:paraId="60271D09" w14:textId="77777777" w:rsidR="008A4566" w:rsidRPr="00A85956" w:rsidRDefault="008A4566" w:rsidP="00A85956">
            <w:pPr>
              <w:pStyle w:val="TableBody"/>
            </w:pPr>
            <w:r w:rsidRPr="00A85956">
              <w:t>1,884</w:t>
            </w:r>
          </w:p>
        </w:tc>
        <w:tc>
          <w:tcPr>
            <w:tcW w:w="1242" w:type="pct"/>
            <w:noWrap/>
            <w:hideMark/>
          </w:tcPr>
          <w:p w14:paraId="5791CC4B" w14:textId="77777777" w:rsidR="008A4566" w:rsidRPr="00A85956" w:rsidRDefault="008A4566" w:rsidP="00A85956">
            <w:pPr>
              <w:pStyle w:val="TableBody"/>
            </w:pPr>
            <w:r w:rsidRPr="00A85956">
              <w:t>139</w:t>
            </w:r>
          </w:p>
        </w:tc>
      </w:tr>
      <w:tr w:rsidR="008A4566" w:rsidRPr="00E96B03" w14:paraId="4F87AD5C" w14:textId="77777777" w:rsidTr="00D429CA">
        <w:trPr>
          <w:trHeight w:val="288"/>
        </w:trPr>
        <w:tc>
          <w:tcPr>
            <w:tcW w:w="1074" w:type="pct"/>
            <w:noWrap/>
            <w:hideMark/>
          </w:tcPr>
          <w:p w14:paraId="1F6F433E" w14:textId="77777777" w:rsidR="008A4566" w:rsidRPr="00A85956" w:rsidRDefault="008A4566" w:rsidP="00A85956">
            <w:pPr>
              <w:pStyle w:val="TableBody"/>
            </w:pPr>
            <w:r w:rsidRPr="00A85956">
              <w:t>2019</w:t>
            </w:r>
          </w:p>
        </w:tc>
        <w:tc>
          <w:tcPr>
            <w:tcW w:w="2683" w:type="pct"/>
            <w:noWrap/>
            <w:hideMark/>
          </w:tcPr>
          <w:p w14:paraId="05F34859" w14:textId="77777777" w:rsidR="008A4566" w:rsidRPr="00A85956" w:rsidRDefault="008A4566" w:rsidP="00A85956">
            <w:pPr>
              <w:pStyle w:val="TableBody"/>
            </w:pPr>
            <w:r w:rsidRPr="00A85956">
              <w:t>2,218</w:t>
            </w:r>
          </w:p>
        </w:tc>
        <w:tc>
          <w:tcPr>
            <w:tcW w:w="1242" w:type="pct"/>
            <w:noWrap/>
            <w:hideMark/>
          </w:tcPr>
          <w:p w14:paraId="612B2718" w14:textId="77777777" w:rsidR="008A4566" w:rsidRPr="00A85956" w:rsidRDefault="008A4566" w:rsidP="00A85956">
            <w:pPr>
              <w:pStyle w:val="TableBody"/>
            </w:pPr>
            <w:r w:rsidRPr="00A85956">
              <w:t>142</w:t>
            </w:r>
          </w:p>
        </w:tc>
      </w:tr>
      <w:tr w:rsidR="008A4566" w:rsidRPr="00E96B03" w14:paraId="5E91043C" w14:textId="77777777" w:rsidTr="00D429CA">
        <w:trPr>
          <w:trHeight w:val="288"/>
        </w:trPr>
        <w:tc>
          <w:tcPr>
            <w:tcW w:w="1074" w:type="pct"/>
            <w:noWrap/>
            <w:hideMark/>
          </w:tcPr>
          <w:p w14:paraId="23127153" w14:textId="77777777" w:rsidR="008A4566" w:rsidRPr="00A85956" w:rsidRDefault="008A4566" w:rsidP="00A85956">
            <w:pPr>
              <w:pStyle w:val="TableBody"/>
            </w:pPr>
            <w:r w:rsidRPr="00A85956">
              <w:t>2020</w:t>
            </w:r>
          </w:p>
        </w:tc>
        <w:tc>
          <w:tcPr>
            <w:tcW w:w="2683" w:type="pct"/>
            <w:noWrap/>
            <w:hideMark/>
          </w:tcPr>
          <w:p w14:paraId="5C8FE286" w14:textId="77777777" w:rsidR="008A4566" w:rsidRPr="00A85956" w:rsidRDefault="008A4566" w:rsidP="00A85956">
            <w:pPr>
              <w:pStyle w:val="TableBody"/>
            </w:pPr>
            <w:r w:rsidRPr="00A85956">
              <w:t>1,845</w:t>
            </w:r>
          </w:p>
        </w:tc>
        <w:tc>
          <w:tcPr>
            <w:tcW w:w="1242" w:type="pct"/>
            <w:noWrap/>
            <w:hideMark/>
          </w:tcPr>
          <w:p w14:paraId="16F20AB2" w14:textId="77777777" w:rsidR="008A4566" w:rsidRPr="00A85956" w:rsidRDefault="008A4566" w:rsidP="00A85956">
            <w:pPr>
              <w:pStyle w:val="TableBody"/>
            </w:pPr>
            <w:r w:rsidRPr="00A85956">
              <w:t>122</w:t>
            </w:r>
          </w:p>
        </w:tc>
      </w:tr>
      <w:tr w:rsidR="008A4566" w:rsidRPr="00E96B03" w14:paraId="55EB80D8" w14:textId="77777777" w:rsidTr="00D429CA">
        <w:trPr>
          <w:trHeight w:val="288"/>
        </w:trPr>
        <w:tc>
          <w:tcPr>
            <w:tcW w:w="1074" w:type="pct"/>
            <w:noWrap/>
            <w:hideMark/>
          </w:tcPr>
          <w:p w14:paraId="7C5C6D20" w14:textId="77777777" w:rsidR="008A4566" w:rsidRPr="00A85956" w:rsidRDefault="008A4566" w:rsidP="00A85956">
            <w:pPr>
              <w:pStyle w:val="TableBody"/>
            </w:pPr>
            <w:r w:rsidRPr="00A85956">
              <w:t>2021</w:t>
            </w:r>
          </w:p>
        </w:tc>
        <w:tc>
          <w:tcPr>
            <w:tcW w:w="2683" w:type="pct"/>
            <w:noWrap/>
            <w:hideMark/>
          </w:tcPr>
          <w:p w14:paraId="591B2711" w14:textId="77777777" w:rsidR="008A4566" w:rsidRPr="00A85956" w:rsidRDefault="008A4566" w:rsidP="00A85956">
            <w:pPr>
              <w:pStyle w:val="TableBody"/>
            </w:pPr>
            <w:r w:rsidRPr="00A85956">
              <w:t>1,904</w:t>
            </w:r>
          </w:p>
        </w:tc>
        <w:tc>
          <w:tcPr>
            <w:tcW w:w="1242" w:type="pct"/>
            <w:noWrap/>
            <w:hideMark/>
          </w:tcPr>
          <w:p w14:paraId="01B69E82" w14:textId="77777777" w:rsidR="008A4566" w:rsidRPr="00A85956" w:rsidRDefault="008A4566" w:rsidP="00A85956">
            <w:pPr>
              <w:pStyle w:val="TableBody"/>
            </w:pPr>
            <w:r w:rsidRPr="00A85956">
              <w:t>122</w:t>
            </w:r>
          </w:p>
        </w:tc>
      </w:tr>
      <w:tr w:rsidR="008A4566" w:rsidRPr="00E96B03" w14:paraId="668F27D3" w14:textId="77777777" w:rsidTr="00D429CA">
        <w:trPr>
          <w:trHeight w:val="288"/>
        </w:trPr>
        <w:tc>
          <w:tcPr>
            <w:tcW w:w="1074" w:type="pct"/>
            <w:noWrap/>
            <w:hideMark/>
          </w:tcPr>
          <w:p w14:paraId="46BAD156" w14:textId="77777777" w:rsidR="008A4566" w:rsidRPr="00A85956" w:rsidRDefault="008A4566" w:rsidP="00A85956">
            <w:pPr>
              <w:pStyle w:val="TableBody"/>
            </w:pPr>
            <w:r w:rsidRPr="00A85956">
              <w:t>2022</w:t>
            </w:r>
          </w:p>
        </w:tc>
        <w:tc>
          <w:tcPr>
            <w:tcW w:w="2683" w:type="pct"/>
            <w:noWrap/>
            <w:hideMark/>
          </w:tcPr>
          <w:p w14:paraId="32A9BBB0" w14:textId="77777777" w:rsidR="008A4566" w:rsidRPr="00A85956" w:rsidRDefault="008A4566" w:rsidP="00A85956">
            <w:pPr>
              <w:pStyle w:val="TableBody"/>
            </w:pPr>
            <w:r w:rsidRPr="00A85956">
              <w:t>1,671</w:t>
            </w:r>
          </w:p>
        </w:tc>
        <w:tc>
          <w:tcPr>
            <w:tcW w:w="1242" w:type="pct"/>
            <w:noWrap/>
            <w:hideMark/>
          </w:tcPr>
          <w:p w14:paraId="34922B2D" w14:textId="77777777" w:rsidR="008A4566" w:rsidRPr="00A85956" w:rsidRDefault="008A4566" w:rsidP="00A85956">
            <w:pPr>
              <w:pStyle w:val="TableBody"/>
            </w:pPr>
            <w:r w:rsidRPr="00A85956">
              <w:t>111</w:t>
            </w:r>
          </w:p>
        </w:tc>
      </w:tr>
      <w:tr w:rsidR="008A4566" w:rsidRPr="00E96B03" w14:paraId="222A0B1C" w14:textId="77777777" w:rsidTr="00D429CA">
        <w:trPr>
          <w:trHeight w:val="288"/>
        </w:trPr>
        <w:tc>
          <w:tcPr>
            <w:tcW w:w="1074" w:type="pct"/>
            <w:noWrap/>
            <w:hideMark/>
          </w:tcPr>
          <w:p w14:paraId="1CF7B8A0" w14:textId="77777777" w:rsidR="008A4566" w:rsidRPr="00A85956" w:rsidRDefault="008A4566" w:rsidP="00A85956">
            <w:pPr>
              <w:pStyle w:val="TableBody"/>
            </w:pPr>
            <w:r w:rsidRPr="00A85956">
              <w:t>2023</w:t>
            </w:r>
          </w:p>
        </w:tc>
        <w:tc>
          <w:tcPr>
            <w:tcW w:w="2683" w:type="pct"/>
            <w:noWrap/>
            <w:hideMark/>
          </w:tcPr>
          <w:p w14:paraId="3535B89F" w14:textId="77777777" w:rsidR="008A4566" w:rsidRPr="00A85956" w:rsidRDefault="008A4566" w:rsidP="00A85956">
            <w:pPr>
              <w:pStyle w:val="TableBody"/>
            </w:pPr>
            <w:r w:rsidRPr="00A85956">
              <w:t>1,898</w:t>
            </w:r>
          </w:p>
        </w:tc>
        <w:tc>
          <w:tcPr>
            <w:tcW w:w="1242" w:type="pct"/>
            <w:noWrap/>
            <w:hideMark/>
          </w:tcPr>
          <w:p w14:paraId="68F88C44" w14:textId="77777777" w:rsidR="008A4566" w:rsidRPr="00A85956" w:rsidRDefault="008A4566" w:rsidP="00A85956">
            <w:pPr>
              <w:pStyle w:val="TableBody"/>
            </w:pPr>
            <w:r w:rsidRPr="00A85956">
              <w:t>105</w:t>
            </w:r>
          </w:p>
        </w:tc>
      </w:tr>
      <w:tr w:rsidR="008A4566" w:rsidRPr="00E96B03" w14:paraId="33E69E49" w14:textId="77777777" w:rsidTr="00D429CA">
        <w:trPr>
          <w:trHeight w:val="288"/>
        </w:trPr>
        <w:tc>
          <w:tcPr>
            <w:tcW w:w="1074" w:type="pct"/>
            <w:noWrap/>
            <w:hideMark/>
          </w:tcPr>
          <w:p w14:paraId="41F8F50F" w14:textId="77777777" w:rsidR="008A4566" w:rsidRPr="00A85956" w:rsidRDefault="008A4566" w:rsidP="00A85956">
            <w:pPr>
              <w:pStyle w:val="TableBody"/>
            </w:pPr>
            <w:r w:rsidRPr="00A85956">
              <w:t>2024</w:t>
            </w:r>
          </w:p>
        </w:tc>
        <w:tc>
          <w:tcPr>
            <w:tcW w:w="2683" w:type="pct"/>
            <w:noWrap/>
            <w:hideMark/>
          </w:tcPr>
          <w:p w14:paraId="43DE0208" w14:textId="77777777" w:rsidR="008A4566" w:rsidRPr="00A85956" w:rsidRDefault="008A4566" w:rsidP="00A85956">
            <w:pPr>
              <w:pStyle w:val="TableBody"/>
            </w:pPr>
            <w:r w:rsidRPr="00A85956">
              <w:t>1,655</w:t>
            </w:r>
          </w:p>
        </w:tc>
        <w:tc>
          <w:tcPr>
            <w:tcW w:w="1242" w:type="pct"/>
            <w:noWrap/>
            <w:hideMark/>
          </w:tcPr>
          <w:p w14:paraId="3700C732" w14:textId="77777777" w:rsidR="008A4566" w:rsidRPr="00A85956" w:rsidRDefault="008A4566" w:rsidP="00A85956">
            <w:pPr>
              <w:pStyle w:val="TableBody"/>
            </w:pPr>
            <w:r w:rsidRPr="00A85956">
              <w:t>92</w:t>
            </w:r>
          </w:p>
        </w:tc>
      </w:tr>
    </w:tbl>
    <w:p w14:paraId="0EE83E06" w14:textId="77777777" w:rsidR="00A4454A" w:rsidRPr="008C1137" w:rsidRDefault="00A4454A" w:rsidP="00D4532A">
      <w:r w:rsidRPr="000C258A">
        <w:rPr>
          <w:rStyle w:val="Strong"/>
        </w:rPr>
        <w:t>Source</w:t>
      </w:r>
      <w:r w:rsidRPr="008C1137">
        <w:t>: Australian Bureau of Statistics,</w:t>
      </w:r>
      <w:r w:rsidRPr="008C1137">
        <w:rPr>
          <w:rStyle w:val="Italic"/>
        </w:rPr>
        <w:t xml:space="preserve"> Prisoners in Australia</w:t>
      </w:r>
      <w:r w:rsidRPr="008C1137">
        <w:t>, cat. no. 4517.0 (abs.gov.au, 2024) Table 20</w:t>
      </w:r>
    </w:p>
    <w:p w14:paraId="7EA02067" w14:textId="77777777" w:rsidR="00A4454A" w:rsidRPr="008C1137" w:rsidRDefault="00A4454A" w:rsidP="0002476E">
      <w:pPr>
        <w:pStyle w:val="Heading2"/>
      </w:pPr>
      <w:r w:rsidRPr="008C1137">
        <w:t>Age of Victorian prisoners</w:t>
      </w:r>
    </w:p>
    <w:p w14:paraId="60080068" w14:textId="27D240DB" w:rsidR="00A4454A" w:rsidRPr="008C1137" w:rsidRDefault="00A4454A" w:rsidP="00210207">
      <w:pPr>
        <w:pStyle w:val="Numbered"/>
      </w:pPr>
      <w:r w:rsidRPr="008C1137">
        <w:t>The median age of Victorian prisoners and the general Victorian population on 30 June each year is shown in Figure 46 . The median age of Victorian prisoners increased from 33.9 to 37.1 years. Much of the increase in the median age occurred over the last 5 years of our reference period, suggesting that the prison population has aged in recent years. At the same time, the median age of the general Victorian population remained relatively stable, growing by only 14 months over the 20-year period. Therefore, while the prison population has traditionally been younger than the general population,</w:t>
      </w:r>
      <w:r w:rsidRPr="008C1137">
        <w:rPr>
          <w:rStyle w:val="Superscript"/>
        </w:rPr>
        <w:footnoteReference w:id="145"/>
      </w:r>
      <w:r w:rsidRPr="008C1137">
        <w:t xml:space="preserve"> there is now a convergence of the two, with the prison population and the general population having almost the </w:t>
      </w:r>
      <w:r w:rsidRPr="003B3217">
        <w:rPr>
          <w:rStyle w:val="Italic"/>
        </w:rPr>
        <w:t>same</w:t>
      </w:r>
      <w:r w:rsidRPr="008C1137">
        <w:t xml:space="preserve"> median age on 30 June 2024.</w:t>
      </w:r>
    </w:p>
    <w:p w14:paraId="2E0492B0" w14:textId="77777777" w:rsidR="00A4454A" w:rsidRPr="008C1137" w:rsidRDefault="00A4454A" w:rsidP="00210207">
      <w:pPr>
        <w:pStyle w:val="Numbered"/>
      </w:pPr>
      <w:r w:rsidRPr="008C1137">
        <w:lastRenderedPageBreak/>
        <w:t>An aging prison population is not unique to Victoria.</w:t>
      </w:r>
      <w:r w:rsidRPr="008C1137">
        <w:rPr>
          <w:rStyle w:val="Superscript"/>
        </w:rPr>
        <w:footnoteReference w:id="146"/>
      </w:r>
      <w:r w:rsidRPr="008C1137">
        <w:t xml:space="preserve"> The Productivity Commission reported that Australia’s total prison population, while still younger than the general population, was also steadily aging, finding that in the 8 years to 2020, both the average and the median age of Australian prisoners increased by approximately 3 years (to 37.3 and 35.2 respectively).</w:t>
      </w:r>
    </w:p>
    <w:p w14:paraId="007C3BEA" w14:textId="77777777" w:rsidR="00A4454A" w:rsidRPr="008C1137" w:rsidRDefault="00A4454A" w:rsidP="00BE4EDC">
      <w:pPr>
        <w:pStyle w:val="Caption"/>
      </w:pPr>
      <w:r w:rsidRPr="00157502">
        <w:t>Figure 46</w:t>
      </w:r>
      <w:r w:rsidRPr="008C1137">
        <w:t>: Median age of Victorian prisoners and the general Victorian population on 30 June, 2005 to 2024</w:t>
      </w:r>
    </w:p>
    <w:tbl>
      <w:tblPr>
        <w:tblStyle w:val="Table"/>
        <w:tblW w:w="5000" w:type="pct"/>
        <w:tblLayout w:type="fixed"/>
        <w:tblLook w:val="04A0" w:firstRow="1" w:lastRow="0" w:firstColumn="1" w:lastColumn="0" w:noHBand="0" w:noVBand="1"/>
      </w:tblPr>
      <w:tblGrid>
        <w:gridCol w:w="3005"/>
        <w:gridCol w:w="3005"/>
        <w:gridCol w:w="3006"/>
      </w:tblGrid>
      <w:tr w:rsidR="00A53586" w:rsidRPr="00A53586" w14:paraId="3643D005" w14:textId="77777777" w:rsidTr="00E02102">
        <w:trPr>
          <w:trHeight w:val="288"/>
          <w:tblHeader/>
        </w:trPr>
        <w:tc>
          <w:tcPr>
            <w:tcW w:w="1666" w:type="pct"/>
            <w:noWrap/>
            <w:hideMark/>
          </w:tcPr>
          <w:p w14:paraId="3A7F193D" w14:textId="77777777" w:rsidR="00A53586" w:rsidRPr="00A53586" w:rsidRDefault="00A53586" w:rsidP="00E02102">
            <w:pPr>
              <w:pStyle w:val="TableHeading"/>
            </w:pPr>
            <w:r w:rsidRPr="00A53586">
              <w:t>Year (as at 30 June)</w:t>
            </w:r>
          </w:p>
        </w:tc>
        <w:tc>
          <w:tcPr>
            <w:tcW w:w="1666" w:type="pct"/>
            <w:noWrap/>
            <w:hideMark/>
          </w:tcPr>
          <w:p w14:paraId="1DA213D5" w14:textId="77777777" w:rsidR="00A53586" w:rsidRPr="00A53586" w:rsidRDefault="00A53586" w:rsidP="00E02102">
            <w:pPr>
              <w:pStyle w:val="TableHeading"/>
            </w:pPr>
            <w:r w:rsidRPr="00A53586">
              <w:t>General population of Victoria (median age)</w:t>
            </w:r>
          </w:p>
        </w:tc>
        <w:tc>
          <w:tcPr>
            <w:tcW w:w="1667" w:type="pct"/>
            <w:noWrap/>
            <w:hideMark/>
          </w:tcPr>
          <w:p w14:paraId="6DDF9AD5" w14:textId="4D868BA4" w:rsidR="00A53586" w:rsidRPr="00A53586" w:rsidRDefault="00A53586" w:rsidP="00E02102">
            <w:pPr>
              <w:pStyle w:val="TableHeading"/>
            </w:pPr>
            <w:r w:rsidRPr="00A53586">
              <w:t xml:space="preserve">Prison </w:t>
            </w:r>
            <w:r w:rsidR="00E02102" w:rsidRPr="00A53586">
              <w:t>population</w:t>
            </w:r>
            <w:r w:rsidRPr="00A53586">
              <w:t xml:space="preserve"> (median age)</w:t>
            </w:r>
          </w:p>
        </w:tc>
      </w:tr>
      <w:tr w:rsidR="00A53586" w:rsidRPr="00A53586" w14:paraId="6044F8DA" w14:textId="77777777" w:rsidTr="00E02102">
        <w:trPr>
          <w:trHeight w:val="288"/>
        </w:trPr>
        <w:tc>
          <w:tcPr>
            <w:tcW w:w="1666" w:type="pct"/>
            <w:noWrap/>
            <w:hideMark/>
          </w:tcPr>
          <w:p w14:paraId="76AC88E7" w14:textId="77777777" w:rsidR="00A53586" w:rsidRPr="00DD6F43" w:rsidRDefault="00A53586" w:rsidP="00DD6F43">
            <w:pPr>
              <w:pStyle w:val="TableBody"/>
            </w:pPr>
            <w:r w:rsidRPr="00DD6F43">
              <w:t>2005</w:t>
            </w:r>
          </w:p>
        </w:tc>
        <w:tc>
          <w:tcPr>
            <w:tcW w:w="1666" w:type="pct"/>
            <w:noWrap/>
            <w:hideMark/>
          </w:tcPr>
          <w:p w14:paraId="1282A715" w14:textId="77777777" w:rsidR="00A53586" w:rsidRPr="00DD6F43" w:rsidRDefault="00A53586" w:rsidP="00DD6F43">
            <w:pPr>
              <w:pStyle w:val="TableBody"/>
            </w:pPr>
            <w:r w:rsidRPr="00DD6F43">
              <w:t>36.6</w:t>
            </w:r>
          </w:p>
        </w:tc>
        <w:tc>
          <w:tcPr>
            <w:tcW w:w="1667" w:type="pct"/>
            <w:noWrap/>
            <w:hideMark/>
          </w:tcPr>
          <w:p w14:paraId="39507FD6" w14:textId="77777777" w:rsidR="00A53586" w:rsidRPr="00DD6F43" w:rsidRDefault="00A53586" w:rsidP="00DD6F43">
            <w:pPr>
              <w:pStyle w:val="TableBody"/>
            </w:pPr>
            <w:r w:rsidRPr="00DD6F43">
              <w:t>33.9</w:t>
            </w:r>
          </w:p>
        </w:tc>
      </w:tr>
      <w:tr w:rsidR="00A53586" w:rsidRPr="00A53586" w14:paraId="6E6E1627" w14:textId="77777777" w:rsidTr="00E02102">
        <w:trPr>
          <w:trHeight w:val="288"/>
        </w:trPr>
        <w:tc>
          <w:tcPr>
            <w:tcW w:w="1666" w:type="pct"/>
            <w:noWrap/>
            <w:hideMark/>
          </w:tcPr>
          <w:p w14:paraId="510BA14E" w14:textId="77777777" w:rsidR="00A53586" w:rsidRPr="00DD6F43" w:rsidRDefault="00A53586" w:rsidP="00DD6F43">
            <w:pPr>
              <w:pStyle w:val="TableBody"/>
            </w:pPr>
            <w:r w:rsidRPr="00DD6F43">
              <w:t>2006</w:t>
            </w:r>
          </w:p>
        </w:tc>
        <w:tc>
          <w:tcPr>
            <w:tcW w:w="1666" w:type="pct"/>
            <w:noWrap/>
            <w:hideMark/>
          </w:tcPr>
          <w:p w14:paraId="6F4711B5" w14:textId="77777777" w:rsidR="00A53586" w:rsidRPr="00DD6F43" w:rsidRDefault="00A53586" w:rsidP="00DD6F43">
            <w:pPr>
              <w:pStyle w:val="TableBody"/>
            </w:pPr>
            <w:r w:rsidRPr="00DD6F43">
              <w:t>36.8</w:t>
            </w:r>
          </w:p>
        </w:tc>
        <w:tc>
          <w:tcPr>
            <w:tcW w:w="1667" w:type="pct"/>
            <w:noWrap/>
            <w:hideMark/>
          </w:tcPr>
          <w:p w14:paraId="147F3056" w14:textId="77777777" w:rsidR="00A53586" w:rsidRPr="00DD6F43" w:rsidRDefault="00A53586" w:rsidP="00DD6F43">
            <w:pPr>
              <w:pStyle w:val="TableBody"/>
            </w:pPr>
            <w:r w:rsidRPr="00DD6F43">
              <w:t>34.1</w:t>
            </w:r>
          </w:p>
        </w:tc>
      </w:tr>
      <w:tr w:rsidR="00A53586" w:rsidRPr="00A53586" w14:paraId="71812413" w14:textId="77777777" w:rsidTr="00E02102">
        <w:trPr>
          <w:trHeight w:val="288"/>
        </w:trPr>
        <w:tc>
          <w:tcPr>
            <w:tcW w:w="1666" w:type="pct"/>
            <w:noWrap/>
            <w:hideMark/>
          </w:tcPr>
          <w:p w14:paraId="1054B7E1" w14:textId="77777777" w:rsidR="00A53586" w:rsidRPr="00DD6F43" w:rsidRDefault="00A53586" w:rsidP="00DD6F43">
            <w:pPr>
              <w:pStyle w:val="TableBody"/>
            </w:pPr>
            <w:r w:rsidRPr="00DD6F43">
              <w:t>2007</w:t>
            </w:r>
          </w:p>
        </w:tc>
        <w:tc>
          <w:tcPr>
            <w:tcW w:w="1666" w:type="pct"/>
            <w:noWrap/>
            <w:hideMark/>
          </w:tcPr>
          <w:p w14:paraId="44A3A6F7" w14:textId="77777777" w:rsidR="00A53586" w:rsidRPr="00DD6F43" w:rsidRDefault="00A53586" w:rsidP="00DD6F43">
            <w:pPr>
              <w:pStyle w:val="TableBody"/>
            </w:pPr>
            <w:r w:rsidRPr="00DD6F43">
              <w:t>36.9</w:t>
            </w:r>
          </w:p>
        </w:tc>
        <w:tc>
          <w:tcPr>
            <w:tcW w:w="1667" w:type="pct"/>
            <w:noWrap/>
            <w:hideMark/>
          </w:tcPr>
          <w:p w14:paraId="554920EE" w14:textId="77777777" w:rsidR="00A53586" w:rsidRPr="00DD6F43" w:rsidRDefault="00A53586" w:rsidP="00DD6F43">
            <w:pPr>
              <w:pStyle w:val="TableBody"/>
            </w:pPr>
            <w:r w:rsidRPr="00DD6F43">
              <w:t>34.6</w:t>
            </w:r>
          </w:p>
        </w:tc>
      </w:tr>
      <w:tr w:rsidR="00A53586" w:rsidRPr="00A53586" w14:paraId="2F751C12" w14:textId="77777777" w:rsidTr="00E02102">
        <w:trPr>
          <w:trHeight w:val="288"/>
        </w:trPr>
        <w:tc>
          <w:tcPr>
            <w:tcW w:w="1666" w:type="pct"/>
            <w:noWrap/>
            <w:hideMark/>
          </w:tcPr>
          <w:p w14:paraId="0251D009" w14:textId="77777777" w:rsidR="00A53586" w:rsidRPr="00DD6F43" w:rsidRDefault="00A53586" w:rsidP="00DD6F43">
            <w:pPr>
              <w:pStyle w:val="TableBody"/>
            </w:pPr>
            <w:r w:rsidRPr="00DD6F43">
              <w:t>2008</w:t>
            </w:r>
          </w:p>
        </w:tc>
        <w:tc>
          <w:tcPr>
            <w:tcW w:w="1666" w:type="pct"/>
            <w:noWrap/>
            <w:hideMark/>
          </w:tcPr>
          <w:p w14:paraId="6FA4085E" w14:textId="77777777" w:rsidR="00A53586" w:rsidRPr="00DD6F43" w:rsidRDefault="00A53586" w:rsidP="00DD6F43">
            <w:pPr>
              <w:pStyle w:val="TableBody"/>
            </w:pPr>
            <w:r w:rsidRPr="00DD6F43">
              <w:t>36.9</w:t>
            </w:r>
          </w:p>
        </w:tc>
        <w:tc>
          <w:tcPr>
            <w:tcW w:w="1667" w:type="pct"/>
            <w:noWrap/>
            <w:hideMark/>
          </w:tcPr>
          <w:p w14:paraId="02E1E75A" w14:textId="77777777" w:rsidR="00A53586" w:rsidRPr="00DD6F43" w:rsidRDefault="00A53586" w:rsidP="00DD6F43">
            <w:pPr>
              <w:pStyle w:val="TableBody"/>
            </w:pPr>
            <w:r w:rsidRPr="00DD6F43">
              <w:t>35.3</w:t>
            </w:r>
          </w:p>
        </w:tc>
      </w:tr>
      <w:tr w:rsidR="00A53586" w:rsidRPr="00A53586" w14:paraId="49F1BDDE" w14:textId="77777777" w:rsidTr="00E02102">
        <w:trPr>
          <w:trHeight w:val="288"/>
        </w:trPr>
        <w:tc>
          <w:tcPr>
            <w:tcW w:w="1666" w:type="pct"/>
            <w:noWrap/>
            <w:hideMark/>
          </w:tcPr>
          <w:p w14:paraId="3AC2B71B" w14:textId="77777777" w:rsidR="00A53586" w:rsidRPr="00DD6F43" w:rsidRDefault="00A53586" w:rsidP="00DD6F43">
            <w:pPr>
              <w:pStyle w:val="TableBody"/>
            </w:pPr>
            <w:r w:rsidRPr="00DD6F43">
              <w:t>2009</w:t>
            </w:r>
          </w:p>
        </w:tc>
        <w:tc>
          <w:tcPr>
            <w:tcW w:w="1666" w:type="pct"/>
            <w:noWrap/>
            <w:hideMark/>
          </w:tcPr>
          <w:p w14:paraId="60FB5E30" w14:textId="77777777" w:rsidR="00A53586" w:rsidRPr="00DD6F43" w:rsidRDefault="00A53586" w:rsidP="00DD6F43">
            <w:pPr>
              <w:pStyle w:val="TableBody"/>
            </w:pPr>
            <w:r w:rsidRPr="00DD6F43">
              <w:t>36.9</w:t>
            </w:r>
          </w:p>
        </w:tc>
        <w:tc>
          <w:tcPr>
            <w:tcW w:w="1667" w:type="pct"/>
            <w:noWrap/>
            <w:hideMark/>
          </w:tcPr>
          <w:p w14:paraId="2659467C" w14:textId="77777777" w:rsidR="00A53586" w:rsidRPr="00DD6F43" w:rsidRDefault="00A53586" w:rsidP="00DD6F43">
            <w:pPr>
              <w:pStyle w:val="TableBody"/>
            </w:pPr>
            <w:r w:rsidRPr="00DD6F43">
              <w:t>35.6</w:t>
            </w:r>
          </w:p>
        </w:tc>
      </w:tr>
      <w:tr w:rsidR="00A53586" w:rsidRPr="00A53586" w14:paraId="2065F3E5" w14:textId="77777777" w:rsidTr="00E02102">
        <w:trPr>
          <w:trHeight w:val="288"/>
        </w:trPr>
        <w:tc>
          <w:tcPr>
            <w:tcW w:w="1666" w:type="pct"/>
            <w:noWrap/>
            <w:hideMark/>
          </w:tcPr>
          <w:p w14:paraId="5A0DB7AD" w14:textId="77777777" w:rsidR="00A53586" w:rsidRPr="00DD6F43" w:rsidRDefault="00A53586" w:rsidP="00DD6F43">
            <w:pPr>
              <w:pStyle w:val="TableBody"/>
            </w:pPr>
            <w:r w:rsidRPr="00DD6F43">
              <w:t>2010</w:t>
            </w:r>
          </w:p>
        </w:tc>
        <w:tc>
          <w:tcPr>
            <w:tcW w:w="1666" w:type="pct"/>
            <w:noWrap/>
            <w:hideMark/>
          </w:tcPr>
          <w:p w14:paraId="1A273017" w14:textId="77777777" w:rsidR="00A53586" w:rsidRPr="00DD6F43" w:rsidRDefault="00A53586" w:rsidP="00DD6F43">
            <w:pPr>
              <w:pStyle w:val="TableBody"/>
            </w:pPr>
            <w:r w:rsidRPr="00DD6F43">
              <w:t>37.1</w:t>
            </w:r>
          </w:p>
        </w:tc>
        <w:tc>
          <w:tcPr>
            <w:tcW w:w="1667" w:type="pct"/>
            <w:noWrap/>
            <w:hideMark/>
          </w:tcPr>
          <w:p w14:paraId="6C6CAE41" w14:textId="77777777" w:rsidR="00A53586" w:rsidRPr="00DD6F43" w:rsidRDefault="00A53586" w:rsidP="00DD6F43">
            <w:pPr>
              <w:pStyle w:val="TableBody"/>
            </w:pPr>
            <w:r w:rsidRPr="00DD6F43">
              <w:t>35.4</w:t>
            </w:r>
          </w:p>
        </w:tc>
      </w:tr>
      <w:tr w:rsidR="00A53586" w:rsidRPr="00A53586" w14:paraId="4FB2E4B2" w14:textId="77777777" w:rsidTr="00E02102">
        <w:trPr>
          <w:trHeight w:val="288"/>
        </w:trPr>
        <w:tc>
          <w:tcPr>
            <w:tcW w:w="1666" w:type="pct"/>
            <w:noWrap/>
            <w:hideMark/>
          </w:tcPr>
          <w:p w14:paraId="024A4A79" w14:textId="77777777" w:rsidR="00A53586" w:rsidRPr="00DD6F43" w:rsidRDefault="00A53586" w:rsidP="00DD6F43">
            <w:pPr>
              <w:pStyle w:val="TableBody"/>
            </w:pPr>
            <w:r w:rsidRPr="00DD6F43">
              <w:t>2011</w:t>
            </w:r>
          </w:p>
        </w:tc>
        <w:tc>
          <w:tcPr>
            <w:tcW w:w="1666" w:type="pct"/>
            <w:noWrap/>
            <w:hideMark/>
          </w:tcPr>
          <w:p w14:paraId="633596E3" w14:textId="77777777" w:rsidR="00A53586" w:rsidRPr="00DD6F43" w:rsidRDefault="00A53586" w:rsidP="00DD6F43">
            <w:pPr>
              <w:pStyle w:val="TableBody"/>
            </w:pPr>
            <w:r w:rsidRPr="00DD6F43">
              <w:t>37.2</w:t>
            </w:r>
          </w:p>
        </w:tc>
        <w:tc>
          <w:tcPr>
            <w:tcW w:w="1667" w:type="pct"/>
            <w:noWrap/>
            <w:hideMark/>
          </w:tcPr>
          <w:p w14:paraId="19EA61B4" w14:textId="77777777" w:rsidR="00A53586" w:rsidRPr="00DD6F43" w:rsidRDefault="00A53586" w:rsidP="00DD6F43">
            <w:pPr>
              <w:pStyle w:val="TableBody"/>
            </w:pPr>
            <w:r w:rsidRPr="00DD6F43">
              <w:t>35.4</w:t>
            </w:r>
          </w:p>
        </w:tc>
      </w:tr>
      <w:tr w:rsidR="00A53586" w:rsidRPr="00A53586" w14:paraId="59117722" w14:textId="77777777" w:rsidTr="00E02102">
        <w:trPr>
          <w:trHeight w:val="288"/>
        </w:trPr>
        <w:tc>
          <w:tcPr>
            <w:tcW w:w="1666" w:type="pct"/>
            <w:noWrap/>
            <w:hideMark/>
          </w:tcPr>
          <w:p w14:paraId="1CFC643F" w14:textId="77777777" w:rsidR="00A53586" w:rsidRPr="00DD6F43" w:rsidRDefault="00A53586" w:rsidP="00DD6F43">
            <w:pPr>
              <w:pStyle w:val="TableBody"/>
            </w:pPr>
            <w:r w:rsidRPr="00DD6F43">
              <w:t>2012</w:t>
            </w:r>
          </w:p>
        </w:tc>
        <w:tc>
          <w:tcPr>
            <w:tcW w:w="1666" w:type="pct"/>
            <w:noWrap/>
            <w:hideMark/>
          </w:tcPr>
          <w:p w14:paraId="71C99EF1" w14:textId="77777777" w:rsidR="00A53586" w:rsidRPr="00DD6F43" w:rsidRDefault="00A53586" w:rsidP="00DD6F43">
            <w:pPr>
              <w:pStyle w:val="TableBody"/>
            </w:pPr>
            <w:r w:rsidRPr="00DD6F43">
              <w:t>37.2</w:t>
            </w:r>
          </w:p>
        </w:tc>
        <w:tc>
          <w:tcPr>
            <w:tcW w:w="1667" w:type="pct"/>
            <w:noWrap/>
            <w:hideMark/>
          </w:tcPr>
          <w:p w14:paraId="5EE3827A" w14:textId="77777777" w:rsidR="00A53586" w:rsidRPr="00DD6F43" w:rsidRDefault="00A53586" w:rsidP="00DD6F43">
            <w:pPr>
              <w:pStyle w:val="TableBody"/>
            </w:pPr>
            <w:r w:rsidRPr="00DD6F43">
              <w:t>35.3</w:t>
            </w:r>
          </w:p>
        </w:tc>
      </w:tr>
      <w:tr w:rsidR="00A53586" w:rsidRPr="00A53586" w14:paraId="6EC87947" w14:textId="77777777" w:rsidTr="00E02102">
        <w:trPr>
          <w:trHeight w:val="288"/>
        </w:trPr>
        <w:tc>
          <w:tcPr>
            <w:tcW w:w="1666" w:type="pct"/>
            <w:noWrap/>
            <w:hideMark/>
          </w:tcPr>
          <w:p w14:paraId="0E143403" w14:textId="77777777" w:rsidR="00A53586" w:rsidRPr="00DD6F43" w:rsidRDefault="00A53586" w:rsidP="00DD6F43">
            <w:pPr>
              <w:pStyle w:val="TableBody"/>
            </w:pPr>
            <w:r w:rsidRPr="00DD6F43">
              <w:t>2013</w:t>
            </w:r>
          </w:p>
        </w:tc>
        <w:tc>
          <w:tcPr>
            <w:tcW w:w="1666" w:type="pct"/>
            <w:noWrap/>
            <w:hideMark/>
          </w:tcPr>
          <w:p w14:paraId="289FD966" w14:textId="77777777" w:rsidR="00A53586" w:rsidRPr="00DD6F43" w:rsidRDefault="00A53586" w:rsidP="00DD6F43">
            <w:pPr>
              <w:pStyle w:val="TableBody"/>
            </w:pPr>
            <w:r w:rsidRPr="00DD6F43">
              <w:t>37.2</w:t>
            </w:r>
          </w:p>
        </w:tc>
        <w:tc>
          <w:tcPr>
            <w:tcW w:w="1667" w:type="pct"/>
            <w:noWrap/>
            <w:hideMark/>
          </w:tcPr>
          <w:p w14:paraId="1763E803" w14:textId="77777777" w:rsidR="00A53586" w:rsidRPr="00DD6F43" w:rsidRDefault="00A53586" w:rsidP="00DD6F43">
            <w:pPr>
              <w:pStyle w:val="TableBody"/>
            </w:pPr>
            <w:r w:rsidRPr="00DD6F43">
              <w:t>35.3</w:t>
            </w:r>
          </w:p>
        </w:tc>
      </w:tr>
      <w:tr w:rsidR="00A53586" w:rsidRPr="00A53586" w14:paraId="0A167D12" w14:textId="77777777" w:rsidTr="00E02102">
        <w:trPr>
          <w:trHeight w:val="288"/>
        </w:trPr>
        <w:tc>
          <w:tcPr>
            <w:tcW w:w="1666" w:type="pct"/>
            <w:noWrap/>
            <w:hideMark/>
          </w:tcPr>
          <w:p w14:paraId="1BE18FDB" w14:textId="77777777" w:rsidR="00A53586" w:rsidRPr="00DD6F43" w:rsidRDefault="00A53586" w:rsidP="00DD6F43">
            <w:pPr>
              <w:pStyle w:val="TableBody"/>
            </w:pPr>
            <w:r w:rsidRPr="00DD6F43">
              <w:t>2014</w:t>
            </w:r>
          </w:p>
        </w:tc>
        <w:tc>
          <w:tcPr>
            <w:tcW w:w="1666" w:type="pct"/>
            <w:noWrap/>
            <w:hideMark/>
          </w:tcPr>
          <w:p w14:paraId="5B9F594C" w14:textId="77777777" w:rsidR="00A53586" w:rsidRPr="00DD6F43" w:rsidRDefault="00A53586" w:rsidP="00DD6F43">
            <w:pPr>
              <w:pStyle w:val="TableBody"/>
            </w:pPr>
            <w:r w:rsidRPr="00DD6F43">
              <w:t>37.1</w:t>
            </w:r>
          </w:p>
        </w:tc>
        <w:tc>
          <w:tcPr>
            <w:tcW w:w="1667" w:type="pct"/>
            <w:noWrap/>
            <w:hideMark/>
          </w:tcPr>
          <w:p w14:paraId="0B31A1BD" w14:textId="77777777" w:rsidR="00A53586" w:rsidRPr="00DD6F43" w:rsidRDefault="00A53586" w:rsidP="00DD6F43">
            <w:pPr>
              <w:pStyle w:val="TableBody"/>
            </w:pPr>
            <w:r w:rsidRPr="00DD6F43">
              <w:t>35.5</w:t>
            </w:r>
          </w:p>
        </w:tc>
      </w:tr>
      <w:tr w:rsidR="00A53586" w:rsidRPr="00A53586" w14:paraId="58EFFBFD" w14:textId="77777777" w:rsidTr="00E02102">
        <w:trPr>
          <w:trHeight w:val="288"/>
        </w:trPr>
        <w:tc>
          <w:tcPr>
            <w:tcW w:w="1666" w:type="pct"/>
            <w:noWrap/>
            <w:hideMark/>
          </w:tcPr>
          <w:p w14:paraId="1BC8D1DD" w14:textId="77777777" w:rsidR="00A53586" w:rsidRPr="00DD6F43" w:rsidRDefault="00A53586" w:rsidP="00DD6F43">
            <w:pPr>
              <w:pStyle w:val="TableBody"/>
            </w:pPr>
            <w:r w:rsidRPr="00DD6F43">
              <w:t>2015</w:t>
            </w:r>
          </w:p>
        </w:tc>
        <w:tc>
          <w:tcPr>
            <w:tcW w:w="1666" w:type="pct"/>
            <w:noWrap/>
            <w:hideMark/>
          </w:tcPr>
          <w:p w14:paraId="4DC4C2DC" w14:textId="77777777" w:rsidR="00A53586" w:rsidRPr="00DD6F43" w:rsidRDefault="00A53586" w:rsidP="00DD6F43">
            <w:pPr>
              <w:pStyle w:val="TableBody"/>
            </w:pPr>
            <w:r w:rsidRPr="00DD6F43">
              <w:t>37.0</w:t>
            </w:r>
          </w:p>
        </w:tc>
        <w:tc>
          <w:tcPr>
            <w:tcW w:w="1667" w:type="pct"/>
            <w:noWrap/>
            <w:hideMark/>
          </w:tcPr>
          <w:p w14:paraId="10744E64" w14:textId="77777777" w:rsidR="00A53586" w:rsidRPr="00DD6F43" w:rsidRDefault="00A53586" w:rsidP="00DD6F43">
            <w:pPr>
              <w:pStyle w:val="TableBody"/>
            </w:pPr>
            <w:r w:rsidRPr="00DD6F43">
              <w:t>35.6</w:t>
            </w:r>
          </w:p>
        </w:tc>
      </w:tr>
      <w:tr w:rsidR="00A53586" w:rsidRPr="00A53586" w14:paraId="2B845FF9" w14:textId="77777777" w:rsidTr="00E02102">
        <w:trPr>
          <w:trHeight w:val="288"/>
        </w:trPr>
        <w:tc>
          <w:tcPr>
            <w:tcW w:w="1666" w:type="pct"/>
            <w:noWrap/>
            <w:hideMark/>
          </w:tcPr>
          <w:p w14:paraId="09A2F274" w14:textId="77777777" w:rsidR="00A53586" w:rsidRPr="00DD6F43" w:rsidRDefault="00A53586" w:rsidP="00DD6F43">
            <w:pPr>
              <w:pStyle w:val="TableBody"/>
            </w:pPr>
            <w:r w:rsidRPr="00DD6F43">
              <w:t>2016</w:t>
            </w:r>
          </w:p>
        </w:tc>
        <w:tc>
          <w:tcPr>
            <w:tcW w:w="1666" w:type="pct"/>
            <w:noWrap/>
            <w:hideMark/>
          </w:tcPr>
          <w:p w14:paraId="58233E0F" w14:textId="77777777" w:rsidR="00A53586" w:rsidRPr="00DD6F43" w:rsidRDefault="00A53586" w:rsidP="00DD6F43">
            <w:pPr>
              <w:pStyle w:val="TableBody"/>
            </w:pPr>
            <w:r w:rsidRPr="00DD6F43">
              <w:t>36.9</w:t>
            </w:r>
          </w:p>
        </w:tc>
        <w:tc>
          <w:tcPr>
            <w:tcW w:w="1667" w:type="pct"/>
            <w:noWrap/>
            <w:hideMark/>
          </w:tcPr>
          <w:p w14:paraId="5B10B88A" w14:textId="77777777" w:rsidR="00A53586" w:rsidRPr="00DD6F43" w:rsidRDefault="00A53586" w:rsidP="00DD6F43">
            <w:pPr>
              <w:pStyle w:val="TableBody"/>
            </w:pPr>
            <w:r w:rsidRPr="00DD6F43">
              <w:t>35.7</w:t>
            </w:r>
          </w:p>
        </w:tc>
      </w:tr>
      <w:tr w:rsidR="00A53586" w:rsidRPr="00A53586" w14:paraId="51A1AA86" w14:textId="77777777" w:rsidTr="00E02102">
        <w:trPr>
          <w:trHeight w:val="288"/>
        </w:trPr>
        <w:tc>
          <w:tcPr>
            <w:tcW w:w="1666" w:type="pct"/>
            <w:noWrap/>
            <w:hideMark/>
          </w:tcPr>
          <w:p w14:paraId="1062A522" w14:textId="77777777" w:rsidR="00A53586" w:rsidRPr="00DD6F43" w:rsidRDefault="00A53586" w:rsidP="00DD6F43">
            <w:pPr>
              <w:pStyle w:val="TableBody"/>
            </w:pPr>
            <w:r w:rsidRPr="00DD6F43">
              <w:t>2017</w:t>
            </w:r>
          </w:p>
        </w:tc>
        <w:tc>
          <w:tcPr>
            <w:tcW w:w="1666" w:type="pct"/>
            <w:noWrap/>
            <w:hideMark/>
          </w:tcPr>
          <w:p w14:paraId="60F8A376" w14:textId="77777777" w:rsidR="00A53586" w:rsidRPr="00DD6F43" w:rsidRDefault="00A53586" w:rsidP="00DD6F43">
            <w:pPr>
              <w:pStyle w:val="TableBody"/>
            </w:pPr>
            <w:r w:rsidRPr="00DD6F43">
              <w:t>36.8</w:t>
            </w:r>
          </w:p>
        </w:tc>
        <w:tc>
          <w:tcPr>
            <w:tcW w:w="1667" w:type="pct"/>
            <w:noWrap/>
            <w:hideMark/>
          </w:tcPr>
          <w:p w14:paraId="3DA3D7FC" w14:textId="77777777" w:rsidR="00A53586" w:rsidRPr="00DD6F43" w:rsidRDefault="00A53586" w:rsidP="00DD6F43">
            <w:pPr>
              <w:pStyle w:val="TableBody"/>
            </w:pPr>
            <w:r w:rsidRPr="00DD6F43">
              <w:t>35.4</w:t>
            </w:r>
          </w:p>
        </w:tc>
      </w:tr>
      <w:tr w:rsidR="00A53586" w:rsidRPr="00A53586" w14:paraId="57E002F7" w14:textId="77777777" w:rsidTr="00E02102">
        <w:trPr>
          <w:trHeight w:val="288"/>
        </w:trPr>
        <w:tc>
          <w:tcPr>
            <w:tcW w:w="1666" w:type="pct"/>
            <w:noWrap/>
            <w:hideMark/>
          </w:tcPr>
          <w:p w14:paraId="4217B790" w14:textId="77777777" w:rsidR="00A53586" w:rsidRPr="00DD6F43" w:rsidRDefault="00A53586" w:rsidP="00DD6F43">
            <w:pPr>
              <w:pStyle w:val="TableBody"/>
            </w:pPr>
            <w:r w:rsidRPr="00DD6F43">
              <w:t>2018</w:t>
            </w:r>
          </w:p>
        </w:tc>
        <w:tc>
          <w:tcPr>
            <w:tcW w:w="1666" w:type="pct"/>
            <w:noWrap/>
            <w:hideMark/>
          </w:tcPr>
          <w:p w14:paraId="01D63807" w14:textId="77777777" w:rsidR="00A53586" w:rsidRPr="00DD6F43" w:rsidRDefault="00A53586" w:rsidP="00DD6F43">
            <w:pPr>
              <w:pStyle w:val="TableBody"/>
            </w:pPr>
            <w:r w:rsidRPr="00DD6F43">
              <w:t>36.8</w:t>
            </w:r>
          </w:p>
        </w:tc>
        <w:tc>
          <w:tcPr>
            <w:tcW w:w="1667" w:type="pct"/>
            <w:noWrap/>
            <w:hideMark/>
          </w:tcPr>
          <w:p w14:paraId="12300943" w14:textId="77777777" w:rsidR="00A53586" w:rsidRPr="00DD6F43" w:rsidRDefault="00A53586" w:rsidP="00DD6F43">
            <w:pPr>
              <w:pStyle w:val="TableBody"/>
            </w:pPr>
            <w:r w:rsidRPr="00DD6F43">
              <w:t>35.4</w:t>
            </w:r>
          </w:p>
        </w:tc>
      </w:tr>
      <w:tr w:rsidR="00A53586" w:rsidRPr="00A53586" w14:paraId="388CD897" w14:textId="77777777" w:rsidTr="00E02102">
        <w:trPr>
          <w:trHeight w:val="288"/>
        </w:trPr>
        <w:tc>
          <w:tcPr>
            <w:tcW w:w="1666" w:type="pct"/>
            <w:noWrap/>
            <w:hideMark/>
          </w:tcPr>
          <w:p w14:paraId="47DEB458" w14:textId="77777777" w:rsidR="00A53586" w:rsidRPr="00DD6F43" w:rsidRDefault="00A53586" w:rsidP="00DD6F43">
            <w:pPr>
              <w:pStyle w:val="TableBody"/>
            </w:pPr>
            <w:r w:rsidRPr="00DD6F43">
              <w:t>2019</w:t>
            </w:r>
          </w:p>
        </w:tc>
        <w:tc>
          <w:tcPr>
            <w:tcW w:w="1666" w:type="pct"/>
            <w:noWrap/>
            <w:hideMark/>
          </w:tcPr>
          <w:p w14:paraId="730D2E85" w14:textId="77777777" w:rsidR="00A53586" w:rsidRPr="00DD6F43" w:rsidRDefault="00A53586" w:rsidP="00DD6F43">
            <w:pPr>
              <w:pStyle w:val="TableBody"/>
            </w:pPr>
            <w:r w:rsidRPr="00DD6F43">
              <w:t>36.9</w:t>
            </w:r>
          </w:p>
        </w:tc>
        <w:tc>
          <w:tcPr>
            <w:tcW w:w="1667" w:type="pct"/>
            <w:noWrap/>
            <w:hideMark/>
          </w:tcPr>
          <w:p w14:paraId="5BBE8F50" w14:textId="77777777" w:rsidR="00A53586" w:rsidRPr="00DD6F43" w:rsidRDefault="00A53586" w:rsidP="00DD6F43">
            <w:pPr>
              <w:pStyle w:val="TableBody"/>
            </w:pPr>
            <w:r w:rsidRPr="00DD6F43">
              <w:t>35.3</w:t>
            </w:r>
          </w:p>
        </w:tc>
      </w:tr>
      <w:tr w:rsidR="00A53586" w:rsidRPr="00A53586" w14:paraId="6C45BD85" w14:textId="77777777" w:rsidTr="00E02102">
        <w:trPr>
          <w:trHeight w:val="288"/>
        </w:trPr>
        <w:tc>
          <w:tcPr>
            <w:tcW w:w="1666" w:type="pct"/>
            <w:noWrap/>
            <w:hideMark/>
          </w:tcPr>
          <w:p w14:paraId="0E5DDB3F" w14:textId="77777777" w:rsidR="00A53586" w:rsidRPr="00DD6F43" w:rsidRDefault="00A53586" w:rsidP="00DD6F43">
            <w:pPr>
              <w:pStyle w:val="TableBody"/>
            </w:pPr>
            <w:r w:rsidRPr="00DD6F43">
              <w:t>2020</w:t>
            </w:r>
          </w:p>
        </w:tc>
        <w:tc>
          <w:tcPr>
            <w:tcW w:w="1666" w:type="pct"/>
            <w:noWrap/>
            <w:hideMark/>
          </w:tcPr>
          <w:p w14:paraId="327C0CDB" w14:textId="77777777" w:rsidR="00A53586" w:rsidRPr="00DD6F43" w:rsidRDefault="00A53586" w:rsidP="00DD6F43">
            <w:pPr>
              <w:pStyle w:val="TableBody"/>
            </w:pPr>
            <w:r w:rsidRPr="00DD6F43">
              <w:t>37.3</w:t>
            </w:r>
          </w:p>
        </w:tc>
        <w:tc>
          <w:tcPr>
            <w:tcW w:w="1667" w:type="pct"/>
            <w:noWrap/>
            <w:hideMark/>
          </w:tcPr>
          <w:p w14:paraId="5C05F99C" w14:textId="77777777" w:rsidR="00A53586" w:rsidRPr="00DD6F43" w:rsidRDefault="00A53586" w:rsidP="00DD6F43">
            <w:pPr>
              <w:pStyle w:val="TableBody"/>
            </w:pPr>
            <w:r w:rsidRPr="00DD6F43">
              <w:t>35.6</w:t>
            </w:r>
          </w:p>
        </w:tc>
      </w:tr>
      <w:tr w:rsidR="00A53586" w:rsidRPr="00A53586" w14:paraId="3ACCD4FD" w14:textId="77777777" w:rsidTr="00E02102">
        <w:trPr>
          <w:trHeight w:val="288"/>
        </w:trPr>
        <w:tc>
          <w:tcPr>
            <w:tcW w:w="1666" w:type="pct"/>
            <w:noWrap/>
            <w:hideMark/>
          </w:tcPr>
          <w:p w14:paraId="4A848E14" w14:textId="77777777" w:rsidR="00A53586" w:rsidRPr="00DD6F43" w:rsidRDefault="00A53586" w:rsidP="00DD6F43">
            <w:pPr>
              <w:pStyle w:val="TableBody"/>
            </w:pPr>
            <w:r w:rsidRPr="00DD6F43">
              <w:t>2021</w:t>
            </w:r>
          </w:p>
        </w:tc>
        <w:tc>
          <w:tcPr>
            <w:tcW w:w="1666" w:type="pct"/>
            <w:noWrap/>
            <w:hideMark/>
          </w:tcPr>
          <w:p w14:paraId="1A6276F3" w14:textId="77777777" w:rsidR="00A53586" w:rsidRPr="00DD6F43" w:rsidRDefault="00A53586" w:rsidP="00DD6F43">
            <w:pPr>
              <w:pStyle w:val="TableBody"/>
            </w:pPr>
            <w:r w:rsidRPr="00DD6F43">
              <w:t>37.9</w:t>
            </w:r>
          </w:p>
        </w:tc>
        <w:tc>
          <w:tcPr>
            <w:tcW w:w="1667" w:type="pct"/>
            <w:noWrap/>
            <w:hideMark/>
          </w:tcPr>
          <w:p w14:paraId="4E7A098A" w14:textId="77777777" w:rsidR="00A53586" w:rsidRPr="00DD6F43" w:rsidRDefault="00A53586" w:rsidP="00DD6F43">
            <w:pPr>
              <w:pStyle w:val="TableBody"/>
            </w:pPr>
            <w:r w:rsidRPr="00DD6F43">
              <w:t>35.8</w:t>
            </w:r>
          </w:p>
        </w:tc>
      </w:tr>
      <w:tr w:rsidR="00A53586" w:rsidRPr="00A53586" w14:paraId="00788AAB" w14:textId="77777777" w:rsidTr="00E02102">
        <w:trPr>
          <w:trHeight w:val="288"/>
        </w:trPr>
        <w:tc>
          <w:tcPr>
            <w:tcW w:w="1666" w:type="pct"/>
            <w:noWrap/>
            <w:hideMark/>
          </w:tcPr>
          <w:p w14:paraId="5F13D04A" w14:textId="77777777" w:rsidR="00A53586" w:rsidRPr="00DD6F43" w:rsidRDefault="00A53586" w:rsidP="00DD6F43">
            <w:pPr>
              <w:pStyle w:val="TableBody"/>
            </w:pPr>
            <w:r w:rsidRPr="00DD6F43">
              <w:t>2022</w:t>
            </w:r>
          </w:p>
        </w:tc>
        <w:tc>
          <w:tcPr>
            <w:tcW w:w="1666" w:type="pct"/>
            <w:noWrap/>
            <w:hideMark/>
          </w:tcPr>
          <w:p w14:paraId="7A704A28" w14:textId="77777777" w:rsidR="00A53586" w:rsidRPr="00DD6F43" w:rsidRDefault="00A53586" w:rsidP="00DD6F43">
            <w:pPr>
              <w:pStyle w:val="TableBody"/>
            </w:pPr>
            <w:r w:rsidRPr="00DD6F43">
              <w:t>38.0</w:t>
            </w:r>
          </w:p>
        </w:tc>
        <w:tc>
          <w:tcPr>
            <w:tcW w:w="1667" w:type="pct"/>
            <w:noWrap/>
            <w:hideMark/>
          </w:tcPr>
          <w:p w14:paraId="40D9D977" w14:textId="77777777" w:rsidR="00A53586" w:rsidRPr="00DD6F43" w:rsidRDefault="00A53586" w:rsidP="00DD6F43">
            <w:pPr>
              <w:pStyle w:val="TableBody"/>
            </w:pPr>
            <w:r w:rsidRPr="00DD6F43">
              <w:t>36.2</w:t>
            </w:r>
          </w:p>
        </w:tc>
      </w:tr>
      <w:tr w:rsidR="00A53586" w:rsidRPr="00A53586" w14:paraId="26885F97" w14:textId="77777777" w:rsidTr="00E02102">
        <w:trPr>
          <w:trHeight w:val="288"/>
        </w:trPr>
        <w:tc>
          <w:tcPr>
            <w:tcW w:w="1666" w:type="pct"/>
            <w:noWrap/>
            <w:hideMark/>
          </w:tcPr>
          <w:p w14:paraId="2B6C6CD5" w14:textId="77777777" w:rsidR="00A53586" w:rsidRPr="00DD6F43" w:rsidRDefault="00A53586" w:rsidP="00DD6F43">
            <w:pPr>
              <w:pStyle w:val="TableBody"/>
            </w:pPr>
            <w:r w:rsidRPr="00DD6F43">
              <w:t>2023</w:t>
            </w:r>
          </w:p>
        </w:tc>
        <w:tc>
          <w:tcPr>
            <w:tcW w:w="1666" w:type="pct"/>
            <w:noWrap/>
            <w:hideMark/>
          </w:tcPr>
          <w:p w14:paraId="54C77D4C" w14:textId="77777777" w:rsidR="00A53586" w:rsidRPr="00DD6F43" w:rsidRDefault="00A53586" w:rsidP="00DD6F43">
            <w:pPr>
              <w:pStyle w:val="TableBody"/>
            </w:pPr>
            <w:r w:rsidRPr="00DD6F43">
              <w:t>37.8</w:t>
            </w:r>
          </w:p>
        </w:tc>
        <w:tc>
          <w:tcPr>
            <w:tcW w:w="1667" w:type="pct"/>
            <w:noWrap/>
            <w:hideMark/>
          </w:tcPr>
          <w:p w14:paraId="041EA40E" w14:textId="77777777" w:rsidR="00A53586" w:rsidRPr="00DD6F43" w:rsidRDefault="00A53586" w:rsidP="00DD6F43">
            <w:pPr>
              <w:pStyle w:val="TableBody"/>
            </w:pPr>
            <w:r w:rsidRPr="00DD6F43">
              <w:t>36.6</w:t>
            </w:r>
          </w:p>
        </w:tc>
      </w:tr>
      <w:tr w:rsidR="00A53586" w:rsidRPr="00A53586" w14:paraId="3535B489" w14:textId="77777777" w:rsidTr="00E02102">
        <w:trPr>
          <w:trHeight w:val="288"/>
        </w:trPr>
        <w:tc>
          <w:tcPr>
            <w:tcW w:w="1666" w:type="pct"/>
            <w:noWrap/>
            <w:hideMark/>
          </w:tcPr>
          <w:p w14:paraId="58C7E7AA" w14:textId="77777777" w:rsidR="00A53586" w:rsidRPr="00DD6F43" w:rsidRDefault="00A53586" w:rsidP="00DD6F43">
            <w:pPr>
              <w:pStyle w:val="TableBody"/>
            </w:pPr>
            <w:r w:rsidRPr="00DD6F43">
              <w:t>2024</w:t>
            </w:r>
          </w:p>
        </w:tc>
        <w:tc>
          <w:tcPr>
            <w:tcW w:w="1666" w:type="pct"/>
            <w:noWrap/>
            <w:hideMark/>
          </w:tcPr>
          <w:p w14:paraId="4E178BC7" w14:textId="77777777" w:rsidR="00A53586" w:rsidRPr="00DD6F43" w:rsidRDefault="00A53586" w:rsidP="00DD6F43">
            <w:pPr>
              <w:pStyle w:val="TableBody"/>
            </w:pPr>
            <w:r w:rsidRPr="00DD6F43">
              <w:t>37.8</w:t>
            </w:r>
          </w:p>
        </w:tc>
        <w:tc>
          <w:tcPr>
            <w:tcW w:w="1667" w:type="pct"/>
            <w:noWrap/>
            <w:hideMark/>
          </w:tcPr>
          <w:p w14:paraId="785A2476" w14:textId="77777777" w:rsidR="00A53586" w:rsidRPr="00DD6F43" w:rsidRDefault="00A53586" w:rsidP="00DD6F43">
            <w:pPr>
              <w:pStyle w:val="TableBody"/>
            </w:pPr>
            <w:r w:rsidRPr="00DD6F43">
              <w:t>37.1</w:t>
            </w:r>
          </w:p>
        </w:tc>
      </w:tr>
    </w:tbl>
    <w:p w14:paraId="2F07409A" w14:textId="77777777" w:rsidR="00A4454A" w:rsidRPr="008C1137" w:rsidRDefault="00A4454A" w:rsidP="00D4532A">
      <w:r w:rsidRPr="000C258A">
        <w:rPr>
          <w:rStyle w:val="Strong"/>
        </w:rPr>
        <w:t>Sources</w:t>
      </w:r>
      <w:r w:rsidRPr="008C1137">
        <w:t>: Australian Bureau of Statistics,</w:t>
      </w:r>
      <w:r w:rsidRPr="008C1137">
        <w:rPr>
          <w:rStyle w:val="Italic"/>
        </w:rPr>
        <w:t xml:space="preserve"> Prisoners in Australia</w:t>
      </w:r>
      <w:r w:rsidRPr="008C1137">
        <w:t>, cat. no. 4517.0 (abs.gov.au, 2024) Table 15; Australian Bureau of Statistics,</w:t>
      </w:r>
      <w:r w:rsidRPr="008C1137">
        <w:rPr>
          <w:rStyle w:val="Italic"/>
        </w:rPr>
        <w:t xml:space="preserve"> </w:t>
      </w:r>
      <w:r w:rsidRPr="008C1137">
        <w:rPr>
          <w:rStyle w:val="Italic"/>
        </w:rPr>
        <w:lastRenderedPageBreak/>
        <w:t>National, State and Territory Population</w:t>
      </w:r>
      <w:r w:rsidRPr="008C1137">
        <w:t>, cat. no. 3101.0 (abs.gov.au, 2024) Table 3</w:t>
      </w:r>
    </w:p>
    <w:p w14:paraId="44462CA9" w14:textId="77777777" w:rsidR="00A4454A" w:rsidRPr="008C1137" w:rsidRDefault="00A4454A" w:rsidP="00BE4EDC">
      <w:pPr>
        <w:pStyle w:val="Numbered"/>
      </w:pPr>
      <w:r w:rsidRPr="008C1137">
        <w:t>There are a number of potential factors contributing to Victoria’s aging prison population, including:</w:t>
      </w:r>
    </w:p>
    <w:p w14:paraId="532C2BA1" w14:textId="77777777" w:rsidR="00A4454A" w:rsidRPr="008C1137" w:rsidRDefault="00A4454A" w:rsidP="008C1137">
      <w:pPr>
        <w:pStyle w:val="Bullets"/>
      </w:pPr>
      <w:r w:rsidRPr="008C1137">
        <w:t>sentence lengths have increased for most serious offences,</w:t>
      </w:r>
      <w:r w:rsidRPr="008C1137">
        <w:rPr>
          <w:rStyle w:val="Superscript"/>
        </w:rPr>
        <w:footnoteReference w:id="147"/>
      </w:r>
      <w:r w:rsidRPr="008C1137">
        <w:t xml:space="preserve"> resulting in a larger number of offenders aging </w:t>
      </w:r>
      <w:r w:rsidRPr="003B3217">
        <w:rPr>
          <w:rStyle w:val="Italic"/>
        </w:rPr>
        <w:t>within</w:t>
      </w:r>
      <w:r w:rsidRPr="008C1137">
        <w:t xml:space="preserve"> the prison system (and thus becoming older prisoners)</w:t>
      </w:r>
    </w:p>
    <w:p w14:paraId="6092B054" w14:textId="5D897B63" w:rsidR="00A4454A" w:rsidRPr="008C1137" w:rsidRDefault="00A4454A" w:rsidP="008C1137">
      <w:pPr>
        <w:pStyle w:val="Bullets"/>
      </w:pPr>
      <w:r w:rsidRPr="008C1137">
        <w:t>there has been a marked shift in the approach to sentencing young adult offenders (aged between 18 and 21</w:t>
      </w:r>
      <w:r w:rsidRPr="008C1137">
        <w:rPr>
          <w:rStyle w:val="Superscript"/>
        </w:rPr>
        <w:footnoteReference w:id="148"/>
      </w:r>
      <w:r w:rsidRPr="008C1137">
        <w:t>) in recent years, with a focus on recognising their distinct prospects of rehabilitation in the community, reducing the number of young offenders sentenced to imprisonment (see Figure 27), and circumventing the criminogenic effect of incarceration</w:t>
      </w:r>
      <w:r w:rsidRPr="008C1137">
        <w:rPr>
          <w:rStyle w:val="Superscript"/>
        </w:rPr>
        <w:footnoteReference w:id="149"/>
      </w:r>
      <w:r w:rsidRPr="008C1137">
        <w:t xml:space="preserve"> and</w:t>
      </w:r>
    </w:p>
    <w:p w14:paraId="7683757B" w14:textId="77777777" w:rsidR="00A4454A" w:rsidRPr="008C1137" w:rsidRDefault="00A4454A" w:rsidP="008C1137">
      <w:pPr>
        <w:pStyle w:val="Bullets"/>
      </w:pPr>
      <w:r w:rsidRPr="008C1137">
        <w:t xml:space="preserve">there has also been an increase in the number of people </w:t>
      </w:r>
      <w:r w:rsidRPr="003B3217">
        <w:rPr>
          <w:rStyle w:val="Italic"/>
        </w:rPr>
        <w:t>entering</w:t>
      </w:r>
      <w:r w:rsidRPr="008C1137">
        <w:t xml:space="preserve"> prison aged over 60, contributing to the aging of Victoria’s prison population.</w:t>
      </w:r>
      <w:r w:rsidRPr="008C1137">
        <w:rPr>
          <w:rStyle w:val="Superscript"/>
        </w:rPr>
        <w:footnoteReference w:id="150"/>
      </w:r>
    </w:p>
    <w:p w14:paraId="2C3EF043" w14:textId="77777777" w:rsidR="00A4454A" w:rsidRPr="008C1137" w:rsidRDefault="00A4454A" w:rsidP="0002476E">
      <w:pPr>
        <w:pStyle w:val="Heading2"/>
      </w:pPr>
      <w:r w:rsidRPr="008C1137">
        <w:lastRenderedPageBreak/>
        <w:t>Average cost of imprisonment in Victoria</w:t>
      </w:r>
    </w:p>
    <w:p w14:paraId="0594087E" w14:textId="5B62EE40" w:rsidR="00A4454A" w:rsidRPr="008C1137" w:rsidRDefault="00A4454A" w:rsidP="00210207">
      <w:pPr>
        <w:pStyle w:val="Numbered"/>
      </w:pPr>
      <w:r w:rsidRPr="008C1137">
        <w:t>Figure 47</w:t>
      </w:r>
      <w:r w:rsidR="009E33A5">
        <w:t xml:space="preserve"> </w:t>
      </w:r>
      <w:r w:rsidRPr="008C1137">
        <w:t>shows the average daily cost per prisoner in Victoria from 2014–15 to 2023–24 (adjusted to 2023–24 dollars), as reported by the Productivity Commission, as well as the utilisation rate (the proportion of Victorian prisons that is used in any given year) on 30 June, as reported by Corrections Victoria.</w:t>
      </w:r>
    </w:p>
    <w:p w14:paraId="1B168E8F" w14:textId="77777777" w:rsidR="00A4454A" w:rsidRPr="008C1137" w:rsidRDefault="00A4454A" w:rsidP="00210207">
      <w:pPr>
        <w:pStyle w:val="Numbered"/>
      </w:pPr>
      <w:r w:rsidRPr="008C1137">
        <w:t>The real net operating expenditure per prisoner per day increased by 35% since 2014–15, and in 2023–24, Victoria had the third highest average daily cost of imprisonment ($445.43), behind only Tasmania ($472.27) and the Australian Capital Territory ($618.22). The real net operating expenditure for Victorian prisons totalled just over $1 billion in 2023–24, the third highest of any Australian state or territory (behind New South Wales and Queensland).</w:t>
      </w:r>
      <w:r w:rsidRPr="008C1137">
        <w:rPr>
          <w:rStyle w:val="Superscript"/>
        </w:rPr>
        <w:footnoteReference w:id="151"/>
      </w:r>
      <w:r w:rsidRPr="008C1137">
        <w:t xml:space="preserve"> </w:t>
      </w:r>
    </w:p>
    <w:p w14:paraId="4B67D40C" w14:textId="77777777" w:rsidR="00A4454A" w:rsidRPr="008C1137" w:rsidRDefault="00A4454A" w:rsidP="00BE4EDC">
      <w:pPr>
        <w:pStyle w:val="Caption"/>
      </w:pPr>
      <w:r w:rsidRPr="00157502">
        <w:t>Figure 47</w:t>
      </w:r>
      <w:r w:rsidRPr="008C1137">
        <w:t>: Real net operating expenditure per prisoner per day (adjusted to 2023–24 dollars) and utilisation rate on 30 June, 2015 to 2024</w:t>
      </w:r>
    </w:p>
    <w:tbl>
      <w:tblPr>
        <w:tblStyle w:val="Table"/>
        <w:tblW w:w="5000" w:type="pct"/>
        <w:tblLook w:val="04A0" w:firstRow="1" w:lastRow="0" w:firstColumn="1" w:lastColumn="0" w:noHBand="0" w:noVBand="1"/>
      </w:tblPr>
      <w:tblGrid>
        <w:gridCol w:w="1752"/>
        <w:gridCol w:w="4034"/>
        <w:gridCol w:w="3230"/>
      </w:tblGrid>
      <w:tr w:rsidR="00743DD6" w:rsidRPr="00743DD6" w14:paraId="5C195BEB" w14:textId="77777777" w:rsidTr="00D44492">
        <w:trPr>
          <w:trHeight w:val="288"/>
          <w:tblHeader/>
        </w:trPr>
        <w:tc>
          <w:tcPr>
            <w:tcW w:w="972" w:type="pct"/>
            <w:noWrap/>
            <w:hideMark/>
          </w:tcPr>
          <w:p w14:paraId="5FE4E82F" w14:textId="77777777" w:rsidR="00743DD6" w:rsidRPr="00743DD6" w:rsidRDefault="00743DD6" w:rsidP="002054FC">
            <w:pPr>
              <w:pStyle w:val="TableHeading"/>
            </w:pPr>
            <w:r w:rsidRPr="00743DD6">
              <w:t>Year (as at 30 June)</w:t>
            </w:r>
          </w:p>
        </w:tc>
        <w:tc>
          <w:tcPr>
            <w:tcW w:w="2237" w:type="pct"/>
            <w:noWrap/>
            <w:hideMark/>
          </w:tcPr>
          <w:p w14:paraId="6BAC409E" w14:textId="77777777" w:rsidR="00743DD6" w:rsidRPr="00743DD6" w:rsidRDefault="00743DD6" w:rsidP="002054FC">
            <w:pPr>
              <w:pStyle w:val="TableHeading"/>
            </w:pPr>
            <w:r w:rsidRPr="00743DD6">
              <w:t>Real net operating expenditure (for financial year)</w:t>
            </w:r>
          </w:p>
        </w:tc>
        <w:tc>
          <w:tcPr>
            <w:tcW w:w="1791" w:type="pct"/>
            <w:noWrap/>
            <w:hideMark/>
          </w:tcPr>
          <w:p w14:paraId="4A37DCAB" w14:textId="77777777" w:rsidR="00743DD6" w:rsidRPr="00743DD6" w:rsidRDefault="00743DD6" w:rsidP="002054FC">
            <w:pPr>
              <w:pStyle w:val="TableHeading"/>
            </w:pPr>
            <w:r w:rsidRPr="00743DD6">
              <w:t>Operational utilisation rate (at 30 June)</w:t>
            </w:r>
          </w:p>
        </w:tc>
      </w:tr>
      <w:tr w:rsidR="00743DD6" w:rsidRPr="00743DD6" w14:paraId="5AA5CB16" w14:textId="77777777" w:rsidTr="00D44492">
        <w:trPr>
          <w:trHeight w:val="288"/>
        </w:trPr>
        <w:tc>
          <w:tcPr>
            <w:tcW w:w="972" w:type="pct"/>
            <w:noWrap/>
            <w:hideMark/>
          </w:tcPr>
          <w:p w14:paraId="53E8315E" w14:textId="77777777" w:rsidR="00743DD6" w:rsidRPr="00A85956" w:rsidRDefault="00743DD6" w:rsidP="00A85956">
            <w:pPr>
              <w:pStyle w:val="TableBody"/>
            </w:pPr>
            <w:r w:rsidRPr="00A85956">
              <w:t>2015</w:t>
            </w:r>
          </w:p>
        </w:tc>
        <w:tc>
          <w:tcPr>
            <w:tcW w:w="2237" w:type="pct"/>
            <w:noWrap/>
            <w:hideMark/>
          </w:tcPr>
          <w:p w14:paraId="0DBACBAD" w14:textId="539FF18F" w:rsidR="00743DD6" w:rsidRPr="00A85956" w:rsidRDefault="00FA256D" w:rsidP="00A85956">
            <w:pPr>
              <w:pStyle w:val="TableBody"/>
            </w:pPr>
            <w:r>
              <w:t>$</w:t>
            </w:r>
            <w:r w:rsidR="00743DD6" w:rsidRPr="00A85956">
              <w:t xml:space="preserve">329.32 </w:t>
            </w:r>
          </w:p>
        </w:tc>
        <w:tc>
          <w:tcPr>
            <w:tcW w:w="1791" w:type="pct"/>
            <w:noWrap/>
            <w:hideMark/>
          </w:tcPr>
          <w:p w14:paraId="52246E3C" w14:textId="77777777" w:rsidR="00743DD6" w:rsidRPr="00743DD6" w:rsidRDefault="00743DD6" w:rsidP="005110CF">
            <w:pPr>
              <w:pStyle w:val="TableBody"/>
            </w:pPr>
            <w:r w:rsidRPr="00743DD6">
              <w:t>88.4%</w:t>
            </w:r>
          </w:p>
        </w:tc>
      </w:tr>
      <w:tr w:rsidR="00743DD6" w:rsidRPr="00743DD6" w14:paraId="43F12B3A" w14:textId="77777777" w:rsidTr="00D44492">
        <w:trPr>
          <w:trHeight w:val="288"/>
        </w:trPr>
        <w:tc>
          <w:tcPr>
            <w:tcW w:w="972" w:type="pct"/>
            <w:noWrap/>
            <w:hideMark/>
          </w:tcPr>
          <w:p w14:paraId="256CFC49" w14:textId="77777777" w:rsidR="00743DD6" w:rsidRPr="00A85956" w:rsidRDefault="00743DD6" w:rsidP="00A85956">
            <w:pPr>
              <w:pStyle w:val="TableBody"/>
            </w:pPr>
            <w:r w:rsidRPr="00A85956">
              <w:t>2016</w:t>
            </w:r>
          </w:p>
        </w:tc>
        <w:tc>
          <w:tcPr>
            <w:tcW w:w="2237" w:type="pct"/>
            <w:noWrap/>
            <w:hideMark/>
          </w:tcPr>
          <w:p w14:paraId="61174892" w14:textId="1811ED6C" w:rsidR="00743DD6" w:rsidRPr="00A85956" w:rsidRDefault="00FA256D" w:rsidP="00A85956">
            <w:pPr>
              <w:pStyle w:val="TableBody"/>
            </w:pPr>
            <w:r>
              <w:t>$</w:t>
            </w:r>
            <w:r w:rsidR="00743DD6" w:rsidRPr="00A85956">
              <w:t xml:space="preserve">353.88 </w:t>
            </w:r>
          </w:p>
        </w:tc>
        <w:tc>
          <w:tcPr>
            <w:tcW w:w="1791" w:type="pct"/>
            <w:noWrap/>
            <w:hideMark/>
          </w:tcPr>
          <w:p w14:paraId="5547F0E4" w14:textId="77777777" w:rsidR="00743DD6" w:rsidRPr="00743DD6" w:rsidRDefault="00743DD6" w:rsidP="005110CF">
            <w:pPr>
              <w:pStyle w:val="TableBody"/>
            </w:pPr>
            <w:r w:rsidRPr="00743DD6">
              <w:t>93.1%</w:t>
            </w:r>
          </w:p>
        </w:tc>
      </w:tr>
      <w:tr w:rsidR="00743DD6" w:rsidRPr="00743DD6" w14:paraId="54271ACF" w14:textId="77777777" w:rsidTr="00D44492">
        <w:trPr>
          <w:trHeight w:val="288"/>
        </w:trPr>
        <w:tc>
          <w:tcPr>
            <w:tcW w:w="972" w:type="pct"/>
            <w:noWrap/>
            <w:hideMark/>
          </w:tcPr>
          <w:p w14:paraId="16142617" w14:textId="77777777" w:rsidR="00743DD6" w:rsidRPr="00A85956" w:rsidRDefault="00743DD6" w:rsidP="00A85956">
            <w:pPr>
              <w:pStyle w:val="TableBody"/>
            </w:pPr>
            <w:r w:rsidRPr="00A85956">
              <w:t>2017</w:t>
            </w:r>
          </w:p>
        </w:tc>
        <w:tc>
          <w:tcPr>
            <w:tcW w:w="2237" w:type="pct"/>
            <w:noWrap/>
            <w:hideMark/>
          </w:tcPr>
          <w:p w14:paraId="1E0607EA" w14:textId="34A2B6C1" w:rsidR="00743DD6" w:rsidRPr="00A85956" w:rsidRDefault="00FA256D" w:rsidP="00A85956">
            <w:pPr>
              <w:pStyle w:val="TableBody"/>
            </w:pPr>
            <w:r>
              <w:t>$</w:t>
            </w:r>
            <w:r w:rsidR="00743DD6" w:rsidRPr="00A85956">
              <w:t xml:space="preserve">368.18 </w:t>
            </w:r>
          </w:p>
        </w:tc>
        <w:tc>
          <w:tcPr>
            <w:tcW w:w="1791" w:type="pct"/>
            <w:noWrap/>
            <w:hideMark/>
          </w:tcPr>
          <w:p w14:paraId="686A6164" w14:textId="77777777" w:rsidR="00743DD6" w:rsidRPr="00743DD6" w:rsidRDefault="00743DD6" w:rsidP="005110CF">
            <w:pPr>
              <w:pStyle w:val="TableBody"/>
            </w:pPr>
            <w:r w:rsidRPr="00743DD6">
              <w:t>95.0%</w:t>
            </w:r>
          </w:p>
        </w:tc>
      </w:tr>
      <w:tr w:rsidR="00743DD6" w:rsidRPr="00743DD6" w14:paraId="33E9F150" w14:textId="77777777" w:rsidTr="00D44492">
        <w:trPr>
          <w:trHeight w:val="288"/>
        </w:trPr>
        <w:tc>
          <w:tcPr>
            <w:tcW w:w="972" w:type="pct"/>
            <w:noWrap/>
            <w:hideMark/>
          </w:tcPr>
          <w:p w14:paraId="7B3C5D19" w14:textId="77777777" w:rsidR="00743DD6" w:rsidRPr="00A85956" w:rsidRDefault="00743DD6" w:rsidP="00A85956">
            <w:pPr>
              <w:pStyle w:val="TableBody"/>
            </w:pPr>
            <w:r w:rsidRPr="00A85956">
              <w:t>2018</w:t>
            </w:r>
          </w:p>
        </w:tc>
        <w:tc>
          <w:tcPr>
            <w:tcW w:w="2237" w:type="pct"/>
            <w:noWrap/>
            <w:hideMark/>
          </w:tcPr>
          <w:p w14:paraId="55CC897B" w14:textId="68D2464C" w:rsidR="00743DD6" w:rsidRPr="00A85956" w:rsidRDefault="00FA256D" w:rsidP="00A85956">
            <w:pPr>
              <w:pStyle w:val="TableBody"/>
            </w:pPr>
            <w:r>
              <w:t>$</w:t>
            </w:r>
            <w:r w:rsidR="00743DD6" w:rsidRPr="00A85956">
              <w:t xml:space="preserve">385.51 </w:t>
            </w:r>
          </w:p>
        </w:tc>
        <w:tc>
          <w:tcPr>
            <w:tcW w:w="1791" w:type="pct"/>
            <w:noWrap/>
            <w:hideMark/>
          </w:tcPr>
          <w:p w14:paraId="22C32833" w14:textId="77777777" w:rsidR="00743DD6" w:rsidRPr="00743DD6" w:rsidRDefault="00743DD6" w:rsidP="005110CF">
            <w:pPr>
              <w:pStyle w:val="TableBody"/>
            </w:pPr>
            <w:r w:rsidRPr="00743DD6">
              <w:t>89.9%</w:t>
            </w:r>
          </w:p>
        </w:tc>
      </w:tr>
      <w:tr w:rsidR="00743DD6" w:rsidRPr="00743DD6" w14:paraId="2F26ECC1" w14:textId="77777777" w:rsidTr="00D44492">
        <w:trPr>
          <w:trHeight w:val="288"/>
        </w:trPr>
        <w:tc>
          <w:tcPr>
            <w:tcW w:w="972" w:type="pct"/>
            <w:noWrap/>
            <w:hideMark/>
          </w:tcPr>
          <w:p w14:paraId="30DB5A29" w14:textId="77777777" w:rsidR="00743DD6" w:rsidRPr="00A85956" w:rsidRDefault="00743DD6" w:rsidP="00A85956">
            <w:pPr>
              <w:pStyle w:val="TableBody"/>
            </w:pPr>
            <w:r w:rsidRPr="00A85956">
              <w:t>2019</w:t>
            </w:r>
          </w:p>
        </w:tc>
        <w:tc>
          <w:tcPr>
            <w:tcW w:w="2237" w:type="pct"/>
            <w:noWrap/>
            <w:hideMark/>
          </w:tcPr>
          <w:p w14:paraId="6A1EB766" w14:textId="56950954" w:rsidR="00743DD6" w:rsidRPr="00A85956" w:rsidRDefault="00FA256D" w:rsidP="00A85956">
            <w:pPr>
              <w:pStyle w:val="TableBody"/>
            </w:pPr>
            <w:r>
              <w:t>$</w:t>
            </w:r>
            <w:r w:rsidR="00743DD6" w:rsidRPr="00A85956">
              <w:t xml:space="preserve">369.65 </w:t>
            </w:r>
          </w:p>
        </w:tc>
        <w:tc>
          <w:tcPr>
            <w:tcW w:w="1791" w:type="pct"/>
            <w:noWrap/>
            <w:hideMark/>
          </w:tcPr>
          <w:p w14:paraId="376EC276" w14:textId="77777777" w:rsidR="00743DD6" w:rsidRPr="00743DD6" w:rsidRDefault="00743DD6" w:rsidP="005110CF">
            <w:pPr>
              <w:pStyle w:val="TableBody"/>
            </w:pPr>
            <w:r w:rsidRPr="00743DD6">
              <w:t>89.5%</w:t>
            </w:r>
          </w:p>
        </w:tc>
      </w:tr>
      <w:tr w:rsidR="00743DD6" w:rsidRPr="00743DD6" w14:paraId="644DEF5A" w14:textId="77777777" w:rsidTr="00D44492">
        <w:trPr>
          <w:trHeight w:val="288"/>
        </w:trPr>
        <w:tc>
          <w:tcPr>
            <w:tcW w:w="972" w:type="pct"/>
            <w:noWrap/>
            <w:hideMark/>
          </w:tcPr>
          <w:p w14:paraId="03557152" w14:textId="77777777" w:rsidR="00743DD6" w:rsidRPr="00A85956" w:rsidRDefault="00743DD6" w:rsidP="00A85956">
            <w:pPr>
              <w:pStyle w:val="TableBody"/>
            </w:pPr>
            <w:r w:rsidRPr="00A85956">
              <w:t>2020</w:t>
            </w:r>
          </w:p>
        </w:tc>
        <w:tc>
          <w:tcPr>
            <w:tcW w:w="2237" w:type="pct"/>
            <w:noWrap/>
            <w:hideMark/>
          </w:tcPr>
          <w:p w14:paraId="7FE91C05" w14:textId="74FD0614" w:rsidR="00743DD6" w:rsidRPr="00A85956" w:rsidRDefault="00FA256D" w:rsidP="00A85956">
            <w:pPr>
              <w:pStyle w:val="TableBody"/>
            </w:pPr>
            <w:r>
              <w:t>$</w:t>
            </w:r>
            <w:r w:rsidR="00743DD6" w:rsidRPr="00A85956">
              <w:t xml:space="preserve">369.24 </w:t>
            </w:r>
          </w:p>
        </w:tc>
        <w:tc>
          <w:tcPr>
            <w:tcW w:w="1791" w:type="pct"/>
            <w:noWrap/>
            <w:hideMark/>
          </w:tcPr>
          <w:p w14:paraId="2CE4E5BB" w14:textId="77777777" w:rsidR="00743DD6" w:rsidRPr="00743DD6" w:rsidRDefault="00743DD6" w:rsidP="005110CF">
            <w:pPr>
              <w:pStyle w:val="TableBody"/>
            </w:pPr>
            <w:r w:rsidRPr="00743DD6">
              <w:t>88.4%</w:t>
            </w:r>
          </w:p>
        </w:tc>
      </w:tr>
      <w:tr w:rsidR="00743DD6" w:rsidRPr="00743DD6" w14:paraId="6C5873EC" w14:textId="77777777" w:rsidTr="00D44492">
        <w:trPr>
          <w:trHeight w:val="288"/>
        </w:trPr>
        <w:tc>
          <w:tcPr>
            <w:tcW w:w="972" w:type="pct"/>
            <w:noWrap/>
            <w:hideMark/>
          </w:tcPr>
          <w:p w14:paraId="1CE44749" w14:textId="77777777" w:rsidR="00743DD6" w:rsidRPr="00A85956" w:rsidRDefault="00743DD6" w:rsidP="00A85956">
            <w:pPr>
              <w:pStyle w:val="TableBody"/>
            </w:pPr>
            <w:r w:rsidRPr="00A85956">
              <w:t>2021</w:t>
            </w:r>
          </w:p>
        </w:tc>
        <w:tc>
          <w:tcPr>
            <w:tcW w:w="2237" w:type="pct"/>
            <w:noWrap/>
            <w:hideMark/>
          </w:tcPr>
          <w:p w14:paraId="7C8F6B18" w14:textId="71D1C70F" w:rsidR="00743DD6" w:rsidRPr="00A85956" w:rsidRDefault="00FA256D" w:rsidP="00A85956">
            <w:pPr>
              <w:pStyle w:val="TableBody"/>
            </w:pPr>
            <w:r>
              <w:t>$</w:t>
            </w:r>
            <w:r w:rsidR="00743DD6" w:rsidRPr="00A85956">
              <w:t xml:space="preserve">426.19 </w:t>
            </w:r>
          </w:p>
        </w:tc>
        <w:tc>
          <w:tcPr>
            <w:tcW w:w="1791" w:type="pct"/>
            <w:noWrap/>
            <w:hideMark/>
          </w:tcPr>
          <w:p w14:paraId="250C8509" w14:textId="77777777" w:rsidR="00743DD6" w:rsidRPr="00743DD6" w:rsidRDefault="00743DD6" w:rsidP="005110CF">
            <w:pPr>
              <w:pStyle w:val="TableBody"/>
            </w:pPr>
            <w:r w:rsidRPr="00743DD6">
              <w:t>80.6%</w:t>
            </w:r>
          </w:p>
        </w:tc>
      </w:tr>
      <w:tr w:rsidR="00743DD6" w:rsidRPr="00743DD6" w14:paraId="281689A3" w14:textId="77777777" w:rsidTr="00D44492">
        <w:trPr>
          <w:trHeight w:val="288"/>
        </w:trPr>
        <w:tc>
          <w:tcPr>
            <w:tcW w:w="972" w:type="pct"/>
            <w:noWrap/>
            <w:hideMark/>
          </w:tcPr>
          <w:p w14:paraId="186413C8" w14:textId="77777777" w:rsidR="00743DD6" w:rsidRPr="00A85956" w:rsidRDefault="00743DD6" w:rsidP="00A85956">
            <w:pPr>
              <w:pStyle w:val="TableBody"/>
            </w:pPr>
            <w:r w:rsidRPr="00A85956">
              <w:t>2022</w:t>
            </w:r>
          </w:p>
        </w:tc>
        <w:tc>
          <w:tcPr>
            <w:tcW w:w="2237" w:type="pct"/>
            <w:noWrap/>
            <w:hideMark/>
          </w:tcPr>
          <w:p w14:paraId="52579AA0" w14:textId="690621DC" w:rsidR="00743DD6" w:rsidRPr="00A85956" w:rsidRDefault="00FA256D" w:rsidP="00A85956">
            <w:pPr>
              <w:pStyle w:val="TableBody"/>
            </w:pPr>
            <w:r>
              <w:t>$</w:t>
            </w:r>
            <w:r w:rsidR="00743DD6" w:rsidRPr="00A85956">
              <w:t xml:space="preserve">447.95 </w:t>
            </w:r>
          </w:p>
        </w:tc>
        <w:tc>
          <w:tcPr>
            <w:tcW w:w="1791" w:type="pct"/>
            <w:noWrap/>
            <w:hideMark/>
          </w:tcPr>
          <w:p w14:paraId="05D3C418" w14:textId="77777777" w:rsidR="00743DD6" w:rsidRPr="00743DD6" w:rsidRDefault="00743DD6" w:rsidP="005110CF">
            <w:pPr>
              <w:pStyle w:val="TableBody"/>
            </w:pPr>
            <w:r w:rsidRPr="00743DD6">
              <w:t>73.4%</w:t>
            </w:r>
          </w:p>
        </w:tc>
      </w:tr>
      <w:tr w:rsidR="00743DD6" w:rsidRPr="00743DD6" w14:paraId="7AB11602" w14:textId="77777777" w:rsidTr="00D44492">
        <w:trPr>
          <w:trHeight w:val="288"/>
        </w:trPr>
        <w:tc>
          <w:tcPr>
            <w:tcW w:w="972" w:type="pct"/>
            <w:noWrap/>
            <w:hideMark/>
          </w:tcPr>
          <w:p w14:paraId="03AAFF8B" w14:textId="77777777" w:rsidR="00743DD6" w:rsidRPr="00A85956" w:rsidRDefault="00743DD6" w:rsidP="00A85956">
            <w:pPr>
              <w:pStyle w:val="TableBody"/>
            </w:pPr>
            <w:r w:rsidRPr="00A85956">
              <w:t>2023</w:t>
            </w:r>
          </w:p>
        </w:tc>
        <w:tc>
          <w:tcPr>
            <w:tcW w:w="2237" w:type="pct"/>
            <w:noWrap/>
            <w:hideMark/>
          </w:tcPr>
          <w:p w14:paraId="521A3C5B" w14:textId="65BC6115" w:rsidR="00743DD6" w:rsidRPr="00A85956" w:rsidRDefault="00FA256D" w:rsidP="00A85956">
            <w:pPr>
              <w:pStyle w:val="TableBody"/>
            </w:pPr>
            <w:r>
              <w:t>$</w:t>
            </w:r>
            <w:r w:rsidR="00743DD6" w:rsidRPr="00A85956">
              <w:t xml:space="preserve">420.28 </w:t>
            </w:r>
          </w:p>
        </w:tc>
        <w:tc>
          <w:tcPr>
            <w:tcW w:w="1791" w:type="pct"/>
            <w:noWrap/>
            <w:hideMark/>
          </w:tcPr>
          <w:p w14:paraId="538A4620" w14:textId="77777777" w:rsidR="00743DD6" w:rsidRPr="00743DD6" w:rsidRDefault="00743DD6" w:rsidP="005110CF">
            <w:pPr>
              <w:pStyle w:val="TableBody"/>
            </w:pPr>
            <w:r w:rsidRPr="00743DD6">
              <w:t>72.1%</w:t>
            </w:r>
          </w:p>
        </w:tc>
      </w:tr>
      <w:tr w:rsidR="00743DD6" w:rsidRPr="00743DD6" w14:paraId="3D798E44" w14:textId="77777777" w:rsidTr="00D44492">
        <w:trPr>
          <w:trHeight w:val="288"/>
        </w:trPr>
        <w:tc>
          <w:tcPr>
            <w:tcW w:w="972" w:type="pct"/>
            <w:noWrap/>
            <w:hideMark/>
          </w:tcPr>
          <w:p w14:paraId="76A64981" w14:textId="77777777" w:rsidR="00743DD6" w:rsidRPr="00A85956" w:rsidRDefault="00743DD6" w:rsidP="00A85956">
            <w:pPr>
              <w:pStyle w:val="TableBody"/>
            </w:pPr>
            <w:r w:rsidRPr="00A85956">
              <w:t>2024</w:t>
            </w:r>
          </w:p>
        </w:tc>
        <w:tc>
          <w:tcPr>
            <w:tcW w:w="2237" w:type="pct"/>
            <w:noWrap/>
            <w:hideMark/>
          </w:tcPr>
          <w:p w14:paraId="645EC097" w14:textId="2863BEAF" w:rsidR="00743DD6" w:rsidRPr="00A85956" w:rsidRDefault="00FA256D" w:rsidP="00A85956">
            <w:pPr>
              <w:pStyle w:val="TableBody"/>
            </w:pPr>
            <w:r>
              <w:t>$</w:t>
            </w:r>
            <w:r w:rsidR="00743DD6" w:rsidRPr="00A85956">
              <w:t xml:space="preserve">445.43 </w:t>
            </w:r>
          </w:p>
        </w:tc>
        <w:tc>
          <w:tcPr>
            <w:tcW w:w="1791" w:type="pct"/>
            <w:noWrap/>
            <w:hideMark/>
          </w:tcPr>
          <w:p w14:paraId="220F3BE5" w14:textId="77777777" w:rsidR="00743DD6" w:rsidRPr="00A85956" w:rsidRDefault="00743DD6" w:rsidP="00A85956">
            <w:pPr>
              <w:pStyle w:val="TableBody"/>
            </w:pPr>
            <w:r w:rsidRPr="00A85956">
              <w:t>66.6%</w:t>
            </w:r>
          </w:p>
        </w:tc>
      </w:tr>
    </w:tbl>
    <w:p w14:paraId="25140CB1" w14:textId="77777777" w:rsidR="00A4454A" w:rsidRPr="008C1137" w:rsidRDefault="00A4454A" w:rsidP="00D4532A">
      <w:r w:rsidRPr="000C258A">
        <w:rPr>
          <w:rStyle w:val="Strong"/>
        </w:rPr>
        <w:t>Sources</w:t>
      </w:r>
      <w:r w:rsidRPr="008C1137">
        <w:t>: Corrections Victoria,</w:t>
      </w:r>
      <w:r w:rsidRPr="008C1137">
        <w:rPr>
          <w:rStyle w:val="Italic"/>
        </w:rPr>
        <w:t xml:space="preserve"> Annual Prisons Statistical Profile 2015 to 2024, </w:t>
      </w:r>
      <w:r w:rsidRPr="008C1137">
        <w:t>Corrections, Prisons &amp; Parole (2025) Table 1.17 (utilisation rate); Productivity Commission,</w:t>
      </w:r>
      <w:r w:rsidRPr="008C1137">
        <w:rPr>
          <w:rStyle w:val="Italic"/>
        </w:rPr>
        <w:t xml:space="preserve"> Report on Government Services </w:t>
      </w:r>
      <w:r w:rsidRPr="008C1137">
        <w:t>(2025) Table 8A.20 (real net operating expenditure)</w:t>
      </w:r>
    </w:p>
    <w:p w14:paraId="0D37A630" w14:textId="77777777" w:rsidR="00A4454A" w:rsidRPr="008C1137" w:rsidRDefault="00A4454A" w:rsidP="00210207">
      <w:pPr>
        <w:pStyle w:val="Numbered"/>
      </w:pPr>
      <w:r w:rsidRPr="008C1137">
        <w:lastRenderedPageBreak/>
        <w:t>Over the same period, the utilisation rate decreased significantly. Whereas 88.4% of Victorian prison capacity was being used on 30 June 2015, that rate declined to just 66.6% on 30 June 2024. While the average daily cost per prisoner increased by 21% over the last 4 years of our reference period, this correlates with a decrease in the prison population during this period (from 7,151 prisoners on 30 June 2020 to 5,915 on 30 June 2024), and a concomitant 25% decrease in the utilisation rate. This atypical decrease in the utilisation rate occurred after a six-year period in which the utilisation rate ranged stably between 88.4% and 95%.</w:t>
      </w:r>
    </w:p>
    <w:p w14:paraId="2AEF48A5" w14:textId="77777777" w:rsidR="00A4454A" w:rsidRPr="008C1137" w:rsidRDefault="00A4454A" w:rsidP="00210207">
      <w:pPr>
        <w:pStyle w:val="Numbered"/>
      </w:pPr>
      <w:r w:rsidRPr="008C1137">
        <w:t>Essentially, while there are a number of factors contributing to the cost of imprisonment (including infrastructure, staff and services offered), the increasing cost of imprisonment correlates with a decrease in utilisation rates, because the cost of imprisonment is measured per prisoner, not per available bed. When the utilisation rate is lower, the cost burden per individual prisoner increases. This is likely because there is a significant amount of fixed costs associated with operating a prison (including staff salaries and the maintenance of facilities and supplies), and that amount cannot be reduced quickly, if at all, in response to a decreasing prison population. Therefore, those fixed costs are distributed across fewer prisoners, resulting in a higher average cost per prisoner.</w:t>
      </w:r>
      <w:r w:rsidRPr="008C1137">
        <w:rPr>
          <w:rStyle w:val="Superscript"/>
        </w:rPr>
        <w:footnoteReference w:id="152"/>
      </w:r>
      <w:r w:rsidRPr="008C1137">
        <w:t xml:space="preserve"> For instance, in late 2017, the Ravenhall Correctional Centre was opened, adding 1,000 beds (upgrading to 1,300 beds the following year) to Victoria’s prison capacity.</w:t>
      </w:r>
      <w:r w:rsidRPr="008C1137">
        <w:rPr>
          <w:rStyle w:val="Superscript"/>
        </w:rPr>
        <w:footnoteReference w:id="153"/>
      </w:r>
      <w:r w:rsidRPr="008C1137">
        <w:t xml:space="preserve"> In the following 12 months </w:t>
      </w:r>
      <w:r w:rsidRPr="008C1137">
        <w:lastRenderedPageBreak/>
        <w:t xml:space="preserve">(to 30 June 2018), while Victoria’s prison population </w:t>
      </w:r>
      <w:r w:rsidRPr="003B3217">
        <w:rPr>
          <w:rStyle w:val="Italic"/>
        </w:rPr>
        <w:t>increased</w:t>
      </w:r>
      <w:r w:rsidRPr="008C1137">
        <w:t xml:space="preserve"> by 7%, there was a 5% </w:t>
      </w:r>
      <w:r w:rsidRPr="003B3217">
        <w:rPr>
          <w:rStyle w:val="Italic"/>
        </w:rPr>
        <w:t>drop</w:t>
      </w:r>
      <w:r w:rsidRPr="008C1137">
        <w:t xml:space="preserve"> in the utilisation rate. </w:t>
      </w:r>
    </w:p>
    <w:p w14:paraId="38C2A72D" w14:textId="183C6368" w:rsidR="00A4454A" w:rsidRPr="008C1137" w:rsidRDefault="00A4454A" w:rsidP="008D24FA">
      <w:pPr>
        <w:pStyle w:val="Heading1Numbered"/>
      </w:pPr>
      <w:bookmarkStart w:id="8" w:name="_Toc210672552"/>
      <w:r w:rsidRPr="008C1137">
        <w:lastRenderedPageBreak/>
        <w:t>Sentenced and unsentenced prisoners in Victoria</w:t>
      </w:r>
      <w:bookmarkEnd w:id="8"/>
    </w:p>
    <w:p w14:paraId="1E943CE5" w14:textId="77777777" w:rsidR="00A4454A" w:rsidRPr="008C1137" w:rsidRDefault="00A4454A" w:rsidP="00BE4EDC">
      <w:pPr>
        <w:pStyle w:val="Numbered"/>
      </w:pPr>
      <w:r w:rsidRPr="008C1137">
        <w:t>Victoria’s prison population comprises both sentenced prisoners (people who have received a custodial sentence) and unsentenced prisoners (people held on remand while they await trial or sentencing). This chapter presents data from Corrections Victoria on the number of sentenced and unsentenced prisoners on 30 June each year, as well as Australian Bureau of Statistics data on the most serious offence for sentenced prisoners and the most serious alleged offence for unsentenced prisoners, the average sentence lengths for sentenced prisoners, and the average length of time unsentenced prisoners spent on remand. It is important to analyse sentenced prisoners and unsentenced prisoners separately because there are distinct drivers behind their detention in custody.</w:t>
      </w:r>
    </w:p>
    <w:p w14:paraId="37F0E4F9" w14:textId="77777777" w:rsidR="00A4454A" w:rsidRPr="008C1137" w:rsidRDefault="00A4454A" w:rsidP="0002476E">
      <w:pPr>
        <w:pStyle w:val="Heading2"/>
      </w:pPr>
      <w:r w:rsidRPr="008C1137">
        <w:t>The number of sentenced and unsentenced prisoners</w:t>
      </w:r>
    </w:p>
    <w:p w14:paraId="2F8CFEBF" w14:textId="27AFFD5E" w:rsidR="00A4454A" w:rsidRPr="008C1137" w:rsidRDefault="00A4454A" w:rsidP="00BE4EDC">
      <w:pPr>
        <w:pStyle w:val="Numbered"/>
      </w:pPr>
      <w:r w:rsidRPr="008C1137">
        <w:t>Figure 48</w:t>
      </w:r>
      <w:r w:rsidR="009E33A5">
        <w:t xml:space="preserve"> </w:t>
      </w:r>
      <w:r w:rsidRPr="008C1137">
        <w:t>presents the number of sentenced and unsentenced prisoners on 30 June each year from 2005 to 2024. On 30 June 2005, there were 3,692 people in prison in Victoria: 18% were unsentenced prisoners, and 82% were sentenced prisoners. By 30 June 2024, there were 5,915 people in prison in Victoria: 34% were unsentenced prisoners, and the other 66% were sentenced prisoners. In effect, from 30 June 2005 to 30 June 2024:</w:t>
      </w:r>
    </w:p>
    <w:p w14:paraId="4F15BA81" w14:textId="77777777" w:rsidR="00A4454A" w:rsidRPr="008C1137" w:rsidRDefault="00A4454A" w:rsidP="008C1137">
      <w:pPr>
        <w:pStyle w:val="Bullets"/>
      </w:pPr>
      <w:r w:rsidRPr="008C1137">
        <w:t>the total population of Victoria increased by 39%</w:t>
      </w:r>
    </w:p>
    <w:p w14:paraId="0FA0CDE5" w14:textId="77777777" w:rsidR="00A4454A" w:rsidRPr="008C1137" w:rsidRDefault="00A4454A" w:rsidP="008C1137">
      <w:pPr>
        <w:pStyle w:val="Bullets"/>
      </w:pPr>
      <w:r w:rsidRPr="008C1137">
        <w:t xml:space="preserve">the total </w:t>
      </w:r>
      <w:r w:rsidRPr="003B3217">
        <w:rPr>
          <w:rStyle w:val="Italic"/>
        </w:rPr>
        <w:t>prison</w:t>
      </w:r>
      <w:r w:rsidRPr="008C1137">
        <w:t xml:space="preserve"> population increased by 60% (exceeding population growth)</w:t>
      </w:r>
    </w:p>
    <w:p w14:paraId="2707744E" w14:textId="77777777" w:rsidR="00A4454A" w:rsidRPr="008C1137" w:rsidRDefault="00A4454A" w:rsidP="008C1137">
      <w:pPr>
        <w:pStyle w:val="Bullets"/>
      </w:pPr>
      <w:r w:rsidRPr="008C1137">
        <w:t xml:space="preserve">the sentenced prisoner population increased by 29% and </w:t>
      </w:r>
    </w:p>
    <w:p w14:paraId="64058AF5" w14:textId="77777777" w:rsidR="00A4454A" w:rsidRPr="008C1137" w:rsidRDefault="00A4454A" w:rsidP="008C1137">
      <w:pPr>
        <w:pStyle w:val="Bullets"/>
      </w:pPr>
      <w:r w:rsidRPr="008C1137">
        <w:t>the unsentenced prisoner population increased by 207%.</w:t>
      </w:r>
    </w:p>
    <w:p w14:paraId="43B0C2CE" w14:textId="77777777" w:rsidR="00A4454A" w:rsidRPr="008C1137" w:rsidRDefault="00A4454A" w:rsidP="00210207">
      <w:pPr>
        <w:pStyle w:val="Numbered"/>
      </w:pPr>
      <w:r w:rsidRPr="008C1137">
        <w:lastRenderedPageBreak/>
        <w:t>While the sentenced prisoner population increased, it did not increase at the same rate as population growth; instead, the growth in the unsentenced prisoner population was the sole driver of the significant increases in Victoria’s prison population over the 20-year period.</w:t>
      </w:r>
    </w:p>
    <w:p w14:paraId="6F2E1E97" w14:textId="77777777" w:rsidR="00A4454A" w:rsidRPr="008C1137" w:rsidRDefault="00A4454A" w:rsidP="00BE4EDC">
      <w:pPr>
        <w:pStyle w:val="Caption"/>
      </w:pPr>
      <w:r w:rsidRPr="00157502">
        <w:t>Figure 48</w:t>
      </w:r>
      <w:r w:rsidRPr="008C1137">
        <w:t>: Number of sentenced and unsentenced prisoners on 30 June, 2005 to 2024</w:t>
      </w:r>
    </w:p>
    <w:tbl>
      <w:tblPr>
        <w:tblStyle w:val="Table"/>
        <w:tblW w:w="5000" w:type="pct"/>
        <w:tblLook w:val="04A0" w:firstRow="1" w:lastRow="0" w:firstColumn="1" w:lastColumn="0" w:noHBand="0" w:noVBand="1"/>
      </w:tblPr>
      <w:tblGrid>
        <w:gridCol w:w="3005"/>
        <w:gridCol w:w="3005"/>
        <w:gridCol w:w="3006"/>
      </w:tblGrid>
      <w:tr w:rsidR="00A338D7" w:rsidRPr="00A338D7" w14:paraId="633527E2" w14:textId="77777777" w:rsidTr="00906E40">
        <w:trPr>
          <w:trHeight w:val="288"/>
          <w:tblHeader/>
        </w:trPr>
        <w:tc>
          <w:tcPr>
            <w:tcW w:w="1666" w:type="pct"/>
            <w:noWrap/>
            <w:hideMark/>
          </w:tcPr>
          <w:p w14:paraId="1B4F5674" w14:textId="2EAB7265" w:rsidR="00A338D7" w:rsidRPr="00906E40" w:rsidRDefault="00906E40" w:rsidP="00906E40">
            <w:pPr>
              <w:pStyle w:val="TableHeading"/>
            </w:pPr>
            <w:r w:rsidRPr="00906E40">
              <w:t>Year</w:t>
            </w:r>
          </w:p>
        </w:tc>
        <w:tc>
          <w:tcPr>
            <w:tcW w:w="1666" w:type="pct"/>
            <w:noWrap/>
            <w:hideMark/>
          </w:tcPr>
          <w:p w14:paraId="4DB45663" w14:textId="77777777" w:rsidR="00A338D7" w:rsidRPr="00A338D7" w:rsidRDefault="00A338D7" w:rsidP="002054FC">
            <w:pPr>
              <w:pStyle w:val="TableHeading"/>
            </w:pPr>
            <w:r w:rsidRPr="00A338D7">
              <w:t>Sentenced</w:t>
            </w:r>
          </w:p>
        </w:tc>
        <w:tc>
          <w:tcPr>
            <w:tcW w:w="1667" w:type="pct"/>
            <w:noWrap/>
            <w:hideMark/>
          </w:tcPr>
          <w:p w14:paraId="1A63014A" w14:textId="77777777" w:rsidR="00A338D7" w:rsidRPr="00A338D7" w:rsidRDefault="00A338D7" w:rsidP="002054FC">
            <w:pPr>
              <w:pStyle w:val="TableHeading"/>
            </w:pPr>
            <w:r w:rsidRPr="00A338D7">
              <w:t>Unsentenced</w:t>
            </w:r>
          </w:p>
        </w:tc>
      </w:tr>
      <w:tr w:rsidR="00A338D7" w:rsidRPr="00A338D7" w14:paraId="69755863" w14:textId="77777777" w:rsidTr="00906E40">
        <w:trPr>
          <w:trHeight w:val="288"/>
        </w:trPr>
        <w:tc>
          <w:tcPr>
            <w:tcW w:w="1666" w:type="pct"/>
            <w:noWrap/>
            <w:hideMark/>
          </w:tcPr>
          <w:p w14:paraId="0947E531" w14:textId="77777777" w:rsidR="00A338D7" w:rsidRPr="00A85956" w:rsidRDefault="00A338D7" w:rsidP="00A85956">
            <w:pPr>
              <w:pStyle w:val="TableBody"/>
            </w:pPr>
            <w:r w:rsidRPr="00A85956">
              <w:t>2005</w:t>
            </w:r>
          </w:p>
        </w:tc>
        <w:tc>
          <w:tcPr>
            <w:tcW w:w="1666" w:type="pct"/>
            <w:noWrap/>
            <w:hideMark/>
          </w:tcPr>
          <w:p w14:paraId="26304558" w14:textId="77777777" w:rsidR="00A338D7" w:rsidRPr="00A85956" w:rsidRDefault="00A338D7" w:rsidP="00A85956">
            <w:pPr>
              <w:pStyle w:val="TableBody"/>
            </w:pPr>
            <w:r w:rsidRPr="00A85956">
              <w:t>3,043</w:t>
            </w:r>
          </w:p>
        </w:tc>
        <w:tc>
          <w:tcPr>
            <w:tcW w:w="1667" w:type="pct"/>
            <w:noWrap/>
            <w:hideMark/>
          </w:tcPr>
          <w:p w14:paraId="24E111D1" w14:textId="77777777" w:rsidR="00A338D7" w:rsidRPr="00A85956" w:rsidRDefault="00A338D7" w:rsidP="00A85956">
            <w:pPr>
              <w:pStyle w:val="TableBody"/>
            </w:pPr>
            <w:r w:rsidRPr="00A85956">
              <w:t>649</w:t>
            </w:r>
          </w:p>
        </w:tc>
      </w:tr>
      <w:tr w:rsidR="00A338D7" w:rsidRPr="00A338D7" w14:paraId="29346DDF" w14:textId="77777777" w:rsidTr="00906E40">
        <w:trPr>
          <w:trHeight w:val="288"/>
        </w:trPr>
        <w:tc>
          <w:tcPr>
            <w:tcW w:w="1666" w:type="pct"/>
            <w:noWrap/>
            <w:hideMark/>
          </w:tcPr>
          <w:p w14:paraId="55CCC985" w14:textId="77777777" w:rsidR="00A338D7" w:rsidRPr="00A85956" w:rsidRDefault="00A338D7" w:rsidP="00A85956">
            <w:pPr>
              <w:pStyle w:val="TableBody"/>
            </w:pPr>
            <w:r w:rsidRPr="00A85956">
              <w:t>2006</w:t>
            </w:r>
          </w:p>
        </w:tc>
        <w:tc>
          <w:tcPr>
            <w:tcW w:w="1666" w:type="pct"/>
            <w:noWrap/>
            <w:hideMark/>
          </w:tcPr>
          <w:p w14:paraId="2C5BE150" w14:textId="77777777" w:rsidR="00A338D7" w:rsidRPr="00A85956" w:rsidRDefault="00A338D7" w:rsidP="00A85956">
            <w:pPr>
              <w:pStyle w:val="TableBody"/>
            </w:pPr>
            <w:r w:rsidRPr="00A85956">
              <w:t>3,168</w:t>
            </w:r>
          </w:p>
        </w:tc>
        <w:tc>
          <w:tcPr>
            <w:tcW w:w="1667" w:type="pct"/>
            <w:noWrap/>
            <w:hideMark/>
          </w:tcPr>
          <w:p w14:paraId="5BDF866A" w14:textId="77777777" w:rsidR="00A338D7" w:rsidRPr="00A85956" w:rsidRDefault="00A338D7" w:rsidP="00A85956">
            <w:pPr>
              <w:pStyle w:val="TableBody"/>
            </w:pPr>
            <w:r w:rsidRPr="00A85956">
              <w:t>737</w:t>
            </w:r>
          </w:p>
        </w:tc>
      </w:tr>
      <w:tr w:rsidR="00A338D7" w:rsidRPr="00A338D7" w14:paraId="62107AB3" w14:textId="77777777" w:rsidTr="00906E40">
        <w:trPr>
          <w:trHeight w:val="288"/>
        </w:trPr>
        <w:tc>
          <w:tcPr>
            <w:tcW w:w="1666" w:type="pct"/>
            <w:noWrap/>
            <w:hideMark/>
          </w:tcPr>
          <w:p w14:paraId="5B67C3ED" w14:textId="77777777" w:rsidR="00A338D7" w:rsidRPr="00A85956" w:rsidRDefault="00A338D7" w:rsidP="00A85956">
            <w:pPr>
              <w:pStyle w:val="TableBody"/>
            </w:pPr>
            <w:r w:rsidRPr="00A85956">
              <w:t>2007</w:t>
            </w:r>
          </w:p>
        </w:tc>
        <w:tc>
          <w:tcPr>
            <w:tcW w:w="1666" w:type="pct"/>
            <w:noWrap/>
            <w:hideMark/>
          </w:tcPr>
          <w:p w14:paraId="36D4329D" w14:textId="77777777" w:rsidR="00A338D7" w:rsidRPr="00A85956" w:rsidRDefault="00A338D7" w:rsidP="00A85956">
            <w:pPr>
              <w:pStyle w:val="TableBody"/>
            </w:pPr>
            <w:r w:rsidRPr="00A85956">
              <w:t>3,375</w:t>
            </w:r>
          </w:p>
        </w:tc>
        <w:tc>
          <w:tcPr>
            <w:tcW w:w="1667" w:type="pct"/>
            <w:noWrap/>
            <w:hideMark/>
          </w:tcPr>
          <w:p w14:paraId="05A690DF" w14:textId="77777777" w:rsidR="00A338D7" w:rsidRPr="00A85956" w:rsidRDefault="00A338D7" w:rsidP="00A85956">
            <w:pPr>
              <w:pStyle w:val="TableBody"/>
            </w:pPr>
            <w:r w:rsidRPr="00A85956">
              <w:t>808</w:t>
            </w:r>
          </w:p>
        </w:tc>
      </w:tr>
      <w:tr w:rsidR="00A338D7" w:rsidRPr="00A338D7" w14:paraId="4ABBEEE5" w14:textId="77777777" w:rsidTr="00906E40">
        <w:trPr>
          <w:trHeight w:val="288"/>
        </w:trPr>
        <w:tc>
          <w:tcPr>
            <w:tcW w:w="1666" w:type="pct"/>
            <w:noWrap/>
            <w:hideMark/>
          </w:tcPr>
          <w:p w14:paraId="2D400E01" w14:textId="77777777" w:rsidR="00A338D7" w:rsidRPr="00A85956" w:rsidRDefault="00A338D7" w:rsidP="00A85956">
            <w:pPr>
              <w:pStyle w:val="TableBody"/>
            </w:pPr>
            <w:r w:rsidRPr="00A85956">
              <w:t>2008</w:t>
            </w:r>
          </w:p>
        </w:tc>
        <w:tc>
          <w:tcPr>
            <w:tcW w:w="1666" w:type="pct"/>
            <w:noWrap/>
            <w:hideMark/>
          </w:tcPr>
          <w:p w14:paraId="0D660233" w14:textId="77777777" w:rsidR="00A338D7" w:rsidRPr="00A85956" w:rsidRDefault="00A338D7" w:rsidP="00A85956">
            <w:pPr>
              <w:pStyle w:val="TableBody"/>
            </w:pPr>
            <w:r w:rsidRPr="00A85956">
              <w:t>3,413</w:t>
            </w:r>
          </w:p>
        </w:tc>
        <w:tc>
          <w:tcPr>
            <w:tcW w:w="1667" w:type="pct"/>
            <w:noWrap/>
            <w:hideMark/>
          </w:tcPr>
          <w:p w14:paraId="1D6F1D18" w14:textId="77777777" w:rsidR="00A338D7" w:rsidRPr="00A85956" w:rsidRDefault="00A338D7" w:rsidP="00A85956">
            <w:pPr>
              <w:pStyle w:val="TableBody"/>
            </w:pPr>
            <w:r w:rsidRPr="00A85956">
              <w:t>810</w:t>
            </w:r>
          </w:p>
        </w:tc>
      </w:tr>
      <w:tr w:rsidR="00A338D7" w:rsidRPr="00A338D7" w14:paraId="07350A2A" w14:textId="77777777" w:rsidTr="00906E40">
        <w:trPr>
          <w:trHeight w:val="288"/>
        </w:trPr>
        <w:tc>
          <w:tcPr>
            <w:tcW w:w="1666" w:type="pct"/>
            <w:noWrap/>
            <w:hideMark/>
          </w:tcPr>
          <w:p w14:paraId="26C8A47B" w14:textId="77777777" w:rsidR="00A338D7" w:rsidRPr="00A85956" w:rsidRDefault="00A338D7" w:rsidP="00A85956">
            <w:pPr>
              <w:pStyle w:val="TableBody"/>
            </w:pPr>
            <w:r w:rsidRPr="00A85956">
              <w:t>2009</w:t>
            </w:r>
          </w:p>
        </w:tc>
        <w:tc>
          <w:tcPr>
            <w:tcW w:w="1666" w:type="pct"/>
            <w:noWrap/>
            <w:hideMark/>
          </w:tcPr>
          <w:p w14:paraId="7A5ABBA0" w14:textId="77777777" w:rsidR="00A338D7" w:rsidRPr="00A85956" w:rsidRDefault="00A338D7" w:rsidP="00A85956">
            <w:pPr>
              <w:pStyle w:val="TableBody"/>
            </w:pPr>
            <w:r w:rsidRPr="00A85956">
              <w:t>3,535</w:t>
            </w:r>
          </w:p>
        </w:tc>
        <w:tc>
          <w:tcPr>
            <w:tcW w:w="1667" w:type="pct"/>
            <w:noWrap/>
            <w:hideMark/>
          </w:tcPr>
          <w:p w14:paraId="05DCEB21" w14:textId="77777777" w:rsidR="00A338D7" w:rsidRPr="00A85956" w:rsidRDefault="00A338D7" w:rsidP="00A85956">
            <w:pPr>
              <w:pStyle w:val="TableBody"/>
            </w:pPr>
            <w:r w:rsidRPr="00A85956">
              <w:t>815</w:t>
            </w:r>
          </w:p>
        </w:tc>
      </w:tr>
      <w:tr w:rsidR="00A338D7" w:rsidRPr="00A338D7" w14:paraId="4188C4E5" w14:textId="77777777" w:rsidTr="00906E40">
        <w:trPr>
          <w:trHeight w:val="288"/>
        </w:trPr>
        <w:tc>
          <w:tcPr>
            <w:tcW w:w="1666" w:type="pct"/>
            <w:noWrap/>
            <w:hideMark/>
          </w:tcPr>
          <w:p w14:paraId="18D39114" w14:textId="77777777" w:rsidR="00A338D7" w:rsidRPr="00A85956" w:rsidRDefault="00A338D7" w:rsidP="00A85956">
            <w:pPr>
              <w:pStyle w:val="TableBody"/>
            </w:pPr>
            <w:r w:rsidRPr="00A85956">
              <w:t>2010</w:t>
            </w:r>
          </w:p>
        </w:tc>
        <w:tc>
          <w:tcPr>
            <w:tcW w:w="1666" w:type="pct"/>
            <w:noWrap/>
            <w:hideMark/>
          </w:tcPr>
          <w:p w14:paraId="07715900" w14:textId="77777777" w:rsidR="00A338D7" w:rsidRPr="00A85956" w:rsidRDefault="00A338D7" w:rsidP="00A85956">
            <w:pPr>
              <w:pStyle w:val="TableBody"/>
            </w:pPr>
            <w:r w:rsidRPr="00A85956">
              <w:t>3,733</w:t>
            </w:r>
          </w:p>
        </w:tc>
        <w:tc>
          <w:tcPr>
            <w:tcW w:w="1667" w:type="pct"/>
            <w:noWrap/>
            <w:hideMark/>
          </w:tcPr>
          <w:p w14:paraId="22701956" w14:textId="77777777" w:rsidR="00A338D7" w:rsidRPr="00A85956" w:rsidRDefault="00A338D7" w:rsidP="00A85956">
            <w:pPr>
              <w:pStyle w:val="TableBody"/>
            </w:pPr>
            <w:r w:rsidRPr="00A85956">
              <w:t>804</w:t>
            </w:r>
          </w:p>
        </w:tc>
      </w:tr>
      <w:tr w:rsidR="00A338D7" w:rsidRPr="00A338D7" w14:paraId="641A33E6" w14:textId="77777777" w:rsidTr="00906E40">
        <w:trPr>
          <w:trHeight w:val="288"/>
        </w:trPr>
        <w:tc>
          <w:tcPr>
            <w:tcW w:w="1666" w:type="pct"/>
            <w:noWrap/>
            <w:hideMark/>
          </w:tcPr>
          <w:p w14:paraId="36F65810" w14:textId="77777777" w:rsidR="00A338D7" w:rsidRPr="00A85956" w:rsidRDefault="00A338D7" w:rsidP="00A85956">
            <w:pPr>
              <w:pStyle w:val="TableBody"/>
            </w:pPr>
            <w:r w:rsidRPr="00A85956">
              <w:t>2011</w:t>
            </w:r>
          </w:p>
        </w:tc>
        <w:tc>
          <w:tcPr>
            <w:tcW w:w="1666" w:type="pct"/>
            <w:noWrap/>
            <w:hideMark/>
          </w:tcPr>
          <w:p w14:paraId="239D339C" w14:textId="77777777" w:rsidR="00A338D7" w:rsidRPr="00A85956" w:rsidRDefault="00A338D7" w:rsidP="00A85956">
            <w:pPr>
              <w:pStyle w:val="TableBody"/>
            </w:pPr>
            <w:r w:rsidRPr="00A85956">
              <w:t>3,861</w:t>
            </w:r>
          </w:p>
        </w:tc>
        <w:tc>
          <w:tcPr>
            <w:tcW w:w="1667" w:type="pct"/>
            <w:noWrap/>
            <w:hideMark/>
          </w:tcPr>
          <w:p w14:paraId="60D19A52" w14:textId="77777777" w:rsidR="00A338D7" w:rsidRPr="00A85956" w:rsidRDefault="00A338D7" w:rsidP="00A85956">
            <w:pPr>
              <w:pStyle w:val="TableBody"/>
            </w:pPr>
            <w:r w:rsidRPr="00A85956">
              <w:t>876</w:t>
            </w:r>
          </w:p>
        </w:tc>
      </w:tr>
      <w:tr w:rsidR="00A338D7" w:rsidRPr="00A338D7" w14:paraId="6AC79F36" w14:textId="77777777" w:rsidTr="00906E40">
        <w:trPr>
          <w:trHeight w:val="288"/>
        </w:trPr>
        <w:tc>
          <w:tcPr>
            <w:tcW w:w="1666" w:type="pct"/>
            <w:noWrap/>
            <w:hideMark/>
          </w:tcPr>
          <w:p w14:paraId="5C45DEE9" w14:textId="77777777" w:rsidR="00A338D7" w:rsidRPr="00A85956" w:rsidRDefault="00A338D7" w:rsidP="00A85956">
            <w:pPr>
              <w:pStyle w:val="TableBody"/>
            </w:pPr>
            <w:r w:rsidRPr="00A85956">
              <w:t>2012</w:t>
            </w:r>
          </w:p>
        </w:tc>
        <w:tc>
          <w:tcPr>
            <w:tcW w:w="1666" w:type="pct"/>
            <w:noWrap/>
            <w:hideMark/>
          </w:tcPr>
          <w:p w14:paraId="7F85811C" w14:textId="77777777" w:rsidR="00A338D7" w:rsidRPr="00A85956" w:rsidRDefault="00A338D7" w:rsidP="00A85956">
            <w:pPr>
              <w:pStyle w:val="TableBody"/>
            </w:pPr>
            <w:r w:rsidRPr="00A85956">
              <w:t>3,888</w:t>
            </w:r>
          </w:p>
        </w:tc>
        <w:tc>
          <w:tcPr>
            <w:tcW w:w="1667" w:type="pct"/>
            <w:noWrap/>
            <w:hideMark/>
          </w:tcPr>
          <w:p w14:paraId="3FB701AA" w14:textId="77777777" w:rsidR="00A338D7" w:rsidRPr="00A85956" w:rsidRDefault="00A338D7" w:rsidP="00A85956">
            <w:pPr>
              <w:pStyle w:val="TableBody"/>
            </w:pPr>
            <w:r w:rsidRPr="00A85956">
              <w:t>996</w:t>
            </w:r>
          </w:p>
        </w:tc>
      </w:tr>
      <w:tr w:rsidR="00A338D7" w:rsidRPr="00A338D7" w14:paraId="37D2B0C8" w14:textId="77777777" w:rsidTr="00906E40">
        <w:trPr>
          <w:trHeight w:val="288"/>
        </w:trPr>
        <w:tc>
          <w:tcPr>
            <w:tcW w:w="1666" w:type="pct"/>
            <w:noWrap/>
            <w:hideMark/>
          </w:tcPr>
          <w:p w14:paraId="0733CD43" w14:textId="77777777" w:rsidR="00A338D7" w:rsidRPr="00A85956" w:rsidRDefault="00A338D7" w:rsidP="00A85956">
            <w:pPr>
              <w:pStyle w:val="TableBody"/>
            </w:pPr>
            <w:r w:rsidRPr="00A85956">
              <w:t>2013</w:t>
            </w:r>
          </w:p>
        </w:tc>
        <w:tc>
          <w:tcPr>
            <w:tcW w:w="1666" w:type="pct"/>
            <w:noWrap/>
            <w:hideMark/>
          </w:tcPr>
          <w:p w14:paraId="69563384" w14:textId="77777777" w:rsidR="00A338D7" w:rsidRPr="00A85956" w:rsidRDefault="00A338D7" w:rsidP="00A85956">
            <w:pPr>
              <w:pStyle w:val="TableBody"/>
            </w:pPr>
            <w:r w:rsidRPr="00A85956">
              <w:t>4,386</w:t>
            </w:r>
          </w:p>
        </w:tc>
        <w:tc>
          <w:tcPr>
            <w:tcW w:w="1667" w:type="pct"/>
            <w:noWrap/>
            <w:hideMark/>
          </w:tcPr>
          <w:p w14:paraId="2B03474A" w14:textId="77777777" w:rsidR="00A338D7" w:rsidRPr="00A85956" w:rsidRDefault="00A338D7" w:rsidP="00A85956">
            <w:pPr>
              <w:pStyle w:val="TableBody"/>
            </w:pPr>
            <w:r w:rsidRPr="00A85956">
              <w:t>954</w:t>
            </w:r>
          </w:p>
        </w:tc>
      </w:tr>
      <w:tr w:rsidR="00A338D7" w:rsidRPr="00A338D7" w14:paraId="60CC2BDC" w14:textId="77777777" w:rsidTr="00906E40">
        <w:trPr>
          <w:trHeight w:val="288"/>
        </w:trPr>
        <w:tc>
          <w:tcPr>
            <w:tcW w:w="1666" w:type="pct"/>
            <w:noWrap/>
            <w:hideMark/>
          </w:tcPr>
          <w:p w14:paraId="28D4CCC3" w14:textId="77777777" w:rsidR="00A338D7" w:rsidRPr="00A85956" w:rsidRDefault="00A338D7" w:rsidP="00A85956">
            <w:pPr>
              <w:pStyle w:val="TableBody"/>
            </w:pPr>
            <w:r w:rsidRPr="00A85956">
              <w:t>2014</w:t>
            </w:r>
          </w:p>
        </w:tc>
        <w:tc>
          <w:tcPr>
            <w:tcW w:w="1666" w:type="pct"/>
            <w:noWrap/>
            <w:hideMark/>
          </w:tcPr>
          <w:p w14:paraId="06C02218" w14:textId="77777777" w:rsidR="00A338D7" w:rsidRPr="00A85956" w:rsidRDefault="00A338D7" w:rsidP="00A85956">
            <w:pPr>
              <w:pStyle w:val="TableBody"/>
            </w:pPr>
            <w:r w:rsidRPr="00A85956">
              <w:t>4,974</w:t>
            </w:r>
          </w:p>
        </w:tc>
        <w:tc>
          <w:tcPr>
            <w:tcW w:w="1667" w:type="pct"/>
            <w:noWrap/>
            <w:hideMark/>
          </w:tcPr>
          <w:p w14:paraId="13E8B09D" w14:textId="77777777" w:rsidR="00A338D7" w:rsidRPr="00A85956" w:rsidRDefault="00A338D7" w:rsidP="00A85956">
            <w:pPr>
              <w:pStyle w:val="TableBody"/>
            </w:pPr>
            <w:r w:rsidRPr="00A85956">
              <w:t>1,139</w:t>
            </w:r>
          </w:p>
        </w:tc>
      </w:tr>
      <w:tr w:rsidR="00A338D7" w:rsidRPr="00A338D7" w14:paraId="1D4CDD4B" w14:textId="77777777" w:rsidTr="00906E40">
        <w:trPr>
          <w:trHeight w:val="288"/>
        </w:trPr>
        <w:tc>
          <w:tcPr>
            <w:tcW w:w="1666" w:type="pct"/>
            <w:noWrap/>
            <w:hideMark/>
          </w:tcPr>
          <w:p w14:paraId="13BB72F0" w14:textId="77777777" w:rsidR="00A338D7" w:rsidRPr="00A85956" w:rsidRDefault="00A338D7" w:rsidP="00A85956">
            <w:pPr>
              <w:pStyle w:val="TableBody"/>
            </w:pPr>
            <w:r w:rsidRPr="00A85956">
              <w:t>2015</w:t>
            </w:r>
          </w:p>
        </w:tc>
        <w:tc>
          <w:tcPr>
            <w:tcW w:w="1666" w:type="pct"/>
            <w:noWrap/>
            <w:hideMark/>
          </w:tcPr>
          <w:p w14:paraId="193516C4" w14:textId="77777777" w:rsidR="00A338D7" w:rsidRPr="00A85956" w:rsidRDefault="00A338D7" w:rsidP="00A85956">
            <w:pPr>
              <w:pStyle w:val="TableBody"/>
            </w:pPr>
            <w:r w:rsidRPr="00A85956">
              <w:t>4,786</w:t>
            </w:r>
          </w:p>
        </w:tc>
        <w:tc>
          <w:tcPr>
            <w:tcW w:w="1667" w:type="pct"/>
            <w:noWrap/>
            <w:hideMark/>
          </w:tcPr>
          <w:p w14:paraId="24B70BCF" w14:textId="77777777" w:rsidR="00A338D7" w:rsidRPr="00A85956" w:rsidRDefault="00A338D7" w:rsidP="00A85956">
            <w:pPr>
              <w:pStyle w:val="TableBody"/>
            </w:pPr>
            <w:r w:rsidRPr="00A85956">
              <w:t>1,433</w:t>
            </w:r>
          </w:p>
        </w:tc>
      </w:tr>
      <w:tr w:rsidR="00A338D7" w:rsidRPr="00A338D7" w14:paraId="6D63312B" w14:textId="77777777" w:rsidTr="00906E40">
        <w:trPr>
          <w:trHeight w:val="288"/>
        </w:trPr>
        <w:tc>
          <w:tcPr>
            <w:tcW w:w="1666" w:type="pct"/>
            <w:noWrap/>
            <w:hideMark/>
          </w:tcPr>
          <w:p w14:paraId="28D2389A" w14:textId="77777777" w:rsidR="00A338D7" w:rsidRPr="00A85956" w:rsidRDefault="00A338D7" w:rsidP="00A85956">
            <w:pPr>
              <w:pStyle w:val="TableBody"/>
            </w:pPr>
            <w:r w:rsidRPr="00A85956">
              <w:t>2016</w:t>
            </w:r>
          </w:p>
        </w:tc>
        <w:tc>
          <w:tcPr>
            <w:tcW w:w="1666" w:type="pct"/>
            <w:noWrap/>
            <w:hideMark/>
          </w:tcPr>
          <w:p w14:paraId="23D221D2" w14:textId="77777777" w:rsidR="00A338D7" w:rsidRPr="00A85956" w:rsidRDefault="00A338D7" w:rsidP="00A85956">
            <w:pPr>
              <w:pStyle w:val="TableBody"/>
            </w:pPr>
            <w:r w:rsidRPr="00A85956">
              <w:t>4,637</w:t>
            </w:r>
          </w:p>
        </w:tc>
        <w:tc>
          <w:tcPr>
            <w:tcW w:w="1667" w:type="pct"/>
            <w:noWrap/>
            <w:hideMark/>
          </w:tcPr>
          <w:p w14:paraId="4F683FC4" w14:textId="77777777" w:rsidR="00A338D7" w:rsidRPr="00A85956" w:rsidRDefault="00A338D7" w:rsidP="00A85956">
            <w:pPr>
              <w:pStyle w:val="TableBody"/>
            </w:pPr>
            <w:r w:rsidRPr="00A85956">
              <w:t>1,882</w:t>
            </w:r>
          </w:p>
        </w:tc>
      </w:tr>
      <w:tr w:rsidR="00A338D7" w:rsidRPr="00A338D7" w14:paraId="2A93DEBD" w14:textId="77777777" w:rsidTr="00906E40">
        <w:trPr>
          <w:trHeight w:val="288"/>
        </w:trPr>
        <w:tc>
          <w:tcPr>
            <w:tcW w:w="1666" w:type="pct"/>
            <w:noWrap/>
            <w:hideMark/>
          </w:tcPr>
          <w:p w14:paraId="11623F34" w14:textId="77777777" w:rsidR="00A338D7" w:rsidRPr="00A85956" w:rsidRDefault="00A338D7" w:rsidP="00A85956">
            <w:pPr>
              <w:pStyle w:val="TableBody"/>
            </w:pPr>
            <w:r w:rsidRPr="00A85956">
              <w:t>2017</w:t>
            </w:r>
          </w:p>
        </w:tc>
        <w:tc>
          <w:tcPr>
            <w:tcW w:w="1666" w:type="pct"/>
            <w:noWrap/>
            <w:hideMark/>
          </w:tcPr>
          <w:p w14:paraId="011F55AF" w14:textId="77777777" w:rsidR="00A338D7" w:rsidRPr="00A85956" w:rsidRDefault="00A338D7" w:rsidP="00A85956">
            <w:pPr>
              <w:pStyle w:val="TableBody"/>
            </w:pPr>
            <w:r w:rsidRPr="00A85956">
              <w:t>4,927</w:t>
            </w:r>
          </w:p>
        </w:tc>
        <w:tc>
          <w:tcPr>
            <w:tcW w:w="1667" w:type="pct"/>
            <w:noWrap/>
            <w:hideMark/>
          </w:tcPr>
          <w:p w14:paraId="2A26B8FF" w14:textId="77777777" w:rsidR="00A338D7" w:rsidRPr="00A85956" w:rsidRDefault="00A338D7" w:rsidP="00A85956">
            <w:pPr>
              <w:pStyle w:val="TableBody"/>
            </w:pPr>
            <w:r w:rsidRPr="00A85956">
              <w:t>2,224</w:t>
            </w:r>
          </w:p>
        </w:tc>
      </w:tr>
      <w:tr w:rsidR="00A338D7" w:rsidRPr="00A338D7" w14:paraId="7E72E96A" w14:textId="77777777" w:rsidTr="00906E40">
        <w:trPr>
          <w:trHeight w:val="288"/>
        </w:trPr>
        <w:tc>
          <w:tcPr>
            <w:tcW w:w="1666" w:type="pct"/>
            <w:noWrap/>
            <w:hideMark/>
          </w:tcPr>
          <w:p w14:paraId="05D4BE4F" w14:textId="77777777" w:rsidR="00A338D7" w:rsidRPr="00A85956" w:rsidRDefault="00A338D7" w:rsidP="00A85956">
            <w:pPr>
              <w:pStyle w:val="TableBody"/>
            </w:pPr>
            <w:r w:rsidRPr="00A85956">
              <w:t>2018</w:t>
            </w:r>
          </w:p>
        </w:tc>
        <w:tc>
          <w:tcPr>
            <w:tcW w:w="1666" w:type="pct"/>
            <w:noWrap/>
            <w:hideMark/>
          </w:tcPr>
          <w:p w14:paraId="4D959D06" w14:textId="77777777" w:rsidR="00A338D7" w:rsidRPr="00A85956" w:rsidRDefault="00A338D7" w:rsidP="00A85956">
            <w:pPr>
              <w:pStyle w:val="TableBody"/>
            </w:pPr>
            <w:r w:rsidRPr="00A85956">
              <w:t>4,957</w:t>
            </w:r>
          </w:p>
        </w:tc>
        <w:tc>
          <w:tcPr>
            <w:tcW w:w="1667" w:type="pct"/>
            <w:noWrap/>
            <w:hideMark/>
          </w:tcPr>
          <w:p w14:paraId="7FB5D9D6" w14:textId="77777777" w:rsidR="00A338D7" w:rsidRPr="00A85956" w:rsidRDefault="00A338D7" w:rsidP="00A85956">
            <w:pPr>
              <w:pStyle w:val="TableBody"/>
            </w:pPr>
            <w:r w:rsidRPr="00A85956">
              <w:t>2,711</w:t>
            </w:r>
          </w:p>
        </w:tc>
      </w:tr>
      <w:tr w:rsidR="00A338D7" w:rsidRPr="00A338D7" w14:paraId="67506555" w14:textId="77777777" w:rsidTr="00906E40">
        <w:trPr>
          <w:trHeight w:val="288"/>
        </w:trPr>
        <w:tc>
          <w:tcPr>
            <w:tcW w:w="1666" w:type="pct"/>
            <w:noWrap/>
            <w:hideMark/>
          </w:tcPr>
          <w:p w14:paraId="19717F52" w14:textId="77777777" w:rsidR="00A338D7" w:rsidRPr="00A85956" w:rsidRDefault="00A338D7" w:rsidP="00A85956">
            <w:pPr>
              <w:pStyle w:val="TableBody"/>
            </w:pPr>
            <w:r w:rsidRPr="00A85956">
              <w:t>2019</w:t>
            </w:r>
          </w:p>
        </w:tc>
        <w:tc>
          <w:tcPr>
            <w:tcW w:w="1666" w:type="pct"/>
            <w:noWrap/>
            <w:hideMark/>
          </w:tcPr>
          <w:p w14:paraId="322E315A" w14:textId="77777777" w:rsidR="00A338D7" w:rsidRPr="00A85956" w:rsidRDefault="00A338D7" w:rsidP="00A85956">
            <w:pPr>
              <w:pStyle w:val="TableBody"/>
            </w:pPr>
            <w:r w:rsidRPr="00A85956">
              <w:t>5,129</w:t>
            </w:r>
          </w:p>
        </w:tc>
        <w:tc>
          <w:tcPr>
            <w:tcW w:w="1667" w:type="pct"/>
            <w:noWrap/>
            <w:hideMark/>
          </w:tcPr>
          <w:p w14:paraId="312804E4" w14:textId="77777777" w:rsidR="00A338D7" w:rsidRPr="00A85956" w:rsidRDefault="00A338D7" w:rsidP="00A85956">
            <w:pPr>
              <w:pStyle w:val="TableBody"/>
            </w:pPr>
            <w:r w:rsidRPr="00A85956">
              <w:t>2,973</w:t>
            </w:r>
          </w:p>
        </w:tc>
      </w:tr>
      <w:tr w:rsidR="00A338D7" w:rsidRPr="00A338D7" w14:paraId="1E5A921B" w14:textId="77777777" w:rsidTr="00906E40">
        <w:trPr>
          <w:trHeight w:val="288"/>
        </w:trPr>
        <w:tc>
          <w:tcPr>
            <w:tcW w:w="1666" w:type="pct"/>
            <w:noWrap/>
            <w:hideMark/>
          </w:tcPr>
          <w:p w14:paraId="124C6B2A" w14:textId="77777777" w:rsidR="00A338D7" w:rsidRPr="00A85956" w:rsidRDefault="00A338D7" w:rsidP="00A85956">
            <w:pPr>
              <w:pStyle w:val="TableBody"/>
            </w:pPr>
            <w:r w:rsidRPr="00A85956">
              <w:t>2020</w:t>
            </w:r>
          </w:p>
        </w:tc>
        <w:tc>
          <w:tcPr>
            <w:tcW w:w="1666" w:type="pct"/>
            <w:noWrap/>
            <w:hideMark/>
          </w:tcPr>
          <w:p w14:paraId="18B7D259" w14:textId="77777777" w:rsidR="00A338D7" w:rsidRPr="00A85956" w:rsidRDefault="00A338D7" w:rsidP="00A85956">
            <w:pPr>
              <w:pStyle w:val="TableBody"/>
            </w:pPr>
            <w:r w:rsidRPr="00A85956">
              <w:t>4,667</w:t>
            </w:r>
          </w:p>
        </w:tc>
        <w:tc>
          <w:tcPr>
            <w:tcW w:w="1667" w:type="pct"/>
            <w:noWrap/>
            <w:hideMark/>
          </w:tcPr>
          <w:p w14:paraId="5F0D5AA0" w14:textId="77777777" w:rsidR="00A338D7" w:rsidRPr="00A85956" w:rsidRDefault="00A338D7" w:rsidP="00A85956">
            <w:pPr>
              <w:pStyle w:val="TableBody"/>
            </w:pPr>
            <w:r w:rsidRPr="00A85956">
              <w:t>2,484</w:t>
            </w:r>
          </w:p>
        </w:tc>
      </w:tr>
      <w:tr w:rsidR="00A338D7" w:rsidRPr="00A338D7" w14:paraId="684A5820" w14:textId="77777777" w:rsidTr="00906E40">
        <w:trPr>
          <w:trHeight w:val="288"/>
        </w:trPr>
        <w:tc>
          <w:tcPr>
            <w:tcW w:w="1666" w:type="pct"/>
            <w:noWrap/>
            <w:hideMark/>
          </w:tcPr>
          <w:p w14:paraId="13A3D174" w14:textId="77777777" w:rsidR="00A338D7" w:rsidRPr="00A85956" w:rsidRDefault="00A338D7" w:rsidP="00A85956">
            <w:pPr>
              <w:pStyle w:val="TableBody"/>
            </w:pPr>
            <w:r w:rsidRPr="00A85956">
              <w:t>2021</w:t>
            </w:r>
          </w:p>
        </w:tc>
        <w:tc>
          <w:tcPr>
            <w:tcW w:w="1666" w:type="pct"/>
            <w:noWrap/>
            <w:hideMark/>
          </w:tcPr>
          <w:p w14:paraId="0EA71919" w14:textId="77777777" w:rsidR="00A338D7" w:rsidRPr="00A85956" w:rsidRDefault="00A338D7" w:rsidP="00A85956">
            <w:pPr>
              <w:pStyle w:val="TableBody"/>
            </w:pPr>
            <w:r w:rsidRPr="00A85956">
              <w:t>4,064</w:t>
            </w:r>
          </w:p>
        </w:tc>
        <w:tc>
          <w:tcPr>
            <w:tcW w:w="1667" w:type="pct"/>
            <w:noWrap/>
            <w:hideMark/>
          </w:tcPr>
          <w:p w14:paraId="3B7A9246" w14:textId="77777777" w:rsidR="00A338D7" w:rsidRPr="00A85956" w:rsidRDefault="00A338D7" w:rsidP="00A85956">
            <w:pPr>
              <w:pStyle w:val="TableBody"/>
            </w:pPr>
            <w:r w:rsidRPr="00A85956">
              <w:t>3,185</w:t>
            </w:r>
          </w:p>
        </w:tc>
      </w:tr>
      <w:tr w:rsidR="00A338D7" w:rsidRPr="00A338D7" w14:paraId="4CA9D829" w14:textId="77777777" w:rsidTr="00906E40">
        <w:trPr>
          <w:trHeight w:val="288"/>
        </w:trPr>
        <w:tc>
          <w:tcPr>
            <w:tcW w:w="1666" w:type="pct"/>
            <w:noWrap/>
            <w:hideMark/>
          </w:tcPr>
          <w:p w14:paraId="0723B585" w14:textId="77777777" w:rsidR="00A338D7" w:rsidRPr="00A85956" w:rsidRDefault="00A338D7" w:rsidP="00A85956">
            <w:pPr>
              <w:pStyle w:val="TableBody"/>
            </w:pPr>
            <w:r w:rsidRPr="00A85956">
              <w:t>2022</w:t>
            </w:r>
          </w:p>
        </w:tc>
        <w:tc>
          <w:tcPr>
            <w:tcW w:w="1666" w:type="pct"/>
            <w:noWrap/>
            <w:hideMark/>
          </w:tcPr>
          <w:p w14:paraId="7FF76663" w14:textId="77777777" w:rsidR="00A338D7" w:rsidRPr="00A85956" w:rsidRDefault="00A338D7" w:rsidP="00A85956">
            <w:pPr>
              <w:pStyle w:val="TableBody"/>
            </w:pPr>
            <w:r w:rsidRPr="00A85956">
              <w:t>3,799</w:t>
            </w:r>
          </w:p>
        </w:tc>
        <w:tc>
          <w:tcPr>
            <w:tcW w:w="1667" w:type="pct"/>
            <w:noWrap/>
            <w:hideMark/>
          </w:tcPr>
          <w:p w14:paraId="511FD136" w14:textId="77777777" w:rsidR="00A338D7" w:rsidRPr="00A85956" w:rsidRDefault="00A338D7" w:rsidP="00A85956">
            <w:pPr>
              <w:pStyle w:val="TableBody"/>
            </w:pPr>
            <w:r w:rsidRPr="00A85956">
              <w:t>2,769</w:t>
            </w:r>
          </w:p>
        </w:tc>
      </w:tr>
      <w:tr w:rsidR="00A338D7" w:rsidRPr="00A338D7" w14:paraId="63DD5438" w14:textId="77777777" w:rsidTr="00906E40">
        <w:trPr>
          <w:trHeight w:val="288"/>
        </w:trPr>
        <w:tc>
          <w:tcPr>
            <w:tcW w:w="1666" w:type="pct"/>
            <w:noWrap/>
            <w:hideMark/>
          </w:tcPr>
          <w:p w14:paraId="2AD68B0A" w14:textId="77777777" w:rsidR="00A338D7" w:rsidRPr="00A85956" w:rsidRDefault="00A338D7" w:rsidP="00A85956">
            <w:pPr>
              <w:pStyle w:val="TableBody"/>
            </w:pPr>
            <w:r w:rsidRPr="00A85956">
              <w:t>2023</w:t>
            </w:r>
          </w:p>
        </w:tc>
        <w:tc>
          <w:tcPr>
            <w:tcW w:w="1666" w:type="pct"/>
            <w:noWrap/>
            <w:hideMark/>
          </w:tcPr>
          <w:p w14:paraId="03A0D8ED" w14:textId="77777777" w:rsidR="00A338D7" w:rsidRPr="00A85956" w:rsidRDefault="00A338D7" w:rsidP="00A85956">
            <w:pPr>
              <w:pStyle w:val="TableBody"/>
            </w:pPr>
            <w:r w:rsidRPr="00A85956">
              <w:t>4,030</w:t>
            </w:r>
          </w:p>
        </w:tc>
        <w:tc>
          <w:tcPr>
            <w:tcW w:w="1667" w:type="pct"/>
            <w:noWrap/>
            <w:hideMark/>
          </w:tcPr>
          <w:p w14:paraId="4CAEAADA" w14:textId="77777777" w:rsidR="00A338D7" w:rsidRPr="00A85956" w:rsidRDefault="00A338D7" w:rsidP="00A85956">
            <w:pPr>
              <w:pStyle w:val="TableBody"/>
            </w:pPr>
            <w:r w:rsidRPr="00A85956">
              <w:t>2,410</w:t>
            </w:r>
          </w:p>
        </w:tc>
      </w:tr>
      <w:tr w:rsidR="00A338D7" w:rsidRPr="00A338D7" w14:paraId="7BC3FCFC" w14:textId="77777777" w:rsidTr="00906E40">
        <w:trPr>
          <w:trHeight w:val="288"/>
        </w:trPr>
        <w:tc>
          <w:tcPr>
            <w:tcW w:w="1666" w:type="pct"/>
            <w:noWrap/>
            <w:hideMark/>
          </w:tcPr>
          <w:p w14:paraId="3CF4DF2E" w14:textId="77777777" w:rsidR="00A338D7" w:rsidRPr="00A85956" w:rsidRDefault="00A338D7" w:rsidP="00A85956">
            <w:pPr>
              <w:pStyle w:val="TableBody"/>
            </w:pPr>
            <w:r w:rsidRPr="00A85956">
              <w:t>2024</w:t>
            </w:r>
          </w:p>
        </w:tc>
        <w:tc>
          <w:tcPr>
            <w:tcW w:w="1666" w:type="pct"/>
            <w:noWrap/>
            <w:hideMark/>
          </w:tcPr>
          <w:p w14:paraId="1922C4B3" w14:textId="77777777" w:rsidR="00A338D7" w:rsidRPr="00A85956" w:rsidRDefault="00A338D7" w:rsidP="00A85956">
            <w:pPr>
              <w:pStyle w:val="TableBody"/>
            </w:pPr>
            <w:r w:rsidRPr="00A85956">
              <w:t>3,921</w:t>
            </w:r>
          </w:p>
        </w:tc>
        <w:tc>
          <w:tcPr>
            <w:tcW w:w="1667" w:type="pct"/>
            <w:noWrap/>
            <w:hideMark/>
          </w:tcPr>
          <w:p w14:paraId="65E0CA76" w14:textId="77777777" w:rsidR="00A338D7" w:rsidRPr="00A85956" w:rsidRDefault="00A338D7" w:rsidP="00A85956">
            <w:pPr>
              <w:pStyle w:val="TableBody"/>
            </w:pPr>
            <w:r w:rsidRPr="00A85956">
              <w:t>1,994</w:t>
            </w:r>
          </w:p>
        </w:tc>
      </w:tr>
    </w:tbl>
    <w:p w14:paraId="7AE03528" w14:textId="77777777" w:rsidR="00A4454A" w:rsidRPr="008C1137" w:rsidRDefault="00A4454A" w:rsidP="00D4532A">
      <w:r w:rsidRPr="000C258A">
        <w:rPr>
          <w:rStyle w:val="Strong"/>
        </w:rPr>
        <w:t>Source</w:t>
      </w:r>
      <w:r w:rsidRPr="008C1137">
        <w:t>: Corrections Victoria,</w:t>
      </w:r>
      <w:r w:rsidRPr="008C1137">
        <w:rPr>
          <w:rStyle w:val="Italic"/>
        </w:rPr>
        <w:t xml:space="preserve"> Monthly Time Series Prison and Community Corrections Data </w:t>
      </w:r>
      <w:r w:rsidRPr="008C1137">
        <w:t>(corrections.vic.gov.au, 2024) Table 1</w:t>
      </w:r>
    </w:p>
    <w:p w14:paraId="06642A62" w14:textId="77777777" w:rsidR="00A4454A" w:rsidRPr="008C1137" w:rsidRDefault="00A4454A" w:rsidP="00210207">
      <w:pPr>
        <w:pStyle w:val="Numbered"/>
      </w:pPr>
      <w:r w:rsidRPr="008C1137">
        <w:t xml:space="preserve">As for trends, the proportions of sentenced and unsentenced prisoners were relatively stable between 30 June 2005 and 30 June 2012 (with sentenced prisoners comprising around 80% of the prison population during this time). In the years after 2012, there was a considerable increase in the number of sentenced prisoners, from 3,888 to a peak of 5,129 on 30 June 2019 (a 32% increase), but numbers returned to 2012 levels since then, with 3,921 sentenced prisoners as of 30 June 2024. In contrast, the number </w:t>
      </w:r>
      <w:r w:rsidRPr="008C1137">
        <w:lastRenderedPageBreak/>
        <w:t>of unsentenced prisoners more than tripled between 30 June 2013 and 30 June 2019, from 954 to 2,973. While the numbers initially dropped at the beginning of the COVID-19 pandemic in 2020,</w:t>
      </w:r>
      <w:r w:rsidRPr="008C1137">
        <w:rPr>
          <w:rStyle w:val="Superscript"/>
        </w:rPr>
        <w:footnoteReference w:id="154"/>
      </w:r>
      <w:r w:rsidRPr="008C1137">
        <w:t xml:space="preserve"> the number of unsentenced prisoners then reached a record high of 3,185 on 30 June 2021 (44% of the total prison population). There was subsequently a drastic reduction in the number of unsentenced prisoners over the next 3 years, to 1,994 on 30 June 2024, but the number was still twice what it was 12 years earlier.</w:t>
      </w:r>
    </w:p>
    <w:p w14:paraId="4BBAA5FA" w14:textId="77777777" w:rsidR="00A4454A" w:rsidRPr="008C1137" w:rsidRDefault="00A4454A" w:rsidP="00210207">
      <w:pPr>
        <w:pStyle w:val="Numbered"/>
      </w:pPr>
      <w:r w:rsidRPr="008C1137">
        <w:t>The substantial growth in the unsentenced prisoner population tracks closely with numerous legislative reforms aimed at strengthening Victoria’s bail provisions.</w:t>
      </w:r>
      <w:r w:rsidRPr="008C1137">
        <w:rPr>
          <w:rStyle w:val="Superscript"/>
        </w:rPr>
        <w:footnoteReference w:id="155"/>
      </w:r>
      <w:r w:rsidRPr="008C1137">
        <w:t xml:space="preserve"> Historically, the purpose of remanding someone was to avoid the risk that they would abscond while awaiting trial or sentencing. However, the decision to remand an alleged offender has become increasingly focused on community protection, particularly in recent years.</w:t>
      </w:r>
      <w:r w:rsidRPr="008C1137">
        <w:rPr>
          <w:rStyle w:val="Superscript"/>
        </w:rPr>
        <w:footnoteReference w:id="156"/>
      </w:r>
    </w:p>
    <w:p w14:paraId="527E4062" w14:textId="77777777" w:rsidR="00A4454A" w:rsidRPr="008C1137" w:rsidRDefault="00A4454A" w:rsidP="00210207">
      <w:pPr>
        <w:pStyle w:val="Numbered"/>
      </w:pPr>
      <w:r w:rsidRPr="008C1137">
        <w:lastRenderedPageBreak/>
        <w:t>In the 12 months to 30 June 2014, there was a marked increase in the number of unsentenced prisoners. This correlates with legislative changes that took place in the same period. In 2013, the government introduced separate offences criminalising committing an indictable offence while on bail and contravening a conduct condition of bail, and expanded the circumstances in which a bail application must be heard before a magistrate (rather than before a bail justice or by police upon arrest).</w:t>
      </w:r>
      <w:r w:rsidRPr="008C1137">
        <w:rPr>
          <w:rStyle w:val="Superscript"/>
        </w:rPr>
        <w:footnoteReference w:id="157"/>
      </w:r>
      <w:r w:rsidRPr="008C1137">
        <w:t xml:space="preserve"> The Victorian Ombudsman later said that these changes had resulted in an increase in bail applications in the Magistrates’ Court, indicating a decrease in police exercising their discretion to release offenders on bail.</w:t>
      </w:r>
      <w:r w:rsidRPr="008C1137">
        <w:rPr>
          <w:rStyle w:val="Superscript"/>
        </w:rPr>
        <w:footnoteReference w:id="158"/>
      </w:r>
      <w:r w:rsidRPr="008C1137">
        <w:t xml:space="preserve"> </w:t>
      </w:r>
    </w:p>
    <w:p w14:paraId="5078E444" w14:textId="77777777" w:rsidR="00A4454A" w:rsidRPr="008C1137" w:rsidRDefault="00A4454A" w:rsidP="00210207">
      <w:pPr>
        <w:pStyle w:val="Numbered"/>
      </w:pPr>
      <w:r w:rsidRPr="008C1137">
        <w:t>Then in 2017 and 2018, there was another major overhaul to bail decision-making,</w:t>
      </w:r>
      <w:r w:rsidRPr="008C1137">
        <w:rPr>
          <w:rStyle w:val="Superscript"/>
        </w:rPr>
        <w:footnoteReference w:id="159"/>
      </w:r>
      <w:r w:rsidRPr="008C1137">
        <w:t xml:space="preserve"> with new circumstances in which the presumption of bail was reversed, such that the alleged offender had to prove why they should be released, rather than the prosecution having to prove why the alleged offender should be remanded.</w:t>
      </w:r>
      <w:r w:rsidRPr="008C1137">
        <w:rPr>
          <w:rStyle w:val="Superscript"/>
        </w:rPr>
        <w:footnoteReference w:id="160"/>
      </w:r>
      <w:r w:rsidRPr="008C1137">
        <w:t xml:space="preserve"> These changes were designed to ‘make it harder than ever to [be granted] bail in Victoria’.</w:t>
      </w:r>
      <w:r w:rsidRPr="008C1137">
        <w:rPr>
          <w:rStyle w:val="Superscript"/>
        </w:rPr>
        <w:footnoteReference w:id="161"/>
      </w:r>
      <w:r w:rsidRPr="008C1137">
        <w:t xml:space="preserve"> These reforms were </w:t>
      </w:r>
      <w:r w:rsidRPr="008C1137">
        <w:lastRenderedPageBreak/>
        <w:t>subject to considerable critique in the years that followed, for remanding people who would likely not receive a custodial sentence for their offending, and for having an especially pronounced effect on women, people from culturally and ethnically diverse communities and Aboriginal and Torres Strait Islander people.</w:t>
      </w:r>
      <w:r w:rsidRPr="008C1137">
        <w:rPr>
          <w:rStyle w:val="Superscript"/>
        </w:rPr>
        <w:footnoteReference w:id="162"/>
      </w:r>
    </w:p>
    <w:p w14:paraId="48D9D76C" w14:textId="77777777" w:rsidR="00A4454A" w:rsidRPr="008C1137" w:rsidRDefault="00A4454A" w:rsidP="00210207">
      <w:pPr>
        <w:pStyle w:val="Numbered"/>
      </w:pPr>
      <w:r w:rsidRPr="008C1137">
        <w:t>Notably, the changes in the unsentenced prisoner population do not always align precisely with the commencement of relevant legislative reforms. The 2018 legislative amendments were designed to restrict access to bail, and the unsentenced prisoner population certainly increased in the years that followed, but the unsentenced prisoner population also seems to have increased in line with a pre-existing trend since 2013. There were especially sharp spikes in the unsentenced prisoner population in the months after James Gargasoulas killed six pedestrians in Melbourne’s CBD while on bail for dangerous driving offences.</w:t>
      </w:r>
      <w:r w:rsidRPr="008C1137">
        <w:rPr>
          <w:rStyle w:val="Superscript"/>
        </w:rPr>
        <w:footnoteReference w:id="163"/>
      </w:r>
      <w:r w:rsidRPr="008C1137">
        <w:t xml:space="preserve"> </w:t>
      </w:r>
    </w:p>
    <w:p w14:paraId="682A3874" w14:textId="77777777" w:rsidR="00A4454A" w:rsidRPr="008C1137" w:rsidRDefault="00A4454A" w:rsidP="00210207">
      <w:pPr>
        <w:pStyle w:val="Numbered"/>
      </w:pPr>
      <w:r w:rsidRPr="008C1137">
        <w:t>Similarly, legislative reforms in March 2024 were designed to increase eligibility for bail, making bail more accessible. The unsentenced prisoner population certainly decreased in the months that followed, but since 2022, especially throughout 2023, it also seemed to have decreased in line with a pre-existing trend.</w:t>
      </w:r>
      <w:r w:rsidRPr="008C1137">
        <w:rPr>
          <w:rStyle w:val="Superscript"/>
        </w:rPr>
        <w:footnoteReference w:id="164"/>
      </w:r>
      <w:r w:rsidRPr="008C1137">
        <w:t xml:space="preserve"> </w:t>
      </w:r>
      <w:r w:rsidRPr="008C1137">
        <w:lastRenderedPageBreak/>
        <w:t>These reductions correspond more temporally with the holding of, and delivery of findings in, an inquest into the death of Veronica Nelson, a Gunditjmara, Dja Dja Wurrung, Wiradjuri and Yorta Yorta woman who died in prison in January 2020 while remanded for theft from a shop offences.</w:t>
      </w:r>
      <w:r w:rsidRPr="008C1137">
        <w:rPr>
          <w:rStyle w:val="Superscript"/>
        </w:rPr>
        <w:footnoteReference w:id="165"/>
      </w:r>
      <w:r w:rsidRPr="008C1137">
        <w:t xml:space="preserve"> The inquest criticised the application of the bail laws at the time, principally as they applied to non-violent and lower-level offences and particularly their amplified effect on marginalised populations. The inquest was the catalyst for the legislative reforms that took place in early 2024, reversing many of the 2018 amendments and removing the secondary offences of committing an indicatable offence while on bail and contravening a conduct condition of bail.</w:t>
      </w:r>
      <w:r w:rsidRPr="008C1137">
        <w:rPr>
          <w:rStyle w:val="Superscript"/>
        </w:rPr>
        <w:footnoteReference w:id="166"/>
      </w:r>
      <w:r w:rsidRPr="008C1137">
        <w:t xml:space="preserve"> </w:t>
      </w:r>
    </w:p>
    <w:p w14:paraId="36C49B66" w14:textId="77777777" w:rsidR="00A4454A" w:rsidRPr="008C1137" w:rsidRDefault="00A4454A" w:rsidP="00210207">
      <w:pPr>
        <w:pStyle w:val="Numbered"/>
      </w:pPr>
      <w:r w:rsidRPr="008C1137">
        <w:t>The timing of these trends raises important questions about the true drivers behind changes in the unsentenced prisoner population, and the complex relationship between media commentary, legislative reform and bail decision-making.</w:t>
      </w:r>
    </w:p>
    <w:p w14:paraId="2F8A690E" w14:textId="77777777" w:rsidR="00A4454A" w:rsidRPr="008C1137" w:rsidRDefault="00A4454A" w:rsidP="0002476E">
      <w:pPr>
        <w:pStyle w:val="Heading2"/>
      </w:pPr>
      <w:r w:rsidRPr="008C1137">
        <w:t>Most serious offences of sentenced prisoners</w:t>
      </w:r>
    </w:p>
    <w:p w14:paraId="6BECFF1F" w14:textId="77777777" w:rsidR="00A4454A" w:rsidRPr="008C1137" w:rsidRDefault="00A4454A" w:rsidP="00210207">
      <w:pPr>
        <w:pStyle w:val="Numbered"/>
      </w:pPr>
      <w:r w:rsidRPr="008C1137">
        <w:t>This section presents data on the most serious offence of sentenced prisoners. This is determined by the offence receiving the most severe sentence (the longest prison sentence) in a case or, if there are multiple offences receiving the most severe sentence in a case, by using the National Offence Index.</w:t>
      </w:r>
      <w:r w:rsidRPr="008C1137">
        <w:rPr>
          <w:rStyle w:val="Superscript"/>
        </w:rPr>
        <w:footnoteReference w:id="167"/>
      </w:r>
      <w:r w:rsidRPr="008C1137">
        <w:t xml:space="preserve"> As in other sections of this report, offences are grouped into six </w:t>
      </w:r>
      <w:r w:rsidRPr="008C1137">
        <w:lastRenderedPageBreak/>
        <w:t>categories (person, property, drug, public order, justice procedure and other offences</w:t>
      </w:r>
      <w:r w:rsidRPr="008C1137">
        <w:rPr>
          <w:rStyle w:val="Superscript"/>
        </w:rPr>
        <w:footnoteReference w:id="168"/>
      </w:r>
      <w:r w:rsidRPr="008C1137">
        <w:t xml:space="preserve">). </w:t>
      </w:r>
    </w:p>
    <w:p w14:paraId="7E043B93" w14:textId="4BF0C4A7" w:rsidR="00A4454A" w:rsidRPr="008C1137" w:rsidRDefault="00A4454A" w:rsidP="00210207">
      <w:pPr>
        <w:pStyle w:val="Numbered"/>
      </w:pPr>
      <w:r w:rsidRPr="008C1137">
        <w:t>Figure 49</w:t>
      </w:r>
      <w:r w:rsidR="009E33A5">
        <w:t xml:space="preserve"> </w:t>
      </w:r>
      <w:r w:rsidRPr="008C1137">
        <w:t xml:space="preserve">shows the number of sentenced prisoners by their most serious offence type in the 20 years to 30 June 2024. As discussed above, the number of sentenced prisoners increased by 29% between 30 June 2005 and 30 June 2024. The data suggests that this increase was driven primarily by </w:t>
      </w:r>
      <w:r w:rsidRPr="003B3217">
        <w:rPr>
          <w:rStyle w:val="Italic"/>
        </w:rPr>
        <w:t>offences against the person</w:t>
      </w:r>
      <w:r w:rsidRPr="008C1137">
        <w:t>, which increased from 45% of all sentenced prisoners in 2005 to 60% in 2024.</w:t>
      </w:r>
    </w:p>
    <w:p w14:paraId="036E653A" w14:textId="77777777" w:rsidR="00A4454A" w:rsidRPr="008C1137" w:rsidRDefault="00A4454A" w:rsidP="00210207">
      <w:pPr>
        <w:pStyle w:val="Numbered"/>
      </w:pPr>
      <w:r w:rsidRPr="008C1137">
        <w:t>Of the offence categories that also saw an increase during the 20-year period, public order offences more than tripled (increasing by 233%), although they were not as common, while drug offences increased by 35%.</w:t>
      </w:r>
    </w:p>
    <w:p w14:paraId="3D2E080F" w14:textId="77777777" w:rsidR="00A4454A" w:rsidRPr="008C1137" w:rsidRDefault="00A4454A" w:rsidP="00210207">
      <w:pPr>
        <w:pStyle w:val="Numbered"/>
      </w:pPr>
      <w:r w:rsidRPr="008C1137">
        <w:t>Conversely, there was a decrease in the number of sentenced prisoners whose most serious offence was either a property offence or a justice procedure offence, dropping by 17% and 31%, respectively.</w:t>
      </w:r>
      <w:r w:rsidRPr="008C1137">
        <w:rPr>
          <w:rStyle w:val="Superscript"/>
        </w:rPr>
        <w:footnoteReference w:id="169"/>
      </w:r>
      <w:r w:rsidRPr="008C1137">
        <w:t xml:space="preserve"> </w:t>
      </w:r>
    </w:p>
    <w:p w14:paraId="29F804D0" w14:textId="7E4F6A6A" w:rsidR="00A4454A" w:rsidRPr="008C1137" w:rsidRDefault="00A4454A" w:rsidP="00210207">
      <w:pPr>
        <w:pStyle w:val="Numbered"/>
      </w:pPr>
      <w:r w:rsidRPr="008C1137">
        <w:t>Offences against the person, public order offences and property offences showed trends largely consistent with trends in the number of custodial sentences imposed for these offence categories. Though for drug offences, the number of sentenced prisoners (which increased by 35%) outpaced growth in the number of custodial sentences (which grew by 10%), suggesting that the increase in sentenced prisoners was the result of drug offenders receiving longer prison sentences (and thus having a cumulative effect on the number of sentenced prisoners).</w:t>
      </w:r>
      <w:r w:rsidRPr="008C1137">
        <w:rPr>
          <w:rStyle w:val="Superscript"/>
        </w:rPr>
        <w:footnoteReference w:id="170"/>
      </w:r>
      <w:r w:rsidRPr="008C1137">
        <w:t xml:space="preserve"> The </w:t>
      </w:r>
      <w:r w:rsidRPr="008C1137">
        <w:lastRenderedPageBreak/>
        <w:t xml:space="preserve">opposite was true for justice procedure offences: the number of sentenced prisoners decreased by 31%, while the number of custodial sentences </w:t>
      </w:r>
      <w:r w:rsidRPr="003B3217">
        <w:rPr>
          <w:rStyle w:val="Italic"/>
        </w:rPr>
        <w:t>quadrupaled</w:t>
      </w:r>
      <w:r w:rsidRPr="008C1137">
        <w:t xml:space="preserve">, suggesting a decrease in sentence lengths for this offence category (see Figure 25). </w:t>
      </w:r>
    </w:p>
    <w:p w14:paraId="2ADD5F7A" w14:textId="77777777" w:rsidR="00A4454A" w:rsidRPr="008C1137" w:rsidRDefault="00A4454A" w:rsidP="00BE4EDC">
      <w:pPr>
        <w:pStyle w:val="Caption"/>
      </w:pPr>
      <w:r w:rsidRPr="00157502">
        <w:t>Figure 49</w:t>
      </w:r>
      <w:r w:rsidRPr="008C1137">
        <w:t>: Number of sentenced prisoners on 30 June, by category of most serious offence, 2005 to 2024</w:t>
      </w:r>
    </w:p>
    <w:tbl>
      <w:tblPr>
        <w:tblStyle w:val="Table"/>
        <w:tblW w:w="5000" w:type="pct"/>
        <w:tblLayout w:type="fixed"/>
        <w:tblLook w:val="04A0" w:firstRow="1" w:lastRow="0" w:firstColumn="1" w:lastColumn="0" w:noHBand="0" w:noVBand="1"/>
      </w:tblPr>
      <w:tblGrid>
        <w:gridCol w:w="1502"/>
        <w:gridCol w:w="1504"/>
        <w:gridCol w:w="1504"/>
        <w:gridCol w:w="1502"/>
        <w:gridCol w:w="1504"/>
        <w:gridCol w:w="1500"/>
      </w:tblGrid>
      <w:tr w:rsidR="00707B63" w:rsidRPr="004B1A52" w14:paraId="25AFD74F" w14:textId="77777777" w:rsidTr="00672099">
        <w:trPr>
          <w:trHeight w:val="294"/>
          <w:tblHeader/>
        </w:trPr>
        <w:tc>
          <w:tcPr>
            <w:tcW w:w="833" w:type="pct"/>
            <w:noWrap/>
            <w:hideMark/>
          </w:tcPr>
          <w:p w14:paraId="267F47DA" w14:textId="5A1CED93" w:rsidR="00707B63" w:rsidRPr="0037334D" w:rsidRDefault="00707B63" w:rsidP="0037334D">
            <w:pPr>
              <w:pStyle w:val="TableHeading"/>
            </w:pPr>
            <w:r w:rsidRPr="0037334D">
              <w:t>Year</w:t>
            </w:r>
          </w:p>
        </w:tc>
        <w:tc>
          <w:tcPr>
            <w:tcW w:w="834" w:type="pct"/>
            <w:noWrap/>
            <w:hideMark/>
          </w:tcPr>
          <w:p w14:paraId="7BF42C97" w14:textId="77777777" w:rsidR="00707B63" w:rsidRPr="004B1A52" w:rsidRDefault="00707B63" w:rsidP="002054FC">
            <w:pPr>
              <w:pStyle w:val="TableHeading"/>
            </w:pPr>
            <w:r w:rsidRPr="004B1A52">
              <w:t>Person</w:t>
            </w:r>
          </w:p>
        </w:tc>
        <w:tc>
          <w:tcPr>
            <w:tcW w:w="834" w:type="pct"/>
            <w:noWrap/>
            <w:hideMark/>
          </w:tcPr>
          <w:p w14:paraId="615F981C" w14:textId="77777777" w:rsidR="00707B63" w:rsidRPr="004B1A52" w:rsidRDefault="00707B63" w:rsidP="002054FC">
            <w:pPr>
              <w:pStyle w:val="TableHeading"/>
            </w:pPr>
            <w:r w:rsidRPr="004B1A52">
              <w:t>Property</w:t>
            </w:r>
          </w:p>
        </w:tc>
        <w:tc>
          <w:tcPr>
            <w:tcW w:w="833" w:type="pct"/>
            <w:noWrap/>
            <w:hideMark/>
          </w:tcPr>
          <w:p w14:paraId="2B5B62BC" w14:textId="77777777" w:rsidR="00707B63" w:rsidRPr="004B1A52" w:rsidRDefault="00707B63" w:rsidP="002054FC">
            <w:pPr>
              <w:pStyle w:val="TableHeading"/>
            </w:pPr>
            <w:r w:rsidRPr="004B1A52">
              <w:t>Drug</w:t>
            </w:r>
          </w:p>
        </w:tc>
        <w:tc>
          <w:tcPr>
            <w:tcW w:w="834" w:type="pct"/>
            <w:noWrap/>
            <w:hideMark/>
          </w:tcPr>
          <w:p w14:paraId="6BE783BC" w14:textId="77777777" w:rsidR="00707B63" w:rsidRPr="004B1A52" w:rsidRDefault="00707B63" w:rsidP="002054FC">
            <w:pPr>
              <w:pStyle w:val="TableHeading"/>
            </w:pPr>
            <w:r w:rsidRPr="004B1A52">
              <w:t>Public order</w:t>
            </w:r>
          </w:p>
        </w:tc>
        <w:tc>
          <w:tcPr>
            <w:tcW w:w="834" w:type="pct"/>
            <w:noWrap/>
            <w:hideMark/>
          </w:tcPr>
          <w:p w14:paraId="2BB5C167" w14:textId="77777777" w:rsidR="00707B63" w:rsidRPr="004B1A52" w:rsidRDefault="00707B63" w:rsidP="002054FC">
            <w:pPr>
              <w:pStyle w:val="TableHeading"/>
            </w:pPr>
            <w:r w:rsidRPr="004B1A52">
              <w:t>Justice procedure</w:t>
            </w:r>
          </w:p>
        </w:tc>
      </w:tr>
      <w:tr w:rsidR="00707B63" w:rsidRPr="004B1A52" w14:paraId="5DC13BDB" w14:textId="77777777" w:rsidTr="00672099">
        <w:trPr>
          <w:trHeight w:val="294"/>
        </w:trPr>
        <w:tc>
          <w:tcPr>
            <w:tcW w:w="833" w:type="pct"/>
            <w:noWrap/>
            <w:hideMark/>
          </w:tcPr>
          <w:p w14:paraId="65E3B176" w14:textId="77777777" w:rsidR="00707B63" w:rsidRPr="00A85956" w:rsidRDefault="00707B63" w:rsidP="00A85956">
            <w:pPr>
              <w:pStyle w:val="TableBody"/>
            </w:pPr>
            <w:r w:rsidRPr="00A85956">
              <w:t>2005</w:t>
            </w:r>
          </w:p>
        </w:tc>
        <w:tc>
          <w:tcPr>
            <w:tcW w:w="834" w:type="pct"/>
            <w:noWrap/>
            <w:hideMark/>
          </w:tcPr>
          <w:p w14:paraId="6B1BEBCF" w14:textId="77777777" w:rsidR="00707B63" w:rsidRPr="00A85956" w:rsidRDefault="00707B63" w:rsidP="00A85956">
            <w:pPr>
              <w:pStyle w:val="TableBody"/>
            </w:pPr>
            <w:r w:rsidRPr="00A85956">
              <w:t>1,372</w:t>
            </w:r>
          </w:p>
        </w:tc>
        <w:tc>
          <w:tcPr>
            <w:tcW w:w="834" w:type="pct"/>
            <w:noWrap/>
            <w:hideMark/>
          </w:tcPr>
          <w:p w14:paraId="29324C47" w14:textId="77777777" w:rsidR="00707B63" w:rsidRPr="00A85956" w:rsidRDefault="00707B63" w:rsidP="00A85956">
            <w:pPr>
              <w:pStyle w:val="TableBody"/>
            </w:pPr>
            <w:r w:rsidRPr="00A85956">
              <w:t>820</w:t>
            </w:r>
          </w:p>
        </w:tc>
        <w:tc>
          <w:tcPr>
            <w:tcW w:w="833" w:type="pct"/>
            <w:noWrap/>
            <w:hideMark/>
          </w:tcPr>
          <w:p w14:paraId="09A4FED0" w14:textId="77777777" w:rsidR="00707B63" w:rsidRPr="00A85956" w:rsidRDefault="00707B63" w:rsidP="00A85956">
            <w:pPr>
              <w:pStyle w:val="TableBody"/>
            </w:pPr>
            <w:r w:rsidRPr="00A85956">
              <w:t>343</w:t>
            </w:r>
          </w:p>
        </w:tc>
        <w:tc>
          <w:tcPr>
            <w:tcW w:w="834" w:type="pct"/>
            <w:noWrap/>
            <w:hideMark/>
          </w:tcPr>
          <w:p w14:paraId="19D01BD3" w14:textId="77777777" w:rsidR="00707B63" w:rsidRPr="00A85956" w:rsidRDefault="00707B63" w:rsidP="00A85956">
            <w:pPr>
              <w:pStyle w:val="TableBody"/>
            </w:pPr>
            <w:r w:rsidRPr="00A85956">
              <w:t>43</w:t>
            </w:r>
          </w:p>
        </w:tc>
        <w:tc>
          <w:tcPr>
            <w:tcW w:w="834" w:type="pct"/>
            <w:noWrap/>
            <w:hideMark/>
          </w:tcPr>
          <w:p w14:paraId="5FC83236" w14:textId="77777777" w:rsidR="00707B63" w:rsidRPr="00A85956" w:rsidRDefault="00707B63" w:rsidP="00A85956">
            <w:pPr>
              <w:pStyle w:val="TableBody"/>
            </w:pPr>
            <w:r w:rsidRPr="00A85956">
              <w:t>330</w:t>
            </w:r>
          </w:p>
        </w:tc>
      </w:tr>
      <w:tr w:rsidR="00707B63" w:rsidRPr="004B1A52" w14:paraId="497E79C6" w14:textId="77777777" w:rsidTr="00672099">
        <w:trPr>
          <w:trHeight w:val="294"/>
        </w:trPr>
        <w:tc>
          <w:tcPr>
            <w:tcW w:w="833" w:type="pct"/>
            <w:noWrap/>
            <w:hideMark/>
          </w:tcPr>
          <w:p w14:paraId="59221779" w14:textId="77777777" w:rsidR="00707B63" w:rsidRPr="00A85956" w:rsidRDefault="00707B63" w:rsidP="00A85956">
            <w:pPr>
              <w:pStyle w:val="TableBody"/>
            </w:pPr>
            <w:r w:rsidRPr="00A85956">
              <w:t>2006</w:t>
            </w:r>
          </w:p>
        </w:tc>
        <w:tc>
          <w:tcPr>
            <w:tcW w:w="834" w:type="pct"/>
            <w:noWrap/>
            <w:hideMark/>
          </w:tcPr>
          <w:p w14:paraId="0BEB71C6" w14:textId="77777777" w:rsidR="00707B63" w:rsidRPr="00A85956" w:rsidRDefault="00707B63" w:rsidP="00A85956">
            <w:pPr>
              <w:pStyle w:val="TableBody"/>
            </w:pPr>
            <w:r w:rsidRPr="00A85956">
              <w:t>1,417</w:t>
            </w:r>
          </w:p>
        </w:tc>
        <w:tc>
          <w:tcPr>
            <w:tcW w:w="834" w:type="pct"/>
            <w:noWrap/>
            <w:hideMark/>
          </w:tcPr>
          <w:p w14:paraId="62787339" w14:textId="77777777" w:rsidR="00707B63" w:rsidRPr="00A85956" w:rsidRDefault="00707B63" w:rsidP="00A85956">
            <w:pPr>
              <w:pStyle w:val="TableBody"/>
            </w:pPr>
            <w:r w:rsidRPr="00A85956">
              <w:t>824</w:t>
            </w:r>
          </w:p>
        </w:tc>
        <w:tc>
          <w:tcPr>
            <w:tcW w:w="833" w:type="pct"/>
            <w:noWrap/>
            <w:hideMark/>
          </w:tcPr>
          <w:p w14:paraId="41E937AF" w14:textId="77777777" w:rsidR="00707B63" w:rsidRPr="00A85956" w:rsidRDefault="00707B63" w:rsidP="00A85956">
            <w:pPr>
              <w:pStyle w:val="TableBody"/>
            </w:pPr>
            <w:r w:rsidRPr="00A85956">
              <w:t>331</w:t>
            </w:r>
          </w:p>
        </w:tc>
        <w:tc>
          <w:tcPr>
            <w:tcW w:w="834" w:type="pct"/>
            <w:noWrap/>
            <w:hideMark/>
          </w:tcPr>
          <w:p w14:paraId="2B0A1695" w14:textId="77777777" w:rsidR="00707B63" w:rsidRPr="00A85956" w:rsidRDefault="00707B63" w:rsidP="00A85956">
            <w:pPr>
              <w:pStyle w:val="TableBody"/>
            </w:pPr>
            <w:r w:rsidRPr="00A85956">
              <w:t>43</w:t>
            </w:r>
          </w:p>
        </w:tc>
        <w:tc>
          <w:tcPr>
            <w:tcW w:w="834" w:type="pct"/>
            <w:noWrap/>
            <w:hideMark/>
          </w:tcPr>
          <w:p w14:paraId="3D111C15" w14:textId="77777777" w:rsidR="00707B63" w:rsidRPr="00A85956" w:rsidRDefault="00707B63" w:rsidP="00A85956">
            <w:pPr>
              <w:pStyle w:val="TableBody"/>
            </w:pPr>
            <w:r w:rsidRPr="00A85956">
              <w:t>407</w:t>
            </w:r>
          </w:p>
        </w:tc>
      </w:tr>
      <w:tr w:rsidR="00707B63" w:rsidRPr="004B1A52" w14:paraId="22250668" w14:textId="77777777" w:rsidTr="00672099">
        <w:trPr>
          <w:trHeight w:val="294"/>
        </w:trPr>
        <w:tc>
          <w:tcPr>
            <w:tcW w:w="833" w:type="pct"/>
            <w:noWrap/>
            <w:hideMark/>
          </w:tcPr>
          <w:p w14:paraId="14126C76" w14:textId="77777777" w:rsidR="00707B63" w:rsidRPr="00A85956" w:rsidRDefault="00707B63" w:rsidP="00A85956">
            <w:pPr>
              <w:pStyle w:val="TableBody"/>
            </w:pPr>
            <w:r w:rsidRPr="00A85956">
              <w:t>2007</w:t>
            </w:r>
          </w:p>
        </w:tc>
        <w:tc>
          <w:tcPr>
            <w:tcW w:w="834" w:type="pct"/>
            <w:noWrap/>
            <w:hideMark/>
          </w:tcPr>
          <w:p w14:paraId="21D7A1F1" w14:textId="77777777" w:rsidR="00707B63" w:rsidRPr="00A85956" w:rsidRDefault="00707B63" w:rsidP="00A85956">
            <w:pPr>
              <w:pStyle w:val="TableBody"/>
            </w:pPr>
            <w:r w:rsidRPr="00A85956">
              <w:t>1,552</w:t>
            </w:r>
          </w:p>
        </w:tc>
        <w:tc>
          <w:tcPr>
            <w:tcW w:w="834" w:type="pct"/>
            <w:noWrap/>
            <w:hideMark/>
          </w:tcPr>
          <w:p w14:paraId="686C616E" w14:textId="77777777" w:rsidR="00707B63" w:rsidRPr="00A85956" w:rsidRDefault="00707B63" w:rsidP="00A85956">
            <w:pPr>
              <w:pStyle w:val="TableBody"/>
            </w:pPr>
            <w:r w:rsidRPr="00A85956">
              <w:t>891</w:t>
            </w:r>
          </w:p>
        </w:tc>
        <w:tc>
          <w:tcPr>
            <w:tcW w:w="833" w:type="pct"/>
            <w:noWrap/>
            <w:hideMark/>
          </w:tcPr>
          <w:p w14:paraId="20E2B2B9" w14:textId="77777777" w:rsidR="00707B63" w:rsidRPr="00A85956" w:rsidRDefault="00707B63" w:rsidP="00A85956">
            <w:pPr>
              <w:pStyle w:val="TableBody"/>
            </w:pPr>
            <w:r w:rsidRPr="00A85956">
              <w:t>349</w:t>
            </w:r>
          </w:p>
        </w:tc>
        <w:tc>
          <w:tcPr>
            <w:tcW w:w="834" w:type="pct"/>
            <w:noWrap/>
            <w:hideMark/>
          </w:tcPr>
          <w:p w14:paraId="33EF1D0E" w14:textId="77777777" w:rsidR="00707B63" w:rsidRPr="00A85956" w:rsidRDefault="00707B63" w:rsidP="00A85956">
            <w:pPr>
              <w:pStyle w:val="TableBody"/>
            </w:pPr>
            <w:r w:rsidRPr="00A85956">
              <w:t>38</w:t>
            </w:r>
          </w:p>
        </w:tc>
        <w:tc>
          <w:tcPr>
            <w:tcW w:w="834" w:type="pct"/>
            <w:noWrap/>
            <w:hideMark/>
          </w:tcPr>
          <w:p w14:paraId="773A5E40" w14:textId="77777777" w:rsidR="00707B63" w:rsidRPr="00A85956" w:rsidRDefault="00707B63" w:rsidP="00A85956">
            <w:pPr>
              <w:pStyle w:val="TableBody"/>
            </w:pPr>
            <w:r w:rsidRPr="00A85956">
              <w:t>386</w:t>
            </w:r>
          </w:p>
        </w:tc>
      </w:tr>
      <w:tr w:rsidR="00707B63" w:rsidRPr="004B1A52" w14:paraId="4A66EAAA" w14:textId="77777777" w:rsidTr="00672099">
        <w:trPr>
          <w:trHeight w:val="294"/>
        </w:trPr>
        <w:tc>
          <w:tcPr>
            <w:tcW w:w="833" w:type="pct"/>
            <w:noWrap/>
            <w:hideMark/>
          </w:tcPr>
          <w:p w14:paraId="01737EAE" w14:textId="77777777" w:rsidR="00707B63" w:rsidRPr="00A85956" w:rsidRDefault="00707B63" w:rsidP="00A85956">
            <w:pPr>
              <w:pStyle w:val="TableBody"/>
            </w:pPr>
            <w:r w:rsidRPr="00A85956">
              <w:t>2008</w:t>
            </w:r>
          </w:p>
        </w:tc>
        <w:tc>
          <w:tcPr>
            <w:tcW w:w="834" w:type="pct"/>
            <w:noWrap/>
            <w:hideMark/>
          </w:tcPr>
          <w:p w14:paraId="46CF83D8" w14:textId="77777777" w:rsidR="00707B63" w:rsidRPr="00A85956" w:rsidRDefault="00707B63" w:rsidP="00A85956">
            <w:pPr>
              <w:pStyle w:val="TableBody"/>
            </w:pPr>
            <w:r w:rsidRPr="00A85956">
              <w:t>1,719</w:t>
            </w:r>
          </w:p>
        </w:tc>
        <w:tc>
          <w:tcPr>
            <w:tcW w:w="834" w:type="pct"/>
            <w:noWrap/>
            <w:hideMark/>
          </w:tcPr>
          <w:p w14:paraId="2201DCE0" w14:textId="77777777" w:rsidR="00707B63" w:rsidRPr="00A85956" w:rsidRDefault="00707B63" w:rsidP="00A85956">
            <w:pPr>
              <w:pStyle w:val="TableBody"/>
            </w:pPr>
            <w:r w:rsidRPr="00A85956">
              <w:t>745</w:t>
            </w:r>
          </w:p>
        </w:tc>
        <w:tc>
          <w:tcPr>
            <w:tcW w:w="833" w:type="pct"/>
            <w:noWrap/>
            <w:hideMark/>
          </w:tcPr>
          <w:p w14:paraId="3C832F6D" w14:textId="77777777" w:rsidR="00707B63" w:rsidRPr="00A85956" w:rsidRDefault="00707B63" w:rsidP="00A85956">
            <w:pPr>
              <w:pStyle w:val="TableBody"/>
            </w:pPr>
            <w:r w:rsidRPr="00A85956">
              <w:t>375</w:t>
            </w:r>
          </w:p>
        </w:tc>
        <w:tc>
          <w:tcPr>
            <w:tcW w:w="834" w:type="pct"/>
            <w:noWrap/>
            <w:hideMark/>
          </w:tcPr>
          <w:p w14:paraId="0FBF4F54" w14:textId="77777777" w:rsidR="00707B63" w:rsidRPr="00A85956" w:rsidRDefault="00707B63" w:rsidP="00A85956">
            <w:pPr>
              <w:pStyle w:val="TableBody"/>
            </w:pPr>
            <w:r w:rsidRPr="00A85956">
              <w:t>49</w:t>
            </w:r>
          </w:p>
        </w:tc>
        <w:tc>
          <w:tcPr>
            <w:tcW w:w="834" w:type="pct"/>
            <w:noWrap/>
            <w:hideMark/>
          </w:tcPr>
          <w:p w14:paraId="3952FE1E" w14:textId="77777777" w:rsidR="00707B63" w:rsidRPr="00A85956" w:rsidRDefault="00707B63" w:rsidP="00A85956">
            <w:pPr>
              <w:pStyle w:val="TableBody"/>
            </w:pPr>
            <w:r w:rsidRPr="00A85956">
              <w:t>402</w:t>
            </w:r>
          </w:p>
        </w:tc>
      </w:tr>
      <w:tr w:rsidR="00707B63" w:rsidRPr="004B1A52" w14:paraId="3AA4601C" w14:textId="77777777" w:rsidTr="00672099">
        <w:trPr>
          <w:trHeight w:val="294"/>
        </w:trPr>
        <w:tc>
          <w:tcPr>
            <w:tcW w:w="833" w:type="pct"/>
            <w:noWrap/>
            <w:hideMark/>
          </w:tcPr>
          <w:p w14:paraId="69454F9A" w14:textId="77777777" w:rsidR="00707B63" w:rsidRPr="00A85956" w:rsidRDefault="00707B63" w:rsidP="00A85956">
            <w:pPr>
              <w:pStyle w:val="TableBody"/>
            </w:pPr>
            <w:r w:rsidRPr="00A85956">
              <w:t>2009</w:t>
            </w:r>
          </w:p>
        </w:tc>
        <w:tc>
          <w:tcPr>
            <w:tcW w:w="834" w:type="pct"/>
            <w:noWrap/>
            <w:hideMark/>
          </w:tcPr>
          <w:p w14:paraId="230BAA9A" w14:textId="77777777" w:rsidR="00707B63" w:rsidRPr="00A85956" w:rsidRDefault="00707B63" w:rsidP="00A85956">
            <w:pPr>
              <w:pStyle w:val="TableBody"/>
            </w:pPr>
            <w:r w:rsidRPr="00A85956">
              <w:t>1,818</w:t>
            </w:r>
          </w:p>
        </w:tc>
        <w:tc>
          <w:tcPr>
            <w:tcW w:w="834" w:type="pct"/>
            <w:noWrap/>
            <w:hideMark/>
          </w:tcPr>
          <w:p w14:paraId="119C9FC1" w14:textId="77777777" w:rsidR="00707B63" w:rsidRPr="00A85956" w:rsidRDefault="00707B63" w:rsidP="00A85956">
            <w:pPr>
              <w:pStyle w:val="TableBody"/>
            </w:pPr>
            <w:r w:rsidRPr="00A85956">
              <w:t>747</w:t>
            </w:r>
          </w:p>
        </w:tc>
        <w:tc>
          <w:tcPr>
            <w:tcW w:w="833" w:type="pct"/>
            <w:noWrap/>
            <w:hideMark/>
          </w:tcPr>
          <w:p w14:paraId="40A95F5E" w14:textId="77777777" w:rsidR="00707B63" w:rsidRPr="00A85956" w:rsidRDefault="00707B63" w:rsidP="00A85956">
            <w:pPr>
              <w:pStyle w:val="TableBody"/>
            </w:pPr>
            <w:r w:rsidRPr="00A85956">
              <w:t>411</w:t>
            </w:r>
          </w:p>
        </w:tc>
        <w:tc>
          <w:tcPr>
            <w:tcW w:w="834" w:type="pct"/>
            <w:noWrap/>
            <w:hideMark/>
          </w:tcPr>
          <w:p w14:paraId="3CBC7217" w14:textId="77777777" w:rsidR="00707B63" w:rsidRPr="00A85956" w:rsidRDefault="00707B63" w:rsidP="00A85956">
            <w:pPr>
              <w:pStyle w:val="TableBody"/>
            </w:pPr>
            <w:r w:rsidRPr="00A85956">
              <w:t>52</w:t>
            </w:r>
          </w:p>
        </w:tc>
        <w:tc>
          <w:tcPr>
            <w:tcW w:w="834" w:type="pct"/>
            <w:noWrap/>
            <w:hideMark/>
          </w:tcPr>
          <w:p w14:paraId="2471A723" w14:textId="77777777" w:rsidR="00707B63" w:rsidRPr="00A85956" w:rsidRDefault="00707B63" w:rsidP="00A85956">
            <w:pPr>
              <w:pStyle w:val="TableBody"/>
            </w:pPr>
            <w:r w:rsidRPr="00A85956">
              <w:t>400</w:t>
            </w:r>
          </w:p>
        </w:tc>
      </w:tr>
      <w:tr w:rsidR="00707B63" w:rsidRPr="004B1A52" w14:paraId="6A3870A0" w14:textId="77777777" w:rsidTr="00672099">
        <w:trPr>
          <w:trHeight w:val="294"/>
        </w:trPr>
        <w:tc>
          <w:tcPr>
            <w:tcW w:w="833" w:type="pct"/>
            <w:noWrap/>
            <w:hideMark/>
          </w:tcPr>
          <w:p w14:paraId="4F07E1D2" w14:textId="77777777" w:rsidR="00707B63" w:rsidRPr="00A85956" w:rsidRDefault="00707B63" w:rsidP="00A85956">
            <w:pPr>
              <w:pStyle w:val="TableBody"/>
            </w:pPr>
            <w:r w:rsidRPr="00A85956">
              <w:t>2010</w:t>
            </w:r>
          </w:p>
        </w:tc>
        <w:tc>
          <w:tcPr>
            <w:tcW w:w="834" w:type="pct"/>
            <w:noWrap/>
            <w:hideMark/>
          </w:tcPr>
          <w:p w14:paraId="7C6F1259" w14:textId="77777777" w:rsidR="00707B63" w:rsidRPr="00A85956" w:rsidRDefault="00707B63" w:rsidP="00A85956">
            <w:pPr>
              <w:pStyle w:val="TableBody"/>
            </w:pPr>
            <w:r w:rsidRPr="00A85956">
              <w:t>1,887</w:t>
            </w:r>
          </w:p>
        </w:tc>
        <w:tc>
          <w:tcPr>
            <w:tcW w:w="834" w:type="pct"/>
            <w:noWrap/>
            <w:hideMark/>
          </w:tcPr>
          <w:p w14:paraId="4C1FD119" w14:textId="77777777" w:rsidR="00707B63" w:rsidRPr="00A85956" w:rsidRDefault="00707B63" w:rsidP="00A85956">
            <w:pPr>
              <w:pStyle w:val="TableBody"/>
            </w:pPr>
            <w:r w:rsidRPr="00A85956">
              <w:t>857</w:t>
            </w:r>
          </w:p>
        </w:tc>
        <w:tc>
          <w:tcPr>
            <w:tcW w:w="833" w:type="pct"/>
            <w:noWrap/>
            <w:hideMark/>
          </w:tcPr>
          <w:p w14:paraId="7BA59427" w14:textId="77777777" w:rsidR="00707B63" w:rsidRPr="00A85956" w:rsidRDefault="00707B63" w:rsidP="00A85956">
            <w:pPr>
              <w:pStyle w:val="TableBody"/>
            </w:pPr>
            <w:r w:rsidRPr="00A85956">
              <w:t>405</w:t>
            </w:r>
          </w:p>
        </w:tc>
        <w:tc>
          <w:tcPr>
            <w:tcW w:w="834" w:type="pct"/>
            <w:noWrap/>
            <w:hideMark/>
          </w:tcPr>
          <w:p w14:paraId="1A31A7D6" w14:textId="77777777" w:rsidR="00707B63" w:rsidRPr="00A85956" w:rsidRDefault="00707B63" w:rsidP="00A85956">
            <w:pPr>
              <w:pStyle w:val="TableBody"/>
            </w:pPr>
            <w:r w:rsidRPr="00A85956">
              <w:t>35</w:t>
            </w:r>
          </w:p>
        </w:tc>
        <w:tc>
          <w:tcPr>
            <w:tcW w:w="834" w:type="pct"/>
            <w:noWrap/>
            <w:hideMark/>
          </w:tcPr>
          <w:p w14:paraId="7E008665" w14:textId="77777777" w:rsidR="00707B63" w:rsidRPr="00A85956" w:rsidRDefault="00707B63" w:rsidP="00A85956">
            <w:pPr>
              <w:pStyle w:val="TableBody"/>
            </w:pPr>
            <w:r w:rsidRPr="00A85956">
              <w:t>425</w:t>
            </w:r>
          </w:p>
        </w:tc>
      </w:tr>
      <w:tr w:rsidR="00707B63" w:rsidRPr="004B1A52" w14:paraId="6DBEDC24" w14:textId="77777777" w:rsidTr="00672099">
        <w:trPr>
          <w:trHeight w:val="294"/>
        </w:trPr>
        <w:tc>
          <w:tcPr>
            <w:tcW w:w="833" w:type="pct"/>
            <w:noWrap/>
            <w:hideMark/>
          </w:tcPr>
          <w:p w14:paraId="1245A888" w14:textId="77777777" w:rsidR="00707B63" w:rsidRPr="00A85956" w:rsidRDefault="00707B63" w:rsidP="00A85956">
            <w:pPr>
              <w:pStyle w:val="TableBody"/>
            </w:pPr>
            <w:r w:rsidRPr="00A85956">
              <w:t>2011</w:t>
            </w:r>
          </w:p>
        </w:tc>
        <w:tc>
          <w:tcPr>
            <w:tcW w:w="834" w:type="pct"/>
            <w:noWrap/>
            <w:hideMark/>
          </w:tcPr>
          <w:p w14:paraId="155F2D4B" w14:textId="77777777" w:rsidR="00707B63" w:rsidRPr="00A85956" w:rsidRDefault="00707B63" w:rsidP="00A85956">
            <w:pPr>
              <w:pStyle w:val="TableBody"/>
            </w:pPr>
            <w:r w:rsidRPr="00A85956">
              <w:t>1,957</w:t>
            </w:r>
          </w:p>
        </w:tc>
        <w:tc>
          <w:tcPr>
            <w:tcW w:w="834" w:type="pct"/>
            <w:noWrap/>
            <w:hideMark/>
          </w:tcPr>
          <w:p w14:paraId="7F595F73" w14:textId="77777777" w:rsidR="00707B63" w:rsidRPr="00A85956" w:rsidRDefault="00707B63" w:rsidP="00A85956">
            <w:pPr>
              <w:pStyle w:val="TableBody"/>
            </w:pPr>
            <w:r w:rsidRPr="00A85956">
              <w:t>856</w:t>
            </w:r>
          </w:p>
        </w:tc>
        <w:tc>
          <w:tcPr>
            <w:tcW w:w="833" w:type="pct"/>
            <w:noWrap/>
            <w:hideMark/>
          </w:tcPr>
          <w:p w14:paraId="22AFAA60" w14:textId="77777777" w:rsidR="00707B63" w:rsidRPr="00A85956" w:rsidRDefault="00707B63" w:rsidP="00A85956">
            <w:pPr>
              <w:pStyle w:val="TableBody"/>
            </w:pPr>
            <w:r w:rsidRPr="00A85956">
              <w:t>431</w:t>
            </w:r>
          </w:p>
        </w:tc>
        <w:tc>
          <w:tcPr>
            <w:tcW w:w="834" w:type="pct"/>
            <w:noWrap/>
            <w:hideMark/>
          </w:tcPr>
          <w:p w14:paraId="4827F86B" w14:textId="77777777" w:rsidR="00707B63" w:rsidRPr="00A85956" w:rsidRDefault="00707B63" w:rsidP="00A85956">
            <w:pPr>
              <w:pStyle w:val="TableBody"/>
            </w:pPr>
            <w:r w:rsidRPr="00A85956">
              <w:t>46</w:t>
            </w:r>
          </w:p>
        </w:tc>
        <w:tc>
          <w:tcPr>
            <w:tcW w:w="834" w:type="pct"/>
            <w:noWrap/>
            <w:hideMark/>
          </w:tcPr>
          <w:p w14:paraId="40720F04" w14:textId="77777777" w:rsidR="00707B63" w:rsidRPr="00A85956" w:rsidRDefault="00707B63" w:rsidP="00A85956">
            <w:pPr>
              <w:pStyle w:val="TableBody"/>
            </w:pPr>
            <w:r w:rsidRPr="00A85956">
              <w:t>435</w:t>
            </w:r>
          </w:p>
        </w:tc>
      </w:tr>
      <w:tr w:rsidR="00707B63" w:rsidRPr="004B1A52" w14:paraId="702A2A81" w14:textId="77777777" w:rsidTr="00672099">
        <w:trPr>
          <w:trHeight w:val="294"/>
        </w:trPr>
        <w:tc>
          <w:tcPr>
            <w:tcW w:w="833" w:type="pct"/>
            <w:noWrap/>
            <w:hideMark/>
          </w:tcPr>
          <w:p w14:paraId="4E10381B" w14:textId="77777777" w:rsidR="00707B63" w:rsidRPr="00A85956" w:rsidRDefault="00707B63" w:rsidP="00A85956">
            <w:pPr>
              <w:pStyle w:val="TableBody"/>
            </w:pPr>
            <w:r w:rsidRPr="00A85956">
              <w:t>2012</w:t>
            </w:r>
          </w:p>
        </w:tc>
        <w:tc>
          <w:tcPr>
            <w:tcW w:w="834" w:type="pct"/>
            <w:noWrap/>
            <w:hideMark/>
          </w:tcPr>
          <w:p w14:paraId="5F45345B" w14:textId="77777777" w:rsidR="00707B63" w:rsidRPr="00A85956" w:rsidRDefault="00707B63" w:rsidP="00A85956">
            <w:pPr>
              <w:pStyle w:val="TableBody"/>
            </w:pPr>
            <w:r w:rsidRPr="00A85956">
              <w:t>1,980</w:t>
            </w:r>
          </w:p>
        </w:tc>
        <w:tc>
          <w:tcPr>
            <w:tcW w:w="834" w:type="pct"/>
            <w:noWrap/>
            <w:hideMark/>
          </w:tcPr>
          <w:p w14:paraId="7CF66B02" w14:textId="77777777" w:rsidR="00707B63" w:rsidRPr="00A85956" w:rsidRDefault="00707B63" w:rsidP="00A85956">
            <w:pPr>
              <w:pStyle w:val="TableBody"/>
            </w:pPr>
            <w:r w:rsidRPr="00A85956">
              <w:t>821</w:t>
            </w:r>
          </w:p>
        </w:tc>
        <w:tc>
          <w:tcPr>
            <w:tcW w:w="833" w:type="pct"/>
            <w:noWrap/>
            <w:hideMark/>
          </w:tcPr>
          <w:p w14:paraId="147437C5" w14:textId="77777777" w:rsidR="00707B63" w:rsidRPr="00A85956" w:rsidRDefault="00707B63" w:rsidP="00A85956">
            <w:pPr>
              <w:pStyle w:val="TableBody"/>
            </w:pPr>
            <w:r w:rsidRPr="00A85956">
              <w:t>402</w:t>
            </w:r>
          </w:p>
        </w:tc>
        <w:tc>
          <w:tcPr>
            <w:tcW w:w="834" w:type="pct"/>
            <w:noWrap/>
            <w:hideMark/>
          </w:tcPr>
          <w:p w14:paraId="498C46C6" w14:textId="77777777" w:rsidR="00707B63" w:rsidRPr="00A85956" w:rsidRDefault="00707B63" w:rsidP="00A85956">
            <w:pPr>
              <w:pStyle w:val="TableBody"/>
            </w:pPr>
            <w:r w:rsidRPr="00A85956">
              <w:t>68</w:t>
            </w:r>
          </w:p>
        </w:tc>
        <w:tc>
          <w:tcPr>
            <w:tcW w:w="834" w:type="pct"/>
            <w:noWrap/>
            <w:hideMark/>
          </w:tcPr>
          <w:p w14:paraId="2583FB57" w14:textId="77777777" w:rsidR="00707B63" w:rsidRPr="00A85956" w:rsidRDefault="00707B63" w:rsidP="00A85956">
            <w:pPr>
              <w:pStyle w:val="TableBody"/>
            </w:pPr>
            <w:r w:rsidRPr="00A85956">
              <w:t>502</w:t>
            </w:r>
          </w:p>
        </w:tc>
      </w:tr>
      <w:tr w:rsidR="00707B63" w:rsidRPr="004B1A52" w14:paraId="0275236B" w14:textId="77777777" w:rsidTr="00672099">
        <w:trPr>
          <w:trHeight w:val="294"/>
        </w:trPr>
        <w:tc>
          <w:tcPr>
            <w:tcW w:w="833" w:type="pct"/>
            <w:noWrap/>
            <w:hideMark/>
          </w:tcPr>
          <w:p w14:paraId="1CAD8AEE" w14:textId="77777777" w:rsidR="00707B63" w:rsidRPr="00A85956" w:rsidRDefault="00707B63" w:rsidP="00A85956">
            <w:pPr>
              <w:pStyle w:val="TableBody"/>
            </w:pPr>
            <w:r w:rsidRPr="00A85956">
              <w:t>2013</w:t>
            </w:r>
          </w:p>
        </w:tc>
        <w:tc>
          <w:tcPr>
            <w:tcW w:w="834" w:type="pct"/>
            <w:noWrap/>
            <w:hideMark/>
          </w:tcPr>
          <w:p w14:paraId="48B78DE0" w14:textId="77777777" w:rsidR="00707B63" w:rsidRPr="00A85956" w:rsidRDefault="00707B63" w:rsidP="00A85956">
            <w:pPr>
              <w:pStyle w:val="TableBody"/>
            </w:pPr>
            <w:r w:rsidRPr="00A85956">
              <w:t>2,100</w:t>
            </w:r>
          </w:p>
        </w:tc>
        <w:tc>
          <w:tcPr>
            <w:tcW w:w="834" w:type="pct"/>
            <w:noWrap/>
            <w:hideMark/>
          </w:tcPr>
          <w:p w14:paraId="44CA93CE" w14:textId="77777777" w:rsidR="00707B63" w:rsidRPr="00A85956" w:rsidRDefault="00707B63" w:rsidP="00A85956">
            <w:pPr>
              <w:pStyle w:val="TableBody"/>
            </w:pPr>
            <w:r w:rsidRPr="00A85956">
              <w:t>889</w:t>
            </w:r>
          </w:p>
        </w:tc>
        <w:tc>
          <w:tcPr>
            <w:tcW w:w="833" w:type="pct"/>
            <w:noWrap/>
            <w:hideMark/>
          </w:tcPr>
          <w:p w14:paraId="2A951FFA" w14:textId="77777777" w:rsidR="00707B63" w:rsidRPr="00A85956" w:rsidRDefault="00707B63" w:rsidP="00A85956">
            <w:pPr>
              <w:pStyle w:val="TableBody"/>
            </w:pPr>
            <w:r w:rsidRPr="00A85956">
              <w:t>458</w:t>
            </w:r>
          </w:p>
        </w:tc>
        <w:tc>
          <w:tcPr>
            <w:tcW w:w="834" w:type="pct"/>
            <w:noWrap/>
            <w:hideMark/>
          </w:tcPr>
          <w:p w14:paraId="35F88101" w14:textId="77777777" w:rsidR="00707B63" w:rsidRPr="00A85956" w:rsidRDefault="00707B63" w:rsidP="00A85956">
            <w:pPr>
              <w:pStyle w:val="TableBody"/>
            </w:pPr>
            <w:r w:rsidRPr="00A85956">
              <w:t>49</w:t>
            </w:r>
          </w:p>
        </w:tc>
        <w:tc>
          <w:tcPr>
            <w:tcW w:w="834" w:type="pct"/>
            <w:noWrap/>
            <w:hideMark/>
          </w:tcPr>
          <w:p w14:paraId="1979CC45" w14:textId="77777777" w:rsidR="00707B63" w:rsidRPr="00A85956" w:rsidRDefault="00707B63" w:rsidP="00A85956">
            <w:pPr>
              <w:pStyle w:val="TableBody"/>
            </w:pPr>
            <w:r w:rsidRPr="00A85956">
              <w:t>781</w:t>
            </w:r>
          </w:p>
        </w:tc>
      </w:tr>
      <w:tr w:rsidR="00707B63" w:rsidRPr="004B1A52" w14:paraId="4045B369" w14:textId="77777777" w:rsidTr="00672099">
        <w:trPr>
          <w:trHeight w:val="294"/>
        </w:trPr>
        <w:tc>
          <w:tcPr>
            <w:tcW w:w="833" w:type="pct"/>
            <w:noWrap/>
            <w:hideMark/>
          </w:tcPr>
          <w:p w14:paraId="62DC5FDD" w14:textId="77777777" w:rsidR="00707B63" w:rsidRPr="00A85956" w:rsidRDefault="00707B63" w:rsidP="00A85956">
            <w:pPr>
              <w:pStyle w:val="TableBody"/>
            </w:pPr>
            <w:r w:rsidRPr="00A85956">
              <w:t>2014</w:t>
            </w:r>
          </w:p>
        </w:tc>
        <w:tc>
          <w:tcPr>
            <w:tcW w:w="834" w:type="pct"/>
            <w:noWrap/>
            <w:hideMark/>
          </w:tcPr>
          <w:p w14:paraId="3B5690A2" w14:textId="77777777" w:rsidR="00707B63" w:rsidRPr="00A85956" w:rsidRDefault="00707B63" w:rsidP="00A85956">
            <w:pPr>
              <w:pStyle w:val="TableBody"/>
            </w:pPr>
            <w:r w:rsidRPr="00A85956">
              <w:t>2,359</w:t>
            </w:r>
          </w:p>
        </w:tc>
        <w:tc>
          <w:tcPr>
            <w:tcW w:w="834" w:type="pct"/>
            <w:noWrap/>
            <w:hideMark/>
          </w:tcPr>
          <w:p w14:paraId="02F75E30" w14:textId="77777777" w:rsidR="00707B63" w:rsidRPr="00A85956" w:rsidRDefault="00707B63" w:rsidP="00A85956">
            <w:pPr>
              <w:pStyle w:val="TableBody"/>
            </w:pPr>
            <w:r w:rsidRPr="00A85956">
              <w:t>1,010</w:t>
            </w:r>
          </w:p>
        </w:tc>
        <w:tc>
          <w:tcPr>
            <w:tcW w:w="833" w:type="pct"/>
            <w:noWrap/>
            <w:hideMark/>
          </w:tcPr>
          <w:p w14:paraId="66E507EA" w14:textId="77777777" w:rsidR="00707B63" w:rsidRPr="00A85956" w:rsidRDefault="00707B63" w:rsidP="00A85956">
            <w:pPr>
              <w:pStyle w:val="TableBody"/>
            </w:pPr>
            <w:r w:rsidRPr="00A85956">
              <w:t>525</w:t>
            </w:r>
          </w:p>
        </w:tc>
        <w:tc>
          <w:tcPr>
            <w:tcW w:w="834" w:type="pct"/>
            <w:noWrap/>
            <w:hideMark/>
          </w:tcPr>
          <w:p w14:paraId="7B6D89DA" w14:textId="77777777" w:rsidR="00707B63" w:rsidRPr="00A85956" w:rsidRDefault="00707B63" w:rsidP="00A85956">
            <w:pPr>
              <w:pStyle w:val="TableBody"/>
            </w:pPr>
            <w:r w:rsidRPr="00A85956">
              <w:t>89</w:t>
            </w:r>
          </w:p>
        </w:tc>
        <w:tc>
          <w:tcPr>
            <w:tcW w:w="834" w:type="pct"/>
            <w:noWrap/>
            <w:hideMark/>
          </w:tcPr>
          <w:p w14:paraId="344E6BFA" w14:textId="77777777" w:rsidR="00707B63" w:rsidRPr="00A85956" w:rsidRDefault="00707B63" w:rsidP="00A85956">
            <w:pPr>
              <w:pStyle w:val="TableBody"/>
            </w:pPr>
            <w:r w:rsidRPr="00A85956">
              <w:t>885</w:t>
            </w:r>
          </w:p>
        </w:tc>
      </w:tr>
      <w:tr w:rsidR="00707B63" w:rsidRPr="004B1A52" w14:paraId="180A1E52" w14:textId="77777777" w:rsidTr="00672099">
        <w:trPr>
          <w:trHeight w:val="294"/>
        </w:trPr>
        <w:tc>
          <w:tcPr>
            <w:tcW w:w="833" w:type="pct"/>
            <w:noWrap/>
            <w:hideMark/>
          </w:tcPr>
          <w:p w14:paraId="4D00A1A1" w14:textId="77777777" w:rsidR="00707B63" w:rsidRPr="00A85956" w:rsidRDefault="00707B63" w:rsidP="00A85956">
            <w:pPr>
              <w:pStyle w:val="TableBody"/>
            </w:pPr>
            <w:r w:rsidRPr="00A85956">
              <w:t>2015</w:t>
            </w:r>
          </w:p>
        </w:tc>
        <w:tc>
          <w:tcPr>
            <w:tcW w:w="834" w:type="pct"/>
            <w:noWrap/>
            <w:hideMark/>
          </w:tcPr>
          <w:p w14:paraId="2C457934" w14:textId="77777777" w:rsidR="00707B63" w:rsidRPr="00A85956" w:rsidRDefault="00707B63" w:rsidP="00A85956">
            <w:pPr>
              <w:pStyle w:val="TableBody"/>
            </w:pPr>
            <w:r w:rsidRPr="00A85956">
              <w:t>2,405</w:t>
            </w:r>
          </w:p>
        </w:tc>
        <w:tc>
          <w:tcPr>
            <w:tcW w:w="834" w:type="pct"/>
            <w:noWrap/>
            <w:hideMark/>
          </w:tcPr>
          <w:p w14:paraId="00477FF5" w14:textId="77777777" w:rsidR="00707B63" w:rsidRPr="00A85956" w:rsidRDefault="00707B63" w:rsidP="00A85956">
            <w:pPr>
              <w:pStyle w:val="TableBody"/>
            </w:pPr>
            <w:r w:rsidRPr="00A85956">
              <w:t>958</w:t>
            </w:r>
          </w:p>
        </w:tc>
        <w:tc>
          <w:tcPr>
            <w:tcW w:w="833" w:type="pct"/>
            <w:noWrap/>
            <w:hideMark/>
          </w:tcPr>
          <w:p w14:paraId="52049918" w14:textId="77777777" w:rsidR="00707B63" w:rsidRPr="00A85956" w:rsidRDefault="00707B63" w:rsidP="00A85956">
            <w:pPr>
              <w:pStyle w:val="TableBody"/>
            </w:pPr>
            <w:r w:rsidRPr="00A85956">
              <w:t>542</w:t>
            </w:r>
          </w:p>
        </w:tc>
        <w:tc>
          <w:tcPr>
            <w:tcW w:w="834" w:type="pct"/>
            <w:noWrap/>
            <w:hideMark/>
          </w:tcPr>
          <w:p w14:paraId="15720550" w14:textId="77777777" w:rsidR="00707B63" w:rsidRPr="00A85956" w:rsidRDefault="00707B63" w:rsidP="00A85956">
            <w:pPr>
              <w:pStyle w:val="TableBody"/>
            </w:pPr>
            <w:r w:rsidRPr="00A85956">
              <w:t>87</w:t>
            </w:r>
          </w:p>
        </w:tc>
        <w:tc>
          <w:tcPr>
            <w:tcW w:w="834" w:type="pct"/>
            <w:noWrap/>
            <w:hideMark/>
          </w:tcPr>
          <w:p w14:paraId="52429CE3" w14:textId="77777777" w:rsidR="00707B63" w:rsidRPr="00A85956" w:rsidRDefault="00707B63" w:rsidP="00A85956">
            <w:pPr>
              <w:pStyle w:val="TableBody"/>
            </w:pPr>
            <w:r w:rsidRPr="00A85956">
              <w:t>688</w:t>
            </w:r>
          </w:p>
        </w:tc>
      </w:tr>
      <w:tr w:rsidR="00707B63" w:rsidRPr="004B1A52" w14:paraId="1D4CBB93" w14:textId="77777777" w:rsidTr="00672099">
        <w:trPr>
          <w:trHeight w:val="294"/>
        </w:trPr>
        <w:tc>
          <w:tcPr>
            <w:tcW w:w="833" w:type="pct"/>
            <w:noWrap/>
            <w:hideMark/>
          </w:tcPr>
          <w:p w14:paraId="5739ED4E" w14:textId="77777777" w:rsidR="00707B63" w:rsidRPr="00A85956" w:rsidRDefault="00707B63" w:rsidP="00A85956">
            <w:pPr>
              <w:pStyle w:val="TableBody"/>
            </w:pPr>
            <w:r w:rsidRPr="00A85956">
              <w:t>2016</w:t>
            </w:r>
          </w:p>
        </w:tc>
        <w:tc>
          <w:tcPr>
            <w:tcW w:w="834" w:type="pct"/>
            <w:noWrap/>
            <w:hideMark/>
          </w:tcPr>
          <w:p w14:paraId="6451A80B" w14:textId="77777777" w:rsidR="00707B63" w:rsidRPr="00A85956" w:rsidRDefault="00707B63" w:rsidP="00A85956">
            <w:pPr>
              <w:pStyle w:val="TableBody"/>
            </w:pPr>
            <w:r w:rsidRPr="00A85956">
              <w:t>2,386</w:t>
            </w:r>
          </w:p>
        </w:tc>
        <w:tc>
          <w:tcPr>
            <w:tcW w:w="834" w:type="pct"/>
            <w:noWrap/>
            <w:hideMark/>
          </w:tcPr>
          <w:p w14:paraId="2BA89E9D" w14:textId="77777777" w:rsidR="00707B63" w:rsidRPr="00A85956" w:rsidRDefault="00707B63" w:rsidP="00A85956">
            <w:pPr>
              <w:pStyle w:val="TableBody"/>
            </w:pPr>
            <w:r w:rsidRPr="00A85956">
              <w:t>914</w:t>
            </w:r>
          </w:p>
        </w:tc>
        <w:tc>
          <w:tcPr>
            <w:tcW w:w="833" w:type="pct"/>
            <w:noWrap/>
            <w:hideMark/>
          </w:tcPr>
          <w:p w14:paraId="7ED9C718" w14:textId="77777777" w:rsidR="00707B63" w:rsidRPr="00A85956" w:rsidRDefault="00707B63" w:rsidP="00A85956">
            <w:pPr>
              <w:pStyle w:val="TableBody"/>
            </w:pPr>
            <w:r w:rsidRPr="00A85956">
              <w:t>599</w:t>
            </w:r>
          </w:p>
        </w:tc>
        <w:tc>
          <w:tcPr>
            <w:tcW w:w="834" w:type="pct"/>
            <w:noWrap/>
            <w:hideMark/>
          </w:tcPr>
          <w:p w14:paraId="03B7F0AA" w14:textId="77777777" w:rsidR="00707B63" w:rsidRPr="00A85956" w:rsidRDefault="00707B63" w:rsidP="00A85956">
            <w:pPr>
              <w:pStyle w:val="TableBody"/>
            </w:pPr>
            <w:r w:rsidRPr="00A85956">
              <w:t>101</w:t>
            </w:r>
          </w:p>
        </w:tc>
        <w:tc>
          <w:tcPr>
            <w:tcW w:w="834" w:type="pct"/>
            <w:noWrap/>
            <w:hideMark/>
          </w:tcPr>
          <w:p w14:paraId="4298507F" w14:textId="77777777" w:rsidR="00707B63" w:rsidRPr="00A85956" w:rsidRDefault="00707B63" w:rsidP="00A85956">
            <w:pPr>
              <w:pStyle w:val="TableBody"/>
            </w:pPr>
            <w:r w:rsidRPr="00A85956">
              <w:t>545</w:t>
            </w:r>
          </w:p>
        </w:tc>
      </w:tr>
      <w:tr w:rsidR="00707B63" w:rsidRPr="004B1A52" w14:paraId="76BB1B7E" w14:textId="77777777" w:rsidTr="00672099">
        <w:trPr>
          <w:trHeight w:val="294"/>
        </w:trPr>
        <w:tc>
          <w:tcPr>
            <w:tcW w:w="833" w:type="pct"/>
            <w:noWrap/>
            <w:hideMark/>
          </w:tcPr>
          <w:p w14:paraId="23C4AB4E" w14:textId="77777777" w:rsidR="00707B63" w:rsidRPr="00A85956" w:rsidRDefault="00707B63" w:rsidP="00A85956">
            <w:pPr>
              <w:pStyle w:val="TableBody"/>
            </w:pPr>
            <w:r w:rsidRPr="00A85956">
              <w:t>2017</w:t>
            </w:r>
          </w:p>
        </w:tc>
        <w:tc>
          <w:tcPr>
            <w:tcW w:w="834" w:type="pct"/>
            <w:noWrap/>
            <w:hideMark/>
          </w:tcPr>
          <w:p w14:paraId="4AEC8BF4" w14:textId="77777777" w:rsidR="00707B63" w:rsidRPr="00A85956" w:rsidRDefault="00707B63" w:rsidP="00A85956">
            <w:pPr>
              <w:pStyle w:val="TableBody"/>
            </w:pPr>
            <w:r w:rsidRPr="00A85956">
              <w:t>2,609</w:t>
            </w:r>
          </w:p>
        </w:tc>
        <w:tc>
          <w:tcPr>
            <w:tcW w:w="834" w:type="pct"/>
            <w:noWrap/>
            <w:hideMark/>
          </w:tcPr>
          <w:p w14:paraId="6FC1E774" w14:textId="77777777" w:rsidR="00707B63" w:rsidRPr="00A85956" w:rsidRDefault="00707B63" w:rsidP="00A85956">
            <w:pPr>
              <w:pStyle w:val="TableBody"/>
            </w:pPr>
            <w:r w:rsidRPr="00A85956">
              <w:t>972</w:t>
            </w:r>
          </w:p>
        </w:tc>
        <w:tc>
          <w:tcPr>
            <w:tcW w:w="833" w:type="pct"/>
            <w:noWrap/>
            <w:hideMark/>
          </w:tcPr>
          <w:p w14:paraId="7CD948D8" w14:textId="77777777" w:rsidR="00707B63" w:rsidRPr="00A85956" w:rsidRDefault="00707B63" w:rsidP="00A85956">
            <w:pPr>
              <w:pStyle w:val="TableBody"/>
            </w:pPr>
            <w:r w:rsidRPr="00A85956">
              <w:t>624</w:t>
            </w:r>
          </w:p>
        </w:tc>
        <w:tc>
          <w:tcPr>
            <w:tcW w:w="834" w:type="pct"/>
            <w:noWrap/>
            <w:hideMark/>
          </w:tcPr>
          <w:p w14:paraId="36CC827A" w14:textId="77777777" w:rsidR="00707B63" w:rsidRPr="00A85956" w:rsidRDefault="00707B63" w:rsidP="00A85956">
            <w:pPr>
              <w:pStyle w:val="TableBody"/>
            </w:pPr>
            <w:r w:rsidRPr="00A85956">
              <w:t>139</w:t>
            </w:r>
          </w:p>
        </w:tc>
        <w:tc>
          <w:tcPr>
            <w:tcW w:w="834" w:type="pct"/>
            <w:noWrap/>
            <w:hideMark/>
          </w:tcPr>
          <w:p w14:paraId="5EB64D79" w14:textId="77777777" w:rsidR="00707B63" w:rsidRPr="00A85956" w:rsidRDefault="00707B63" w:rsidP="00A85956">
            <w:pPr>
              <w:pStyle w:val="TableBody"/>
            </w:pPr>
            <w:r w:rsidRPr="00A85956">
              <w:t>497</w:t>
            </w:r>
          </w:p>
        </w:tc>
      </w:tr>
      <w:tr w:rsidR="00707B63" w:rsidRPr="004B1A52" w14:paraId="45D423CE" w14:textId="77777777" w:rsidTr="00672099">
        <w:trPr>
          <w:trHeight w:val="294"/>
        </w:trPr>
        <w:tc>
          <w:tcPr>
            <w:tcW w:w="833" w:type="pct"/>
            <w:noWrap/>
            <w:hideMark/>
          </w:tcPr>
          <w:p w14:paraId="031AA8AA" w14:textId="77777777" w:rsidR="00707B63" w:rsidRPr="00A85956" w:rsidRDefault="00707B63" w:rsidP="00A85956">
            <w:pPr>
              <w:pStyle w:val="TableBody"/>
            </w:pPr>
            <w:r w:rsidRPr="00A85956">
              <w:t>2018</w:t>
            </w:r>
          </w:p>
        </w:tc>
        <w:tc>
          <w:tcPr>
            <w:tcW w:w="834" w:type="pct"/>
            <w:noWrap/>
            <w:hideMark/>
          </w:tcPr>
          <w:p w14:paraId="30C526D9" w14:textId="77777777" w:rsidR="00707B63" w:rsidRPr="00A85956" w:rsidRDefault="00707B63" w:rsidP="00A85956">
            <w:pPr>
              <w:pStyle w:val="TableBody"/>
            </w:pPr>
            <w:r w:rsidRPr="00A85956">
              <w:t>2,667</w:t>
            </w:r>
          </w:p>
        </w:tc>
        <w:tc>
          <w:tcPr>
            <w:tcW w:w="834" w:type="pct"/>
            <w:noWrap/>
            <w:hideMark/>
          </w:tcPr>
          <w:p w14:paraId="1670294E" w14:textId="77777777" w:rsidR="00707B63" w:rsidRPr="00A85956" w:rsidRDefault="00707B63" w:rsidP="00A85956">
            <w:pPr>
              <w:pStyle w:val="TableBody"/>
            </w:pPr>
            <w:r w:rsidRPr="00A85956">
              <w:t>976</w:t>
            </w:r>
          </w:p>
        </w:tc>
        <w:tc>
          <w:tcPr>
            <w:tcW w:w="833" w:type="pct"/>
            <w:noWrap/>
            <w:hideMark/>
          </w:tcPr>
          <w:p w14:paraId="67ED50FA" w14:textId="77777777" w:rsidR="00707B63" w:rsidRPr="00A85956" w:rsidRDefault="00707B63" w:rsidP="00A85956">
            <w:pPr>
              <w:pStyle w:val="TableBody"/>
            </w:pPr>
            <w:r w:rsidRPr="00A85956">
              <w:t>631</w:t>
            </w:r>
          </w:p>
        </w:tc>
        <w:tc>
          <w:tcPr>
            <w:tcW w:w="834" w:type="pct"/>
            <w:noWrap/>
            <w:hideMark/>
          </w:tcPr>
          <w:p w14:paraId="16487724" w14:textId="77777777" w:rsidR="00707B63" w:rsidRPr="00A85956" w:rsidRDefault="00707B63" w:rsidP="00A85956">
            <w:pPr>
              <w:pStyle w:val="TableBody"/>
            </w:pPr>
            <w:r w:rsidRPr="00A85956">
              <w:t>216</w:t>
            </w:r>
          </w:p>
        </w:tc>
        <w:tc>
          <w:tcPr>
            <w:tcW w:w="834" w:type="pct"/>
            <w:noWrap/>
            <w:hideMark/>
          </w:tcPr>
          <w:p w14:paraId="750F5E44" w14:textId="77777777" w:rsidR="00707B63" w:rsidRPr="00A85956" w:rsidRDefault="00707B63" w:rsidP="00A85956">
            <w:pPr>
              <w:pStyle w:val="TableBody"/>
            </w:pPr>
            <w:r w:rsidRPr="00A85956">
              <w:t>380</w:t>
            </w:r>
          </w:p>
        </w:tc>
      </w:tr>
      <w:tr w:rsidR="00707B63" w:rsidRPr="004B1A52" w14:paraId="50FE3AA9" w14:textId="77777777" w:rsidTr="00672099">
        <w:trPr>
          <w:trHeight w:val="294"/>
        </w:trPr>
        <w:tc>
          <w:tcPr>
            <w:tcW w:w="833" w:type="pct"/>
            <w:noWrap/>
            <w:hideMark/>
          </w:tcPr>
          <w:p w14:paraId="766E7A3D" w14:textId="77777777" w:rsidR="00707B63" w:rsidRPr="00A85956" w:rsidRDefault="00707B63" w:rsidP="00A85956">
            <w:pPr>
              <w:pStyle w:val="TableBody"/>
            </w:pPr>
            <w:r w:rsidRPr="00A85956">
              <w:t>2019</w:t>
            </w:r>
          </w:p>
        </w:tc>
        <w:tc>
          <w:tcPr>
            <w:tcW w:w="834" w:type="pct"/>
            <w:noWrap/>
            <w:hideMark/>
          </w:tcPr>
          <w:p w14:paraId="07545F4A" w14:textId="77777777" w:rsidR="00707B63" w:rsidRPr="00A85956" w:rsidRDefault="00707B63" w:rsidP="00A85956">
            <w:pPr>
              <w:pStyle w:val="TableBody"/>
            </w:pPr>
            <w:r w:rsidRPr="00A85956">
              <w:t>2,767</w:t>
            </w:r>
          </w:p>
        </w:tc>
        <w:tc>
          <w:tcPr>
            <w:tcW w:w="834" w:type="pct"/>
            <w:noWrap/>
            <w:hideMark/>
          </w:tcPr>
          <w:p w14:paraId="4AD8475D" w14:textId="77777777" w:rsidR="00707B63" w:rsidRPr="00A85956" w:rsidRDefault="00707B63" w:rsidP="00A85956">
            <w:pPr>
              <w:pStyle w:val="TableBody"/>
            </w:pPr>
            <w:r w:rsidRPr="00A85956">
              <w:t>1,028</w:t>
            </w:r>
          </w:p>
        </w:tc>
        <w:tc>
          <w:tcPr>
            <w:tcW w:w="833" w:type="pct"/>
            <w:noWrap/>
            <w:hideMark/>
          </w:tcPr>
          <w:p w14:paraId="66369E70" w14:textId="77777777" w:rsidR="00707B63" w:rsidRPr="00A85956" w:rsidRDefault="00707B63" w:rsidP="00A85956">
            <w:pPr>
              <w:pStyle w:val="TableBody"/>
            </w:pPr>
            <w:r w:rsidRPr="00A85956">
              <w:t>655</w:t>
            </w:r>
          </w:p>
        </w:tc>
        <w:tc>
          <w:tcPr>
            <w:tcW w:w="834" w:type="pct"/>
            <w:noWrap/>
            <w:hideMark/>
          </w:tcPr>
          <w:p w14:paraId="58691EDB" w14:textId="77777777" w:rsidR="00707B63" w:rsidRPr="00A85956" w:rsidRDefault="00707B63" w:rsidP="00A85956">
            <w:pPr>
              <w:pStyle w:val="TableBody"/>
            </w:pPr>
            <w:r w:rsidRPr="00A85956">
              <w:t>198</w:t>
            </w:r>
          </w:p>
        </w:tc>
        <w:tc>
          <w:tcPr>
            <w:tcW w:w="834" w:type="pct"/>
            <w:noWrap/>
            <w:hideMark/>
          </w:tcPr>
          <w:p w14:paraId="53D18E2D" w14:textId="77777777" w:rsidR="00707B63" w:rsidRPr="00A85956" w:rsidRDefault="00707B63" w:rsidP="00A85956">
            <w:pPr>
              <w:pStyle w:val="TableBody"/>
            </w:pPr>
            <w:r w:rsidRPr="00A85956">
              <w:t>398</w:t>
            </w:r>
          </w:p>
        </w:tc>
      </w:tr>
      <w:tr w:rsidR="00707B63" w:rsidRPr="004B1A52" w14:paraId="5A246CD0" w14:textId="77777777" w:rsidTr="00672099">
        <w:trPr>
          <w:trHeight w:val="294"/>
        </w:trPr>
        <w:tc>
          <w:tcPr>
            <w:tcW w:w="833" w:type="pct"/>
            <w:noWrap/>
            <w:hideMark/>
          </w:tcPr>
          <w:p w14:paraId="441D49E0" w14:textId="77777777" w:rsidR="00707B63" w:rsidRPr="00A85956" w:rsidRDefault="00707B63" w:rsidP="00A85956">
            <w:pPr>
              <w:pStyle w:val="TableBody"/>
            </w:pPr>
            <w:r w:rsidRPr="00A85956">
              <w:t>2020</w:t>
            </w:r>
          </w:p>
        </w:tc>
        <w:tc>
          <w:tcPr>
            <w:tcW w:w="834" w:type="pct"/>
            <w:noWrap/>
            <w:hideMark/>
          </w:tcPr>
          <w:p w14:paraId="32A7E01B" w14:textId="77777777" w:rsidR="00707B63" w:rsidRPr="00A85956" w:rsidRDefault="00707B63" w:rsidP="00A85956">
            <w:pPr>
              <w:pStyle w:val="TableBody"/>
            </w:pPr>
            <w:r w:rsidRPr="00A85956">
              <w:t>2,660</w:t>
            </w:r>
          </w:p>
        </w:tc>
        <w:tc>
          <w:tcPr>
            <w:tcW w:w="834" w:type="pct"/>
            <w:noWrap/>
            <w:hideMark/>
          </w:tcPr>
          <w:p w14:paraId="6D4D3B74" w14:textId="77777777" w:rsidR="00707B63" w:rsidRPr="00A85956" w:rsidRDefault="00707B63" w:rsidP="00A85956">
            <w:pPr>
              <w:pStyle w:val="TableBody"/>
            </w:pPr>
            <w:r w:rsidRPr="00A85956">
              <w:t>901</w:t>
            </w:r>
          </w:p>
        </w:tc>
        <w:tc>
          <w:tcPr>
            <w:tcW w:w="833" w:type="pct"/>
            <w:noWrap/>
            <w:hideMark/>
          </w:tcPr>
          <w:p w14:paraId="46EED491" w14:textId="77777777" w:rsidR="00707B63" w:rsidRPr="00A85956" w:rsidRDefault="00707B63" w:rsidP="00A85956">
            <w:pPr>
              <w:pStyle w:val="TableBody"/>
            </w:pPr>
            <w:r w:rsidRPr="00A85956">
              <w:t>605</w:t>
            </w:r>
          </w:p>
        </w:tc>
        <w:tc>
          <w:tcPr>
            <w:tcW w:w="834" w:type="pct"/>
            <w:noWrap/>
            <w:hideMark/>
          </w:tcPr>
          <w:p w14:paraId="535D893B" w14:textId="77777777" w:rsidR="00707B63" w:rsidRPr="00A85956" w:rsidRDefault="00707B63" w:rsidP="00A85956">
            <w:pPr>
              <w:pStyle w:val="TableBody"/>
            </w:pPr>
            <w:r w:rsidRPr="00A85956">
              <w:t>162</w:t>
            </w:r>
          </w:p>
        </w:tc>
        <w:tc>
          <w:tcPr>
            <w:tcW w:w="834" w:type="pct"/>
            <w:noWrap/>
            <w:hideMark/>
          </w:tcPr>
          <w:p w14:paraId="46666C02" w14:textId="77777777" w:rsidR="00707B63" w:rsidRPr="00A85956" w:rsidRDefault="00707B63" w:rsidP="00A85956">
            <w:pPr>
              <w:pStyle w:val="TableBody"/>
            </w:pPr>
            <w:r w:rsidRPr="00A85956">
              <w:t>306</w:t>
            </w:r>
          </w:p>
        </w:tc>
      </w:tr>
      <w:tr w:rsidR="00707B63" w:rsidRPr="004B1A52" w14:paraId="48095D72" w14:textId="77777777" w:rsidTr="00672099">
        <w:trPr>
          <w:trHeight w:val="294"/>
        </w:trPr>
        <w:tc>
          <w:tcPr>
            <w:tcW w:w="833" w:type="pct"/>
            <w:noWrap/>
            <w:hideMark/>
          </w:tcPr>
          <w:p w14:paraId="426F4F30" w14:textId="77777777" w:rsidR="00707B63" w:rsidRPr="00A85956" w:rsidRDefault="00707B63" w:rsidP="00A85956">
            <w:pPr>
              <w:pStyle w:val="TableBody"/>
            </w:pPr>
            <w:r w:rsidRPr="00A85956">
              <w:t>2021</w:t>
            </w:r>
          </w:p>
        </w:tc>
        <w:tc>
          <w:tcPr>
            <w:tcW w:w="834" w:type="pct"/>
            <w:noWrap/>
            <w:hideMark/>
          </w:tcPr>
          <w:p w14:paraId="433DC64B" w14:textId="77777777" w:rsidR="00707B63" w:rsidRPr="00A85956" w:rsidRDefault="00707B63" w:rsidP="00A85956">
            <w:pPr>
              <w:pStyle w:val="TableBody"/>
            </w:pPr>
            <w:r w:rsidRPr="00A85956">
              <w:t>2,350</w:t>
            </w:r>
          </w:p>
        </w:tc>
        <w:tc>
          <w:tcPr>
            <w:tcW w:w="834" w:type="pct"/>
            <w:noWrap/>
            <w:hideMark/>
          </w:tcPr>
          <w:p w14:paraId="33ED0DA1" w14:textId="77777777" w:rsidR="00707B63" w:rsidRPr="00A85956" w:rsidRDefault="00707B63" w:rsidP="00A85956">
            <w:pPr>
              <w:pStyle w:val="TableBody"/>
            </w:pPr>
            <w:r w:rsidRPr="00A85956">
              <w:t>736</w:t>
            </w:r>
          </w:p>
        </w:tc>
        <w:tc>
          <w:tcPr>
            <w:tcW w:w="833" w:type="pct"/>
            <w:noWrap/>
            <w:hideMark/>
          </w:tcPr>
          <w:p w14:paraId="28309FEC" w14:textId="77777777" w:rsidR="00707B63" w:rsidRPr="00A85956" w:rsidRDefault="00707B63" w:rsidP="00A85956">
            <w:pPr>
              <w:pStyle w:val="TableBody"/>
            </w:pPr>
            <w:r w:rsidRPr="00A85956">
              <w:t>551</w:t>
            </w:r>
          </w:p>
        </w:tc>
        <w:tc>
          <w:tcPr>
            <w:tcW w:w="834" w:type="pct"/>
            <w:noWrap/>
            <w:hideMark/>
          </w:tcPr>
          <w:p w14:paraId="6C73F0AE" w14:textId="77777777" w:rsidR="00707B63" w:rsidRPr="00A85956" w:rsidRDefault="00707B63" w:rsidP="00A85956">
            <w:pPr>
              <w:pStyle w:val="TableBody"/>
            </w:pPr>
            <w:r w:rsidRPr="00A85956">
              <w:t>152</w:t>
            </w:r>
          </w:p>
        </w:tc>
        <w:tc>
          <w:tcPr>
            <w:tcW w:w="834" w:type="pct"/>
            <w:noWrap/>
            <w:hideMark/>
          </w:tcPr>
          <w:p w14:paraId="36E53C25" w14:textId="77777777" w:rsidR="00707B63" w:rsidRPr="00A85956" w:rsidRDefault="00707B63" w:rsidP="00A85956">
            <w:pPr>
              <w:pStyle w:val="TableBody"/>
            </w:pPr>
            <w:r w:rsidRPr="00A85956">
              <w:t>257</w:t>
            </w:r>
          </w:p>
        </w:tc>
      </w:tr>
      <w:tr w:rsidR="00707B63" w:rsidRPr="004B1A52" w14:paraId="39DC6EAB" w14:textId="77777777" w:rsidTr="00672099">
        <w:trPr>
          <w:trHeight w:val="294"/>
        </w:trPr>
        <w:tc>
          <w:tcPr>
            <w:tcW w:w="833" w:type="pct"/>
            <w:noWrap/>
            <w:hideMark/>
          </w:tcPr>
          <w:p w14:paraId="2A52CCC9" w14:textId="77777777" w:rsidR="00707B63" w:rsidRPr="00A85956" w:rsidRDefault="00707B63" w:rsidP="00A85956">
            <w:pPr>
              <w:pStyle w:val="TableBody"/>
            </w:pPr>
            <w:r w:rsidRPr="00A85956">
              <w:t>2022</w:t>
            </w:r>
          </w:p>
        </w:tc>
        <w:tc>
          <w:tcPr>
            <w:tcW w:w="834" w:type="pct"/>
            <w:noWrap/>
            <w:hideMark/>
          </w:tcPr>
          <w:p w14:paraId="458703DA" w14:textId="77777777" w:rsidR="00707B63" w:rsidRPr="00A85956" w:rsidRDefault="00707B63" w:rsidP="00A85956">
            <w:pPr>
              <w:pStyle w:val="TableBody"/>
            </w:pPr>
            <w:r w:rsidRPr="00A85956">
              <w:t>2,273</w:t>
            </w:r>
          </w:p>
        </w:tc>
        <w:tc>
          <w:tcPr>
            <w:tcW w:w="834" w:type="pct"/>
            <w:noWrap/>
            <w:hideMark/>
          </w:tcPr>
          <w:p w14:paraId="67AB8AF3" w14:textId="77777777" w:rsidR="00707B63" w:rsidRPr="00A85956" w:rsidRDefault="00707B63" w:rsidP="00A85956">
            <w:pPr>
              <w:pStyle w:val="TableBody"/>
            </w:pPr>
            <w:r w:rsidRPr="00A85956">
              <w:t>640</w:t>
            </w:r>
          </w:p>
        </w:tc>
        <w:tc>
          <w:tcPr>
            <w:tcW w:w="833" w:type="pct"/>
            <w:noWrap/>
            <w:hideMark/>
          </w:tcPr>
          <w:p w14:paraId="3AFE746E" w14:textId="77777777" w:rsidR="00707B63" w:rsidRPr="00A85956" w:rsidRDefault="00707B63" w:rsidP="00A85956">
            <w:pPr>
              <w:pStyle w:val="TableBody"/>
            </w:pPr>
            <w:r w:rsidRPr="00A85956">
              <w:t>501</w:t>
            </w:r>
          </w:p>
        </w:tc>
        <w:tc>
          <w:tcPr>
            <w:tcW w:w="834" w:type="pct"/>
            <w:noWrap/>
            <w:hideMark/>
          </w:tcPr>
          <w:p w14:paraId="4EC565DE" w14:textId="77777777" w:rsidR="00707B63" w:rsidRPr="00A85956" w:rsidRDefault="00707B63" w:rsidP="00A85956">
            <w:pPr>
              <w:pStyle w:val="TableBody"/>
            </w:pPr>
            <w:r w:rsidRPr="00A85956">
              <w:t>111</w:t>
            </w:r>
          </w:p>
        </w:tc>
        <w:tc>
          <w:tcPr>
            <w:tcW w:w="834" w:type="pct"/>
            <w:noWrap/>
            <w:hideMark/>
          </w:tcPr>
          <w:p w14:paraId="05E1E18D" w14:textId="77777777" w:rsidR="00707B63" w:rsidRPr="00A85956" w:rsidRDefault="00707B63" w:rsidP="00A85956">
            <w:pPr>
              <w:pStyle w:val="TableBody"/>
            </w:pPr>
            <w:r w:rsidRPr="00A85956">
              <w:t>238</w:t>
            </w:r>
          </w:p>
        </w:tc>
      </w:tr>
      <w:tr w:rsidR="00707B63" w:rsidRPr="004B1A52" w14:paraId="75F4619B" w14:textId="77777777" w:rsidTr="00672099">
        <w:trPr>
          <w:trHeight w:val="294"/>
        </w:trPr>
        <w:tc>
          <w:tcPr>
            <w:tcW w:w="833" w:type="pct"/>
            <w:noWrap/>
            <w:hideMark/>
          </w:tcPr>
          <w:p w14:paraId="588E71E8" w14:textId="77777777" w:rsidR="00707B63" w:rsidRPr="00A85956" w:rsidRDefault="00707B63" w:rsidP="00A85956">
            <w:pPr>
              <w:pStyle w:val="TableBody"/>
            </w:pPr>
            <w:r w:rsidRPr="00A85956">
              <w:t>2023</w:t>
            </w:r>
          </w:p>
        </w:tc>
        <w:tc>
          <w:tcPr>
            <w:tcW w:w="834" w:type="pct"/>
            <w:noWrap/>
            <w:hideMark/>
          </w:tcPr>
          <w:p w14:paraId="6BB4BEAD" w14:textId="77777777" w:rsidR="00707B63" w:rsidRPr="00A85956" w:rsidRDefault="00707B63" w:rsidP="00A85956">
            <w:pPr>
              <w:pStyle w:val="TableBody"/>
            </w:pPr>
            <w:r w:rsidRPr="00A85956">
              <w:t>2,372</w:t>
            </w:r>
          </w:p>
        </w:tc>
        <w:tc>
          <w:tcPr>
            <w:tcW w:w="834" w:type="pct"/>
            <w:noWrap/>
            <w:hideMark/>
          </w:tcPr>
          <w:p w14:paraId="1003D42F" w14:textId="77777777" w:rsidR="00707B63" w:rsidRPr="00A85956" w:rsidRDefault="00707B63" w:rsidP="00A85956">
            <w:pPr>
              <w:pStyle w:val="TableBody"/>
            </w:pPr>
            <w:r w:rsidRPr="00A85956">
              <w:t>734</w:t>
            </w:r>
          </w:p>
        </w:tc>
        <w:tc>
          <w:tcPr>
            <w:tcW w:w="833" w:type="pct"/>
            <w:noWrap/>
            <w:hideMark/>
          </w:tcPr>
          <w:p w14:paraId="7DEFC0C0" w14:textId="77777777" w:rsidR="00707B63" w:rsidRPr="00A85956" w:rsidRDefault="00707B63" w:rsidP="00A85956">
            <w:pPr>
              <w:pStyle w:val="TableBody"/>
            </w:pPr>
            <w:r w:rsidRPr="00A85956">
              <w:t>471</w:t>
            </w:r>
          </w:p>
        </w:tc>
        <w:tc>
          <w:tcPr>
            <w:tcW w:w="834" w:type="pct"/>
            <w:noWrap/>
            <w:hideMark/>
          </w:tcPr>
          <w:p w14:paraId="71C26FFF" w14:textId="77777777" w:rsidR="00707B63" w:rsidRPr="00A85956" w:rsidRDefault="00707B63" w:rsidP="00A85956">
            <w:pPr>
              <w:pStyle w:val="TableBody"/>
            </w:pPr>
            <w:r w:rsidRPr="00A85956">
              <w:t>143</w:t>
            </w:r>
          </w:p>
        </w:tc>
        <w:tc>
          <w:tcPr>
            <w:tcW w:w="834" w:type="pct"/>
            <w:noWrap/>
            <w:hideMark/>
          </w:tcPr>
          <w:p w14:paraId="4B4F795B" w14:textId="77777777" w:rsidR="00707B63" w:rsidRPr="00A85956" w:rsidRDefault="00707B63" w:rsidP="00A85956">
            <w:pPr>
              <w:pStyle w:val="TableBody"/>
            </w:pPr>
            <w:r w:rsidRPr="00A85956">
              <w:t>260</w:t>
            </w:r>
          </w:p>
        </w:tc>
      </w:tr>
      <w:tr w:rsidR="00707B63" w:rsidRPr="004B1A52" w14:paraId="3791F84D" w14:textId="77777777" w:rsidTr="00672099">
        <w:trPr>
          <w:trHeight w:val="294"/>
        </w:trPr>
        <w:tc>
          <w:tcPr>
            <w:tcW w:w="833" w:type="pct"/>
            <w:noWrap/>
            <w:hideMark/>
          </w:tcPr>
          <w:p w14:paraId="3B516215" w14:textId="77777777" w:rsidR="00707B63" w:rsidRPr="00A85956" w:rsidRDefault="00707B63" w:rsidP="00A85956">
            <w:pPr>
              <w:pStyle w:val="TableBody"/>
            </w:pPr>
            <w:r w:rsidRPr="00A85956">
              <w:t>2024</w:t>
            </w:r>
          </w:p>
        </w:tc>
        <w:tc>
          <w:tcPr>
            <w:tcW w:w="834" w:type="pct"/>
            <w:noWrap/>
            <w:hideMark/>
          </w:tcPr>
          <w:p w14:paraId="3C2C9353" w14:textId="77777777" w:rsidR="00707B63" w:rsidRPr="00A85956" w:rsidRDefault="00707B63" w:rsidP="00A85956">
            <w:pPr>
              <w:pStyle w:val="TableBody"/>
            </w:pPr>
            <w:r w:rsidRPr="00A85956">
              <w:t>2,362</w:t>
            </w:r>
          </w:p>
        </w:tc>
        <w:tc>
          <w:tcPr>
            <w:tcW w:w="834" w:type="pct"/>
            <w:noWrap/>
            <w:hideMark/>
          </w:tcPr>
          <w:p w14:paraId="151CACE0" w14:textId="77777777" w:rsidR="00707B63" w:rsidRPr="00A85956" w:rsidRDefault="00707B63" w:rsidP="00A85956">
            <w:pPr>
              <w:pStyle w:val="TableBody"/>
            </w:pPr>
            <w:r w:rsidRPr="00A85956">
              <w:t>679</w:t>
            </w:r>
          </w:p>
        </w:tc>
        <w:tc>
          <w:tcPr>
            <w:tcW w:w="833" w:type="pct"/>
            <w:noWrap/>
            <w:hideMark/>
          </w:tcPr>
          <w:p w14:paraId="0820B910" w14:textId="77777777" w:rsidR="00707B63" w:rsidRPr="00A85956" w:rsidRDefault="00707B63" w:rsidP="00A85956">
            <w:pPr>
              <w:pStyle w:val="TableBody"/>
            </w:pPr>
            <w:r w:rsidRPr="00A85956">
              <w:t>462</w:t>
            </w:r>
          </w:p>
        </w:tc>
        <w:tc>
          <w:tcPr>
            <w:tcW w:w="834" w:type="pct"/>
            <w:noWrap/>
            <w:hideMark/>
          </w:tcPr>
          <w:p w14:paraId="6A684A51" w14:textId="77777777" w:rsidR="00707B63" w:rsidRPr="00A85956" w:rsidRDefault="00707B63" w:rsidP="00A85956">
            <w:pPr>
              <w:pStyle w:val="TableBody"/>
            </w:pPr>
            <w:r w:rsidRPr="00A85956">
              <w:t>143</w:t>
            </w:r>
          </w:p>
        </w:tc>
        <w:tc>
          <w:tcPr>
            <w:tcW w:w="834" w:type="pct"/>
            <w:noWrap/>
            <w:hideMark/>
          </w:tcPr>
          <w:p w14:paraId="3DF7E569" w14:textId="77777777" w:rsidR="00707B63" w:rsidRPr="00A85956" w:rsidRDefault="00707B63" w:rsidP="00A85956">
            <w:pPr>
              <w:pStyle w:val="TableBody"/>
            </w:pPr>
            <w:r w:rsidRPr="00A85956">
              <w:t>227</w:t>
            </w:r>
          </w:p>
        </w:tc>
      </w:tr>
    </w:tbl>
    <w:p w14:paraId="0C07CB94" w14:textId="77777777" w:rsidR="00A4454A" w:rsidRPr="008C1137" w:rsidRDefault="00A4454A" w:rsidP="00D4532A">
      <w:r w:rsidRPr="000C258A">
        <w:rPr>
          <w:rStyle w:val="Strong"/>
        </w:rPr>
        <w:t>Source</w:t>
      </w:r>
      <w:r w:rsidRPr="008C1137">
        <w:t>: Australian Bureau of Statistics,</w:t>
      </w:r>
      <w:r w:rsidRPr="008C1137">
        <w:rPr>
          <w:rStyle w:val="Italic"/>
        </w:rPr>
        <w:t xml:space="preserve"> Prisoners in Australia</w:t>
      </w:r>
      <w:r w:rsidRPr="008C1137">
        <w:t>, cat. no. 4517.0 (abs.gov.au, 2024) Table 23</w:t>
      </w:r>
    </w:p>
    <w:p w14:paraId="2219AC75" w14:textId="34D7C5C7" w:rsidR="00A4454A" w:rsidRPr="008C1137" w:rsidRDefault="00A4454A" w:rsidP="00210207">
      <w:pPr>
        <w:pStyle w:val="Numbered"/>
      </w:pPr>
      <w:r w:rsidRPr="008C1137">
        <w:t>By 30 June 2024, there were 3,921 sentenced prisoners, and the most serious offence for 60% of them was an offence against the person, such as stalking, armed robbery or murder. Given the prevalence of offences against the person among the sentenced prisoner population, Figure 50</w:t>
      </w:r>
      <w:r w:rsidR="009E33A5">
        <w:t xml:space="preserve"> </w:t>
      </w:r>
      <w:r w:rsidRPr="008C1137">
        <w:t xml:space="preserve">presents a more detailed </w:t>
      </w:r>
      <w:r w:rsidRPr="008C1137">
        <w:lastRenderedPageBreak/>
        <w:t>breakdown of which offence types are most prevalent. Aside from robbery offences (which decreased by 48% in the 20-year period), all other offence types increased, though the increase was most pronounced for sexual assault offences. With more than twice as many sentenced prisoners with a most serious offence of sexual assault on 30 June 2024 than on 30 June 2005 (946, up from 405), sexual assault offenders now make up almost one-quarter (24%) of sentenced prisoners.</w:t>
      </w:r>
    </w:p>
    <w:p w14:paraId="4DF9C71D" w14:textId="77777777" w:rsidR="00A4454A" w:rsidRPr="008C1137" w:rsidRDefault="00A4454A" w:rsidP="0002476E">
      <w:pPr>
        <w:pStyle w:val="Heading2"/>
      </w:pPr>
      <w:r w:rsidRPr="008C1137">
        <w:t>Average sentence lengths of sentenced prisoners</w:t>
      </w:r>
    </w:p>
    <w:p w14:paraId="02588FBC" w14:textId="12852395" w:rsidR="00A4454A" w:rsidRPr="008C1137" w:rsidRDefault="00A4454A" w:rsidP="00210207">
      <w:pPr>
        <w:pStyle w:val="Numbered"/>
      </w:pPr>
      <w:r w:rsidRPr="008C1137">
        <w:t>Figure 51</w:t>
      </w:r>
      <w:r w:rsidR="009E33A5">
        <w:t xml:space="preserve"> </w:t>
      </w:r>
      <w:r w:rsidRPr="008C1137">
        <w:t>presents the average custodial sentence length and expected time to serve for sentenced prisoners who were in custody on</w:t>
      </w:r>
      <w:r w:rsidRPr="003B3217">
        <w:rPr>
          <w:rStyle w:val="Italic"/>
        </w:rPr>
        <w:t xml:space="preserve"> </w:t>
      </w:r>
      <w:r w:rsidRPr="008C1137">
        <w:t xml:space="preserve">30 June each year (Figure 51 does not include anyone released before 30 June or people receiving time served prison sentences, the latter of whom never become </w:t>
      </w:r>
      <w:r w:rsidRPr="003B3217">
        <w:rPr>
          <w:rStyle w:val="Italic"/>
        </w:rPr>
        <w:t>sentenced prisoners</w:t>
      </w:r>
      <w:r w:rsidRPr="008C1137">
        <w:t xml:space="preserve">). The </w:t>
      </w:r>
      <w:r w:rsidRPr="003B3217">
        <w:rPr>
          <w:rStyle w:val="Italic"/>
        </w:rPr>
        <w:t>total effective sentence length</w:t>
      </w:r>
      <w:r w:rsidRPr="008C1137">
        <w:t xml:space="preserve"> represents the total prison sentence that a person receives in a case (including periods during which they may be eligible for parole),</w:t>
      </w:r>
      <w:r w:rsidRPr="008C1137">
        <w:rPr>
          <w:rStyle w:val="Superscript"/>
        </w:rPr>
        <w:footnoteReference w:id="171"/>
      </w:r>
      <w:r w:rsidRPr="008C1137">
        <w:t xml:space="preserve"> and the </w:t>
      </w:r>
      <w:r w:rsidRPr="003B3217">
        <w:rPr>
          <w:rStyle w:val="Italic"/>
        </w:rPr>
        <w:t>expected time to serve</w:t>
      </w:r>
      <w:r w:rsidRPr="008C1137">
        <w:t xml:space="preserve"> refers to the time between a person becoming a sentenced prisoner and the earliest possible date of release.</w:t>
      </w:r>
      <w:r w:rsidRPr="008C1137">
        <w:rPr>
          <w:rStyle w:val="Superscript"/>
        </w:rPr>
        <w:footnoteReference w:id="172"/>
      </w:r>
      <w:r w:rsidRPr="008C1137">
        <w:t xml:space="preserve"> </w:t>
      </w:r>
    </w:p>
    <w:p w14:paraId="1A8EDDDD" w14:textId="77777777" w:rsidR="00A4454A" w:rsidRPr="008C1137" w:rsidRDefault="00A4454A" w:rsidP="00210207">
      <w:pPr>
        <w:pStyle w:val="Numbered"/>
      </w:pPr>
      <w:r w:rsidRPr="008C1137">
        <w:t>In the 20 years to 30 June 2024, both the total effective sentence length and the expected time to serve for sentenced prisoners increased, respectively, by 40% (from 5 to 7 years) and 49% (from 3.7 to 5.5 years). Most of the increases in both were since 30 June 2015.</w:t>
      </w:r>
    </w:p>
    <w:p w14:paraId="75E23476" w14:textId="77777777" w:rsidR="00A4454A" w:rsidRPr="008C1137" w:rsidRDefault="00A4454A" w:rsidP="00BE4EDC">
      <w:pPr>
        <w:pStyle w:val="Caption"/>
      </w:pPr>
      <w:r w:rsidRPr="00157502">
        <w:lastRenderedPageBreak/>
        <w:t>Figure 50</w:t>
      </w:r>
      <w:r w:rsidRPr="008C1137">
        <w:t>: Number of sentenced prisoners on 30 June for offences against the person, by offence type, 2005 to 2024</w:t>
      </w:r>
    </w:p>
    <w:tbl>
      <w:tblPr>
        <w:tblStyle w:val="Table"/>
        <w:tblW w:w="5175" w:type="pct"/>
        <w:tblLayout w:type="fixed"/>
        <w:tblLook w:val="04A0" w:firstRow="1" w:lastRow="0" w:firstColumn="1" w:lastColumn="0" w:noHBand="0" w:noVBand="1"/>
      </w:tblPr>
      <w:tblGrid>
        <w:gridCol w:w="1289"/>
        <w:gridCol w:w="1292"/>
        <w:gridCol w:w="1290"/>
        <w:gridCol w:w="1290"/>
        <w:gridCol w:w="1530"/>
        <w:gridCol w:w="1361"/>
        <w:gridCol w:w="1280"/>
      </w:tblGrid>
      <w:tr w:rsidR="00672099" w:rsidRPr="000960D9" w14:paraId="04703242" w14:textId="77777777" w:rsidTr="00672099">
        <w:trPr>
          <w:trHeight w:val="288"/>
          <w:tblHeader/>
        </w:trPr>
        <w:tc>
          <w:tcPr>
            <w:tcW w:w="691" w:type="pct"/>
            <w:noWrap/>
            <w:hideMark/>
          </w:tcPr>
          <w:p w14:paraId="09618089" w14:textId="6A1CF426" w:rsidR="000960D9" w:rsidRPr="008162F4" w:rsidRDefault="008162F4" w:rsidP="008162F4">
            <w:pPr>
              <w:pStyle w:val="TableHeading"/>
            </w:pPr>
            <w:r w:rsidRPr="008162F4">
              <w:t>Year</w:t>
            </w:r>
          </w:p>
        </w:tc>
        <w:tc>
          <w:tcPr>
            <w:tcW w:w="692" w:type="pct"/>
            <w:noWrap/>
            <w:hideMark/>
          </w:tcPr>
          <w:p w14:paraId="7C8CC79B" w14:textId="77777777" w:rsidR="000960D9" w:rsidRPr="00F678CE" w:rsidRDefault="000960D9" w:rsidP="00F678CE">
            <w:pPr>
              <w:pStyle w:val="TableHeading"/>
            </w:pPr>
            <w:r w:rsidRPr="00F678CE">
              <w:t>Homicide</w:t>
            </w:r>
          </w:p>
        </w:tc>
        <w:tc>
          <w:tcPr>
            <w:tcW w:w="691" w:type="pct"/>
            <w:noWrap/>
            <w:hideMark/>
          </w:tcPr>
          <w:p w14:paraId="3FD27C38" w14:textId="77777777" w:rsidR="000960D9" w:rsidRPr="00F678CE" w:rsidRDefault="000960D9" w:rsidP="00F678CE">
            <w:pPr>
              <w:pStyle w:val="TableHeading"/>
            </w:pPr>
            <w:r w:rsidRPr="00F678CE">
              <w:t>Cause injury</w:t>
            </w:r>
          </w:p>
        </w:tc>
        <w:tc>
          <w:tcPr>
            <w:tcW w:w="691" w:type="pct"/>
            <w:noWrap/>
            <w:hideMark/>
          </w:tcPr>
          <w:p w14:paraId="08F45460" w14:textId="77777777" w:rsidR="000960D9" w:rsidRPr="00F678CE" w:rsidRDefault="000960D9" w:rsidP="00F678CE">
            <w:pPr>
              <w:pStyle w:val="TableHeading"/>
            </w:pPr>
            <w:r w:rsidRPr="00F678CE">
              <w:t>Sexual assault</w:t>
            </w:r>
          </w:p>
        </w:tc>
        <w:tc>
          <w:tcPr>
            <w:tcW w:w="820" w:type="pct"/>
            <w:noWrap/>
            <w:hideMark/>
          </w:tcPr>
          <w:p w14:paraId="2055AD29" w14:textId="77777777" w:rsidR="000960D9" w:rsidRPr="00F678CE" w:rsidRDefault="000960D9" w:rsidP="00F678CE">
            <w:pPr>
              <w:pStyle w:val="TableHeading"/>
            </w:pPr>
            <w:r w:rsidRPr="00F678CE">
              <w:t>Dangerous acts</w:t>
            </w:r>
          </w:p>
        </w:tc>
        <w:tc>
          <w:tcPr>
            <w:tcW w:w="729" w:type="pct"/>
            <w:noWrap/>
            <w:hideMark/>
          </w:tcPr>
          <w:p w14:paraId="11E0BFE9" w14:textId="77777777" w:rsidR="000960D9" w:rsidRPr="00F678CE" w:rsidRDefault="000960D9" w:rsidP="00F678CE">
            <w:pPr>
              <w:pStyle w:val="TableHeading"/>
            </w:pPr>
            <w:r w:rsidRPr="00F678CE">
              <w:t>Abduction</w:t>
            </w:r>
          </w:p>
        </w:tc>
        <w:tc>
          <w:tcPr>
            <w:tcW w:w="687" w:type="pct"/>
            <w:noWrap/>
            <w:hideMark/>
          </w:tcPr>
          <w:p w14:paraId="762F0217" w14:textId="77777777" w:rsidR="000960D9" w:rsidRPr="00F678CE" w:rsidRDefault="000960D9" w:rsidP="00F678CE">
            <w:pPr>
              <w:pStyle w:val="TableHeading"/>
            </w:pPr>
            <w:r w:rsidRPr="00F678CE">
              <w:t>Robbery</w:t>
            </w:r>
          </w:p>
        </w:tc>
      </w:tr>
      <w:tr w:rsidR="00672099" w:rsidRPr="000960D9" w14:paraId="339017A9" w14:textId="77777777" w:rsidTr="00672099">
        <w:trPr>
          <w:trHeight w:val="288"/>
        </w:trPr>
        <w:tc>
          <w:tcPr>
            <w:tcW w:w="691" w:type="pct"/>
            <w:noWrap/>
            <w:hideMark/>
          </w:tcPr>
          <w:p w14:paraId="5F44B1DE" w14:textId="77777777" w:rsidR="000960D9" w:rsidRPr="00A85956" w:rsidRDefault="000960D9" w:rsidP="00A85956">
            <w:pPr>
              <w:pStyle w:val="TableBody"/>
            </w:pPr>
            <w:r w:rsidRPr="00A85956">
              <w:t>2005</w:t>
            </w:r>
          </w:p>
        </w:tc>
        <w:tc>
          <w:tcPr>
            <w:tcW w:w="692" w:type="pct"/>
            <w:noWrap/>
            <w:hideMark/>
          </w:tcPr>
          <w:p w14:paraId="69686BB6" w14:textId="77777777" w:rsidR="000960D9" w:rsidRPr="00A85956" w:rsidRDefault="000960D9" w:rsidP="00A85956">
            <w:pPr>
              <w:pStyle w:val="TableBody"/>
            </w:pPr>
            <w:r w:rsidRPr="00A85956">
              <w:t>382</w:t>
            </w:r>
          </w:p>
        </w:tc>
        <w:tc>
          <w:tcPr>
            <w:tcW w:w="691" w:type="pct"/>
            <w:noWrap/>
            <w:hideMark/>
          </w:tcPr>
          <w:p w14:paraId="65F90BB1" w14:textId="77777777" w:rsidR="000960D9" w:rsidRPr="00A85956" w:rsidRDefault="000960D9" w:rsidP="00A85956">
            <w:pPr>
              <w:pStyle w:val="TableBody"/>
            </w:pPr>
            <w:r w:rsidRPr="00A85956">
              <w:t>210</w:t>
            </w:r>
          </w:p>
        </w:tc>
        <w:tc>
          <w:tcPr>
            <w:tcW w:w="691" w:type="pct"/>
            <w:noWrap/>
            <w:hideMark/>
          </w:tcPr>
          <w:p w14:paraId="1E4278B1" w14:textId="77777777" w:rsidR="000960D9" w:rsidRPr="00A85956" w:rsidRDefault="000960D9" w:rsidP="00A85956">
            <w:pPr>
              <w:pStyle w:val="TableBody"/>
            </w:pPr>
            <w:r w:rsidRPr="00A85956">
              <w:t>405</w:t>
            </w:r>
          </w:p>
        </w:tc>
        <w:tc>
          <w:tcPr>
            <w:tcW w:w="820" w:type="pct"/>
            <w:noWrap/>
            <w:hideMark/>
          </w:tcPr>
          <w:p w14:paraId="771CEDA6" w14:textId="77777777" w:rsidR="000960D9" w:rsidRPr="00A85956" w:rsidRDefault="000960D9" w:rsidP="00A85956">
            <w:pPr>
              <w:pStyle w:val="TableBody"/>
            </w:pPr>
            <w:r w:rsidRPr="00A85956">
              <w:t>38</w:t>
            </w:r>
          </w:p>
        </w:tc>
        <w:tc>
          <w:tcPr>
            <w:tcW w:w="729" w:type="pct"/>
            <w:noWrap/>
            <w:hideMark/>
          </w:tcPr>
          <w:p w14:paraId="2BD5E0DB" w14:textId="77777777" w:rsidR="000960D9" w:rsidRPr="00A85956" w:rsidRDefault="000960D9" w:rsidP="00A85956">
            <w:pPr>
              <w:pStyle w:val="TableBody"/>
            </w:pPr>
            <w:r w:rsidRPr="00A85956">
              <w:t>29</w:t>
            </w:r>
          </w:p>
        </w:tc>
        <w:tc>
          <w:tcPr>
            <w:tcW w:w="687" w:type="pct"/>
            <w:noWrap/>
            <w:hideMark/>
          </w:tcPr>
          <w:p w14:paraId="47200C99" w14:textId="77777777" w:rsidR="000960D9" w:rsidRPr="00A85956" w:rsidRDefault="000960D9" w:rsidP="00A85956">
            <w:pPr>
              <w:pStyle w:val="TableBody"/>
            </w:pPr>
            <w:r w:rsidRPr="00A85956">
              <w:t>308</w:t>
            </w:r>
          </w:p>
        </w:tc>
      </w:tr>
      <w:tr w:rsidR="00672099" w:rsidRPr="000960D9" w14:paraId="6D273D16" w14:textId="77777777" w:rsidTr="00672099">
        <w:trPr>
          <w:trHeight w:val="288"/>
        </w:trPr>
        <w:tc>
          <w:tcPr>
            <w:tcW w:w="691" w:type="pct"/>
            <w:noWrap/>
            <w:hideMark/>
          </w:tcPr>
          <w:p w14:paraId="39E86C36" w14:textId="77777777" w:rsidR="000960D9" w:rsidRPr="00A85956" w:rsidRDefault="000960D9" w:rsidP="00A85956">
            <w:pPr>
              <w:pStyle w:val="TableBody"/>
            </w:pPr>
            <w:r w:rsidRPr="00A85956">
              <w:t>2006</w:t>
            </w:r>
          </w:p>
        </w:tc>
        <w:tc>
          <w:tcPr>
            <w:tcW w:w="692" w:type="pct"/>
            <w:noWrap/>
            <w:hideMark/>
          </w:tcPr>
          <w:p w14:paraId="248C27D7" w14:textId="77777777" w:rsidR="000960D9" w:rsidRPr="00A85956" w:rsidRDefault="000960D9" w:rsidP="00A85956">
            <w:pPr>
              <w:pStyle w:val="TableBody"/>
            </w:pPr>
            <w:r w:rsidRPr="00A85956">
              <w:t>386</w:t>
            </w:r>
          </w:p>
        </w:tc>
        <w:tc>
          <w:tcPr>
            <w:tcW w:w="691" w:type="pct"/>
            <w:noWrap/>
            <w:hideMark/>
          </w:tcPr>
          <w:p w14:paraId="2FE11CE0" w14:textId="77777777" w:rsidR="000960D9" w:rsidRPr="00A85956" w:rsidRDefault="000960D9" w:rsidP="00A85956">
            <w:pPr>
              <w:pStyle w:val="TableBody"/>
            </w:pPr>
            <w:r w:rsidRPr="00A85956">
              <w:t>252</w:t>
            </w:r>
          </w:p>
        </w:tc>
        <w:tc>
          <w:tcPr>
            <w:tcW w:w="691" w:type="pct"/>
            <w:noWrap/>
            <w:hideMark/>
          </w:tcPr>
          <w:p w14:paraId="6A1D98EF" w14:textId="77777777" w:rsidR="000960D9" w:rsidRPr="00A85956" w:rsidRDefault="000960D9" w:rsidP="00A85956">
            <w:pPr>
              <w:pStyle w:val="TableBody"/>
            </w:pPr>
            <w:r w:rsidRPr="00A85956">
              <w:t>436</w:t>
            </w:r>
          </w:p>
        </w:tc>
        <w:tc>
          <w:tcPr>
            <w:tcW w:w="820" w:type="pct"/>
            <w:noWrap/>
            <w:hideMark/>
          </w:tcPr>
          <w:p w14:paraId="0C8107AE" w14:textId="77777777" w:rsidR="000960D9" w:rsidRPr="00A85956" w:rsidRDefault="000960D9" w:rsidP="00A85956">
            <w:pPr>
              <w:pStyle w:val="TableBody"/>
            </w:pPr>
            <w:r w:rsidRPr="00A85956">
              <w:t>27</w:t>
            </w:r>
          </w:p>
        </w:tc>
        <w:tc>
          <w:tcPr>
            <w:tcW w:w="729" w:type="pct"/>
            <w:noWrap/>
            <w:hideMark/>
          </w:tcPr>
          <w:p w14:paraId="4D10658B" w14:textId="77777777" w:rsidR="000960D9" w:rsidRPr="00A85956" w:rsidRDefault="000960D9" w:rsidP="00A85956">
            <w:pPr>
              <w:pStyle w:val="TableBody"/>
            </w:pPr>
            <w:r w:rsidRPr="00A85956">
              <w:t>28</w:t>
            </w:r>
          </w:p>
        </w:tc>
        <w:tc>
          <w:tcPr>
            <w:tcW w:w="687" w:type="pct"/>
            <w:noWrap/>
            <w:hideMark/>
          </w:tcPr>
          <w:p w14:paraId="09145C57" w14:textId="77777777" w:rsidR="000960D9" w:rsidRPr="00A85956" w:rsidRDefault="000960D9" w:rsidP="00A85956">
            <w:pPr>
              <w:pStyle w:val="TableBody"/>
            </w:pPr>
            <w:r w:rsidRPr="00A85956">
              <w:t>288</w:t>
            </w:r>
          </w:p>
        </w:tc>
      </w:tr>
      <w:tr w:rsidR="00672099" w:rsidRPr="000960D9" w14:paraId="322A7276" w14:textId="77777777" w:rsidTr="00672099">
        <w:trPr>
          <w:trHeight w:val="288"/>
        </w:trPr>
        <w:tc>
          <w:tcPr>
            <w:tcW w:w="691" w:type="pct"/>
            <w:noWrap/>
            <w:hideMark/>
          </w:tcPr>
          <w:p w14:paraId="155F59C6" w14:textId="77777777" w:rsidR="000960D9" w:rsidRPr="00A85956" w:rsidRDefault="000960D9" w:rsidP="00A85956">
            <w:pPr>
              <w:pStyle w:val="TableBody"/>
            </w:pPr>
            <w:r w:rsidRPr="00A85956">
              <w:t>2007</w:t>
            </w:r>
          </w:p>
        </w:tc>
        <w:tc>
          <w:tcPr>
            <w:tcW w:w="692" w:type="pct"/>
            <w:noWrap/>
            <w:hideMark/>
          </w:tcPr>
          <w:p w14:paraId="0603C03F" w14:textId="77777777" w:rsidR="000960D9" w:rsidRPr="00A85956" w:rsidRDefault="000960D9" w:rsidP="00A85956">
            <w:pPr>
              <w:pStyle w:val="TableBody"/>
            </w:pPr>
            <w:r w:rsidRPr="00A85956">
              <w:t>422</w:t>
            </w:r>
          </w:p>
        </w:tc>
        <w:tc>
          <w:tcPr>
            <w:tcW w:w="691" w:type="pct"/>
            <w:noWrap/>
            <w:hideMark/>
          </w:tcPr>
          <w:p w14:paraId="58F2F705" w14:textId="77777777" w:rsidR="000960D9" w:rsidRPr="00A85956" w:rsidRDefault="000960D9" w:rsidP="00A85956">
            <w:pPr>
              <w:pStyle w:val="TableBody"/>
            </w:pPr>
            <w:r w:rsidRPr="00A85956">
              <w:t>281</w:t>
            </w:r>
          </w:p>
        </w:tc>
        <w:tc>
          <w:tcPr>
            <w:tcW w:w="691" w:type="pct"/>
            <w:noWrap/>
            <w:hideMark/>
          </w:tcPr>
          <w:p w14:paraId="7BFB5540" w14:textId="77777777" w:rsidR="000960D9" w:rsidRPr="00A85956" w:rsidRDefault="000960D9" w:rsidP="00A85956">
            <w:pPr>
              <w:pStyle w:val="TableBody"/>
            </w:pPr>
            <w:r w:rsidRPr="00A85956">
              <w:t>503</w:t>
            </w:r>
          </w:p>
        </w:tc>
        <w:tc>
          <w:tcPr>
            <w:tcW w:w="820" w:type="pct"/>
            <w:noWrap/>
            <w:hideMark/>
          </w:tcPr>
          <w:p w14:paraId="740281AA" w14:textId="77777777" w:rsidR="000960D9" w:rsidRPr="00A85956" w:rsidRDefault="000960D9" w:rsidP="00A85956">
            <w:pPr>
              <w:pStyle w:val="TableBody"/>
            </w:pPr>
            <w:r w:rsidRPr="00A85956">
              <w:t>54</w:t>
            </w:r>
          </w:p>
        </w:tc>
        <w:tc>
          <w:tcPr>
            <w:tcW w:w="729" w:type="pct"/>
            <w:noWrap/>
            <w:hideMark/>
          </w:tcPr>
          <w:p w14:paraId="1F355C0F" w14:textId="77777777" w:rsidR="000960D9" w:rsidRPr="00A85956" w:rsidRDefault="000960D9" w:rsidP="00A85956">
            <w:pPr>
              <w:pStyle w:val="TableBody"/>
            </w:pPr>
            <w:r w:rsidRPr="00A85956">
              <w:t>25</w:t>
            </w:r>
          </w:p>
        </w:tc>
        <w:tc>
          <w:tcPr>
            <w:tcW w:w="687" w:type="pct"/>
            <w:noWrap/>
            <w:hideMark/>
          </w:tcPr>
          <w:p w14:paraId="5D196451" w14:textId="77777777" w:rsidR="000960D9" w:rsidRPr="00A85956" w:rsidRDefault="000960D9" w:rsidP="00A85956">
            <w:pPr>
              <w:pStyle w:val="TableBody"/>
            </w:pPr>
            <w:r w:rsidRPr="00A85956">
              <w:t>267</w:t>
            </w:r>
          </w:p>
        </w:tc>
      </w:tr>
      <w:tr w:rsidR="00672099" w:rsidRPr="000960D9" w14:paraId="549EE8A1" w14:textId="77777777" w:rsidTr="00672099">
        <w:trPr>
          <w:trHeight w:val="288"/>
        </w:trPr>
        <w:tc>
          <w:tcPr>
            <w:tcW w:w="691" w:type="pct"/>
            <w:noWrap/>
            <w:hideMark/>
          </w:tcPr>
          <w:p w14:paraId="2175D616" w14:textId="77777777" w:rsidR="000960D9" w:rsidRPr="00A85956" w:rsidRDefault="000960D9" w:rsidP="00A85956">
            <w:pPr>
              <w:pStyle w:val="TableBody"/>
            </w:pPr>
            <w:r w:rsidRPr="00A85956">
              <w:t>2008</w:t>
            </w:r>
          </w:p>
        </w:tc>
        <w:tc>
          <w:tcPr>
            <w:tcW w:w="692" w:type="pct"/>
            <w:noWrap/>
            <w:hideMark/>
          </w:tcPr>
          <w:p w14:paraId="40A2CCD4" w14:textId="77777777" w:rsidR="000960D9" w:rsidRPr="00A85956" w:rsidRDefault="000960D9" w:rsidP="00A85956">
            <w:pPr>
              <w:pStyle w:val="TableBody"/>
            </w:pPr>
            <w:r w:rsidRPr="00A85956">
              <w:t>428</w:t>
            </w:r>
          </w:p>
        </w:tc>
        <w:tc>
          <w:tcPr>
            <w:tcW w:w="691" w:type="pct"/>
            <w:noWrap/>
            <w:hideMark/>
          </w:tcPr>
          <w:p w14:paraId="4098BBC1" w14:textId="77777777" w:rsidR="000960D9" w:rsidRPr="00A85956" w:rsidRDefault="000960D9" w:rsidP="00A85956">
            <w:pPr>
              <w:pStyle w:val="TableBody"/>
            </w:pPr>
            <w:r w:rsidRPr="00A85956">
              <w:t>381</w:t>
            </w:r>
          </w:p>
        </w:tc>
        <w:tc>
          <w:tcPr>
            <w:tcW w:w="691" w:type="pct"/>
            <w:noWrap/>
            <w:hideMark/>
          </w:tcPr>
          <w:p w14:paraId="3E67B3AE" w14:textId="77777777" w:rsidR="000960D9" w:rsidRPr="00A85956" w:rsidRDefault="000960D9" w:rsidP="00A85956">
            <w:pPr>
              <w:pStyle w:val="TableBody"/>
            </w:pPr>
            <w:r w:rsidRPr="00A85956">
              <w:t>572</w:t>
            </w:r>
          </w:p>
        </w:tc>
        <w:tc>
          <w:tcPr>
            <w:tcW w:w="820" w:type="pct"/>
            <w:noWrap/>
            <w:hideMark/>
          </w:tcPr>
          <w:p w14:paraId="2B64E883" w14:textId="77777777" w:rsidR="000960D9" w:rsidRPr="00A85956" w:rsidRDefault="000960D9" w:rsidP="00A85956">
            <w:pPr>
              <w:pStyle w:val="TableBody"/>
            </w:pPr>
            <w:r w:rsidRPr="00A85956">
              <w:t>48</w:t>
            </w:r>
          </w:p>
        </w:tc>
        <w:tc>
          <w:tcPr>
            <w:tcW w:w="729" w:type="pct"/>
            <w:noWrap/>
            <w:hideMark/>
          </w:tcPr>
          <w:p w14:paraId="5938BC4F" w14:textId="77777777" w:rsidR="000960D9" w:rsidRPr="00A85956" w:rsidRDefault="000960D9" w:rsidP="00A85956">
            <w:pPr>
              <w:pStyle w:val="TableBody"/>
            </w:pPr>
            <w:r w:rsidRPr="00A85956">
              <w:t>23</w:t>
            </w:r>
          </w:p>
        </w:tc>
        <w:tc>
          <w:tcPr>
            <w:tcW w:w="687" w:type="pct"/>
            <w:noWrap/>
            <w:hideMark/>
          </w:tcPr>
          <w:p w14:paraId="709D10EB" w14:textId="77777777" w:rsidR="000960D9" w:rsidRPr="00A85956" w:rsidRDefault="000960D9" w:rsidP="00A85956">
            <w:pPr>
              <w:pStyle w:val="TableBody"/>
            </w:pPr>
            <w:r w:rsidRPr="00A85956">
              <w:t>267</w:t>
            </w:r>
          </w:p>
        </w:tc>
      </w:tr>
      <w:tr w:rsidR="00672099" w:rsidRPr="000960D9" w14:paraId="1C9AB508" w14:textId="77777777" w:rsidTr="00672099">
        <w:trPr>
          <w:trHeight w:val="288"/>
        </w:trPr>
        <w:tc>
          <w:tcPr>
            <w:tcW w:w="691" w:type="pct"/>
            <w:noWrap/>
            <w:hideMark/>
          </w:tcPr>
          <w:p w14:paraId="6F4F39A2" w14:textId="77777777" w:rsidR="000960D9" w:rsidRPr="00A85956" w:rsidRDefault="000960D9" w:rsidP="00A85956">
            <w:pPr>
              <w:pStyle w:val="TableBody"/>
            </w:pPr>
            <w:r w:rsidRPr="00A85956">
              <w:t>2009</w:t>
            </w:r>
          </w:p>
        </w:tc>
        <w:tc>
          <w:tcPr>
            <w:tcW w:w="692" w:type="pct"/>
            <w:noWrap/>
            <w:hideMark/>
          </w:tcPr>
          <w:p w14:paraId="4D62F130" w14:textId="77777777" w:rsidR="000960D9" w:rsidRPr="00A85956" w:rsidRDefault="000960D9" w:rsidP="00A85956">
            <w:pPr>
              <w:pStyle w:val="TableBody"/>
            </w:pPr>
            <w:r w:rsidRPr="00A85956">
              <w:t>440</w:t>
            </w:r>
          </w:p>
        </w:tc>
        <w:tc>
          <w:tcPr>
            <w:tcW w:w="691" w:type="pct"/>
            <w:noWrap/>
            <w:hideMark/>
          </w:tcPr>
          <w:p w14:paraId="67CBA9A8" w14:textId="77777777" w:rsidR="000960D9" w:rsidRPr="00A85956" w:rsidRDefault="000960D9" w:rsidP="00A85956">
            <w:pPr>
              <w:pStyle w:val="TableBody"/>
            </w:pPr>
            <w:r w:rsidRPr="00A85956">
              <w:t>410</w:t>
            </w:r>
          </w:p>
        </w:tc>
        <w:tc>
          <w:tcPr>
            <w:tcW w:w="691" w:type="pct"/>
            <w:noWrap/>
            <w:hideMark/>
          </w:tcPr>
          <w:p w14:paraId="0B388F77" w14:textId="77777777" w:rsidR="000960D9" w:rsidRPr="00A85956" w:rsidRDefault="000960D9" w:rsidP="00A85956">
            <w:pPr>
              <w:pStyle w:val="TableBody"/>
            </w:pPr>
            <w:r w:rsidRPr="00A85956">
              <w:t>625</w:t>
            </w:r>
          </w:p>
        </w:tc>
        <w:tc>
          <w:tcPr>
            <w:tcW w:w="820" w:type="pct"/>
            <w:noWrap/>
            <w:hideMark/>
          </w:tcPr>
          <w:p w14:paraId="13E47E42" w14:textId="77777777" w:rsidR="000960D9" w:rsidRPr="00A85956" w:rsidRDefault="000960D9" w:rsidP="00A85956">
            <w:pPr>
              <w:pStyle w:val="TableBody"/>
            </w:pPr>
            <w:r w:rsidRPr="00A85956">
              <w:t>47</w:t>
            </w:r>
          </w:p>
        </w:tc>
        <w:tc>
          <w:tcPr>
            <w:tcW w:w="729" w:type="pct"/>
            <w:noWrap/>
            <w:hideMark/>
          </w:tcPr>
          <w:p w14:paraId="3FCC5C07" w14:textId="77777777" w:rsidR="000960D9" w:rsidRPr="00A85956" w:rsidRDefault="000960D9" w:rsidP="00A85956">
            <w:pPr>
              <w:pStyle w:val="TableBody"/>
            </w:pPr>
            <w:r w:rsidRPr="00A85956">
              <w:t>23</w:t>
            </w:r>
          </w:p>
        </w:tc>
        <w:tc>
          <w:tcPr>
            <w:tcW w:w="687" w:type="pct"/>
            <w:noWrap/>
            <w:hideMark/>
          </w:tcPr>
          <w:p w14:paraId="1DF35F46" w14:textId="77777777" w:rsidR="000960D9" w:rsidRPr="00A85956" w:rsidRDefault="000960D9" w:rsidP="00A85956">
            <w:pPr>
              <w:pStyle w:val="TableBody"/>
            </w:pPr>
            <w:r w:rsidRPr="00A85956">
              <w:t>273</w:t>
            </w:r>
          </w:p>
        </w:tc>
      </w:tr>
      <w:tr w:rsidR="00672099" w:rsidRPr="000960D9" w14:paraId="043B204D" w14:textId="77777777" w:rsidTr="00672099">
        <w:trPr>
          <w:trHeight w:val="288"/>
        </w:trPr>
        <w:tc>
          <w:tcPr>
            <w:tcW w:w="691" w:type="pct"/>
            <w:noWrap/>
            <w:hideMark/>
          </w:tcPr>
          <w:p w14:paraId="761FBB03" w14:textId="77777777" w:rsidR="000960D9" w:rsidRPr="00A85956" w:rsidRDefault="000960D9" w:rsidP="00A85956">
            <w:pPr>
              <w:pStyle w:val="TableBody"/>
            </w:pPr>
            <w:r w:rsidRPr="00A85956">
              <w:t>2010</w:t>
            </w:r>
          </w:p>
        </w:tc>
        <w:tc>
          <w:tcPr>
            <w:tcW w:w="692" w:type="pct"/>
            <w:noWrap/>
            <w:hideMark/>
          </w:tcPr>
          <w:p w14:paraId="3A564A64" w14:textId="77777777" w:rsidR="000960D9" w:rsidRPr="00A85956" w:rsidRDefault="000960D9" w:rsidP="00A85956">
            <w:pPr>
              <w:pStyle w:val="TableBody"/>
            </w:pPr>
            <w:r w:rsidRPr="00A85956">
              <w:t>442</w:t>
            </w:r>
          </w:p>
        </w:tc>
        <w:tc>
          <w:tcPr>
            <w:tcW w:w="691" w:type="pct"/>
            <w:noWrap/>
            <w:hideMark/>
          </w:tcPr>
          <w:p w14:paraId="1B70B22D" w14:textId="77777777" w:rsidR="000960D9" w:rsidRPr="00A85956" w:rsidRDefault="000960D9" w:rsidP="00A85956">
            <w:pPr>
              <w:pStyle w:val="TableBody"/>
            </w:pPr>
            <w:r w:rsidRPr="00A85956">
              <w:t>434</w:t>
            </w:r>
          </w:p>
        </w:tc>
        <w:tc>
          <w:tcPr>
            <w:tcW w:w="691" w:type="pct"/>
            <w:noWrap/>
            <w:hideMark/>
          </w:tcPr>
          <w:p w14:paraId="4D7025A3" w14:textId="77777777" w:rsidR="000960D9" w:rsidRPr="00A85956" w:rsidRDefault="000960D9" w:rsidP="00A85956">
            <w:pPr>
              <w:pStyle w:val="TableBody"/>
            </w:pPr>
            <w:r w:rsidRPr="00A85956">
              <w:t>644</w:t>
            </w:r>
          </w:p>
        </w:tc>
        <w:tc>
          <w:tcPr>
            <w:tcW w:w="820" w:type="pct"/>
            <w:noWrap/>
            <w:hideMark/>
          </w:tcPr>
          <w:p w14:paraId="6260CE61" w14:textId="77777777" w:rsidR="000960D9" w:rsidRPr="00A85956" w:rsidRDefault="000960D9" w:rsidP="00A85956">
            <w:pPr>
              <w:pStyle w:val="TableBody"/>
            </w:pPr>
            <w:r w:rsidRPr="00A85956">
              <w:t>49</w:t>
            </w:r>
          </w:p>
        </w:tc>
        <w:tc>
          <w:tcPr>
            <w:tcW w:w="729" w:type="pct"/>
            <w:noWrap/>
            <w:hideMark/>
          </w:tcPr>
          <w:p w14:paraId="36DA5C38" w14:textId="77777777" w:rsidR="000960D9" w:rsidRPr="00A85956" w:rsidRDefault="000960D9" w:rsidP="00A85956">
            <w:pPr>
              <w:pStyle w:val="TableBody"/>
            </w:pPr>
            <w:r w:rsidRPr="00A85956">
              <w:t>29</w:t>
            </w:r>
          </w:p>
        </w:tc>
        <w:tc>
          <w:tcPr>
            <w:tcW w:w="687" w:type="pct"/>
            <w:noWrap/>
            <w:hideMark/>
          </w:tcPr>
          <w:p w14:paraId="7210A948" w14:textId="77777777" w:rsidR="000960D9" w:rsidRPr="00A85956" w:rsidRDefault="000960D9" w:rsidP="00A85956">
            <w:pPr>
              <w:pStyle w:val="TableBody"/>
            </w:pPr>
            <w:r w:rsidRPr="00A85956">
              <w:t>289</w:t>
            </w:r>
          </w:p>
        </w:tc>
      </w:tr>
      <w:tr w:rsidR="00672099" w:rsidRPr="000960D9" w14:paraId="16770979" w14:textId="77777777" w:rsidTr="00672099">
        <w:trPr>
          <w:trHeight w:val="288"/>
        </w:trPr>
        <w:tc>
          <w:tcPr>
            <w:tcW w:w="691" w:type="pct"/>
            <w:noWrap/>
            <w:hideMark/>
          </w:tcPr>
          <w:p w14:paraId="6B52E83C" w14:textId="77777777" w:rsidR="000960D9" w:rsidRPr="00A85956" w:rsidRDefault="000960D9" w:rsidP="00A85956">
            <w:pPr>
              <w:pStyle w:val="TableBody"/>
            </w:pPr>
            <w:r w:rsidRPr="00A85956">
              <w:t>2011</w:t>
            </w:r>
          </w:p>
        </w:tc>
        <w:tc>
          <w:tcPr>
            <w:tcW w:w="692" w:type="pct"/>
            <w:noWrap/>
            <w:hideMark/>
          </w:tcPr>
          <w:p w14:paraId="66A443D3" w14:textId="77777777" w:rsidR="000960D9" w:rsidRPr="00A85956" w:rsidRDefault="000960D9" w:rsidP="00A85956">
            <w:pPr>
              <w:pStyle w:val="TableBody"/>
            </w:pPr>
            <w:r w:rsidRPr="00A85956">
              <w:t>464</w:t>
            </w:r>
          </w:p>
        </w:tc>
        <w:tc>
          <w:tcPr>
            <w:tcW w:w="691" w:type="pct"/>
            <w:noWrap/>
            <w:hideMark/>
          </w:tcPr>
          <w:p w14:paraId="46CAE392" w14:textId="77777777" w:rsidR="000960D9" w:rsidRPr="00A85956" w:rsidRDefault="000960D9" w:rsidP="00A85956">
            <w:pPr>
              <w:pStyle w:val="TableBody"/>
            </w:pPr>
            <w:r w:rsidRPr="00A85956">
              <w:t>464</w:t>
            </w:r>
          </w:p>
        </w:tc>
        <w:tc>
          <w:tcPr>
            <w:tcW w:w="691" w:type="pct"/>
            <w:noWrap/>
            <w:hideMark/>
          </w:tcPr>
          <w:p w14:paraId="708943C9" w14:textId="77777777" w:rsidR="000960D9" w:rsidRPr="00A85956" w:rsidRDefault="000960D9" w:rsidP="00A85956">
            <w:pPr>
              <w:pStyle w:val="TableBody"/>
            </w:pPr>
            <w:r w:rsidRPr="00A85956">
              <w:t>662</w:t>
            </w:r>
          </w:p>
        </w:tc>
        <w:tc>
          <w:tcPr>
            <w:tcW w:w="820" w:type="pct"/>
            <w:noWrap/>
            <w:hideMark/>
          </w:tcPr>
          <w:p w14:paraId="5CFA5780" w14:textId="77777777" w:rsidR="000960D9" w:rsidRPr="00A85956" w:rsidRDefault="000960D9" w:rsidP="00A85956">
            <w:pPr>
              <w:pStyle w:val="TableBody"/>
            </w:pPr>
            <w:r w:rsidRPr="00A85956">
              <w:t>51</w:t>
            </w:r>
          </w:p>
        </w:tc>
        <w:tc>
          <w:tcPr>
            <w:tcW w:w="729" w:type="pct"/>
            <w:noWrap/>
            <w:hideMark/>
          </w:tcPr>
          <w:p w14:paraId="0AFBAF7B" w14:textId="77777777" w:rsidR="000960D9" w:rsidRPr="00A85956" w:rsidRDefault="000960D9" w:rsidP="00A85956">
            <w:pPr>
              <w:pStyle w:val="TableBody"/>
            </w:pPr>
            <w:r w:rsidRPr="00A85956">
              <w:t>27</w:t>
            </w:r>
          </w:p>
        </w:tc>
        <w:tc>
          <w:tcPr>
            <w:tcW w:w="687" w:type="pct"/>
            <w:noWrap/>
            <w:hideMark/>
          </w:tcPr>
          <w:p w14:paraId="7487BD53" w14:textId="77777777" w:rsidR="000960D9" w:rsidRPr="00A85956" w:rsidRDefault="000960D9" w:rsidP="00A85956">
            <w:pPr>
              <w:pStyle w:val="TableBody"/>
            </w:pPr>
            <w:r w:rsidRPr="00A85956">
              <w:t>289</w:t>
            </w:r>
          </w:p>
        </w:tc>
      </w:tr>
      <w:tr w:rsidR="00672099" w:rsidRPr="000960D9" w14:paraId="10E76441" w14:textId="77777777" w:rsidTr="00672099">
        <w:trPr>
          <w:trHeight w:val="288"/>
        </w:trPr>
        <w:tc>
          <w:tcPr>
            <w:tcW w:w="691" w:type="pct"/>
            <w:noWrap/>
            <w:hideMark/>
          </w:tcPr>
          <w:p w14:paraId="6FB32538" w14:textId="77777777" w:rsidR="000960D9" w:rsidRPr="00A85956" w:rsidRDefault="000960D9" w:rsidP="00A85956">
            <w:pPr>
              <w:pStyle w:val="TableBody"/>
            </w:pPr>
            <w:r w:rsidRPr="00A85956">
              <w:t>2012</w:t>
            </w:r>
          </w:p>
        </w:tc>
        <w:tc>
          <w:tcPr>
            <w:tcW w:w="692" w:type="pct"/>
            <w:noWrap/>
            <w:hideMark/>
          </w:tcPr>
          <w:p w14:paraId="46A7D360" w14:textId="77777777" w:rsidR="000960D9" w:rsidRPr="00A85956" w:rsidRDefault="000960D9" w:rsidP="00A85956">
            <w:pPr>
              <w:pStyle w:val="TableBody"/>
            </w:pPr>
            <w:r w:rsidRPr="00A85956">
              <w:t>468</w:t>
            </w:r>
          </w:p>
        </w:tc>
        <w:tc>
          <w:tcPr>
            <w:tcW w:w="691" w:type="pct"/>
            <w:noWrap/>
            <w:hideMark/>
          </w:tcPr>
          <w:p w14:paraId="2F64D16F" w14:textId="77777777" w:rsidR="000960D9" w:rsidRPr="00A85956" w:rsidRDefault="000960D9" w:rsidP="00A85956">
            <w:pPr>
              <w:pStyle w:val="TableBody"/>
            </w:pPr>
            <w:r w:rsidRPr="00A85956">
              <w:t>474</w:t>
            </w:r>
          </w:p>
        </w:tc>
        <w:tc>
          <w:tcPr>
            <w:tcW w:w="691" w:type="pct"/>
            <w:noWrap/>
            <w:hideMark/>
          </w:tcPr>
          <w:p w14:paraId="49C354B5" w14:textId="77777777" w:rsidR="000960D9" w:rsidRPr="00A85956" w:rsidRDefault="000960D9" w:rsidP="00A85956">
            <w:pPr>
              <w:pStyle w:val="TableBody"/>
            </w:pPr>
            <w:r w:rsidRPr="00A85956">
              <w:t>656</w:t>
            </w:r>
          </w:p>
        </w:tc>
        <w:tc>
          <w:tcPr>
            <w:tcW w:w="820" w:type="pct"/>
            <w:noWrap/>
            <w:hideMark/>
          </w:tcPr>
          <w:p w14:paraId="6595853C" w14:textId="77777777" w:rsidR="000960D9" w:rsidRPr="00A85956" w:rsidRDefault="000960D9" w:rsidP="00A85956">
            <w:pPr>
              <w:pStyle w:val="TableBody"/>
            </w:pPr>
            <w:r w:rsidRPr="00A85956">
              <w:t>23</w:t>
            </w:r>
          </w:p>
        </w:tc>
        <w:tc>
          <w:tcPr>
            <w:tcW w:w="729" w:type="pct"/>
            <w:noWrap/>
            <w:hideMark/>
          </w:tcPr>
          <w:p w14:paraId="342534B3" w14:textId="77777777" w:rsidR="000960D9" w:rsidRPr="00A85956" w:rsidRDefault="000960D9" w:rsidP="00A85956">
            <w:pPr>
              <w:pStyle w:val="TableBody"/>
            </w:pPr>
            <w:r w:rsidRPr="00A85956">
              <w:t>15</w:t>
            </w:r>
          </w:p>
        </w:tc>
        <w:tc>
          <w:tcPr>
            <w:tcW w:w="687" w:type="pct"/>
            <w:noWrap/>
            <w:hideMark/>
          </w:tcPr>
          <w:p w14:paraId="12639211" w14:textId="77777777" w:rsidR="000960D9" w:rsidRPr="00A85956" w:rsidRDefault="000960D9" w:rsidP="00A85956">
            <w:pPr>
              <w:pStyle w:val="TableBody"/>
            </w:pPr>
            <w:r w:rsidRPr="00A85956">
              <w:t>307</w:t>
            </w:r>
          </w:p>
        </w:tc>
      </w:tr>
      <w:tr w:rsidR="00672099" w:rsidRPr="000960D9" w14:paraId="5C73D040" w14:textId="77777777" w:rsidTr="00672099">
        <w:trPr>
          <w:trHeight w:val="288"/>
        </w:trPr>
        <w:tc>
          <w:tcPr>
            <w:tcW w:w="691" w:type="pct"/>
            <w:noWrap/>
            <w:hideMark/>
          </w:tcPr>
          <w:p w14:paraId="17FDCF6F" w14:textId="77777777" w:rsidR="000960D9" w:rsidRPr="00A85956" w:rsidRDefault="000960D9" w:rsidP="00A85956">
            <w:pPr>
              <w:pStyle w:val="TableBody"/>
            </w:pPr>
            <w:r w:rsidRPr="00A85956">
              <w:t>2013</w:t>
            </w:r>
          </w:p>
        </w:tc>
        <w:tc>
          <w:tcPr>
            <w:tcW w:w="692" w:type="pct"/>
            <w:noWrap/>
            <w:hideMark/>
          </w:tcPr>
          <w:p w14:paraId="7F0B832D" w14:textId="77777777" w:rsidR="000960D9" w:rsidRPr="00A85956" w:rsidRDefault="000960D9" w:rsidP="00A85956">
            <w:pPr>
              <w:pStyle w:val="TableBody"/>
            </w:pPr>
            <w:r w:rsidRPr="00A85956">
              <w:t>477</w:t>
            </w:r>
          </w:p>
        </w:tc>
        <w:tc>
          <w:tcPr>
            <w:tcW w:w="691" w:type="pct"/>
            <w:noWrap/>
            <w:hideMark/>
          </w:tcPr>
          <w:p w14:paraId="77B45BD7" w14:textId="77777777" w:rsidR="000960D9" w:rsidRPr="00A85956" w:rsidRDefault="000960D9" w:rsidP="00A85956">
            <w:pPr>
              <w:pStyle w:val="TableBody"/>
            </w:pPr>
            <w:r w:rsidRPr="00A85956">
              <w:t>511</w:t>
            </w:r>
          </w:p>
        </w:tc>
        <w:tc>
          <w:tcPr>
            <w:tcW w:w="691" w:type="pct"/>
            <w:noWrap/>
            <w:hideMark/>
          </w:tcPr>
          <w:p w14:paraId="5D34491B" w14:textId="77777777" w:rsidR="000960D9" w:rsidRPr="00A85956" w:rsidRDefault="000960D9" w:rsidP="00A85956">
            <w:pPr>
              <w:pStyle w:val="TableBody"/>
            </w:pPr>
            <w:r w:rsidRPr="00A85956">
              <w:t>653</w:t>
            </w:r>
          </w:p>
        </w:tc>
        <w:tc>
          <w:tcPr>
            <w:tcW w:w="820" w:type="pct"/>
            <w:noWrap/>
            <w:hideMark/>
          </w:tcPr>
          <w:p w14:paraId="39E57058" w14:textId="77777777" w:rsidR="000960D9" w:rsidRPr="00A85956" w:rsidRDefault="000960D9" w:rsidP="00A85956">
            <w:pPr>
              <w:pStyle w:val="TableBody"/>
            </w:pPr>
            <w:r w:rsidRPr="00A85956">
              <w:t>59</w:t>
            </w:r>
          </w:p>
        </w:tc>
        <w:tc>
          <w:tcPr>
            <w:tcW w:w="729" w:type="pct"/>
            <w:noWrap/>
            <w:hideMark/>
          </w:tcPr>
          <w:p w14:paraId="3213AA26" w14:textId="77777777" w:rsidR="000960D9" w:rsidRPr="00A85956" w:rsidRDefault="000960D9" w:rsidP="00A85956">
            <w:pPr>
              <w:pStyle w:val="TableBody"/>
            </w:pPr>
            <w:r w:rsidRPr="00A85956">
              <w:t>46</w:t>
            </w:r>
          </w:p>
        </w:tc>
        <w:tc>
          <w:tcPr>
            <w:tcW w:w="687" w:type="pct"/>
            <w:noWrap/>
            <w:hideMark/>
          </w:tcPr>
          <w:p w14:paraId="377346E7" w14:textId="77777777" w:rsidR="000960D9" w:rsidRPr="00A85956" w:rsidRDefault="000960D9" w:rsidP="00A85956">
            <w:pPr>
              <w:pStyle w:val="TableBody"/>
            </w:pPr>
            <w:r w:rsidRPr="00A85956">
              <w:t>354</w:t>
            </w:r>
          </w:p>
        </w:tc>
      </w:tr>
      <w:tr w:rsidR="00672099" w:rsidRPr="000960D9" w14:paraId="6B165374" w14:textId="77777777" w:rsidTr="00672099">
        <w:trPr>
          <w:trHeight w:val="288"/>
        </w:trPr>
        <w:tc>
          <w:tcPr>
            <w:tcW w:w="691" w:type="pct"/>
            <w:noWrap/>
            <w:hideMark/>
          </w:tcPr>
          <w:p w14:paraId="62091A43" w14:textId="77777777" w:rsidR="000960D9" w:rsidRPr="00A85956" w:rsidRDefault="000960D9" w:rsidP="00A85956">
            <w:pPr>
              <w:pStyle w:val="TableBody"/>
            </w:pPr>
            <w:r w:rsidRPr="00A85956">
              <w:t>2014</w:t>
            </w:r>
          </w:p>
        </w:tc>
        <w:tc>
          <w:tcPr>
            <w:tcW w:w="692" w:type="pct"/>
            <w:noWrap/>
            <w:hideMark/>
          </w:tcPr>
          <w:p w14:paraId="12417594" w14:textId="77777777" w:rsidR="000960D9" w:rsidRPr="00A85956" w:rsidRDefault="000960D9" w:rsidP="00A85956">
            <w:pPr>
              <w:pStyle w:val="TableBody"/>
            </w:pPr>
            <w:r w:rsidRPr="00A85956">
              <w:t>466</w:t>
            </w:r>
          </w:p>
        </w:tc>
        <w:tc>
          <w:tcPr>
            <w:tcW w:w="691" w:type="pct"/>
            <w:noWrap/>
            <w:hideMark/>
          </w:tcPr>
          <w:p w14:paraId="74485E31" w14:textId="77777777" w:rsidR="000960D9" w:rsidRPr="00A85956" w:rsidRDefault="000960D9" w:rsidP="00A85956">
            <w:pPr>
              <w:pStyle w:val="TableBody"/>
            </w:pPr>
            <w:r w:rsidRPr="00A85956">
              <w:t>626</w:t>
            </w:r>
          </w:p>
        </w:tc>
        <w:tc>
          <w:tcPr>
            <w:tcW w:w="691" w:type="pct"/>
            <w:noWrap/>
            <w:hideMark/>
          </w:tcPr>
          <w:p w14:paraId="17527D2F" w14:textId="77777777" w:rsidR="000960D9" w:rsidRPr="00A85956" w:rsidRDefault="000960D9" w:rsidP="00A85956">
            <w:pPr>
              <w:pStyle w:val="TableBody"/>
            </w:pPr>
            <w:r w:rsidRPr="00A85956">
              <w:t>700</w:t>
            </w:r>
          </w:p>
        </w:tc>
        <w:tc>
          <w:tcPr>
            <w:tcW w:w="820" w:type="pct"/>
            <w:noWrap/>
            <w:hideMark/>
          </w:tcPr>
          <w:p w14:paraId="52991F75" w14:textId="77777777" w:rsidR="000960D9" w:rsidRPr="00A85956" w:rsidRDefault="000960D9" w:rsidP="00A85956">
            <w:pPr>
              <w:pStyle w:val="TableBody"/>
            </w:pPr>
            <w:r w:rsidRPr="00A85956">
              <w:t>92</w:t>
            </w:r>
          </w:p>
        </w:tc>
        <w:tc>
          <w:tcPr>
            <w:tcW w:w="729" w:type="pct"/>
            <w:noWrap/>
            <w:hideMark/>
          </w:tcPr>
          <w:p w14:paraId="5758ABDC" w14:textId="77777777" w:rsidR="000960D9" w:rsidRPr="00A85956" w:rsidRDefault="000960D9" w:rsidP="00A85956">
            <w:pPr>
              <w:pStyle w:val="TableBody"/>
            </w:pPr>
            <w:r w:rsidRPr="00A85956">
              <w:t>41</w:t>
            </w:r>
          </w:p>
        </w:tc>
        <w:tc>
          <w:tcPr>
            <w:tcW w:w="687" w:type="pct"/>
            <w:noWrap/>
            <w:hideMark/>
          </w:tcPr>
          <w:p w14:paraId="7FC60763" w14:textId="77777777" w:rsidR="000960D9" w:rsidRPr="00A85956" w:rsidRDefault="000960D9" w:rsidP="00A85956">
            <w:pPr>
              <w:pStyle w:val="TableBody"/>
            </w:pPr>
            <w:r w:rsidRPr="00A85956">
              <w:t>434</w:t>
            </w:r>
          </w:p>
        </w:tc>
      </w:tr>
      <w:tr w:rsidR="00672099" w:rsidRPr="000960D9" w14:paraId="476DCABB" w14:textId="77777777" w:rsidTr="00672099">
        <w:trPr>
          <w:trHeight w:val="288"/>
        </w:trPr>
        <w:tc>
          <w:tcPr>
            <w:tcW w:w="691" w:type="pct"/>
            <w:noWrap/>
            <w:hideMark/>
          </w:tcPr>
          <w:p w14:paraId="528C77F5" w14:textId="77777777" w:rsidR="000960D9" w:rsidRPr="00A85956" w:rsidRDefault="000960D9" w:rsidP="00A85956">
            <w:pPr>
              <w:pStyle w:val="TableBody"/>
            </w:pPr>
            <w:r w:rsidRPr="00A85956">
              <w:t>2015</w:t>
            </w:r>
          </w:p>
        </w:tc>
        <w:tc>
          <w:tcPr>
            <w:tcW w:w="692" w:type="pct"/>
            <w:noWrap/>
            <w:hideMark/>
          </w:tcPr>
          <w:p w14:paraId="71E2E4B7" w14:textId="77777777" w:rsidR="000960D9" w:rsidRPr="00A85956" w:rsidRDefault="000960D9" w:rsidP="00A85956">
            <w:pPr>
              <w:pStyle w:val="TableBody"/>
            </w:pPr>
            <w:r w:rsidRPr="00A85956">
              <w:t>442</w:t>
            </w:r>
          </w:p>
        </w:tc>
        <w:tc>
          <w:tcPr>
            <w:tcW w:w="691" w:type="pct"/>
            <w:noWrap/>
            <w:hideMark/>
          </w:tcPr>
          <w:p w14:paraId="286D4435" w14:textId="77777777" w:rsidR="000960D9" w:rsidRPr="00A85956" w:rsidRDefault="000960D9" w:rsidP="00A85956">
            <w:pPr>
              <w:pStyle w:val="TableBody"/>
            </w:pPr>
            <w:r w:rsidRPr="00A85956">
              <w:t>672</w:t>
            </w:r>
          </w:p>
        </w:tc>
        <w:tc>
          <w:tcPr>
            <w:tcW w:w="691" w:type="pct"/>
            <w:noWrap/>
            <w:hideMark/>
          </w:tcPr>
          <w:p w14:paraId="02DE6552" w14:textId="77777777" w:rsidR="000960D9" w:rsidRPr="00A85956" w:rsidRDefault="000960D9" w:rsidP="00A85956">
            <w:pPr>
              <w:pStyle w:val="TableBody"/>
            </w:pPr>
            <w:r w:rsidRPr="00A85956">
              <w:t>716</w:t>
            </w:r>
          </w:p>
        </w:tc>
        <w:tc>
          <w:tcPr>
            <w:tcW w:w="820" w:type="pct"/>
            <w:noWrap/>
            <w:hideMark/>
          </w:tcPr>
          <w:p w14:paraId="28E1B9E1" w14:textId="77777777" w:rsidR="000960D9" w:rsidRPr="00A85956" w:rsidRDefault="000960D9" w:rsidP="00A85956">
            <w:pPr>
              <w:pStyle w:val="TableBody"/>
            </w:pPr>
            <w:r w:rsidRPr="00A85956">
              <w:t>96</w:t>
            </w:r>
          </w:p>
        </w:tc>
        <w:tc>
          <w:tcPr>
            <w:tcW w:w="729" w:type="pct"/>
            <w:noWrap/>
            <w:hideMark/>
          </w:tcPr>
          <w:p w14:paraId="76A4C454" w14:textId="77777777" w:rsidR="000960D9" w:rsidRPr="00A85956" w:rsidRDefault="000960D9" w:rsidP="00A85956">
            <w:pPr>
              <w:pStyle w:val="TableBody"/>
            </w:pPr>
            <w:r w:rsidRPr="00A85956">
              <w:t>45</w:t>
            </w:r>
          </w:p>
        </w:tc>
        <w:tc>
          <w:tcPr>
            <w:tcW w:w="687" w:type="pct"/>
            <w:noWrap/>
            <w:hideMark/>
          </w:tcPr>
          <w:p w14:paraId="2A0CC852" w14:textId="77777777" w:rsidR="000960D9" w:rsidRPr="00A85956" w:rsidRDefault="000960D9" w:rsidP="00A85956">
            <w:pPr>
              <w:pStyle w:val="TableBody"/>
            </w:pPr>
            <w:r w:rsidRPr="00A85956">
              <w:t>434</w:t>
            </w:r>
          </w:p>
        </w:tc>
      </w:tr>
      <w:tr w:rsidR="00672099" w:rsidRPr="000960D9" w14:paraId="2385FE1C" w14:textId="77777777" w:rsidTr="00672099">
        <w:trPr>
          <w:trHeight w:val="288"/>
        </w:trPr>
        <w:tc>
          <w:tcPr>
            <w:tcW w:w="691" w:type="pct"/>
            <w:noWrap/>
            <w:hideMark/>
          </w:tcPr>
          <w:p w14:paraId="5A0732B6" w14:textId="77777777" w:rsidR="000960D9" w:rsidRPr="00A85956" w:rsidRDefault="000960D9" w:rsidP="00A85956">
            <w:pPr>
              <w:pStyle w:val="TableBody"/>
            </w:pPr>
            <w:r w:rsidRPr="00A85956">
              <w:t>2016</w:t>
            </w:r>
          </w:p>
        </w:tc>
        <w:tc>
          <w:tcPr>
            <w:tcW w:w="692" w:type="pct"/>
            <w:noWrap/>
            <w:hideMark/>
          </w:tcPr>
          <w:p w14:paraId="61315498" w14:textId="77777777" w:rsidR="000960D9" w:rsidRPr="00A85956" w:rsidRDefault="000960D9" w:rsidP="00A85956">
            <w:pPr>
              <w:pStyle w:val="TableBody"/>
            </w:pPr>
            <w:r w:rsidRPr="00A85956">
              <w:t>453</w:t>
            </w:r>
          </w:p>
        </w:tc>
        <w:tc>
          <w:tcPr>
            <w:tcW w:w="691" w:type="pct"/>
            <w:noWrap/>
            <w:hideMark/>
          </w:tcPr>
          <w:p w14:paraId="3C873B50" w14:textId="77777777" w:rsidR="000960D9" w:rsidRPr="00A85956" w:rsidRDefault="000960D9" w:rsidP="00A85956">
            <w:pPr>
              <w:pStyle w:val="TableBody"/>
            </w:pPr>
            <w:r w:rsidRPr="00A85956">
              <w:t>637</w:t>
            </w:r>
          </w:p>
        </w:tc>
        <w:tc>
          <w:tcPr>
            <w:tcW w:w="691" w:type="pct"/>
            <w:noWrap/>
            <w:hideMark/>
          </w:tcPr>
          <w:p w14:paraId="2AFB3BB6" w14:textId="77777777" w:rsidR="000960D9" w:rsidRPr="00A85956" w:rsidRDefault="000960D9" w:rsidP="00A85956">
            <w:pPr>
              <w:pStyle w:val="TableBody"/>
            </w:pPr>
            <w:r w:rsidRPr="00A85956">
              <w:t>749</w:t>
            </w:r>
          </w:p>
        </w:tc>
        <w:tc>
          <w:tcPr>
            <w:tcW w:w="820" w:type="pct"/>
            <w:noWrap/>
            <w:hideMark/>
          </w:tcPr>
          <w:p w14:paraId="032E922F" w14:textId="77777777" w:rsidR="000960D9" w:rsidRPr="00A85956" w:rsidRDefault="000960D9" w:rsidP="00A85956">
            <w:pPr>
              <w:pStyle w:val="TableBody"/>
            </w:pPr>
            <w:r w:rsidRPr="00A85956">
              <w:t>109</w:t>
            </w:r>
          </w:p>
        </w:tc>
        <w:tc>
          <w:tcPr>
            <w:tcW w:w="729" w:type="pct"/>
            <w:noWrap/>
            <w:hideMark/>
          </w:tcPr>
          <w:p w14:paraId="2CAAB91E" w14:textId="77777777" w:rsidR="000960D9" w:rsidRPr="00A85956" w:rsidRDefault="000960D9" w:rsidP="00A85956">
            <w:pPr>
              <w:pStyle w:val="TableBody"/>
            </w:pPr>
            <w:r w:rsidRPr="00A85956">
              <w:t>49</w:t>
            </w:r>
          </w:p>
        </w:tc>
        <w:tc>
          <w:tcPr>
            <w:tcW w:w="687" w:type="pct"/>
            <w:noWrap/>
            <w:hideMark/>
          </w:tcPr>
          <w:p w14:paraId="2C8C758A" w14:textId="77777777" w:rsidR="000960D9" w:rsidRPr="00A85956" w:rsidRDefault="000960D9" w:rsidP="00A85956">
            <w:pPr>
              <w:pStyle w:val="TableBody"/>
            </w:pPr>
            <w:r w:rsidRPr="00A85956">
              <w:t>389</w:t>
            </w:r>
          </w:p>
        </w:tc>
      </w:tr>
      <w:tr w:rsidR="00672099" w:rsidRPr="000960D9" w14:paraId="5C79B87B" w14:textId="77777777" w:rsidTr="00672099">
        <w:trPr>
          <w:trHeight w:val="288"/>
        </w:trPr>
        <w:tc>
          <w:tcPr>
            <w:tcW w:w="691" w:type="pct"/>
            <w:noWrap/>
            <w:hideMark/>
          </w:tcPr>
          <w:p w14:paraId="66723CE1" w14:textId="77777777" w:rsidR="000960D9" w:rsidRPr="00A85956" w:rsidRDefault="000960D9" w:rsidP="00A85956">
            <w:pPr>
              <w:pStyle w:val="TableBody"/>
            </w:pPr>
            <w:r w:rsidRPr="00A85956">
              <w:t>2017</w:t>
            </w:r>
          </w:p>
        </w:tc>
        <w:tc>
          <w:tcPr>
            <w:tcW w:w="692" w:type="pct"/>
            <w:noWrap/>
            <w:hideMark/>
          </w:tcPr>
          <w:p w14:paraId="4796733B" w14:textId="77777777" w:rsidR="000960D9" w:rsidRPr="00A85956" w:rsidRDefault="000960D9" w:rsidP="00A85956">
            <w:pPr>
              <w:pStyle w:val="TableBody"/>
            </w:pPr>
            <w:r w:rsidRPr="00A85956">
              <w:t>490</w:t>
            </w:r>
          </w:p>
        </w:tc>
        <w:tc>
          <w:tcPr>
            <w:tcW w:w="691" w:type="pct"/>
            <w:noWrap/>
            <w:hideMark/>
          </w:tcPr>
          <w:p w14:paraId="71CF830F" w14:textId="77777777" w:rsidR="000960D9" w:rsidRPr="00A85956" w:rsidRDefault="000960D9" w:rsidP="00A85956">
            <w:pPr>
              <w:pStyle w:val="TableBody"/>
            </w:pPr>
            <w:r w:rsidRPr="00A85956">
              <w:t>731</w:t>
            </w:r>
          </w:p>
        </w:tc>
        <w:tc>
          <w:tcPr>
            <w:tcW w:w="691" w:type="pct"/>
            <w:noWrap/>
            <w:hideMark/>
          </w:tcPr>
          <w:p w14:paraId="40E3D47B" w14:textId="77777777" w:rsidR="000960D9" w:rsidRPr="00A85956" w:rsidRDefault="000960D9" w:rsidP="00A85956">
            <w:pPr>
              <w:pStyle w:val="TableBody"/>
            </w:pPr>
            <w:r w:rsidRPr="00A85956">
              <w:t>807</w:t>
            </w:r>
          </w:p>
        </w:tc>
        <w:tc>
          <w:tcPr>
            <w:tcW w:w="820" w:type="pct"/>
            <w:noWrap/>
            <w:hideMark/>
          </w:tcPr>
          <w:p w14:paraId="7F5B3A3D" w14:textId="77777777" w:rsidR="000960D9" w:rsidRPr="00A85956" w:rsidRDefault="000960D9" w:rsidP="00A85956">
            <w:pPr>
              <w:pStyle w:val="TableBody"/>
            </w:pPr>
            <w:r w:rsidRPr="00A85956">
              <w:t>143</w:t>
            </w:r>
          </w:p>
        </w:tc>
        <w:tc>
          <w:tcPr>
            <w:tcW w:w="729" w:type="pct"/>
            <w:noWrap/>
            <w:hideMark/>
          </w:tcPr>
          <w:p w14:paraId="69D621E8" w14:textId="77777777" w:rsidR="000960D9" w:rsidRPr="00A85956" w:rsidRDefault="000960D9" w:rsidP="00A85956">
            <w:pPr>
              <w:pStyle w:val="TableBody"/>
            </w:pPr>
            <w:r w:rsidRPr="00A85956">
              <w:t>66</w:t>
            </w:r>
          </w:p>
        </w:tc>
        <w:tc>
          <w:tcPr>
            <w:tcW w:w="687" w:type="pct"/>
            <w:noWrap/>
            <w:hideMark/>
          </w:tcPr>
          <w:p w14:paraId="56DFA2E9" w14:textId="77777777" w:rsidR="000960D9" w:rsidRPr="00A85956" w:rsidRDefault="000960D9" w:rsidP="00A85956">
            <w:pPr>
              <w:pStyle w:val="TableBody"/>
            </w:pPr>
            <w:r w:rsidRPr="00A85956">
              <w:t>372</w:t>
            </w:r>
          </w:p>
        </w:tc>
      </w:tr>
      <w:tr w:rsidR="00672099" w:rsidRPr="000960D9" w14:paraId="57478C41" w14:textId="77777777" w:rsidTr="00672099">
        <w:trPr>
          <w:trHeight w:val="288"/>
        </w:trPr>
        <w:tc>
          <w:tcPr>
            <w:tcW w:w="691" w:type="pct"/>
            <w:noWrap/>
            <w:hideMark/>
          </w:tcPr>
          <w:p w14:paraId="44A73FD8" w14:textId="77777777" w:rsidR="000960D9" w:rsidRPr="00A85956" w:rsidRDefault="000960D9" w:rsidP="00A85956">
            <w:pPr>
              <w:pStyle w:val="TableBody"/>
            </w:pPr>
            <w:r w:rsidRPr="00A85956">
              <w:t>2018</w:t>
            </w:r>
          </w:p>
        </w:tc>
        <w:tc>
          <w:tcPr>
            <w:tcW w:w="692" w:type="pct"/>
            <w:noWrap/>
            <w:hideMark/>
          </w:tcPr>
          <w:p w14:paraId="5F49104B" w14:textId="77777777" w:rsidR="000960D9" w:rsidRPr="00A85956" w:rsidRDefault="000960D9" w:rsidP="00A85956">
            <w:pPr>
              <w:pStyle w:val="TableBody"/>
            </w:pPr>
            <w:r w:rsidRPr="00A85956">
              <w:t>493</w:t>
            </w:r>
          </w:p>
        </w:tc>
        <w:tc>
          <w:tcPr>
            <w:tcW w:w="691" w:type="pct"/>
            <w:noWrap/>
            <w:hideMark/>
          </w:tcPr>
          <w:p w14:paraId="1102EA63" w14:textId="77777777" w:rsidR="000960D9" w:rsidRPr="00A85956" w:rsidRDefault="000960D9" w:rsidP="00A85956">
            <w:pPr>
              <w:pStyle w:val="TableBody"/>
            </w:pPr>
            <w:r w:rsidRPr="00A85956">
              <w:t>723</w:t>
            </w:r>
          </w:p>
        </w:tc>
        <w:tc>
          <w:tcPr>
            <w:tcW w:w="691" w:type="pct"/>
            <w:noWrap/>
            <w:hideMark/>
          </w:tcPr>
          <w:p w14:paraId="37E682F9" w14:textId="77777777" w:rsidR="000960D9" w:rsidRPr="00A85956" w:rsidRDefault="000960D9" w:rsidP="00A85956">
            <w:pPr>
              <w:pStyle w:val="TableBody"/>
            </w:pPr>
            <w:r w:rsidRPr="00A85956">
              <w:t>831</w:t>
            </w:r>
          </w:p>
        </w:tc>
        <w:tc>
          <w:tcPr>
            <w:tcW w:w="820" w:type="pct"/>
            <w:noWrap/>
            <w:hideMark/>
          </w:tcPr>
          <w:p w14:paraId="213B6E57" w14:textId="77777777" w:rsidR="000960D9" w:rsidRPr="00A85956" w:rsidRDefault="000960D9" w:rsidP="00A85956">
            <w:pPr>
              <w:pStyle w:val="TableBody"/>
            </w:pPr>
            <w:r w:rsidRPr="00A85956">
              <w:t>165</w:t>
            </w:r>
          </w:p>
        </w:tc>
        <w:tc>
          <w:tcPr>
            <w:tcW w:w="729" w:type="pct"/>
            <w:noWrap/>
            <w:hideMark/>
          </w:tcPr>
          <w:p w14:paraId="0004B7F5" w14:textId="77777777" w:rsidR="000960D9" w:rsidRPr="00A85956" w:rsidRDefault="000960D9" w:rsidP="00A85956">
            <w:pPr>
              <w:pStyle w:val="TableBody"/>
            </w:pPr>
            <w:r w:rsidRPr="00A85956">
              <w:t>68</w:t>
            </w:r>
          </w:p>
        </w:tc>
        <w:tc>
          <w:tcPr>
            <w:tcW w:w="687" w:type="pct"/>
            <w:noWrap/>
            <w:hideMark/>
          </w:tcPr>
          <w:p w14:paraId="5011D5E5" w14:textId="77777777" w:rsidR="000960D9" w:rsidRPr="00A85956" w:rsidRDefault="000960D9" w:rsidP="00A85956">
            <w:pPr>
              <w:pStyle w:val="TableBody"/>
            </w:pPr>
            <w:r w:rsidRPr="00A85956">
              <w:t>387</w:t>
            </w:r>
          </w:p>
        </w:tc>
      </w:tr>
      <w:tr w:rsidR="00672099" w:rsidRPr="000960D9" w14:paraId="26CF4046" w14:textId="77777777" w:rsidTr="00672099">
        <w:trPr>
          <w:trHeight w:val="288"/>
        </w:trPr>
        <w:tc>
          <w:tcPr>
            <w:tcW w:w="691" w:type="pct"/>
            <w:noWrap/>
            <w:hideMark/>
          </w:tcPr>
          <w:p w14:paraId="6EDC8E0D" w14:textId="77777777" w:rsidR="000960D9" w:rsidRPr="00A85956" w:rsidRDefault="000960D9" w:rsidP="00A85956">
            <w:pPr>
              <w:pStyle w:val="TableBody"/>
            </w:pPr>
            <w:r w:rsidRPr="00A85956">
              <w:t>2019</w:t>
            </w:r>
          </w:p>
        </w:tc>
        <w:tc>
          <w:tcPr>
            <w:tcW w:w="692" w:type="pct"/>
            <w:noWrap/>
            <w:hideMark/>
          </w:tcPr>
          <w:p w14:paraId="1E426CE7" w14:textId="77777777" w:rsidR="000960D9" w:rsidRPr="00A85956" w:rsidRDefault="000960D9" w:rsidP="00A85956">
            <w:pPr>
              <w:pStyle w:val="TableBody"/>
            </w:pPr>
            <w:r w:rsidRPr="00A85956">
              <w:t>527</w:t>
            </w:r>
          </w:p>
        </w:tc>
        <w:tc>
          <w:tcPr>
            <w:tcW w:w="691" w:type="pct"/>
            <w:noWrap/>
            <w:hideMark/>
          </w:tcPr>
          <w:p w14:paraId="7558AE36" w14:textId="77777777" w:rsidR="000960D9" w:rsidRPr="00A85956" w:rsidRDefault="000960D9" w:rsidP="00A85956">
            <w:pPr>
              <w:pStyle w:val="TableBody"/>
            </w:pPr>
            <w:r w:rsidRPr="00A85956">
              <w:t>714</w:t>
            </w:r>
          </w:p>
        </w:tc>
        <w:tc>
          <w:tcPr>
            <w:tcW w:w="691" w:type="pct"/>
            <w:noWrap/>
            <w:hideMark/>
          </w:tcPr>
          <w:p w14:paraId="662034B7" w14:textId="77777777" w:rsidR="000960D9" w:rsidRPr="00A85956" w:rsidRDefault="000960D9" w:rsidP="00A85956">
            <w:pPr>
              <w:pStyle w:val="TableBody"/>
            </w:pPr>
            <w:r w:rsidRPr="00A85956">
              <w:t>907</w:t>
            </w:r>
          </w:p>
        </w:tc>
        <w:tc>
          <w:tcPr>
            <w:tcW w:w="820" w:type="pct"/>
            <w:noWrap/>
            <w:hideMark/>
          </w:tcPr>
          <w:p w14:paraId="7C934E48" w14:textId="77777777" w:rsidR="000960D9" w:rsidRPr="00A85956" w:rsidRDefault="000960D9" w:rsidP="00A85956">
            <w:pPr>
              <w:pStyle w:val="TableBody"/>
            </w:pPr>
            <w:r w:rsidRPr="00A85956">
              <w:t>144</w:t>
            </w:r>
          </w:p>
        </w:tc>
        <w:tc>
          <w:tcPr>
            <w:tcW w:w="729" w:type="pct"/>
            <w:noWrap/>
            <w:hideMark/>
          </w:tcPr>
          <w:p w14:paraId="3A2F1F63" w14:textId="77777777" w:rsidR="000960D9" w:rsidRPr="00A85956" w:rsidRDefault="000960D9" w:rsidP="00A85956">
            <w:pPr>
              <w:pStyle w:val="TableBody"/>
            </w:pPr>
            <w:r w:rsidRPr="00A85956">
              <w:t>69</w:t>
            </w:r>
          </w:p>
        </w:tc>
        <w:tc>
          <w:tcPr>
            <w:tcW w:w="687" w:type="pct"/>
            <w:noWrap/>
            <w:hideMark/>
          </w:tcPr>
          <w:p w14:paraId="3CD3DCED" w14:textId="77777777" w:rsidR="000960D9" w:rsidRPr="00A85956" w:rsidRDefault="000960D9" w:rsidP="00A85956">
            <w:pPr>
              <w:pStyle w:val="TableBody"/>
            </w:pPr>
            <w:r w:rsidRPr="00A85956">
              <w:t>406</w:t>
            </w:r>
          </w:p>
        </w:tc>
      </w:tr>
      <w:tr w:rsidR="00672099" w:rsidRPr="000960D9" w14:paraId="3A6AF871" w14:textId="77777777" w:rsidTr="00672099">
        <w:trPr>
          <w:trHeight w:val="288"/>
        </w:trPr>
        <w:tc>
          <w:tcPr>
            <w:tcW w:w="691" w:type="pct"/>
            <w:noWrap/>
            <w:hideMark/>
          </w:tcPr>
          <w:p w14:paraId="77E17E8A" w14:textId="77777777" w:rsidR="000960D9" w:rsidRPr="00A85956" w:rsidRDefault="000960D9" w:rsidP="00A85956">
            <w:pPr>
              <w:pStyle w:val="TableBody"/>
            </w:pPr>
            <w:r w:rsidRPr="00A85956">
              <w:t>2020</w:t>
            </w:r>
          </w:p>
        </w:tc>
        <w:tc>
          <w:tcPr>
            <w:tcW w:w="692" w:type="pct"/>
            <w:noWrap/>
            <w:hideMark/>
          </w:tcPr>
          <w:p w14:paraId="20C06E6B" w14:textId="77777777" w:rsidR="000960D9" w:rsidRPr="00A85956" w:rsidRDefault="000960D9" w:rsidP="00A85956">
            <w:pPr>
              <w:pStyle w:val="TableBody"/>
            </w:pPr>
            <w:r w:rsidRPr="00A85956">
              <w:t>532</w:t>
            </w:r>
          </w:p>
        </w:tc>
        <w:tc>
          <w:tcPr>
            <w:tcW w:w="691" w:type="pct"/>
            <w:noWrap/>
            <w:hideMark/>
          </w:tcPr>
          <w:p w14:paraId="1158C322" w14:textId="77777777" w:rsidR="000960D9" w:rsidRPr="00A85956" w:rsidRDefault="000960D9" w:rsidP="00A85956">
            <w:pPr>
              <w:pStyle w:val="TableBody"/>
            </w:pPr>
            <w:r w:rsidRPr="00A85956">
              <w:t>691</w:t>
            </w:r>
          </w:p>
        </w:tc>
        <w:tc>
          <w:tcPr>
            <w:tcW w:w="691" w:type="pct"/>
            <w:noWrap/>
            <w:hideMark/>
          </w:tcPr>
          <w:p w14:paraId="1542B50A" w14:textId="77777777" w:rsidR="000960D9" w:rsidRPr="00A85956" w:rsidRDefault="000960D9" w:rsidP="00A85956">
            <w:pPr>
              <w:pStyle w:val="TableBody"/>
            </w:pPr>
            <w:r w:rsidRPr="00A85956">
              <w:t>896</w:t>
            </w:r>
          </w:p>
        </w:tc>
        <w:tc>
          <w:tcPr>
            <w:tcW w:w="820" w:type="pct"/>
            <w:noWrap/>
            <w:hideMark/>
          </w:tcPr>
          <w:p w14:paraId="3B27F143" w14:textId="77777777" w:rsidR="000960D9" w:rsidRPr="00A85956" w:rsidRDefault="000960D9" w:rsidP="00A85956">
            <w:pPr>
              <w:pStyle w:val="TableBody"/>
            </w:pPr>
            <w:r w:rsidRPr="00A85956">
              <w:t>143</w:t>
            </w:r>
          </w:p>
        </w:tc>
        <w:tc>
          <w:tcPr>
            <w:tcW w:w="729" w:type="pct"/>
            <w:noWrap/>
            <w:hideMark/>
          </w:tcPr>
          <w:p w14:paraId="065F6CC3" w14:textId="77777777" w:rsidR="000960D9" w:rsidRPr="00A85956" w:rsidRDefault="000960D9" w:rsidP="00A85956">
            <w:pPr>
              <w:pStyle w:val="TableBody"/>
            </w:pPr>
            <w:r w:rsidRPr="00A85956">
              <w:t>63</w:t>
            </w:r>
          </w:p>
        </w:tc>
        <w:tc>
          <w:tcPr>
            <w:tcW w:w="687" w:type="pct"/>
            <w:noWrap/>
            <w:hideMark/>
          </w:tcPr>
          <w:p w14:paraId="15DC2B04" w14:textId="77777777" w:rsidR="000960D9" w:rsidRPr="00A85956" w:rsidRDefault="000960D9" w:rsidP="00A85956">
            <w:pPr>
              <w:pStyle w:val="TableBody"/>
            </w:pPr>
            <w:r w:rsidRPr="00A85956">
              <w:t>335</w:t>
            </w:r>
          </w:p>
        </w:tc>
      </w:tr>
      <w:tr w:rsidR="00672099" w:rsidRPr="000960D9" w14:paraId="0CFB271B" w14:textId="77777777" w:rsidTr="00672099">
        <w:trPr>
          <w:trHeight w:val="288"/>
        </w:trPr>
        <w:tc>
          <w:tcPr>
            <w:tcW w:w="691" w:type="pct"/>
            <w:noWrap/>
            <w:hideMark/>
          </w:tcPr>
          <w:p w14:paraId="34C9E589" w14:textId="77777777" w:rsidR="000960D9" w:rsidRPr="00A85956" w:rsidRDefault="000960D9" w:rsidP="00A85956">
            <w:pPr>
              <w:pStyle w:val="TableBody"/>
            </w:pPr>
            <w:r w:rsidRPr="00A85956">
              <w:t>2021</w:t>
            </w:r>
          </w:p>
        </w:tc>
        <w:tc>
          <w:tcPr>
            <w:tcW w:w="692" w:type="pct"/>
            <w:noWrap/>
            <w:hideMark/>
          </w:tcPr>
          <w:p w14:paraId="4077947B" w14:textId="77777777" w:rsidR="000960D9" w:rsidRPr="00A85956" w:rsidRDefault="000960D9" w:rsidP="00A85956">
            <w:pPr>
              <w:pStyle w:val="TableBody"/>
            </w:pPr>
            <w:r w:rsidRPr="00A85956">
              <w:t>514</w:t>
            </w:r>
          </w:p>
        </w:tc>
        <w:tc>
          <w:tcPr>
            <w:tcW w:w="691" w:type="pct"/>
            <w:noWrap/>
            <w:hideMark/>
          </w:tcPr>
          <w:p w14:paraId="4688191C" w14:textId="77777777" w:rsidR="000960D9" w:rsidRPr="00A85956" w:rsidRDefault="000960D9" w:rsidP="00A85956">
            <w:pPr>
              <w:pStyle w:val="TableBody"/>
            </w:pPr>
            <w:r w:rsidRPr="00A85956">
              <w:t>577</w:t>
            </w:r>
          </w:p>
        </w:tc>
        <w:tc>
          <w:tcPr>
            <w:tcW w:w="691" w:type="pct"/>
            <w:noWrap/>
            <w:hideMark/>
          </w:tcPr>
          <w:p w14:paraId="6E382C9F" w14:textId="77777777" w:rsidR="000960D9" w:rsidRPr="00A85956" w:rsidRDefault="000960D9" w:rsidP="00A85956">
            <w:pPr>
              <w:pStyle w:val="TableBody"/>
            </w:pPr>
            <w:r w:rsidRPr="00A85956">
              <w:t>836</w:t>
            </w:r>
          </w:p>
        </w:tc>
        <w:tc>
          <w:tcPr>
            <w:tcW w:w="820" w:type="pct"/>
            <w:noWrap/>
            <w:hideMark/>
          </w:tcPr>
          <w:p w14:paraId="7C14CDB6" w14:textId="77777777" w:rsidR="000960D9" w:rsidRPr="00A85956" w:rsidRDefault="000960D9" w:rsidP="00A85956">
            <w:pPr>
              <w:pStyle w:val="TableBody"/>
            </w:pPr>
            <w:r w:rsidRPr="00A85956">
              <w:t>111</w:t>
            </w:r>
          </w:p>
        </w:tc>
        <w:tc>
          <w:tcPr>
            <w:tcW w:w="729" w:type="pct"/>
            <w:noWrap/>
            <w:hideMark/>
          </w:tcPr>
          <w:p w14:paraId="4524CC5B" w14:textId="77777777" w:rsidR="000960D9" w:rsidRPr="00A85956" w:rsidRDefault="000960D9" w:rsidP="00A85956">
            <w:pPr>
              <w:pStyle w:val="TableBody"/>
            </w:pPr>
            <w:r w:rsidRPr="00A85956">
              <w:t>52</w:t>
            </w:r>
          </w:p>
        </w:tc>
        <w:tc>
          <w:tcPr>
            <w:tcW w:w="687" w:type="pct"/>
            <w:noWrap/>
            <w:hideMark/>
          </w:tcPr>
          <w:p w14:paraId="2FC0A809" w14:textId="77777777" w:rsidR="000960D9" w:rsidRPr="00A85956" w:rsidRDefault="000960D9" w:rsidP="00A85956">
            <w:pPr>
              <w:pStyle w:val="TableBody"/>
            </w:pPr>
            <w:r w:rsidRPr="00A85956">
              <w:t>260</w:t>
            </w:r>
          </w:p>
        </w:tc>
      </w:tr>
      <w:tr w:rsidR="00672099" w:rsidRPr="000960D9" w14:paraId="08094EE8" w14:textId="77777777" w:rsidTr="00672099">
        <w:trPr>
          <w:trHeight w:val="288"/>
        </w:trPr>
        <w:tc>
          <w:tcPr>
            <w:tcW w:w="691" w:type="pct"/>
            <w:noWrap/>
            <w:hideMark/>
          </w:tcPr>
          <w:p w14:paraId="1A17F560" w14:textId="77777777" w:rsidR="000960D9" w:rsidRPr="00A85956" w:rsidRDefault="000960D9" w:rsidP="00A85956">
            <w:pPr>
              <w:pStyle w:val="TableBody"/>
            </w:pPr>
            <w:r w:rsidRPr="00A85956">
              <w:t>2022</w:t>
            </w:r>
          </w:p>
        </w:tc>
        <w:tc>
          <w:tcPr>
            <w:tcW w:w="692" w:type="pct"/>
            <w:noWrap/>
            <w:hideMark/>
          </w:tcPr>
          <w:p w14:paraId="242D310E" w14:textId="77777777" w:rsidR="000960D9" w:rsidRPr="00A85956" w:rsidRDefault="000960D9" w:rsidP="00A85956">
            <w:pPr>
              <w:pStyle w:val="TableBody"/>
            </w:pPr>
            <w:r w:rsidRPr="00A85956">
              <w:t>512</w:t>
            </w:r>
          </w:p>
        </w:tc>
        <w:tc>
          <w:tcPr>
            <w:tcW w:w="691" w:type="pct"/>
            <w:noWrap/>
            <w:hideMark/>
          </w:tcPr>
          <w:p w14:paraId="74BF9D01" w14:textId="77777777" w:rsidR="000960D9" w:rsidRPr="00A85956" w:rsidRDefault="000960D9" w:rsidP="00A85956">
            <w:pPr>
              <w:pStyle w:val="TableBody"/>
            </w:pPr>
            <w:r w:rsidRPr="00A85956">
              <w:t>552</w:t>
            </w:r>
          </w:p>
        </w:tc>
        <w:tc>
          <w:tcPr>
            <w:tcW w:w="691" w:type="pct"/>
            <w:noWrap/>
            <w:hideMark/>
          </w:tcPr>
          <w:p w14:paraId="75F73508" w14:textId="77777777" w:rsidR="000960D9" w:rsidRPr="00A85956" w:rsidRDefault="000960D9" w:rsidP="00A85956">
            <w:pPr>
              <w:pStyle w:val="TableBody"/>
            </w:pPr>
            <w:r w:rsidRPr="00A85956">
              <w:t>852</w:t>
            </w:r>
          </w:p>
        </w:tc>
        <w:tc>
          <w:tcPr>
            <w:tcW w:w="820" w:type="pct"/>
            <w:noWrap/>
            <w:hideMark/>
          </w:tcPr>
          <w:p w14:paraId="27BA75E9" w14:textId="77777777" w:rsidR="000960D9" w:rsidRPr="00A85956" w:rsidRDefault="000960D9" w:rsidP="00A85956">
            <w:pPr>
              <w:pStyle w:val="TableBody"/>
            </w:pPr>
            <w:r w:rsidRPr="00A85956">
              <w:t>122</w:t>
            </w:r>
          </w:p>
        </w:tc>
        <w:tc>
          <w:tcPr>
            <w:tcW w:w="729" w:type="pct"/>
            <w:noWrap/>
            <w:hideMark/>
          </w:tcPr>
          <w:p w14:paraId="374A24D1" w14:textId="77777777" w:rsidR="000960D9" w:rsidRPr="00A85956" w:rsidRDefault="000960D9" w:rsidP="00A85956">
            <w:pPr>
              <w:pStyle w:val="TableBody"/>
            </w:pPr>
            <w:r w:rsidRPr="00A85956">
              <w:t>41</w:t>
            </w:r>
          </w:p>
        </w:tc>
        <w:tc>
          <w:tcPr>
            <w:tcW w:w="687" w:type="pct"/>
            <w:noWrap/>
            <w:hideMark/>
          </w:tcPr>
          <w:p w14:paraId="3273301B" w14:textId="77777777" w:rsidR="000960D9" w:rsidRPr="00A85956" w:rsidRDefault="000960D9" w:rsidP="00A85956">
            <w:pPr>
              <w:pStyle w:val="TableBody"/>
            </w:pPr>
            <w:r w:rsidRPr="00A85956">
              <w:t>194</w:t>
            </w:r>
          </w:p>
        </w:tc>
      </w:tr>
      <w:tr w:rsidR="00672099" w:rsidRPr="000960D9" w14:paraId="610A5306" w14:textId="77777777" w:rsidTr="00672099">
        <w:trPr>
          <w:trHeight w:val="288"/>
        </w:trPr>
        <w:tc>
          <w:tcPr>
            <w:tcW w:w="691" w:type="pct"/>
            <w:noWrap/>
            <w:hideMark/>
          </w:tcPr>
          <w:p w14:paraId="6824DE9D" w14:textId="77777777" w:rsidR="000960D9" w:rsidRPr="00A85956" w:rsidRDefault="000960D9" w:rsidP="00A85956">
            <w:pPr>
              <w:pStyle w:val="TableBody"/>
            </w:pPr>
            <w:r w:rsidRPr="00A85956">
              <w:t>2023</w:t>
            </w:r>
          </w:p>
        </w:tc>
        <w:tc>
          <w:tcPr>
            <w:tcW w:w="692" w:type="pct"/>
            <w:noWrap/>
            <w:hideMark/>
          </w:tcPr>
          <w:p w14:paraId="697D200C" w14:textId="77777777" w:rsidR="000960D9" w:rsidRPr="00A85956" w:rsidRDefault="000960D9" w:rsidP="00A85956">
            <w:pPr>
              <w:pStyle w:val="TableBody"/>
            </w:pPr>
            <w:r w:rsidRPr="00A85956">
              <w:t>517</w:t>
            </w:r>
          </w:p>
        </w:tc>
        <w:tc>
          <w:tcPr>
            <w:tcW w:w="691" w:type="pct"/>
            <w:noWrap/>
            <w:hideMark/>
          </w:tcPr>
          <w:p w14:paraId="00436599" w14:textId="77777777" w:rsidR="000960D9" w:rsidRPr="00A85956" w:rsidRDefault="000960D9" w:rsidP="00A85956">
            <w:pPr>
              <w:pStyle w:val="TableBody"/>
            </w:pPr>
            <w:r w:rsidRPr="00A85956">
              <w:t>585</w:t>
            </w:r>
          </w:p>
        </w:tc>
        <w:tc>
          <w:tcPr>
            <w:tcW w:w="691" w:type="pct"/>
            <w:noWrap/>
            <w:hideMark/>
          </w:tcPr>
          <w:p w14:paraId="349D4E03" w14:textId="77777777" w:rsidR="000960D9" w:rsidRPr="00A85956" w:rsidRDefault="000960D9" w:rsidP="00A85956">
            <w:pPr>
              <w:pStyle w:val="TableBody"/>
            </w:pPr>
            <w:r w:rsidRPr="00A85956">
              <w:t>884</w:t>
            </w:r>
          </w:p>
        </w:tc>
        <w:tc>
          <w:tcPr>
            <w:tcW w:w="820" w:type="pct"/>
            <w:noWrap/>
            <w:hideMark/>
          </w:tcPr>
          <w:p w14:paraId="11C6A21C" w14:textId="77777777" w:rsidR="000960D9" w:rsidRPr="00A85956" w:rsidRDefault="000960D9" w:rsidP="00A85956">
            <w:pPr>
              <w:pStyle w:val="TableBody"/>
            </w:pPr>
            <w:r w:rsidRPr="00A85956">
              <w:t>144</w:t>
            </w:r>
          </w:p>
        </w:tc>
        <w:tc>
          <w:tcPr>
            <w:tcW w:w="729" w:type="pct"/>
            <w:noWrap/>
            <w:hideMark/>
          </w:tcPr>
          <w:p w14:paraId="0C45C5F2" w14:textId="77777777" w:rsidR="000960D9" w:rsidRPr="00A85956" w:rsidRDefault="000960D9" w:rsidP="00A85956">
            <w:pPr>
              <w:pStyle w:val="TableBody"/>
            </w:pPr>
            <w:r w:rsidRPr="00A85956">
              <w:t>42</w:t>
            </w:r>
          </w:p>
        </w:tc>
        <w:tc>
          <w:tcPr>
            <w:tcW w:w="687" w:type="pct"/>
            <w:noWrap/>
            <w:hideMark/>
          </w:tcPr>
          <w:p w14:paraId="6BC78A1C" w14:textId="77777777" w:rsidR="000960D9" w:rsidRPr="00A85956" w:rsidRDefault="000960D9" w:rsidP="00A85956">
            <w:pPr>
              <w:pStyle w:val="TableBody"/>
            </w:pPr>
            <w:r w:rsidRPr="00A85956">
              <w:t>200</w:t>
            </w:r>
          </w:p>
        </w:tc>
      </w:tr>
      <w:tr w:rsidR="00672099" w:rsidRPr="000960D9" w14:paraId="36A2595D" w14:textId="77777777" w:rsidTr="00672099">
        <w:trPr>
          <w:trHeight w:val="288"/>
        </w:trPr>
        <w:tc>
          <w:tcPr>
            <w:tcW w:w="691" w:type="pct"/>
            <w:noWrap/>
            <w:hideMark/>
          </w:tcPr>
          <w:p w14:paraId="641FFAF3" w14:textId="77777777" w:rsidR="000960D9" w:rsidRPr="00A85956" w:rsidRDefault="000960D9" w:rsidP="00A85956">
            <w:pPr>
              <w:pStyle w:val="TableBody"/>
            </w:pPr>
            <w:r w:rsidRPr="00A85956">
              <w:t>2024</w:t>
            </w:r>
          </w:p>
        </w:tc>
        <w:tc>
          <w:tcPr>
            <w:tcW w:w="692" w:type="pct"/>
            <w:noWrap/>
            <w:hideMark/>
          </w:tcPr>
          <w:p w14:paraId="39EB1A17" w14:textId="77777777" w:rsidR="000960D9" w:rsidRPr="00A85956" w:rsidRDefault="000960D9" w:rsidP="00A85956">
            <w:pPr>
              <w:pStyle w:val="TableBody"/>
            </w:pPr>
            <w:r w:rsidRPr="00A85956">
              <w:t>524</w:t>
            </w:r>
          </w:p>
        </w:tc>
        <w:tc>
          <w:tcPr>
            <w:tcW w:w="691" w:type="pct"/>
            <w:noWrap/>
            <w:hideMark/>
          </w:tcPr>
          <w:p w14:paraId="0B54A7B8" w14:textId="77777777" w:rsidR="000960D9" w:rsidRPr="00A85956" w:rsidRDefault="000960D9" w:rsidP="00A85956">
            <w:pPr>
              <w:pStyle w:val="TableBody"/>
            </w:pPr>
            <w:r w:rsidRPr="00A85956">
              <w:t>570</w:t>
            </w:r>
          </w:p>
        </w:tc>
        <w:tc>
          <w:tcPr>
            <w:tcW w:w="691" w:type="pct"/>
            <w:noWrap/>
            <w:hideMark/>
          </w:tcPr>
          <w:p w14:paraId="49B2FCA2" w14:textId="77777777" w:rsidR="000960D9" w:rsidRPr="00A85956" w:rsidRDefault="000960D9" w:rsidP="00A85956">
            <w:pPr>
              <w:pStyle w:val="TableBody"/>
            </w:pPr>
            <w:r w:rsidRPr="00A85956">
              <w:t>946</w:t>
            </w:r>
          </w:p>
        </w:tc>
        <w:tc>
          <w:tcPr>
            <w:tcW w:w="820" w:type="pct"/>
            <w:noWrap/>
            <w:hideMark/>
          </w:tcPr>
          <w:p w14:paraId="7292B4EE" w14:textId="77777777" w:rsidR="000960D9" w:rsidRPr="00A85956" w:rsidRDefault="000960D9" w:rsidP="00A85956">
            <w:pPr>
              <w:pStyle w:val="TableBody"/>
            </w:pPr>
            <w:r w:rsidRPr="00A85956">
              <w:t>109</w:t>
            </w:r>
          </w:p>
        </w:tc>
        <w:tc>
          <w:tcPr>
            <w:tcW w:w="729" w:type="pct"/>
            <w:noWrap/>
            <w:hideMark/>
          </w:tcPr>
          <w:p w14:paraId="013405C0" w14:textId="77777777" w:rsidR="000960D9" w:rsidRPr="00A85956" w:rsidRDefault="000960D9" w:rsidP="00A85956">
            <w:pPr>
              <w:pStyle w:val="TableBody"/>
            </w:pPr>
            <w:r w:rsidRPr="00A85956">
              <w:t>52</w:t>
            </w:r>
          </w:p>
        </w:tc>
        <w:tc>
          <w:tcPr>
            <w:tcW w:w="687" w:type="pct"/>
            <w:noWrap/>
            <w:hideMark/>
          </w:tcPr>
          <w:p w14:paraId="43CD50D2" w14:textId="77777777" w:rsidR="000960D9" w:rsidRPr="00A85956" w:rsidRDefault="000960D9" w:rsidP="00A85956">
            <w:pPr>
              <w:pStyle w:val="TableBody"/>
            </w:pPr>
            <w:r w:rsidRPr="00A85956">
              <w:t>161</w:t>
            </w:r>
          </w:p>
        </w:tc>
      </w:tr>
    </w:tbl>
    <w:p w14:paraId="5C64DFC6" w14:textId="77777777" w:rsidR="00A4454A" w:rsidRPr="008C1137" w:rsidRDefault="00A4454A" w:rsidP="00D4532A">
      <w:r w:rsidRPr="000C258A">
        <w:rPr>
          <w:rStyle w:val="Strong"/>
        </w:rPr>
        <w:t>Source</w:t>
      </w:r>
      <w:r w:rsidRPr="008C1137">
        <w:t>: Australian Bureau of Statistics,</w:t>
      </w:r>
      <w:r w:rsidRPr="008C1137">
        <w:rPr>
          <w:rStyle w:val="Italic"/>
        </w:rPr>
        <w:t xml:space="preserve"> Prisoners in Australia</w:t>
      </w:r>
      <w:r w:rsidRPr="008C1137">
        <w:t>, cat. no. 4517.0 (abs.gov.au, 2024) Table 23</w:t>
      </w:r>
    </w:p>
    <w:p w14:paraId="24E98B65" w14:textId="77777777" w:rsidR="00A4454A" w:rsidRPr="008C1137" w:rsidRDefault="00A4454A" w:rsidP="00BE4EDC">
      <w:pPr>
        <w:pStyle w:val="Caption"/>
      </w:pPr>
      <w:r w:rsidRPr="00157502">
        <w:t>Figure 51</w:t>
      </w:r>
      <w:r w:rsidRPr="008C1137">
        <w:t>: Average expected time to serve and total custodial sentence length (years) on 30 June, sentenced prisoners, 2005 to 2024</w:t>
      </w:r>
    </w:p>
    <w:tbl>
      <w:tblPr>
        <w:tblStyle w:val="Table"/>
        <w:tblW w:w="5000" w:type="pct"/>
        <w:tblLook w:val="04A0" w:firstRow="1" w:lastRow="0" w:firstColumn="1" w:lastColumn="0" w:noHBand="0" w:noVBand="1"/>
      </w:tblPr>
      <w:tblGrid>
        <w:gridCol w:w="3005"/>
        <w:gridCol w:w="3005"/>
        <w:gridCol w:w="3006"/>
      </w:tblGrid>
      <w:tr w:rsidR="003705D8" w:rsidRPr="00A05B2C" w14:paraId="2E5CD5AD" w14:textId="77777777" w:rsidTr="00683772">
        <w:trPr>
          <w:trHeight w:val="57"/>
          <w:tblHeader/>
        </w:trPr>
        <w:tc>
          <w:tcPr>
            <w:tcW w:w="1666" w:type="pct"/>
            <w:noWrap/>
            <w:hideMark/>
          </w:tcPr>
          <w:p w14:paraId="2F3562A7" w14:textId="77777777" w:rsidR="003705D8" w:rsidRPr="00A05B2C" w:rsidRDefault="003705D8" w:rsidP="003D7706">
            <w:pPr>
              <w:pStyle w:val="TableHeading"/>
            </w:pPr>
            <w:r w:rsidRPr="00A05B2C">
              <w:t>Year (as at 30 June)</w:t>
            </w:r>
          </w:p>
        </w:tc>
        <w:tc>
          <w:tcPr>
            <w:tcW w:w="1666" w:type="pct"/>
            <w:hideMark/>
          </w:tcPr>
          <w:p w14:paraId="2E167AE2" w14:textId="77777777" w:rsidR="003705D8" w:rsidRPr="00F678CE" w:rsidRDefault="003705D8" w:rsidP="00F678CE">
            <w:pPr>
              <w:pStyle w:val="TableHeading"/>
            </w:pPr>
            <w:r w:rsidRPr="00F678CE">
              <w:t>Mean (years)</w:t>
            </w:r>
          </w:p>
        </w:tc>
        <w:tc>
          <w:tcPr>
            <w:tcW w:w="1667" w:type="pct"/>
            <w:hideMark/>
          </w:tcPr>
          <w:p w14:paraId="364AC866" w14:textId="77777777" w:rsidR="003705D8" w:rsidRPr="00F678CE" w:rsidRDefault="003705D8" w:rsidP="00F678CE">
            <w:pPr>
              <w:pStyle w:val="TableHeading"/>
            </w:pPr>
            <w:r w:rsidRPr="00F678CE">
              <w:t>Mean (years)</w:t>
            </w:r>
          </w:p>
        </w:tc>
      </w:tr>
      <w:tr w:rsidR="003705D8" w:rsidRPr="00A05B2C" w14:paraId="0955AD31" w14:textId="77777777" w:rsidTr="00683772">
        <w:trPr>
          <w:trHeight w:val="288"/>
        </w:trPr>
        <w:tc>
          <w:tcPr>
            <w:tcW w:w="1666" w:type="pct"/>
            <w:noWrap/>
            <w:hideMark/>
          </w:tcPr>
          <w:p w14:paraId="3A7E25E4" w14:textId="77777777" w:rsidR="003705D8" w:rsidRPr="00A85956" w:rsidRDefault="003705D8" w:rsidP="00A85956">
            <w:pPr>
              <w:pStyle w:val="TableBody"/>
            </w:pPr>
            <w:r w:rsidRPr="00A85956">
              <w:t>2005</w:t>
            </w:r>
          </w:p>
        </w:tc>
        <w:tc>
          <w:tcPr>
            <w:tcW w:w="1666" w:type="pct"/>
            <w:noWrap/>
            <w:hideMark/>
          </w:tcPr>
          <w:p w14:paraId="14805FB7" w14:textId="77777777" w:rsidR="003705D8" w:rsidRPr="00A85956" w:rsidRDefault="003705D8" w:rsidP="00A85956">
            <w:pPr>
              <w:pStyle w:val="TableBody"/>
            </w:pPr>
            <w:r w:rsidRPr="00A85956">
              <w:t>5.0</w:t>
            </w:r>
          </w:p>
        </w:tc>
        <w:tc>
          <w:tcPr>
            <w:tcW w:w="1667" w:type="pct"/>
            <w:noWrap/>
            <w:hideMark/>
          </w:tcPr>
          <w:p w14:paraId="308DFD2C" w14:textId="77777777" w:rsidR="003705D8" w:rsidRPr="00A85956" w:rsidRDefault="003705D8" w:rsidP="00A85956">
            <w:pPr>
              <w:pStyle w:val="TableBody"/>
            </w:pPr>
            <w:r w:rsidRPr="00A85956">
              <w:t>3.7</w:t>
            </w:r>
          </w:p>
        </w:tc>
      </w:tr>
      <w:tr w:rsidR="003705D8" w:rsidRPr="00A05B2C" w14:paraId="71CDBFFD" w14:textId="77777777" w:rsidTr="00683772">
        <w:trPr>
          <w:trHeight w:val="288"/>
        </w:trPr>
        <w:tc>
          <w:tcPr>
            <w:tcW w:w="1666" w:type="pct"/>
            <w:noWrap/>
            <w:hideMark/>
          </w:tcPr>
          <w:p w14:paraId="36E1E4BA" w14:textId="77777777" w:rsidR="003705D8" w:rsidRPr="00A85956" w:rsidRDefault="003705D8" w:rsidP="00A85956">
            <w:pPr>
              <w:pStyle w:val="TableBody"/>
            </w:pPr>
            <w:r w:rsidRPr="00A85956">
              <w:t>2006</w:t>
            </w:r>
          </w:p>
        </w:tc>
        <w:tc>
          <w:tcPr>
            <w:tcW w:w="1666" w:type="pct"/>
            <w:noWrap/>
            <w:hideMark/>
          </w:tcPr>
          <w:p w14:paraId="131088B1" w14:textId="77777777" w:rsidR="003705D8" w:rsidRPr="00A85956" w:rsidRDefault="003705D8" w:rsidP="00A85956">
            <w:pPr>
              <w:pStyle w:val="TableBody"/>
            </w:pPr>
            <w:r w:rsidRPr="00A85956">
              <w:t>5.0</w:t>
            </w:r>
          </w:p>
        </w:tc>
        <w:tc>
          <w:tcPr>
            <w:tcW w:w="1667" w:type="pct"/>
            <w:noWrap/>
            <w:hideMark/>
          </w:tcPr>
          <w:p w14:paraId="713D0A33" w14:textId="77777777" w:rsidR="003705D8" w:rsidRPr="00A85956" w:rsidRDefault="003705D8" w:rsidP="00A85956">
            <w:pPr>
              <w:pStyle w:val="TableBody"/>
            </w:pPr>
            <w:r w:rsidRPr="00A85956">
              <w:t>3.7</w:t>
            </w:r>
          </w:p>
        </w:tc>
      </w:tr>
      <w:tr w:rsidR="003705D8" w:rsidRPr="00A05B2C" w14:paraId="661F2775" w14:textId="77777777" w:rsidTr="00683772">
        <w:trPr>
          <w:trHeight w:val="288"/>
        </w:trPr>
        <w:tc>
          <w:tcPr>
            <w:tcW w:w="1666" w:type="pct"/>
            <w:noWrap/>
            <w:hideMark/>
          </w:tcPr>
          <w:p w14:paraId="7D4B37C1" w14:textId="77777777" w:rsidR="003705D8" w:rsidRPr="00A85956" w:rsidRDefault="003705D8" w:rsidP="00A85956">
            <w:pPr>
              <w:pStyle w:val="TableBody"/>
            </w:pPr>
            <w:r w:rsidRPr="00A85956">
              <w:t>2007</w:t>
            </w:r>
          </w:p>
        </w:tc>
        <w:tc>
          <w:tcPr>
            <w:tcW w:w="1666" w:type="pct"/>
            <w:noWrap/>
            <w:hideMark/>
          </w:tcPr>
          <w:p w14:paraId="49A6E837" w14:textId="77777777" w:rsidR="003705D8" w:rsidRPr="00A85956" w:rsidRDefault="003705D8" w:rsidP="00A85956">
            <w:pPr>
              <w:pStyle w:val="TableBody"/>
            </w:pPr>
            <w:r w:rsidRPr="00A85956">
              <w:t>5.0</w:t>
            </w:r>
          </w:p>
        </w:tc>
        <w:tc>
          <w:tcPr>
            <w:tcW w:w="1667" w:type="pct"/>
            <w:noWrap/>
            <w:hideMark/>
          </w:tcPr>
          <w:p w14:paraId="3865CF08" w14:textId="77777777" w:rsidR="003705D8" w:rsidRPr="00A85956" w:rsidRDefault="003705D8" w:rsidP="00A85956">
            <w:pPr>
              <w:pStyle w:val="TableBody"/>
            </w:pPr>
            <w:r w:rsidRPr="00A85956">
              <w:t>3.7</w:t>
            </w:r>
          </w:p>
        </w:tc>
      </w:tr>
      <w:tr w:rsidR="003705D8" w:rsidRPr="00A05B2C" w14:paraId="3906069C" w14:textId="77777777" w:rsidTr="00683772">
        <w:trPr>
          <w:trHeight w:val="288"/>
        </w:trPr>
        <w:tc>
          <w:tcPr>
            <w:tcW w:w="1666" w:type="pct"/>
            <w:noWrap/>
            <w:hideMark/>
          </w:tcPr>
          <w:p w14:paraId="5439913D" w14:textId="77777777" w:rsidR="003705D8" w:rsidRPr="00A85956" w:rsidRDefault="003705D8" w:rsidP="00A85956">
            <w:pPr>
              <w:pStyle w:val="TableBody"/>
            </w:pPr>
            <w:r w:rsidRPr="00A85956">
              <w:t>2008</w:t>
            </w:r>
          </w:p>
        </w:tc>
        <w:tc>
          <w:tcPr>
            <w:tcW w:w="1666" w:type="pct"/>
            <w:noWrap/>
            <w:hideMark/>
          </w:tcPr>
          <w:p w14:paraId="3F85B3EA" w14:textId="77777777" w:rsidR="003705D8" w:rsidRPr="00A85956" w:rsidRDefault="003705D8" w:rsidP="00A85956">
            <w:pPr>
              <w:pStyle w:val="TableBody"/>
            </w:pPr>
            <w:r w:rsidRPr="00A85956">
              <w:t>5.3</w:t>
            </w:r>
          </w:p>
        </w:tc>
        <w:tc>
          <w:tcPr>
            <w:tcW w:w="1667" w:type="pct"/>
            <w:noWrap/>
            <w:hideMark/>
          </w:tcPr>
          <w:p w14:paraId="3CC208DD" w14:textId="77777777" w:rsidR="003705D8" w:rsidRPr="00A85956" w:rsidRDefault="003705D8" w:rsidP="00A85956">
            <w:pPr>
              <w:pStyle w:val="TableBody"/>
            </w:pPr>
            <w:r w:rsidRPr="00A85956">
              <w:t>3.9</w:t>
            </w:r>
          </w:p>
        </w:tc>
      </w:tr>
      <w:tr w:rsidR="003705D8" w:rsidRPr="00A05B2C" w14:paraId="1D725375" w14:textId="77777777" w:rsidTr="00683772">
        <w:trPr>
          <w:trHeight w:val="288"/>
        </w:trPr>
        <w:tc>
          <w:tcPr>
            <w:tcW w:w="1666" w:type="pct"/>
            <w:noWrap/>
            <w:hideMark/>
          </w:tcPr>
          <w:p w14:paraId="37385E06" w14:textId="77777777" w:rsidR="003705D8" w:rsidRPr="00A85956" w:rsidRDefault="003705D8" w:rsidP="00A85956">
            <w:pPr>
              <w:pStyle w:val="TableBody"/>
            </w:pPr>
            <w:r w:rsidRPr="00A85956">
              <w:t>2009</w:t>
            </w:r>
          </w:p>
        </w:tc>
        <w:tc>
          <w:tcPr>
            <w:tcW w:w="1666" w:type="pct"/>
            <w:noWrap/>
            <w:hideMark/>
          </w:tcPr>
          <w:p w14:paraId="087BCD5F" w14:textId="77777777" w:rsidR="003705D8" w:rsidRPr="00A85956" w:rsidRDefault="003705D8" w:rsidP="00A85956">
            <w:pPr>
              <w:pStyle w:val="TableBody"/>
            </w:pPr>
            <w:r w:rsidRPr="00A85956">
              <w:t>5.3</w:t>
            </w:r>
          </w:p>
        </w:tc>
        <w:tc>
          <w:tcPr>
            <w:tcW w:w="1667" w:type="pct"/>
            <w:noWrap/>
            <w:hideMark/>
          </w:tcPr>
          <w:p w14:paraId="762AC1C5" w14:textId="77777777" w:rsidR="003705D8" w:rsidRPr="00A85956" w:rsidRDefault="003705D8" w:rsidP="00A85956">
            <w:pPr>
              <w:pStyle w:val="TableBody"/>
            </w:pPr>
            <w:r w:rsidRPr="00A85956">
              <w:t>4.0</w:t>
            </w:r>
          </w:p>
        </w:tc>
      </w:tr>
      <w:tr w:rsidR="003705D8" w:rsidRPr="00A05B2C" w14:paraId="32DABF06" w14:textId="77777777" w:rsidTr="00683772">
        <w:trPr>
          <w:trHeight w:val="288"/>
        </w:trPr>
        <w:tc>
          <w:tcPr>
            <w:tcW w:w="1666" w:type="pct"/>
            <w:noWrap/>
            <w:hideMark/>
          </w:tcPr>
          <w:p w14:paraId="45F87749" w14:textId="77777777" w:rsidR="003705D8" w:rsidRPr="00A85956" w:rsidRDefault="003705D8" w:rsidP="00A85956">
            <w:pPr>
              <w:pStyle w:val="TableBody"/>
            </w:pPr>
            <w:r w:rsidRPr="00A85956">
              <w:t>2010</w:t>
            </w:r>
          </w:p>
        </w:tc>
        <w:tc>
          <w:tcPr>
            <w:tcW w:w="1666" w:type="pct"/>
            <w:noWrap/>
            <w:hideMark/>
          </w:tcPr>
          <w:p w14:paraId="680505CE" w14:textId="77777777" w:rsidR="003705D8" w:rsidRPr="00A85956" w:rsidRDefault="003705D8" w:rsidP="00A85956">
            <w:pPr>
              <w:pStyle w:val="TableBody"/>
            </w:pPr>
            <w:r w:rsidRPr="00A85956">
              <w:t>5.4</w:t>
            </w:r>
          </w:p>
        </w:tc>
        <w:tc>
          <w:tcPr>
            <w:tcW w:w="1667" w:type="pct"/>
            <w:noWrap/>
            <w:hideMark/>
          </w:tcPr>
          <w:p w14:paraId="18052974" w14:textId="77777777" w:rsidR="003705D8" w:rsidRPr="00A85956" w:rsidRDefault="003705D8" w:rsidP="00A85956">
            <w:pPr>
              <w:pStyle w:val="TableBody"/>
            </w:pPr>
            <w:r w:rsidRPr="00A85956">
              <w:t>4.0</w:t>
            </w:r>
          </w:p>
        </w:tc>
      </w:tr>
      <w:tr w:rsidR="003705D8" w:rsidRPr="00A05B2C" w14:paraId="289CE79C" w14:textId="77777777" w:rsidTr="00683772">
        <w:trPr>
          <w:trHeight w:val="288"/>
        </w:trPr>
        <w:tc>
          <w:tcPr>
            <w:tcW w:w="1666" w:type="pct"/>
            <w:noWrap/>
            <w:hideMark/>
          </w:tcPr>
          <w:p w14:paraId="0CDF0C9E" w14:textId="77777777" w:rsidR="003705D8" w:rsidRPr="00A85956" w:rsidRDefault="003705D8" w:rsidP="00A85956">
            <w:pPr>
              <w:pStyle w:val="TableBody"/>
            </w:pPr>
            <w:r w:rsidRPr="00A85956">
              <w:t>2011</w:t>
            </w:r>
          </w:p>
        </w:tc>
        <w:tc>
          <w:tcPr>
            <w:tcW w:w="1666" w:type="pct"/>
            <w:noWrap/>
            <w:hideMark/>
          </w:tcPr>
          <w:p w14:paraId="63F3CF28" w14:textId="77777777" w:rsidR="003705D8" w:rsidRPr="00A85956" w:rsidRDefault="003705D8" w:rsidP="00A85956">
            <w:pPr>
              <w:pStyle w:val="TableBody"/>
            </w:pPr>
            <w:r w:rsidRPr="00A85956">
              <w:t>5.4</w:t>
            </w:r>
          </w:p>
        </w:tc>
        <w:tc>
          <w:tcPr>
            <w:tcW w:w="1667" w:type="pct"/>
            <w:noWrap/>
            <w:hideMark/>
          </w:tcPr>
          <w:p w14:paraId="28E22613" w14:textId="77777777" w:rsidR="003705D8" w:rsidRPr="00A85956" w:rsidRDefault="003705D8" w:rsidP="00A85956">
            <w:pPr>
              <w:pStyle w:val="TableBody"/>
            </w:pPr>
            <w:r w:rsidRPr="00A85956">
              <w:t>4.0</w:t>
            </w:r>
          </w:p>
        </w:tc>
      </w:tr>
      <w:tr w:rsidR="003705D8" w:rsidRPr="00A05B2C" w14:paraId="59D5385C" w14:textId="77777777" w:rsidTr="00683772">
        <w:trPr>
          <w:trHeight w:val="288"/>
        </w:trPr>
        <w:tc>
          <w:tcPr>
            <w:tcW w:w="1666" w:type="pct"/>
            <w:noWrap/>
            <w:hideMark/>
          </w:tcPr>
          <w:p w14:paraId="266E158E" w14:textId="77777777" w:rsidR="003705D8" w:rsidRPr="00A85956" w:rsidRDefault="003705D8" w:rsidP="00A85956">
            <w:pPr>
              <w:pStyle w:val="TableBody"/>
            </w:pPr>
            <w:r w:rsidRPr="00A85956">
              <w:t>2012</w:t>
            </w:r>
          </w:p>
        </w:tc>
        <w:tc>
          <w:tcPr>
            <w:tcW w:w="1666" w:type="pct"/>
            <w:noWrap/>
            <w:hideMark/>
          </w:tcPr>
          <w:p w14:paraId="683D9FCE" w14:textId="77777777" w:rsidR="003705D8" w:rsidRPr="00A85956" w:rsidRDefault="003705D8" w:rsidP="00A85956">
            <w:pPr>
              <w:pStyle w:val="TableBody"/>
            </w:pPr>
            <w:r w:rsidRPr="00A85956">
              <w:t>5.5</w:t>
            </w:r>
          </w:p>
        </w:tc>
        <w:tc>
          <w:tcPr>
            <w:tcW w:w="1667" w:type="pct"/>
            <w:noWrap/>
            <w:hideMark/>
          </w:tcPr>
          <w:p w14:paraId="741C93F7" w14:textId="77777777" w:rsidR="003705D8" w:rsidRPr="00A85956" w:rsidRDefault="003705D8" w:rsidP="00A85956">
            <w:pPr>
              <w:pStyle w:val="TableBody"/>
            </w:pPr>
            <w:r w:rsidRPr="00A85956">
              <w:t>4.1</w:t>
            </w:r>
          </w:p>
        </w:tc>
      </w:tr>
      <w:tr w:rsidR="003705D8" w:rsidRPr="00A05B2C" w14:paraId="50BC602A" w14:textId="77777777" w:rsidTr="00683772">
        <w:trPr>
          <w:trHeight w:val="288"/>
        </w:trPr>
        <w:tc>
          <w:tcPr>
            <w:tcW w:w="1666" w:type="pct"/>
            <w:noWrap/>
            <w:hideMark/>
          </w:tcPr>
          <w:p w14:paraId="63E000E1" w14:textId="77777777" w:rsidR="003705D8" w:rsidRPr="00A85956" w:rsidRDefault="003705D8" w:rsidP="00A85956">
            <w:pPr>
              <w:pStyle w:val="TableBody"/>
            </w:pPr>
            <w:r w:rsidRPr="00A85956">
              <w:t>2013</w:t>
            </w:r>
          </w:p>
        </w:tc>
        <w:tc>
          <w:tcPr>
            <w:tcW w:w="1666" w:type="pct"/>
            <w:noWrap/>
            <w:hideMark/>
          </w:tcPr>
          <w:p w14:paraId="238EA150" w14:textId="77777777" w:rsidR="003705D8" w:rsidRPr="00A85956" w:rsidRDefault="003705D8" w:rsidP="00A85956">
            <w:pPr>
              <w:pStyle w:val="TableBody"/>
            </w:pPr>
            <w:r w:rsidRPr="00A85956">
              <w:t>5.1</w:t>
            </w:r>
          </w:p>
        </w:tc>
        <w:tc>
          <w:tcPr>
            <w:tcW w:w="1667" w:type="pct"/>
            <w:noWrap/>
            <w:hideMark/>
          </w:tcPr>
          <w:p w14:paraId="796DFB1D" w14:textId="77777777" w:rsidR="003705D8" w:rsidRPr="00A85956" w:rsidRDefault="003705D8" w:rsidP="00A85956">
            <w:pPr>
              <w:pStyle w:val="TableBody"/>
            </w:pPr>
            <w:r w:rsidRPr="00A85956">
              <w:t>3.9</w:t>
            </w:r>
          </w:p>
        </w:tc>
      </w:tr>
      <w:tr w:rsidR="003705D8" w:rsidRPr="00A05B2C" w14:paraId="20750024" w14:textId="77777777" w:rsidTr="00683772">
        <w:trPr>
          <w:trHeight w:val="288"/>
        </w:trPr>
        <w:tc>
          <w:tcPr>
            <w:tcW w:w="1666" w:type="pct"/>
            <w:noWrap/>
            <w:hideMark/>
          </w:tcPr>
          <w:p w14:paraId="65C20D1D" w14:textId="77777777" w:rsidR="003705D8" w:rsidRPr="00A85956" w:rsidRDefault="003705D8" w:rsidP="00A85956">
            <w:pPr>
              <w:pStyle w:val="TableBody"/>
            </w:pPr>
            <w:r w:rsidRPr="00A85956">
              <w:t>2014</w:t>
            </w:r>
          </w:p>
        </w:tc>
        <w:tc>
          <w:tcPr>
            <w:tcW w:w="1666" w:type="pct"/>
            <w:noWrap/>
            <w:hideMark/>
          </w:tcPr>
          <w:p w14:paraId="607DF3EA" w14:textId="77777777" w:rsidR="003705D8" w:rsidRPr="00A85956" w:rsidRDefault="003705D8" w:rsidP="00A85956">
            <w:pPr>
              <w:pStyle w:val="TableBody"/>
            </w:pPr>
            <w:r w:rsidRPr="00A85956">
              <w:t>4.9</w:t>
            </w:r>
          </w:p>
        </w:tc>
        <w:tc>
          <w:tcPr>
            <w:tcW w:w="1667" w:type="pct"/>
            <w:noWrap/>
            <w:hideMark/>
          </w:tcPr>
          <w:p w14:paraId="277362C9" w14:textId="77777777" w:rsidR="003705D8" w:rsidRPr="00A85956" w:rsidRDefault="003705D8" w:rsidP="00A85956">
            <w:pPr>
              <w:pStyle w:val="TableBody"/>
            </w:pPr>
            <w:r w:rsidRPr="00A85956">
              <w:t>3.8</w:t>
            </w:r>
          </w:p>
        </w:tc>
      </w:tr>
      <w:tr w:rsidR="003705D8" w:rsidRPr="00A05B2C" w14:paraId="291F6BB2" w14:textId="77777777" w:rsidTr="00683772">
        <w:trPr>
          <w:trHeight w:val="288"/>
        </w:trPr>
        <w:tc>
          <w:tcPr>
            <w:tcW w:w="1666" w:type="pct"/>
            <w:noWrap/>
            <w:hideMark/>
          </w:tcPr>
          <w:p w14:paraId="43932837" w14:textId="77777777" w:rsidR="003705D8" w:rsidRPr="00A85956" w:rsidRDefault="003705D8" w:rsidP="00A85956">
            <w:pPr>
              <w:pStyle w:val="TableBody"/>
            </w:pPr>
            <w:r w:rsidRPr="00A85956">
              <w:t>2015</w:t>
            </w:r>
          </w:p>
        </w:tc>
        <w:tc>
          <w:tcPr>
            <w:tcW w:w="1666" w:type="pct"/>
            <w:noWrap/>
            <w:hideMark/>
          </w:tcPr>
          <w:p w14:paraId="7F7A963A" w14:textId="77777777" w:rsidR="003705D8" w:rsidRPr="00A85956" w:rsidRDefault="003705D8" w:rsidP="00A85956">
            <w:pPr>
              <w:pStyle w:val="TableBody"/>
            </w:pPr>
            <w:r w:rsidRPr="00A85956">
              <w:t>5.0</w:t>
            </w:r>
          </w:p>
        </w:tc>
        <w:tc>
          <w:tcPr>
            <w:tcW w:w="1667" w:type="pct"/>
            <w:noWrap/>
            <w:hideMark/>
          </w:tcPr>
          <w:p w14:paraId="299320E7" w14:textId="77777777" w:rsidR="003705D8" w:rsidRPr="00A85956" w:rsidRDefault="003705D8" w:rsidP="00A85956">
            <w:pPr>
              <w:pStyle w:val="TableBody"/>
            </w:pPr>
            <w:r w:rsidRPr="00A85956">
              <w:t>4.0</w:t>
            </w:r>
          </w:p>
        </w:tc>
      </w:tr>
      <w:tr w:rsidR="003705D8" w:rsidRPr="00A05B2C" w14:paraId="256078C8" w14:textId="77777777" w:rsidTr="00683772">
        <w:trPr>
          <w:trHeight w:val="288"/>
        </w:trPr>
        <w:tc>
          <w:tcPr>
            <w:tcW w:w="1666" w:type="pct"/>
            <w:noWrap/>
            <w:hideMark/>
          </w:tcPr>
          <w:p w14:paraId="35734ECD" w14:textId="77777777" w:rsidR="003705D8" w:rsidRPr="00A85956" w:rsidRDefault="003705D8" w:rsidP="00A85956">
            <w:pPr>
              <w:pStyle w:val="TableBody"/>
            </w:pPr>
            <w:r w:rsidRPr="00A85956">
              <w:t>2016</w:t>
            </w:r>
          </w:p>
        </w:tc>
        <w:tc>
          <w:tcPr>
            <w:tcW w:w="1666" w:type="pct"/>
            <w:noWrap/>
            <w:hideMark/>
          </w:tcPr>
          <w:p w14:paraId="23A2DEB9" w14:textId="77777777" w:rsidR="003705D8" w:rsidRPr="00A85956" w:rsidRDefault="003705D8" w:rsidP="00A85956">
            <w:pPr>
              <w:pStyle w:val="TableBody"/>
            </w:pPr>
            <w:r w:rsidRPr="00A85956">
              <w:t>5.2</w:t>
            </w:r>
          </w:p>
        </w:tc>
        <w:tc>
          <w:tcPr>
            <w:tcW w:w="1667" w:type="pct"/>
            <w:noWrap/>
            <w:hideMark/>
          </w:tcPr>
          <w:p w14:paraId="56BB11AE" w14:textId="77777777" w:rsidR="003705D8" w:rsidRPr="00A85956" w:rsidRDefault="003705D8" w:rsidP="00A85956">
            <w:pPr>
              <w:pStyle w:val="TableBody"/>
            </w:pPr>
            <w:r w:rsidRPr="00A85956">
              <w:t>4.3</w:t>
            </w:r>
          </w:p>
        </w:tc>
      </w:tr>
      <w:tr w:rsidR="003705D8" w:rsidRPr="00A05B2C" w14:paraId="0AE14C23" w14:textId="77777777" w:rsidTr="00683772">
        <w:trPr>
          <w:trHeight w:val="288"/>
        </w:trPr>
        <w:tc>
          <w:tcPr>
            <w:tcW w:w="1666" w:type="pct"/>
            <w:noWrap/>
            <w:hideMark/>
          </w:tcPr>
          <w:p w14:paraId="0106530C" w14:textId="77777777" w:rsidR="003705D8" w:rsidRPr="00A85956" w:rsidRDefault="003705D8" w:rsidP="00A85956">
            <w:pPr>
              <w:pStyle w:val="TableBody"/>
            </w:pPr>
            <w:r w:rsidRPr="00A85956">
              <w:t>2017</w:t>
            </w:r>
          </w:p>
        </w:tc>
        <w:tc>
          <w:tcPr>
            <w:tcW w:w="1666" w:type="pct"/>
            <w:noWrap/>
            <w:hideMark/>
          </w:tcPr>
          <w:p w14:paraId="6AACA449" w14:textId="77777777" w:rsidR="003705D8" w:rsidRPr="00A85956" w:rsidRDefault="003705D8" w:rsidP="00A85956">
            <w:pPr>
              <w:pStyle w:val="TableBody"/>
            </w:pPr>
            <w:r w:rsidRPr="00A85956">
              <w:t>5.2</w:t>
            </w:r>
          </w:p>
        </w:tc>
        <w:tc>
          <w:tcPr>
            <w:tcW w:w="1667" w:type="pct"/>
            <w:noWrap/>
            <w:hideMark/>
          </w:tcPr>
          <w:p w14:paraId="10DF8415" w14:textId="77777777" w:rsidR="003705D8" w:rsidRPr="00A85956" w:rsidRDefault="003705D8" w:rsidP="00A85956">
            <w:pPr>
              <w:pStyle w:val="TableBody"/>
            </w:pPr>
            <w:r w:rsidRPr="00A85956">
              <w:t>4.2</w:t>
            </w:r>
          </w:p>
        </w:tc>
      </w:tr>
      <w:tr w:rsidR="003705D8" w:rsidRPr="00A05B2C" w14:paraId="1863CA8E" w14:textId="77777777" w:rsidTr="00683772">
        <w:trPr>
          <w:trHeight w:val="288"/>
        </w:trPr>
        <w:tc>
          <w:tcPr>
            <w:tcW w:w="1666" w:type="pct"/>
            <w:noWrap/>
            <w:hideMark/>
          </w:tcPr>
          <w:p w14:paraId="00329D55" w14:textId="77777777" w:rsidR="003705D8" w:rsidRPr="00A85956" w:rsidRDefault="003705D8" w:rsidP="00A85956">
            <w:pPr>
              <w:pStyle w:val="TableBody"/>
            </w:pPr>
            <w:r w:rsidRPr="00A85956">
              <w:t>2018</w:t>
            </w:r>
          </w:p>
        </w:tc>
        <w:tc>
          <w:tcPr>
            <w:tcW w:w="1666" w:type="pct"/>
            <w:noWrap/>
            <w:hideMark/>
          </w:tcPr>
          <w:p w14:paraId="30CA655A" w14:textId="77777777" w:rsidR="003705D8" w:rsidRPr="00A85956" w:rsidRDefault="003705D8" w:rsidP="00A85956">
            <w:pPr>
              <w:pStyle w:val="TableBody"/>
            </w:pPr>
            <w:r w:rsidRPr="00A85956">
              <w:t>5.4</w:t>
            </w:r>
          </w:p>
        </w:tc>
        <w:tc>
          <w:tcPr>
            <w:tcW w:w="1667" w:type="pct"/>
            <w:noWrap/>
            <w:hideMark/>
          </w:tcPr>
          <w:p w14:paraId="6EDAA1E6" w14:textId="77777777" w:rsidR="003705D8" w:rsidRPr="00A85956" w:rsidRDefault="003705D8" w:rsidP="00A85956">
            <w:pPr>
              <w:pStyle w:val="TableBody"/>
            </w:pPr>
            <w:r w:rsidRPr="00A85956">
              <w:t>4.3</w:t>
            </w:r>
          </w:p>
        </w:tc>
      </w:tr>
      <w:tr w:rsidR="003705D8" w:rsidRPr="00A05B2C" w14:paraId="0A1BB6DD" w14:textId="77777777" w:rsidTr="00683772">
        <w:trPr>
          <w:trHeight w:val="288"/>
        </w:trPr>
        <w:tc>
          <w:tcPr>
            <w:tcW w:w="1666" w:type="pct"/>
            <w:noWrap/>
            <w:hideMark/>
          </w:tcPr>
          <w:p w14:paraId="475E6108" w14:textId="77777777" w:rsidR="003705D8" w:rsidRPr="00A85956" w:rsidRDefault="003705D8" w:rsidP="00A85956">
            <w:pPr>
              <w:pStyle w:val="TableBody"/>
            </w:pPr>
            <w:r w:rsidRPr="00A85956">
              <w:t>2019</w:t>
            </w:r>
          </w:p>
        </w:tc>
        <w:tc>
          <w:tcPr>
            <w:tcW w:w="1666" w:type="pct"/>
            <w:noWrap/>
            <w:hideMark/>
          </w:tcPr>
          <w:p w14:paraId="0ABD59A2" w14:textId="77777777" w:rsidR="003705D8" w:rsidRPr="00A85956" w:rsidRDefault="003705D8" w:rsidP="00A85956">
            <w:pPr>
              <w:pStyle w:val="TableBody"/>
            </w:pPr>
            <w:r w:rsidRPr="00A85956">
              <w:t>5.6</w:t>
            </w:r>
          </w:p>
        </w:tc>
        <w:tc>
          <w:tcPr>
            <w:tcW w:w="1667" w:type="pct"/>
            <w:noWrap/>
            <w:hideMark/>
          </w:tcPr>
          <w:p w14:paraId="16B627A9" w14:textId="77777777" w:rsidR="003705D8" w:rsidRPr="00A85956" w:rsidRDefault="003705D8" w:rsidP="00A85956">
            <w:pPr>
              <w:pStyle w:val="TableBody"/>
            </w:pPr>
            <w:r w:rsidRPr="00A85956">
              <w:t>4.5</w:t>
            </w:r>
          </w:p>
        </w:tc>
      </w:tr>
      <w:tr w:rsidR="003705D8" w:rsidRPr="00A05B2C" w14:paraId="3A348C7B" w14:textId="77777777" w:rsidTr="00683772">
        <w:trPr>
          <w:trHeight w:val="288"/>
        </w:trPr>
        <w:tc>
          <w:tcPr>
            <w:tcW w:w="1666" w:type="pct"/>
            <w:noWrap/>
            <w:hideMark/>
          </w:tcPr>
          <w:p w14:paraId="6442E6FE" w14:textId="77777777" w:rsidR="003705D8" w:rsidRPr="00A85956" w:rsidRDefault="003705D8" w:rsidP="00A85956">
            <w:pPr>
              <w:pStyle w:val="TableBody"/>
            </w:pPr>
            <w:r w:rsidRPr="00A85956">
              <w:t>2020</w:t>
            </w:r>
          </w:p>
        </w:tc>
        <w:tc>
          <w:tcPr>
            <w:tcW w:w="1666" w:type="pct"/>
            <w:noWrap/>
            <w:hideMark/>
          </w:tcPr>
          <w:p w14:paraId="75A48CA4" w14:textId="77777777" w:rsidR="003705D8" w:rsidRPr="00A85956" w:rsidRDefault="003705D8" w:rsidP="00A85956">
            <w:pPr>
              <w:pStyle w:val="TableBody"/>
            </w:pPr>
            <w:r w:rsidRPr="00A85956">
              <w:t>6.2</w:t>
            </w:r>
          </w:p>
        </w:tc>
        <w:tc>
          <w:tcPr>
            <w:tcW w:w="1667" w:type="pct"/>
            <w:noWrap/>
            <w:hideMark/>
          </w:tcPr>
          <w:p w14:paraId="56A49AAF" w14:textId="77777777" w:rsidR="003705D8" w:rsidRPr="00A85956" w:rsidRDefault="003705D8" w:rsidP="00A85956">
            <w:pPr>
              <w:pStyle w:val="TableBody"/>
            </w:pPr>
            <w:r w:rsidRPr="00A85956">
              <w:t>5.0</w:t>
            </w:r>
          </w:p>
        </w:tc>
      </w:tr>
      <w:tr w:rsidR="003705D8" w:rsidRPr="00A05B2C" w14:paraId="3C49596A" w14:textId="77777777" w:rsidTr="00683772">
        <w:trPr>
          <w:trHeight w:val="288"/>
        </w:trPr>
        <w:tc>
          <w:tcPr>
            <w:tcW w:w="1666" w:type="pct"/>
            <w:noWrap/>
            <w:hideMark/>
          </w:tcPr>
          <w:p w14:paraId="0CFE1038" w14:textId="77777777" w:rsidR="003705D8" w:rsidRPr="00A85956" w:rsidRDefault="003705D8" w:rsidP="00A85956">
            <w:pPr>
              <w:pStyle w:val="TableBody"/>
            </w:pPr>
            <w:r w:rsidRPr="00A85956">
              <w:lastRenderedPageBreak/>
              <w:t>2021</w:t>
            </w:r>
          </w:p>
        </w:tc>
        <w:tc>
          <w:tcPr>
            <w:tcW w:w="1666" w:type="pct"/>
            <w:noWrap/>
            <w:hideMark/>
          </w:tcPr>
          <w:p w14:paraId="09C0FD67" w14:textId="77777777" w:rsidR="003705D8" w:rsidRPr="00A85956" w:rsidRDefault="003705D8" w:rsidP="00A85956">
            <w:pPr>
              <w:pStyle w:val="TableBody"/>
            </w:pPr>
            <w:r w:rsidRPr="00A85956">
              <w:t>6.7</w:t>
            </w:r>
          </w:p>
        </w:tc>
        <w:tc>
          <w:tcPr>
            <w:tcW w:w="1667" w:type="pct"/>
            <w:noWrap/>
            <w:hideMark/>
          </w:tcPr>
          <w:p w14:paraId="0855BB45" w14:textId="37532BFE" w:rsidR="003705D8" w:rsidRPr="00A85956" w:rsidRDefault="00E453D1" w:rsidP="00A85956">
            <w:pPr>
              <w:pStyle w:val="TableBody"/>
            </w:pPr>
            <w:r w:rsidRPr="00A85956">
              <w:t>5.3</w:t>
            </w:r>
          </w:p>
        </w:tc>
      </w:tr>
      <w:tr w:rsidR="003705D8" w:rsidRPr="00A05B2C" w14:paraId="5542D7BD" w14:textId="77777777" w:rsidTr="00683772">
        <w:trPr>
          <w:trHeight w:val="288"/>
        </w:trPr>
        <w:tc>
          <w:tcPr>
            <w:tcW w:w="1666" w:type="pct"/>
            <w:noWrap/>
            <w:hideMark/>
          </w:tcPr>
          <w:p w14:paraId="64F80F79" w14:textId="77777777" w:rsidR="003705D8" w:rsidRPr="00A85956" w:rsidRDefault="003705D8" w:rsidP="00A85956">
            <w:pPr>
              <w:pStyle w:val="TableBody"/>
            </w:pPr>
            <w:r w:rsidRPr="00A85956">
              <w:t>2022</w:t>
            </w:r>
          </w:p>
        </w:tc>
        <w:tc>
          <w:tcPr>
            <w:tcW w:w="1666" w:type="pct"/>
            <w:noWrap/>
            <w:hideMark/>
          </w:tcPr>
          <w:p w14:paraId="1B76783D" w14:textId="77777777" w:rsidR="003705D8" w:rsidRPr="00A85956" w:rsidRDefault="003705D8" w:rsidP="00A85956">
            <w:pPr>
              <w:pStyle w:val="TableBody"/>
            </w:pPr>
            <w:r w:rsidRPr="00A85956">
              <w:t>7.0</w:t>
            </w:r>
          </w:p>
        </w:tc>
        <w:tc>
          <w:tcPr>
            <w:tcW w:w="1667" w:type="pct"/>
            <w:noWrap/>
            <w:hideMark/>
          </w:tcPr>
          <w:p w14:paraId="427A4545" w14:textId="77777777" w:rsidR="003705D8" w:rsidRPr="00A85956" w:rsidRDefault="003705D8" w:rsidP="00A85956">
            <w:pPr>
              <w:pStyle w:val="TableBody"/>
            </w:pPr>
            <w:r w:rsidRPr="00A85956">
              <w:t>5.5</w:t>
            </w:r>
          </w:p>
        </w:tc>
      </w:tr>
      <w:tr w:rsidR="003705D8" w:rsidRPr="00A05B2C" w14:paraId="28979A4B" w14:textId="77777777" w:rsidTr="00683772">
        <w:trPr>
          <w:trHeight w:val="288"/>
        </w:trPr>
        <w:tc>
          <w:tcPr>
            <w:tcW w:w="1666" w:type="pct"/>
            <w:noWrap/>
            <w:hideMark/>
          </w:tcPr>
          <w:p w14:paraId="005B4614" w14:textId="77777777" w:rsidR="003705D8" w:rsidRPr="00A85956" w:rsidRDefault="003705D8" w:rsidP="00A85956">
            <w:pPr>
              <w:pStyle w:val="TableBody"/>
            </w:pPr>
            <w:r w:rsidRPr="00A85956">
              <w:t>2023</w:t>
            </w:r>
          </w:p>
        </w:tc>
        <w:tc>
          <w:tcPr>
            <w:tcW w:w="1666" w:type="pct"/>
            <w:noWrap/>
            <w:hideMark/>
          </w:tcPr>
          <w:p w14:paraId="489C2DA1" w14:textId="77777777" w:rsidR="003705D8" w:rsidRPr="00A85956" w:rsidRDefault="003705D8" w:rsidP="00A85956">
            <w:pPr>
              <w:pStyle w:val="TableBody"/>
            </w:pPr>
            <w:r w:rsidRPr="00A85956">
              <w:t>6.6</w:t>
            </w:r>
          </w:p>
        </w:tc>
        <w:tc>
          <w:tcPr>
            <w:tcW w:w="1667" w:type="pct"/>
            <w:noWrap/>
            <w:hideMark/>
          </w:tcPr>
          <w:p w14:paraId="57A7BBA2" w14:textId="77777777" w:rsidR="003705D8" w:rsidRPr="00A85956" w:rsidRDefault="003705D8" w:rsidP="00A85956">
            <w:pPr>
              <w:pStyle w:val="TableBody"/>
            </w:pPr>
            <w:r w:rsidRPr="00A85956">
              <w:t>5.2</w:t>
            </w:r>
          </w:p>
        </w:tc>
      </w:tr>
      <w:tr w:rsidR="003705D8" w:rsidRPr="00A05B2C" w14:paraId="36BD3902" w14:textId="77777777" w:rsidTr="00683772">
        <w:trPr>
          <w:trHeight w:val="288"/>
        </w:trPr>
        <w:tc>
          <w:tcPr>
            <w:tcW w:w="1666" w:type="pct"/>
            <w:noWrap/>
            <w:hideMark/>
          </w:tcPr>
          <w:p w14:paraId="5B06E7BE" w14:textId="77777777" w:rsidR="003705D8" w:rsidRPr="00A85956" w:rsidRDefault="003705D8" w:rsidP="00A85956">
            <w:pPr>
              <w:pStyle w:val="TableBody"/>
            </w:pPr>
            <w:r w:rsidRPr="00A85956">
              <w:t>2024</w:t>
            </w:r>
          </w:p>
        </w:tc>
        <w:tc>
          <w:tcPr>
            <w:tcW w:w="1666" w:type="pct"/>
            <w:noWrap/>
            <w:hideMark/>
          </w:tcPr>
          <w:p w14:paraId="32F53C37" w14:textId="405166AB" w:rsidR="003705D8" w:rsidRPr="00A85956" w:rsidRDefault="00F42CA8" w:rsidP="00A85956">
            <w:pPr>
              <w:pStyle w:val="TableBody"/>
            </w:pPr>
            <w:r w:rsidRPr="00A85956">
              <w:t>7.0</w:t>
            </w:r>
          </w:p>
        </w:tc>
        <w:tc>
          <w:tcPr>
            <w:tcW w:w="1667" w:type="pct"/>
            <w:noWrap/>
            <w:hideMark/>
          </w:tcPr>
          <w:p w14:paraId="65E42ECC" w14:textId="77777777" w:rsidR="003705D8" w:rsidRPr="00A85956" w:rsidRDefault="003705D8" w:rsidP="00A85956">
            <w:pPr>
              <w:pStyle w:val="TableBody"/>
            </w:pPr>
            <w:r w:rsidRPr="00A85956">
              <w:t>5.5</w:t>
            </w:r>
          </w:p>
        </w:tc>
      </w:tr>
    </w:tbl>
    <w:p w14:paraId="36385305" w14:textId="77777777" w:rsidR="00A4454A" w:rsidRPr="008C1137" w:rsidRDefault="00A4454A" w:rsidP="00D4532A">
      <w:r w:rsidRPr="000C258A">
        <w:rPr>
          <w:rStyle w:val="Strong"/>
        </w:rPr>
        <w:t>Source</w:t>
      </w:r>
      <w:r w:rsidRPr="008C1137">
        <w:t>: Australian Bureau of Statistics,</w:t>
      </w:r>
      <w:r w:rsidRPr="008C1137">
        <w:rPr>
          <w:rStyle w:val="Italic"/>
        </w:rPr>
        <w:t xml:space="preserve"> Prisoners in Australia</w:t>
      </w:r>
      <w:r w:rsidRPr="008C1137">
        <w:t>, cat. no. 4517.0 (abs.gov.au, 2024) Table 24, Table 25</w:t>
      </w:r>
    </w:p>
    <w:p w14:paraId="29D5C2FB" w14:textId="77777777" w:rsidR="00A4454A" w:rsidRPr="008C1137" w:rsidRDefault="00A4454A" w:rsidP="0002476E">
      <w:pPr>
        <w:pStyle w:val="Heading2"/>
      </w:pPr>
      <w:r w:rsidRPr="008C1137">
        <w:t>Most serious alleged offences of unsentenced prisoners</w:t>
      </w:r>
    </w:p>
    <w:p w14:paraId="08A5DAB3" w14:textId="77777777" w:rsidR="00A4454A" w:rsidRPr="008C1137" w:rsidRDefault="00A4454A" w:rsidP="00210207">
      <w:pPr>
        <w:pStyle w:val="Numbered"/>
      </w:pPr>
      <w:r w:rsidRPr="008C1137">
        <w:t>This section presents data on the most serious alleged offence of unsentenced prisoners (for people in custody on 30 June each year). For unsentenced prisoners, the National Offence Index</w:t>
      </w:r>
      <w:r w:rsidRPr="008C1137">
        <w:rPr>
          <w:rStyle w:val="Superscript"/>
        </w:rPr>
        <w:footnoteReference w:id="173"/>
      </w:r>
      <w:r w:rsidRPr="008C1137">
        <w:t xml:space="preserve"> is used to determine the most serious </w:t>
      </w:r>
      <w:r w:rsidRPr="003B3217">
        <w:rPr>
          <w:rStyle w:val="Italic"/>
        </w:rPr>
        <w:t>charge</w:t>
      </w:r>
      <w:r w:rsidRPr="008C1137">
        <w:t xml:space="preserve"> in a case, with the caveat that charges are typically unproven at the time and may end up changing, being withdrawn or not being proven. Again, offences are grouped into six categories (person, property, drug, public order, justice procedure and other</w:t>
      </w:r>
      <w:r w:rsidRPr="008C1137">
        <w:rPr>
          <w:rStyle w:val="Superscript"/>
        </w:rPr>
        <w:footnoteReference w:id="174"/>
      </w:r>
      <w:r w:rsidRPr="008C1137">
        <w:t xml:space="preserve">). </w:t>
      </w:r>
    </w:p>
    <w:p w14:paraId="5DC3AB64" w14:textId="1AC5E350" w:rsidR="00A4454A" w:rsidRPr="008C1137" w:rsidRDefault="00A4454A" w:rsidP="00BE4EDC">
      <w:pPr>
        <w:pStyle w:val="Numbered"/>
      </w:pPr>
      <w:r w:rsidRPr="008C1137">
        <w:t>Figure 52</w:t>
      </w:r>
      <w:r w:rsidR="009E33A5">
        <w:t xml:space="preserve"> </w:t>
      </w:r>
      <w:r w:rsidRPr="008C1137">
        <w:t xml:space="preserve">shows the number of </w:t>
      </w:r>
      <w:r w:rsidRPr="003B3217">
        <w:rPr>
          <w:rStyle w:val="Italic"/>
        </w:rPr>
        <w:t>unsentenced</w:t>
      </w:r>
      <w:r w:rsidRPr="008C1137">
        <w:t xml:space="preserve"> prisoners in the 20 years to 30 June 2024 by their most serious alleged offence upon entry into remand. The number of unsentenced prisoners increased for all offence categories during the period, especially (as with the overall trend) between 30 June 2013 and 30 June 2021. The primary driver of the increase in unsentenced prisoners was people remanded for offences against the person, almost </w:t>
      </w:r>
      <w:r w:rsidRPr="003B3217">
        <w:rPr>
          <w:rStyle w:val="Italic"/>
        </w:rPr>
        <w:t>tripling</w:t>
      </w:r>
      <w:r w:rsidRPr="008C1137">
        <w:t xml:space="preserve"> from 348 unsentenced prisoners on 30 June 2005 to 1,029 unsentenced prisoners on 30 June 2024, with a peak of 1,831 in 2021. There were, though, also increases in all of the remaining offence categories (albeit less substantial):</w:t>
      </w:r>
    </w:p>
    <w:p w14:paraId="3692F52B" w14:textId="77777777" w:rsidR="00A4454A" w:rsidRPr="008C1137" w:rsidRDefault="00A4454A" w:rsidP="008C1137">
      <w:pPr>
        <w:pStyle w:val="Bullets"/>
      </w:pPr>
      <w:r w:rsidRPr="003B3217">
        <w:rPr>
          <w:rStyle w:val="Italic"/>
        </w:rPr>
        <w:lastRenderedPageBreak/>
        <w:t>property offences</w:t>
      </w:r>
      <w:r w:rsidRPr="008C1137">
        <w:t xml:space="preserve"> quadrupled, from 111 unsentenced prisoners to 529</w:t>
      </w:r>
    </w:p>
    <w:p w14:paraId="3ED4444B" w14:textId="77777777" w:rsidR="00A4454A" w:rsidRPr="008C1137" w:rsidRDefault="00A4454A" w:rsidP="008C1137">
      <w:pPr>
        <w:pStyle w:val="Bullets"/>
      </w:pPr>
      <w:r w:rsidRPr="003B3217">
        <w:rPr>
          <w:rStyle w:val="Italic"/>
        </w:rPr>
        <w:t>drug offences</w:t>
      </w:r>
      <w:r w:rsidRPr="008C1137">
        <w:t xml:space="preserve"> almost doubled, from 164 unsentenced prisoners to 305</w:t>
      </w:r>
    </w:p>
    <w:p w14:paraId="704CCAA2" w14:textId="77777777" w:rsidR="00A4454A" w:rsidRPr="008C1137" w:rsidRDefault="00A4454A" w:rsidP="008C1137">
      <w:pPr>
        <w:pStyle w:val="Bullets"/>
      </w:pPr>
      <w:r w:rsidRPr="003B3217">
        <w:rPr>
          <w:rStyle w:val="Italic"/>
        </w:rPr>
        <w:t xml:space="preserve">justice procedure offences </w:t>
      </w:r>
      <w:r w:rsidRPr="008C1137">
        <w:t>increased more than eightfold, from 14 unsentenced prisoners to 119 and</w:t>
      </w:r>
    </w:p>
    <w:p w14:paraId="4D069D71" w14:textId="77777777" w:rsidR="00A4454A" w:rsidRPr="008C1137" w:rsidRDefault="00A4454A" w:rsidP="008C1137">
      <w:pPr>
        <w:pStyle w:val="Bullets"/>
      </w:pPr>
      <w:r w:rsidRPr="003B3217">
        <w:rPr>
          <w:rStyle w:val="Italic"/>
        </w:rPr>
        <w:t>public order offences</w:t>
      </w:r>
      <w:r w:rsidRPr="008C1137">
        <w:t xml:space="preserve"> increased from 3 unsentenced prisoners to 21. </w:t>
      </w:r>
    </w:p>
    <w:p w14:paraId="11D2C3CE" w14:textId="1A631176" w:rsidR="00A4454A" w:rsidRPr="008C1137" w:rsidRDefault="00A4454A" w:rsidP="00210207">
      <w:pPr>
        <w:pStyle w:val="Numbered"/>
      </w:pPr>
      <w:r w:rsidRPr="008C1137">
        <w:t>Figure 53</w:t>
      </w:r>
      <w:r w:rsidR="009E33A5">
        <w:t xml:space="preserve"> </w:t>
      </w:r>
      <w:r w:rsidRPr="008C1137">
        <w:t>shows the number of unsentenced prisoners on 30 June each year for types of offences against the person, given their volume (and recent decline). The number of unsentenced prisoners increased for all offence types in the 20-year period, but it is particularly evident that causing injury offences largely drove trends in unsentenced prisoners for offences against the person, both the significant increase from 30 June 2013 to 30 June 2021 and the significant decrease from 2021 to 30 June 2024.</w:t>
      </w:r>
    </w:p>
    <w:p w14:paraId="5DAE81D0" w14:textId="77777777" w:rsidR="00A4454A" w:rsidRPr="008C1137" w:rsidRDefault="00A4454A" w:rsidP="00BE4EDC">
      <w:pPr>
        <w:pStyle w:val="Caption"/>
      </w:pPr>
      <w:r w:rsidRPr="00157502">
        <w:t>Figure 52</w:t>
      </w:r>
      <w:r w:rsidRPr="008C1137">
        <w:t>: Number of unsentenced prisoners on 30 June, by category of most serious alleged offence, 2005 to 2024</w:t>
      </w:r>
    </w:p>
    <w:tbl>
      <w:tblPr>
        <w:tblStyle w:val="Table"/>
        <w:tblW w:w="5000" w:type="pct"/>
        <w:tblLayout w:type="fixed"/>
        <w:tblLook w:val="04A0" w:firstRow="1" w:lastRow="0" w:firstColumn="1" w:lastColumn="0" w:noHBand="0" w:noVBand="1"/>
      </w:tblPr>
      <w:tblGrid>
        <w:gridCol w:w="1502"/>
        <w:gridCol w:w="1504"/>
        <w:gridCol w:w="1504"/>
        <w:gridCol w:w="1502"/>
        <w:gridCol w:w="1504"/>
        <w:gridCol w:w="1500"/>
      </w:tblGrid>
      <w:tr w:rsidR="00124FD4" w:rsidRPr="00791C18" w14:paraId="25D27818" w14:textId="77777777" w:rsidTr="00716590">
        <w:trPr>
          <w:trHeight w:val="294"/>
          <w:tblHeader/>
        </w:trPr>
        <w:tc>
          <w:tcPr>
            <w:tcW w:w="833" w:type="pct"/>
            <w:noWrap/>
            <w:hideMark/>
          </w:tcPr>
          <w:p w14:paraId="1AB147D4" w14:textId="0DE8A1B2" w:rsidR="00124FD4" w:rsidRPr="00D85C9A" w:rsidRDefault="00124FD4" w:rsidP="00D85C9A">
            <w:pPr>
              <w:pStyle w:val="TableHeading"/>
            </w:pPr>
            <w:r w:rsidRPr="00D85C9A">
              <w:t>Year</w:t>
            </w:r>
          </w:p>
        </w:tc>
        <w:tc>
          <w:tcPr>
            <w:tcW w:w="834" w:type="pct"/>
            <w:noWrap/>
            <w:hideMark/>
          </w:tcPr>
          <w:p w14:paraId="1E1D5554" w14:textId="77777777" w:rsidR="00124FD4" w:rsidRPr="00791C18" w:rsidRDefault="00124FD4" w:rsidP="002054FC">
            <w:pPr>
              <w:pStyle w:val="TableHeading"/>
            </w:pPr>
            <w:r w:rsidRPr="00791C18">
              <w:t>Person</w:t>
            </w:r>
          </w:p>
        </w:tc>
        <w:tc>
          <w:tcPr>
            <w:tcW w:w="834" w:type="pct"/>
            <w:noWrap/>
            <w:hideMark/>
          </w:tcPr>
          <w:p w14:paraId="665F2BAA" w14:textId="77777777" w:rsidR="00124FD4" w:rsidRPr="00791C18" w:rsidRDefault="00124FD4" w:rsidP="002054FC">
            <w:pPr>
              <w:pStyle w:val="TableHeading"/>
            </w:pPr>
            <w:r w:rsidRPr="00791C18">
              <w:t>Property</w:t>
            </w:r>
          </w:p>
        </w:tc>
        <w:tc>
          <w:tcPr>
            <w:tcW w:w="833" w:type="pct"/>
            <w:noWrap/>
            <w:hideMark/>
          </w:tcPr>
          <w:p w14:paraId="6C1B02C7" w14:textId="77777777" w:rsidR="00124FD4" w:rsidRPr="00791C18" w:rsidRDefault="00124FD4" w:rsidP="002054FC">
            <w:pPr>
              <w:pStyle w:val="TableHeading"/>
            </w:pPr>
            <w:r w:rsidRPr="00791C18">
              <w:t>Drug</w:t>
            </w:r>
          </w:p>
        </w:tc>
        <w:tc>
          <w:tcPr>
            <w:tcW w:w="834" w:type="pct"/>
            <w:noWrap/>
            <w:hideMark/>
          </w:tcPr>
          <w:p w14:paraId="63468D51" w14:textId="77777777" w:rsidR="00124FD4" w:rsidRPr="00791C18" w:rsidRDefault="00124FD4" w:rsidP="002054FC">
            <w:pPr>
              <w:pStyle w:val="TableHeading"/>
            </w:pPr>
            <w:r w:rsidRPr="00791C18">
              <w:t>Public order</w:t>
            </w:r>
          </w:p>
        </w:tc>
        <w:tc>
          <w:tcPr>
            <w:tcW w:w="834" w:type="pct"/>
            <w:noWrap/>
            <w:hideMark/>
          </w:tcPr>
          <w:p w14:paraId="24A8548A" w14:textId="77777777" w:rsidR="00124FD4" w:rsidRPr="00791C18" w:rsidRDefault="00124FD4" w:rsidP="002054FC">
            <w:pPr>
              <w:pStyle w:val="TableHeading"/>
            </w:pPr>
            <w:r w:rsidRPr="00791C18">
              <w:t>Justice procedure</w:t>
            </w:r>
          </w:p>
        </w:tc>
      </w:tr>
      <w:tr w:rsidR="00124FD4" w:rsidRPr="00791C18" w14:paraId="4FCE3DF2" w14:textId="77777777" w:rsidTr="00716590">
        <w:trPr>
          <w:trHeight w:val="294"/>
        </w:trPr>
        <w:tc>
          <w:tcPr>
            <w:tcW w:w="833" w:type="pct"/>
            <w:noWrap/>
            <w:hideMark/>
          </w:tcPr>
          <w:p w14:paraId="1655FCD9" w14:textId="77777777" w:rsidR="00124FD4" w:rsidRPr="00A85956" w:rsidRDefault="00124FD4" w:rsidP="00A85956">
            <w:pPr>
              <w:pStyle w:val="TableBody"/>
            </w:pPr>
            <w:r w:rsidRPr="00A85956">
              <w:t>2005</w:t>
            </w:r>
          </w:p>
        </w:tc>
        <w:tc>
          <w:tcPr>
            <w:tcW w:w="834" w:type="pct"/>
            <w:noWrap/>
            <w:hideMark/>
          </w:tcPr>
          <w:p w14:paraId="7BD1D949" w14:textId="77777777" w:rsidR="00124FD4" w:rsidRPr="00A85956" w:rsidRDefault="00124FD4" w:rsidP="00A85956">
            <w:pPr>
              <w:pStyle w:val="TableBody"/>
            </w:pPr>
            <w:r w:rsidRPr="00A85956">
              <w:t>348</w:t>
            </w:r>
          </w:p>
        </w:tc>
        <w:tc>
          <w:tcPr>
            <w:tcW w:w="834" w:type="pct"/>
            <w:noWrap/>
            <w:hideMark/>
          </w:tcPr>
          <w:p w14:paraId="3C89B829" w14:textId="77777777" w:rsidR="00124FD4" w:rsidRPr="00A85956" w:rsidRDefault="00124FD4" w:rsidP="00A85956">
            <w:pPr>
              <w:pStyle w:val="TableBody"/>
            </w:pPr>
            <w:r w:rsidRPr="00A85956">
              <w:t>111</w:t>
            </w:r>
          </w:p>
        </w:tc>
        <w:tc>
          <w:tcPr>
            <w:tcW w:w="833" w:type="pct"/>
            <w:noWrap/>
            <w:hideMark/>
          </w:tcPr>
          <w:p w14:paraId="0A6AD371" w14:textId="77777777" w:rsidR="00124FD4" w:rsidRPr="00A85956" w:rsidRDefault="00124FD4" w:rsidP="00A85956">
            <w:pPr>
              <w:pStyle w:val="TableBody"/>
            </w:pPr>
            <w:r w:rsidRPr="00A85956">
              <w:t>164</w:t>
            </w:r>
          </w:p>
        </w:tc>
        <w:tc>
          <w:tcPr>
            <w:tcW w:w="834" w:type="pct"/>
            <w:noWrap/>
            <w:hideMark/>
          </w:tcPr>
          <w:p w14:paraId="3F3E41A9" w14:textId="77777777" w:rsidR="00124FD4" w:rsidRPr="00A85956" w:rsidRDefault="00124FD4" w:rsidP="00A85956">
            <w:pPr>
              <w:pStyle w:val="TableBody"/>
            </w:pPr>
            <w:r w:rsidRPr="00A85956">
              <w:t>3</w:t>
            </w:r>
          </w:p>
        </w:tc>
        <w:tc>
          <w:tcPr>
            <w:tcW w:w="834" w:type="pct"/>
            <w:noWrap/>
            <w:hideMark/>
          </w:tcPr>
          <w:p w14:paraId="5269BF4B" w14:textId="77777777" w:rsidR="00124FD4" w:rsidRPr="00A85956" w:rsidRDefault="00124FD4" w:rsidP="00A85956">
            <w:pPr>
              <w:pStyle w:val="TableBody"/>
            </w:pPr>
            <w:r w:rsidRPr="00A85956">
              <w:t>14</w:t>
            </w:r>
          </w:p>
        </w:tc>
      </w:tr>
      <w:tr w:rsidR="00124FD4" w:rsidRPr="00791C18" w14:paraId="31556E8D" w14:textId="77777777" w:rsidTr="00716590">
        <w:trPr>
          <w:trHeight w:val="294"/>
        </w:trPr>
        <w:tc>
          <w:tcPr>
            <w:tcW w:w="833" w:type="pct"/>
            <w:noWrap/>
            <w:hideMark/>
          </w:tcPr>
          <w:p w14:paraId="362B512B" w14:textId="77777777" w:rsidR="00124FD4" w:rsidRPr="00A85956" w:rsidRDefault="00124FD4" w:rsidP="00A85956">
            <w:pPr>
              <w:pStyle w:val="TableBody"/>
            </w:pPr>
            <w:r w:rsidRPr="00A85956">
              <w:t>2006</w:t>
            </w:r>
          </w:p>
        </w:tc>
        <w:tc>
          <w:tcPr>
            <w:tcW w:w="834" w:type="pct"/>
            <w:noWrap/>
            <w:hideMark/>
          </w:tcPr>
          <w:p w14:paraId="36D5B9CF" w14:textId="77777777" w:rsidR="00124FD4" w:rsidRPr="00A85956" w:rsidRDefault="00124FD4" w:rsidP="00A85956">
            <w:pPr>
              <w:pStyle w:val="TableBody"/>
            </w:pPr>
            <w:r w:rsidRPr="00A85956">
              <w:t>456</w:t>
            </w:r>
          </w:p>
        </w:tc>
        <w:tc>
          <w:tcPr>
            <w:tcW w:w="834" w:type="pct"/>
            <w:noWrap/>
            <w:hideMark/>
          </w:tcPr>
          <w:p w14:paraId="40461636" w14:textId="77777777" w:rsidR="00124FD4" w:rsidRPr="00A85956" w:rsidRDefault="00124FD4" w:rsidP="00A85956">
            <w:pPr>
              <w:pStyle w:val="TableBody"/>
            </w:pPr>
            <w:r w:rsidRPr="00A85956">
              <w:t>142</w:t>
            </w:r>
          </w:p>
        </w:tc>
        <w:tc>
          <w:tcPr>
            <w:tcW w:w="833" w:type="pct"/>
            <w:noWrap/>
            <w:hideMark/>
          </w:tcPr>
          <w:p w14:paraId="5BCEF18E" w14:textId="77777777" w:rsidR="00124FD4" w:rsidRPr="00A85956" w:rsidRDefault="00124FD4" w:rsidP="00A85956">
            <w:pPr>
              <w:pStyle w:val="TableBody"/>
            </w:pPr>
            <w:r w:rsidRPr="00A85956">
              <w:t>94</w:t>
            </w:r>
          </w:p>
        </w:tc>
        <w:tc>
          <w:tcPr>
            <w:tcW w:w="834" w:type="pct"/>
            <w:noWrap/>
            <w:hideMark/>
          </w:tcPr>
          <w:p w14:paraId="2D15A98E" w14:textId="77777777" w:rsidR="00124FD4" w:rsidRPr="00A85956" w:rsidRDefault="00124FD4" w:rsidP="00A85956">
            <w:pPr>
              <w:pStyle w:val="TableBody"/>
            </w:pPr>
            <w:r w:rsidRPr="00A85956">
              <w:t>12</w:t>
            </w:r>
          </w:p>
        </w:tc>
        <w:tc>
          <w:tcPr>
            <w:tcW w:w="834" w:type="pct"/>
            <w:noWrap/>
            <w:hideMark/>
          </w:tcPr>
          <w:p w14:paraId="331685AD" w14:textId="77777777" w:rsidR="00124FD4" w:rsidRPr="00A85956" w:rsidRDefault="00124FD4" w:rsidP="00A85956">
            <w:pPr>
              <w:pStyle w:val="TableBody"/>
            </w:pPr>
            <w:r w:rsidRPr="00A85956">
              <w:t>21</w:t>
            </w:r>
          </w:p>
        </w:tc>
      </w:tr>
      <w:tr w:rsidR="00124FD4" w:rsidRPr="00791C18" w14:paraId="06AB7A62" w14:textId="77777777" w:rsidTr="00716590">
        <w:trPr>
          <w:trHeight w:val="294"/>
        </w:trPr>
        <w:tc>
          <w:tcPr>
            <w:tcW w:w="833" w:type="pct"/>
            <w:noWrap/>
            <w:hideMark/>
          </w:tcPr>
          <w:p w14:paraId="357EE1B4" w14:textId="77777777" w:rsidR="00124FD4" w:rsidRPr="00A85956" w:rsidRDefault="00124FD4" w:rsidP="00A85956">
            <w:pPr>
              <w:pStyle w:val="TableBody"/>
            </w:pPr>
            <w:r w:rsidRPr="00A85956">
              <w:t>2007</w:t>
            </w:r>
          </w:p>
        </w:tc>
        <w:tc>
          <w:tcPr>
            <w:tcW w:w="834" w:type="pct"/>
            <w:noWrap/>
            <w:hideMark/>
          </w:tcPr>
          <w:p w14:paraId="5FA595FF" w14:textId="77777777" w:rsidR="00124FD4" w:rsidRPr="00A85956" w:rsidRDefault="00124FD4" w:rsidP="00A85956">
            <w:pPr>
              <w:pStyle w:val="TableBody"/>
            </w:pPr>
            <w:r w:rsidRPr="00A85956">
              <w:t>442</w:t>
            </w:r>
          </w:p>
        </w:tc>
        <w:tc>
          <w:tcPr>
            <w:tcW w:w="834" w:type="pct"/>
            <w:noWrap/>
            <w:hideMark/>
          </w:tcPr>
          <w:p w14:paraId="6E784F25" w14:textId="77777777" w:rsidR="00124FD4" w:rsidRPr="00A85956" w:rsidRDefault="00124FD4" w:rsidP="00A85956">
            <w:pPr>
              <w:pStyle w:val="TableBody"/>
            </w:pPr>
            <w:r w:rsidRPr="00A85956">
              <w:t>124</w:t>
            </w:r>
          </w:p>
        </w:tc>
        <w:tc>
          <w:tcPr>
            <w:tcW w:w="833" w:type="pct"/>
            <w:noWrap/>
            <w:hideMark/>
          </w:tcPr>
          <w:p w14:paraId="188133C8" w14:textId="77777777" w:rsidR="00124FD4" w:rsidRPr="00A85956" w:rsidRDefault="00124FD4" w:rsidP="00A85956">
            <w:pPr>
              <w:pStyle w:val="TableBody"/>
            </w:pPr>
            <w:r w:rsidRPr="00A85956">
              <w:t>178</w:t>
            </w:r>
          </w:p>
        </w:tc>
        <w:tc>
          <w:tcPr>
            <w:tcW w:w="834" w:type="pct"/>
            <w:noWrap/>
            <w:hideMark/>
          </w:tcPr>
          <w:p w14:paraId="2FAC4484" w14:textId="77777777" w:rsidR="00124FD4" w:rsidRPr="00A85956" w:rsidRDefault="00124FD4" w:rsidP="00A85956">
            <w:pPr>
              <w:pStyle w:val="TableBody"/>
            </w:pPr>
            <w:r w:rsidRPr="00A85956">
              <w:t>25</w:t>
            </w:r>
          </w:p>
        </w:tc>
        <w:tc>
          <w:tcPr>
            <w:tcW w:w="834" w:type="pct"/>
            <w:noWrap/>
            <w:hideMark/>
          </w:tcPr>
          <w:p w14:paraId="7ECD5304" w14:textId="77777777" w:rsidR="00124FD4" w:rsidRPr="00A85956" w:rsidRDefault="00124FD4" w:rsidP="00A85956">
            <w:pPr>
              <w:pStyle w:val="TableBody"/>
            </w:pPr>
            <w:r w:rsidRPr="00A85956">
              <w:t>24</w:t>
            </w:r>
          </w:p>
        </w:tc>
      </w:tr>
      <w:tr w:rsidR="00124FD4" w:rsidRPr="00791C18" w14:paraId="000981E0" w14:textId="77777777" w:rsidTr="00716590">
        <w:trPr>
          <w:trHeight w:val="294"/>
        </w:trPr>
        <w:tc>
          <w:tcPr>
            <w:tcW w:w="833" w:type="pct"/>
            <w:noWrap/>
            <w:hideMark/>
          </w:tcPr>
          <w:p w14:paraId="7B82C8EE" w14:textId="77777777" w:rsidR="00124FD4" w:rsidRPr="00A85956" w:rsidRDefault="00124FD4" w:rsidP="00A85956">
            <w:pPr>
              <w:pStyle w:val="TableBody"/>
            </w:pPr>
            <w:r w:rsidRPr="00A85956">
              <w:t>2008</w:t>
            </w:r>
          </w:p>
        </w:tc>
        <w:tc>
          <w:tcPr>
            <w:tcW w:w="834" w:type="pct"/>
            <w:noWrap/>
            <w:hideMark/>
          </w:tcPr>
          <w:p w14:paraId="63634FAA" w14:textId="77777777" w:rsidR="00124FD4" w:rsidRPr="00A85956" w:rsidRDefault="00124FD4" w:rsidP="00A85956">
            <w:pPr>
              <w:pStyle w:val="TableBody"/>
            </w:pPr>
            <w:r w:rsidRPr="00A85956">
              <w:t>463</w:t>
            </w:r>
          </w:p>
        </w:tc>
        <w:tc>
          <w:tcPr>
            <w:tcW w:w="834" w:type="pct"/>
            <w:noWrap/>
            <w:hideMark/>
          </w:tcPr>
          <w:p w14:paraId="73F41AAD" w14:textId="77777777" w:rsidR="00124FD4" w:rsidRPr="00A85956" w:rsidRDefault="00124FD4" w:rsidP="00A85956">
            <w:pPr>
              <w:pStyle w:val="TableBody"/>
            </w:pPr>
            <w:r w:rsidRPr="00A85956">
              <w:t>142</w:t>
            </w:r>
          </w:p>
        </w:tc>
        <w:tc>
          <w:tcPr>
            <w:tcW w:w="833" w:type="pct"/>
            <w:noWrap/>
            <w:hideMark/>
          </w:tcPr>
          <w:p w14:paraId="76B04A97" w14:textId="77777777" w:rsidR="00124FD4" w:rsidRPr="00A85956" w:rsidRDefault="00124FD4" w:rsidP="00A85956">
            <w:pPr>
              <w:pStyle w:val="TableBody"/>
            </w:pPr>
            <w:r w:rsidRPr="00A85956">
              <w:t>173</w:t>
            </w:r>
          </w:p>
        </w:tc>
        <w:tc>
          <w:tcPr>
            <w:tcW w:w="834" w:type="pct"/>
            <w:noWrap/>
            <w:hideMark/>
          </w:tcPr>
          <w:p w14:paraId="642A8AD9" w14:textId="77777777" w:rsidR="00124FD4" w:rsidRPr="00A85956" w:rsidRDefault="00124FD4" w:rsidP="00A85956">
            <w:pPr>
              <w:pStyle w:val="TableBody"/>
            </w:pPr>
            <w:r w:rsidRPr="00A85956">
              <w:t>8</w:t>
            </w:r>
          </w:p>
        </w:tc>
        <w:tc>
          <w:tcPr>
            <w:tcW w:w="834" w:type="pct"/>
            <w:noWrap/>
            <w:hideMark/>
          </w:tcPr>
          <w:p w14:paraId="4F1D9ABF" w14:textId="77777777" w:rsidR="00124FD4" w:rsidRPr="00A85956" w:rsidRDefault="00124FD4" w:rsidP="00A85956">
            <w:pPr>
              <w:pStyle w:val="TableBody"/>
            </w:pPr>
            <w:r w:rsidRPr="00A85956">
              <w:t>21</w:t>
            </w:r>
          </w:p>
        </w:tc>
      </w:tr>
      <w:tr w:rsidR="00124FD4" w:rsidRPr="00791C18" w14:paraId="7DF23F60" w14:textId="77777777" w:rsidTr="00716590">
        <w:trPr>
          <w:trHeight w:val="294"/>
        </w:trPr>
        <w:tc>
          <w:tcPr>
            <w:tcW w:w="833" w:type="pct"/>
            <w:noWrap/>
            <w:hideMark/>
          </w:tcPr>
          <w:p w14:paraId="07C82587" w14:textId="77777777" w:rsidR="00124FD4" w:rsidRPr="00A85956" w:rsidRDefault="00124FD4" w:rsidP="00A85956">
            <w:pPr>
              <w:pStyle w:val="TableBody"/>
            </w:pPr>
            <w:r w:rsidRPr="00A85956">
              <w:t>2009</w:t>
            </w:r>
          </w:p>
        </w:tc>
        <w:tc>
          <w:tcPr>
            <w:tcW w:w="834" w:type="pct"/>
            <w:noWrap/>
            <w:hideMark/>
          </w:tcPr>
          <w:p w14:paraId="24545389" w14:textId="77777777" w:rsidR="00124FD4" w:rsidRPr="00A85956" w:rsidRDefault="00124FD4" w:rsidP="00A85956">
            <w:pPr>
              <w:pStyle w:val="TableBody"/>
            </w:pPr>
            <w:r w:rsidRPr="00A85956">
              <w:t>451</w:t>
            </w:r>
          </w:p>
        </w:tc>
        <w:tc>
          <w:tcPr>
            <w:tcW w:w="834" w:type="pct"/>
            <w:noWrap/>
            <w:hideMark/>
          </w:tcPr>
          <w:p w14:paraId="52156556" w14:textId="77777777" w:rsidR="00124FD4" w:rsidRPr="00A85956" w:rsidRDefault="00124FD4" w:rsidP="00A85956">
            <w:pPr>
              <w:pStyle w:val="TableBody"/>
            </w:pPr>
            <w:r w:rsidRPr="00A85956">
              <w:t>173</w:t>
            </w:r>
          </w:p>
        </w:tc>
        <w:tc>
          <w:tcPr>
            <w:tcW w:w="833" w:type="pct"/>
            <w:noWrap/>
            <w:hideMark/>
          </w:tcPr>
          <w:p w14:paraId="19DD6F35" w14:textId="77777777" w:rsidR="00124FD4" w:rsidRPr="00A85956" w:rsidRDefault="00124FD4" w:rsidP="00A85956">
            <w:pPr>
              <w:pStyle w:val="TableBody"/>
            </w:pPr>
            <w:r w:rsidRPr="00A85956">
              <w:t>167</w:t>
            </w:r>
          </w:p>
        </w:tc>
        <w:tc>
          <w:tcPr>
            <w:tcW w:w="834" w:type="pct"/>
            <w:noWrap/>
            <w:hideMark/>
          </w:tcPr>
          <w:p w14:paraId="5F000B5C" w14:textId="77777777" w:rsidR="00124FD4" w:rsidRPr="00A85956" w:rsidRDefault="00124FD4" w:rsidP="00A85956">
            <w:pPr>
              <w:pStyle w:val="TableBody"/>
            </w:pPr>
            <w:r w:rsidRPr="00A85956">
              <w:t>15</w:t>
            </w:r>
          </w:p>
        </w:tc>
        <w:tc>
          <w:tcPr>
            <w:tcW w:w="834" w:type="pct"/>
            <w:noWrap/>
            <w:hideMark/>
          </w:tcPr>
          <w:p w14:paraId="1FC0B0B9" w14:textId="77777777" w:rsidR="00124FD4" w:rsidRPr="00A85956" w:rsidRDefault="00124FD4" w:rsidP="00A85956">
            <w:pPr>
              <w:pStyle w:val="TableBody"/>
            </w:pPr>
            <w:r w:rsidRPr="00A85956">
              <w:t>6</w:t>
            </w:r>
          </w:p>
        </w:tc>
      </w:tr>
      <w:tr w:rsidR="00124FD4" w:rsidRPr="00791C18" w14:paraId="023E4BA9" w14:textId="77777777" w:rsidTr="00716590">
        <w:trPr>
          <w:trHeight w:val="294"/>
        </w:trPr>
        <w:tc>
          <w:tcPr>
            <w:tcW w:w="833" w:type="pct"/>
            <w:noWrap/>
            <w:hideMark/>
          </w:tcPr>
          <w:p w14:paraId="5176360B" w14:textId="77777777" w:rsidR="00124FD4" w:rsidRPr="00A85956" w:rsidRDefault="00124FD4" w:rsidP="00A85956">
            <w:pPr>
              <w:pStyle w:val="TableBody"/>
            </w:pPr>
            <w:r w:rsidRPr="00A85956">
              <w:t>2010</w:t>
            </w:r>
          </w:p>
        </w:tc>
        <w:tc>
          <w:tcPr>
            <w:tcW w:w="834" w:type="pct"/>
            <w:noWrap/>
            <w:hideMark/>
          </w:tcPr>
          <w:p w14:paraId="3F041AB0" w14:textId="77777777" w:rsidR="00124FD4" w:rsidRPr="00A85956" w:rsidRDefault="00124FD4" w:rsidP="00A85956">
            <w:pPr>
              <w:pStyle w:val="TableBody"/>
            </w:pPr>
            <w:r w:rsidRPr="00A85956">
              <w:t>456</w:t>
            </w:r>
          </w:p>
        </w:tc>
        <w:tc>
          <w:tcPr>
            <w:tcW w:w="834" w:type="pct"/>
            <w:noWrap/>
            <w:hideMark/>
          </w:tcPr>
          <w:p w14:paraId="1B80B1D9" w14:textId="77777777" w:rsidR="00124FD4" w:rsidRPr="00A85956" w:rsidRDefault="00124FD4" w:rsidP="00A85956">
            <w:pPr>
              <w:pStyle w:val="TableBody"/>
            </w:pPr>
            <w:r w:rsidRPr="00A85956">
              <w:t>159</w:t>
            </w:r>
          </w:p>
        </w:tc>
        <w:tc>
          <w:tcPr>
            <w:tcW w:w="833" w:type="pct"/>
            <w:noWrap/>
            <w:hideMark/>
          </w:tcPr>
          <w:p w14:paraId="3333987E" w14:textId="77777777" w:rsidR="00124FD4" w:rsidRPr="00A85956" w:rsidRDefault="00124FD4" w:rsidP="00A85956">
            <w:pPr>
              <w:pStyle w:val="TableBody"/>
            </w:pPr>
            <w:r w:rsidRPr="00A85956">
              <w:t>162</w:t>
            </w:r>
          </w:p>
        </w:tc>
        <w:tc>
          <w:tcPr>
            <w:tcW w:w="834" w:type="pct"/>
            <w:noWrap/>
            <w:hideMark/>
          </w:tcPr>
          <w:p w14:paraId="5D6DD843" w14:textId="77777777" w:rsidR="00124FD4" w:rsidRPr="00A85956" w:rsidRDefault="00124FD4" w:rsidP="00A85956">
            <w:pPr>
              <w:pStyle w:val="TableBody"/>
            </w:pPr>
            <w:r w:rsidRPr="00A85956">
              <w:t>14</w:t>
            </w:r>
          </w:p>
        </w:tc>
        <w:tc>
          <w:tcPr>
            <w:tcW w:w="834" w:type="pct"/>
            <w:noWrap/>
            <w:hideMark/>
          </w:tcPr>
          <w:p w14:paraId="5A0E6EE9" w14:textId="77777777" w:rsidR="00124FD4" w:rsidRPr="00A85956" w:rsidRDefault="00124FD4" w:rsidP="00A85956">
            <w:pPr>
              <w:pStyle w:val="TableBody"/>
            </w:pPr>
            <w:r w:rsidRPr="00A85956">
              <w:t>6</w:t>
            </w:r>
          </w:p>
        </w:tc>
      </w:tr>
      <w:tr w:rsidR="00124FD4" w:rsidRPr="00791C18" w14:paraId="712D9870" w14:textId="77777777" w:rsidTr="00716590">
        <w:trPr>
          <w:trHeight w:val="294"/>
        </w:trPr>
        <w:tc>
          <w:tcPr>
            <w:tcW w:w="833" w:type="pct"/>
            <w:noWrap/>
            <w:hideMark/>
          </w:tcPr>
          <w:p w14:paraId="2AE94B44" w14:textId="77777777" w:rsidR="00124FD4" w:rsidRPr="00A85956" w:rsidRDefault="00124FD4" w:rsidP="00A85956">
            <w:pPr>
              <w:pStyle w:val="TableBody"/>
            </w:pPr>
            <w:r w:rsidRPr="00A85956">
              <w:t>2011</w:t>
            </w:r>
          </w:p>
        </w:tc>
        <w:tc>
          <w:tcPr>
            <w:tcW w:w="834" w:type="pct"/>
            <w:noWrap/>
            <w:hideMark/>
          </w:tcPr>
          <w:p w14:paraId="52F94460" w14:textId="77777777" w:rsidR="00124FD4" w:rsidRPr="00A85956" w:rsidRDefault="00124FD4" w:rsidP="00A85956">
            <w:pPr>
              <w:pStyle w:val="TableBody"/>
            </w:pPr>
            <w:r w:rsidRPr="00A85956">
              <w:t>471</w:t>
            </w:r>
          </w:p>
        </w:tc>
        <w:tc>
          <w:tcPr>
            <w:tcW w:w="834" w:type="pct"/>
            <w:noWrap/>
            <w:hideMark/>
          </w:tcPr>
          <w:p w14:paraId="3FC0EB18" w14:textId="77777777" w:rsidR="00124FD4" w:rsidRPr="00A85956" w:rsidRDefault="00124FD4" w:rsidP="00A85956">
            <w:pPr>
              <w:pStyle w:val="TableBody"/>
            </w:pPr>
            <w:r w:rsidRPr="00A85956">
              <w:t>166</w:t>
            </w:r>
          </w:p>
        </w:tc>
        <w:tc>
          <w:tcPr>
            <w:tcW w:w="833" w:type="pct"/>
            <w:noWrap/>
            <w:hideMark/>
          </w:tcPr>
          <w:p w14:paraId="6707D7DA" w14:textId="77777777" w:rsidR="00124FD4" w:rsidRPr="00A85956" w:rsidRDefault="00124FD4" w:rsidP="00A85956">
            <w:pPr>
              <w:pStyle w:val="TableBody"/>
            </w:pPr>
            <w:r w:rsidRPr="00A85956">
              <w:t>159</w:t>
            </w:r>
          </w:p>
        </w:tc>
        <w:tc>
          <w:tcPr>
            <w:tcW w:w="834" w:type="pct"/>
            <w:noWrap/>
            <w:hideMark/>
          </w:tcPr>
          <w:p w14:paraId="32F0A1C2" w14:textId="77777777" w:rsidR="00124FD4" w:rsidRPr="00A85956" w:rsidRDefault="00124FD4" w:rsidP="00A85956">
            <w:pPr>
              <w:pStyle w:val="TableBody"/>
            </w:pPr>
            <w:r w:rsidRPr="00A85956">
              <w:t>13</w:t>
            </w:r>
          </w:p>
        </w:tc>
        <w:tc>
          <w:tcPr>
            <w:tcW w:w="834" w:type="pct"/>
            <w:noWrap/>
            <w:hideMark/>
          </w:tcPr>
          <w:p w14:paraId="547A67F7" w14:textId="77777777" w:rsidR="00124FD4" w:rsidRPr="00A85956" w:rsidRDefault="00124FD4" w:rsidP="00A85956">
            <w:pPr>
              <w:pStyle w:val="TableBody"/>
            </w:pPr>
            <w:r w:rsidRPr="00A85956">
              <w:t>63</w:t>
            </w:r>
          </w:p>
        </w:tc>
      </w:tr>
      <w:tr w:rsidR="00124FD4" w:rsidRPr="00791C18" w14:paraId="65B5D83A" w14:textId="77777777" w:rsidTr="00716590">
        <w:trPr>
          <w:trHeight w:val="294"/>
        </w:trPr>
        <w:tc>
          <w:tcPr>
            <w:tcW w:w="833" w:type="pct"/>
            <w:noWrap/>
            <w:hideMark/>
          </w:tcPr>
          <w:p w14:paraId="7D3DEE9B" w14:textId="77777777" w:rsidR="00124FD4" w:rsidRPr="00A85956" w:rsidRDefault="00124FD4" w:rsidP="00A85956">
            <w:pPr>
              <w:pStyle w:val="TableBody"/>
            </w:pPr>
            <w:r w:rsidRPr="00A85956">
              <w:t>2012</w:t>
            </w:r>
          </w:p>
        </w:tc>
        <w:tc>
          <w:tcPr>
            <w:tcW w:w="834" w:type="pct"/>
            <w:noWrap/>
            <w:hideMark/>
          </w:tcPr>
          <w:p w14:paraId="4BF79C21" w14:textId="77777777" w:rsidR="00124FD4" w:rsidRPr="00A85956" w:rsidRDefault="00124FD4" w:rsidP="00A85956">
            <w:pPr>
              <w:pStyle w:val="TableBody"/>
            </w:pPr>
            <w:r w:rsidRPr="00A85956">
              <w:t>520</w:t>
            </w:r>
          </w:p>
        </w:tc>
        <w:tc>
          <w:tcPr>
            <w:tcW w:w="834" w:type="pct"/>
            <w:noWrap/>
            <w:hideMark/>
          </w:tcPr>
          <w:p w14:paraId="752D8683" w14:textId="77777777" w:rsidR="00124FD4" w:rsidRPr="00A85956" w:rsidRDefault="00124FD4" w:rsidP="00A85956">
            <w:pPr>
              <w:pStyle w:val="TableBody"/>
            </w:pPr>
            <w:r w:rsidRPr="00A85956">
              <w:t>178</w:t>
            </w:r>
          </w:p>
        </w:tc>
        <w:tc>
          <w:tcPr>
            <w:tcW w:w="833" w:type="pct"/>
            <w:noWrap/>
            <w:hideMark/>
          </w:tcPr>
          <w:p w14:paraId="6E8E3856" w14:textId="77777777" w:rsidR="00124FD4" w:rsidRPr="00A85956" w:rsidRDefault="00124FD4" w:rsidP="00A85956">
            <w:pPr>
              <w:pStyle w:val="TableBody"/>
            </w:pPr>
            <w:r w:rsidRPr="00A85956">
              <w:t>215</w:t>
            </w:r>
          </w:p>
        </w:tc>
        <w:tc>
          <w:tcPr>
            <w:tcW w:w="834" w:type="pct"/>
            <w:noWrap/>
            <w:hideMark/>
          </w:tcPr>
          <w:p w14:paraId="6114390C" w14:textId="77777777" w:rsidR="00124FD4" w:rsidRPr="00A85956" w:rsidRDefault="00124FD4" w:rsidP="00A85956">
            <w:pPr>
              <w:pStyle w:val="TableBody"/>
            </w:pPr>
            <w:r w:rsidRPr="00A85956">
              <w:t>19</w:t>
            </w:r>
          </w:p>
        </w:tc>
        <w:tc>
          <w:tcPr>
            <w:tcW w:w="834" w:type="pct"/>
            <w:noWrap/>
            <w:hideMark/>
          </w:tcPr>
          <w:p w14:paraId="5FDD5A4C" w14:textId="77777777" w:rsidR="00124FD4" w:rsidRPr="00A85956" w:rsidRDefault="00124FD4" w:rsidP="00A85956">
            <w:pPr>
              <w:pStyle w:val="TableBody"/>
            </w:pPr>
            <w:r w:rsidRPr="00A85956">
              <w:t>62</w:t>
            </w:r>
          </w:p>
        </w:tc>
      </w:tr>
      <w:tr w:rsidR="00124FD4" w:rsidRPr="00791C18" w14:paraId="1E209E6C" w14:textId="77777777" w:rsidTr="00716590">
        <w:trPr>
          <w:trHeight w:val="294"/>
        </w:trPr>
        <w:tc>
          <w:tcPr>
            <w:tcW w:w="833" w:type="pct"/>
            <w:noWrap/>
            <w:hideMark/>
          </w:tcPr>
          <w:p w14:paraId="0C35192B" w14:textId="77777777" w:rsidR="00124FD4" w:rsidRPr="00A85956" w:rsidRDefault="00124FD4" w:rsidP="00A85956">
            <w:pPr>
              <w:pStyle w:val="TableBody"/>
            </w:pPr>
            <w:r w:rsidRPr="00A85956">
              <w:t>2013</w:t>
            </w:r>
          </w:p>
        </w:tc>
        <w:tc>
          <w:tcPr>
            <w:tcW w:w="834" w:type="pct"/>
            <w:noWrap/>
            <w:hideMark/>
          </w:tcPr>
          <w:p w14:paraId="6C132FE7" w14:textId="77777777" w:rsidR="00124FD4" w:rsidRPr="00A85956" w:rsidRDefault="00124FD4" w:rsidP="00A85956">
            <w:pPr>
              <w:pStyle w:val="TableBody"/>
            </w:pPr>
            <w:r w:rsidRPr="00A85956">
              <w:t>536</w:t>
            </w:r>
          </w:p>
        </w:tc>
        <w:tc>
          <w:tcPr>
            <w:tcW w:w="834" w:type="pct"/>
            <w:noWrap/>
            <w:hideMark/>
          </w:tcPr>
          <w:p w14:paraId="3721B458" w14:textId="77777777" w:rsidR="00124FD4" w:rsidRPr="00A85956" w:rsidRDefault="00124FD4" w:rsidP="00A85956">
            <w:pPr>
              <w:pStyle w:val="TableBody"/>
            </w:pPr>
            <w:r w:rsidRPr="00A85956">
              <w:t>173</w:t>
            </w:r>
          </w:p>
        </w:tc>
        <w:tc>
          <w:tcPr>
            <w:tcW w:w="833" w:type="pct"/>
            <w:noWrap/>
            <w:hideMark/>
          </w:tcPr>
          <w:p w14:paraId="23105E86" w14:textId="77777777" w:rsidR="00124FD4" w:rsidRPr="00A85956" w:rsidRDefault="00124FD4" w:rsidP="00A85956">
            <w:pPr>
              <w:pStyle w:val="TableBody"/>
            </w:pPr>
            <w:r w:rsidRPr="00A85956">
              <w:t>201</w:t>
            </w:r>
          </w:p>
        </w:tc>
        <w:tc>
          <w:tcPr>
            <w:tcW w:w="834" w:type="pct"/>
            <w:noWrap/>
            <w:hideMark/>
          </w:tcPr>
          <w:p w14:paraId="46070A41" w14:textId="77777777" w:rsidR="00124FD4" w:rsidRPr="00A85956" w:rsidRDefault="00124FD4" w:rsidP="00A85956">
            <w:pPr>
              <w:pStyle w:val="TableBody"/>
            </w:pPr>
            <w:r w:rsidRPr="00A85956">
              <w:t>20</w:t>
            </w:r>
          </w:p>
        </w:tc>
        <w:tc>
          <w:tcPr>
            <w:tcW w:w="834" w:type="pct"/>
            <w:noWrap/>
            <w:hideMark/>
          </w:tcPr>
          <w:p w14:paraId="172135B5" w14:textId="77777777" w:rsidR="00124FD4" w:rsidRPr="00A85956" w:rsidRDefault="00124FD4" w:rsidP="00A85956">
            <w:pPr>
              <w:pStyle w:val="TableBody"/>
            </w:pPr>
            <w:r w:rsidRPr="00A85956">
              <w:t>27</w:t>
            </w:r>
          </w:p>
        </w:tc>
      </w:tr>
      <w:tr w:rsidR="00124FD4" w:rsidRPr="00791C18" w14:paraId="0EB54209" w14:textId="77777777" w:rsidTr="00716590">
        <w:trPr>
          <w:trHeight w:val="294"/>
        </w:trPr>
        <w:tc>
          <w:tcPr>
            <w:tcW w:w="833" w:type="pct"/>
            <w:noWrap/>
            <w:hideMark/>
          </w:tcPr>
          <w:p w14:paraId="646A50CD" w14:textId="77777777" w:rsidR="00124FD4" w:rsidRPr="00A85956" w:rsidRDefault="00124FD4" w:rsidP="00A85956">
            <w:pPr>
              <w:pStyle w:val="TableBody"/>
            </w:pPr>
            <w:r w:rsidRPr="00A85956">
              <w:t>2014</w:t>
            </w:r>
          </w:p>
        </w:tc>
        <w:tc>
          <w:tcPr>
            <w:tcW w:w="834" w:type="pct"/>
            <w:noWrap/>
            <w:hideMark/>
          </w:tcPr>
          <w:p w14:paraId="5DAAB1D2" w14:textId="77777777" w:rsidR="00124FD4" w:rsidRPr="00A85956" w:rsidRDefault="00124FD4" w:rsidP="00A85956">
            <w:pPr>
              <w:pStyle w:val="TableBody"/>
            </w:pPr>
            <w:r w:rsidRPr="00A85956">
              <w:t>637</w:t>
            </w:r>
          </w:p>
        </w:tc>
        <w:tc>
          <w:tcPr>
            <w:tcW w:w="834" w:type="pct"/>
            <w:noWrap/>
            <w:hideMark/>
          </w:tcPr>
          <w:p w14:paraId="7874ADF6" w14:textId="77777777" w:rsidR="00124FD4" w:rsidRPr="00A85956" w:rsidRDefault="00124FD4" w:rsidP="00A85956">
            <w:pPr>
              <w:pStyle w:val="TableBody"/>
            </w:pPr>
            <w:r w:rsidRPr="00A85956">
              <w:t>216</w:t>
            </w:r>
          </w:p>
        </w:tc>
        <w:tc>
          <w:tcPr>
            <w:tcW w:w="833" w:type="pct"/>
            <w:noWrap/>
            <w:hideMark/>
          </w:tcPr>
          <w:p w14:paraId="2F42AD0E" w14:textId="77777777" w:rsidR="00124FD4" w:rsidRPr="00A85956" w:rsidRDefault="00124FD4" w:rsidP="00A85956">
            <w:pPr>
              <w:pStyle w:val="TableBody"/>
            </w:pPr>
            <w:r w:rsidRPr="00A85956">
              <w:t>203</w:t>
            </w:r>
          </w:p>
        </w:tc>
        <w:tc>
          <w:tcPr>
            <w:tcW w:w="834" w:type="pct"/>
            <w:noWrap/>
            <w:hideMark/>
          </w:tcPr>
          <w:p w14:paraId="2BF5C123" w14:textId="77777777" w:rsidR="00124FD4" w:rsidRPr="00A85956" w:rsidRDefault="00124FD4" w:rsidP="00A85956">
            <w:pPr>
              <w:pStyle w:val="TableBody"/>
            </w:pPr>
            <w:r w:rsidRPr="00A85956">
              <w:t>46</w:t>
            </w:r>
          </w:p>
        </w:tc>
        <w:tc>
          <w:tcPr>
            <w:tcW w:w="834" w:type="pct"/>
            <w:noWrap/>
            <w:hideMark/>
          </w:tcPr>
          <w:p w14:paraId="0DFF2765" w14:textId="77777777" w:rsidR="00124FD4" w:rsidRPr="00A85956" w:rsidRDefault="00124FD4" w:rsidP="00A85956">
            <w:pPr>
              <w:pStyle w:val="TableBody"/>
            </w:pPr>
            <w:r w:rsidRPr="00A85956">
              <w:t>30</w:t>
            </w:r>
          </w:p>
        </w:tc>
      </w:tr>
      <w:tr w:rsidR="00124FD4" w:rsidRPr="00791C18" w14:paraId="3AFFCE37" w14:textId="77777777" w:rsidTr="00716590">
        <w:trPr>
          <w:trHeight w:val="294"/>
        </w:trPr>
        <w:tc>
          <w:tcPr>
            <w:tcW w:w="833" w:type="pct"/>
            <w:noWrap/>
            <w:hideMark/>
          </w:tcPr>
          <w:p w14:paraId="5AB3010D" w14:textId="77777777" w:rsidR="00124FD4" w:rsidRPr="00A85956" w:rsidRDefault="00124FD4" w:rsidP="00A85956">
            <w:pPr>
              <w:pStyle w:val="TableBody"/>
            </w:pPr>
            <w:r w:rsidRPr="00A85956">
              <w:t>2015</w:t>
            </w:r>
          </w:p>
        </w:tc>
        <w:tc>
          <w:tcPr>
            <w:tcW w:w="834" w:type="pct"/>
            <w:noWrap/>
            <w:hideMark/>
          </w:tcPr>
          <w:p w14:paraId="203C28E4" w14:textId="77777777" w:rsidR="00124FD4" w:rsidRPr="00A85956" w:rsidRDefault="00124FD4" w:rsidP="00A85956">
            <w:pPr>
              <w:pStyle w:val="TableBody"/>
            </w:pPr>
            <w:r w:rsidRPr="00A85956">
              <w:t>750</w:t>
            </w:r>
          </w:p>
        </w:tc>
        <w:tc>
          <w:tcPr>
            <w:tcW w:w="834" w:type="pct"/>
            <w:noWrap/>
            <w:hideMark/>
          </w:tcPr>
          <w:p w14:paraId="3EF96C26" w14:textId="77777777" w:rsidR="00124FD4" w:rsidRPr="00A85956" w:rsidRDefault="00124FD4" w:rsidP="00A85956">
            <w:pPr>
              <w:pStyle w:val="TableBody"/>
            </w:pPr>
            <w:r w:rsidRPr="00A85956">
              <w:t>285</w:t>
            </w:r>
          </w:p>
        </w:tc>
        <w:tc>
          <w:tcPr>
            <w:tcW w:w="833" w:type="pct"/>
            <w:noWrap/>
            <w:hideMark/>
          </w:tcPr>
          <w:p w14:paraId="01B6C5ED" w14:textId="77777777" w:rsidR="00124FD4" w:rsidRPr="00A85956" w:rsidRDefault="00124FD4" w:rsidP="00A85956">
            <w:pPr>
              <w:pStyle w:val="TableBody"/>
            </w:pPr>
            <w:r w:rsidRPr="00A85956">
              <w:t>286</w:t>
            </w:r>
          </w:p>
        </w:tc>
        <w:tc>
          <w:tcPr>
            <w:tcW w:w="834" w:type="pct"/>
            <w:noWrap/>
            <w:hideMark/>
          </w:tcPr>
          <w:p w14:paraId="5BD3B996" w14:textId="77777777" w:rsidR="00124FD4" w:rsidRPr="00A85956" w:rsidRDefault="00124FD4" w:rsidP="00A85956">
            <w:pPr>
              <w:pStyle w:val="TableBody"/>
            </w:pPr>
            <w:r w:rsidRPr="00A85956">
              <w:t>52</w:t>
            </w:r>
          </w:p>
        </w:tc>
        <w:tc>
          <w:tcPr>
            <w:tcW w:w="834" w:type="pct"/>
            <w:noWrap/>
            <w:hideMark/>
          </w:tcPr>
          <w:p w14:paraId="64839AF1" w14:textId="77777777" w:rsidR="00124FD4" w:rsidRPr="00A85956" w:rsidRDefault="00124FD4" w:rsidP="00A85956">
            <w:pPr>
              <w:pStyle w:val="TableBody"/>
            </w:pPr>
            <w:r w:rsidRPr="00A85956">
              <w:t>46</w:t>
            </w:r>
          </w:p>
        </w:tc>
      </w:tr>
      <w:tr w:rsidR="00124FD4" w:rsidRPr="00791C18" w14:paraId="35A9359E" w14:textId="77777777" w:rsidTr="00716590">
        <w:trPr>
          <w:trHeight w:val="294"/>
        </w:trPr>
        <w:tc>
          <w:tcPr>
            <w:tcW w:w="833" w:type="pct"/>
            <w:noWrap/>
            <w:hideMark/>
          </w:tcPr>
          <w:p w14:paraId="0296EE59" w14:textId="77777777" w:rsidR="00124FD4" w:rsidRPr="00A85956" w:rsidRDefault="00124FD4" w:rsidP="00A85956">
            <w:pPr>
              <w:pStyle w:val="TableBody"/>
            </w:pPr>
            <w:r w:rsidRPr="00A85956">
              <w:t>2016</w:t>
            </w:r>
          </w:p>
        </w:tc>
        <w:tc>
          <w:tcPr>
            <w:tcW w:w="834" w:type="pct"/>
            <w:noWrap/>
            <w:hideMark/>
          </w:tcPr>
          <w:p w14:paraId="7342820E" w14:textId="77777777" w:rsidR="00124FD4" w:rsidRPr="00A85956" w:rsidRDefault="00124FD4" w:rsidP="00A85956">
            <w:pPr>
              <w:pStyle w:val="TableBody"/>
            </w:pPr>
            <w:r w:rsidRPr="00A85956">
              <w:t>991</w:t>
            </w:r>
          </w:p>
        </w:tc>
        <w:tc>
          <w:tcPr>
            <w:tcW w:w="834" w:type="pct"/>
            <w:noWrap/>
            <w:hideMark/>
          </w:tcPr>
          <w:p w14:paraId="598435FE" w14:textId="77777777" w:rsidR="00124FD4" w:rsidRPr="00A85956" w:rsidRDefault="00124FD4" w:rsidP="00A85956">
            <w:pPr>
              <w:pStyle w:val="TableBody"/>
            </w:pPr>
            <w:r w:rsidRPr="00A85956">
              <w:t>426</w:t>
            </w:r>
          </w:p>
        </w:tc>
        <w:tc>
          <w:tcPr>
            <w:tcW w:w="833" w:type="pct"/>
            <w:noWrap/>
            <w:hideMark/>
          </w:tcPr>
          <w:p w14:paraId="40183933" w14:textId="77777777" w:rsidR="00124FD4" w:rsidRPr="00A85956" w:rsidRDefault="00124FD4" w:rsidP="00A85956">
            <w:pPr>
              <w:pStyle w:val="TableBody"/>
            </w:pPr>
            <w:r w:rsidRPr="00A85956">
              <w:t>332</w:t>
            </w:r>
          </w:p>
        </w:tc>
        <w:tc>
          <w:tcPr>
            <w:tcW w:w="834" w:type="pct"/>
            <w:noWrap/>
            <w:hideMark/>
          </w:tcPr>
          <w:p w14:paraId="7C5730E4" w14:textId="77777777" w:rsidR="00124FD4" w:rsidRPr="00A85956" w:rsidRDefault="00124FD4" w:rsidP="00A85956">
            <w:pPr>
              <w:pStyle w:val="TableBody"/>
            </w:pPr>
            <w:r w:rsidRPr="00A85956">
              <w:t>62</w:t>
            </w:r>
          </w:p>
        </w:tc>
        <w:tc>
          <w:tcPr>
            <w:tcW w:w="834" w:type="pct"/>
            <w:noWrap/>
            <w:hideMark/>
          </w:tcPr>
          <w:p w14:paraId="37FB9317" w14:textId="77777777" w:rsidR="00124FD4" w:rsidRPr="00A85956" w:rsidRDefault="00124FD4" w:rsidP="00A85956">
            <w:pPr>
              <w:pStyle w:val="TableBody"/>
            </w:pPr>
            <w:r w:rsidRPr="00A85956">
              <w:t>62</w:t>
            </w:r>
          </w:p>
        </w:tc>
      </w:tr>
      <w:tr w:rsidR="00124FD4" w:rsidRPr="00791C18" w14:paraId="5E449296" w14:textId="77777777" w:rsidTr="00716590">
        <w:trPr>
          <w:trHeight w:val="294"/>
        </w:trPr>
        <w:tc>
          <w:tcPr>
            <w:tcW w:w="833" w:type="pct"/>
            <w:noWrap/>
            <w:hideMark/>
          </w:tcPr>
          <w:p w14:paraId="377AB728" w14:textId="77777777" w:rsidR="00124FD4" w:rsidRPr="00A85956" w:rsidRDefault="00124FD4" w:rsidP="00A85956">
            <w:pPr>
              <w:pStyle w:val="TableBody"/>
            </w:pPr>
            <w:r w:rsidRPr="00A85956">
              <w:t>2017</w:t>
            </w:r>
          </w:p>
        </w:tc>
        <w:tc>
          <w:tcPr>
            <w:tcW w:w="834" w:type="pct"/>
            <w:noWrap/>
            <w:hideMark/>
          </w:tcPr>
          <w:p w14:paraId="79D13B51" w14:textId="77777777" w:rsidR="00124FD4" w:rsidRPr="00A85956" w:rsidRDefault="00124FD4" w:rsidP="00A85956">
            <w:pPr>
              <w:pStyle w:val="TableBody"/>
            </w:pPr>
            <w:r w:rsidRPr="00A85956">
              <w:t>1,232</w:t>
            </w:r>
          </w:p>
        </w:tc>
        <w:tc>
          <w:tcPr>
            <w:tcW w:w="834" w:type="pct"/>
            <w:noWrap/>
            <w:hideMark/>
          </w:tcPr>
          <w:p w14:paraId="6ADD7EB2" w14:textId="77777777" w:rsidR="00124FD4" w:rsidRPr="00A85956" w:rsidRDefault="00124FD4" w:rsidP="00A85956">
            <w:pPr>
              <w:pStyle w:val="TableBody"/>
            </w:pPr>
            <w:r w:rsidRPr="00A85956">
              <w:t>404</w:t>
            </w:r>
          </w:p>
        </w:tc>
        <w:tc>
          <w:tcPr>
            <w:tcW w:w="833" w:type="pct"/>
            <w:noWrap/>
            <w:hideMark/>
          </w:tcPr>
          <w:p w14:paraId="4E525EA3" w14:textId="77777777" w:rsidR="00124FD4" w:rsidRPr="00A85956" w:rsidRDefault="00124FD4" w:rsidP="00A85956">
            <w:pPr>
              <w:pStyle w:val="TableBody"/>
            </w:pPr>
            <w:r w:rsidRPr="00A85956">
              <w:t>405</w:t>
            </w:r>
          </w:p>
        </w:tc>
        <w:tc>
          <w:tcPr>
            <w:tcW w:w="834" w:type="pct"/>
            <w:noWrap/>
            <w:hideMark/>
          </w:tcPr>
          <w:p w14:paraId="49056350" w14:textId="77777777" w:rsidR="00124FD4" w:rsidRPr="00A85956" w:rsidRDefault="00124FD4" w:rsidP="00A85956">
            <w:pPr>
              <w:pStyle w:val="TableBody"/>
            </w:pPr>
            <w:r w:rsidRPr="00A85956">
              <w:t>94</w:t>
            </w:r>
          </w:p>
        </w:tc>
        <w:tc>
          <w:tcPr>
            <w:tcW w:w="834" w:type="pct"/>
            <w:noWrap/>
            <w:hideMark/>
          </w:tcPr>
          <w:p w14:paraId="6EBFD491" w14:textId="77777777" w:rsidR="00124FD4" w:rsidRPr="00A85956" w:rsidRDefault="00124FD4" w:rsidP="00A85956">
            <w:pPr>
              <w:pStyle w:val="TableBody"/>
            </w:pPr>
            <w:r w:rsidRPr="00A85956">
              <w:t>63</w:t>
            </w:r>
          </w:p>
        </w:tc>
      </w:tr>
      <w:tr w:rsidR="00124FD4" w:rsidRPr="00791C18" w14:paraId="7522BADF" w14:textId="77777777" w:rsidTr="00716590">
        <w:trPr>
          <w:trHeight w:val="294"/>
        </w:trPr>
        <w:tc>
          <w:tcPr>
            <w:tcW w:w="833" w:type="pct"/>
            <w:noWrap/>
            <w:hideMark/>
          </w:tcPr>
          <w:p w14:paraId="07B87B08" w14:textId="77777777" w:rsidR="00124FD4" w:rsidRPr="00A85956" w:rsidRDefault="00124FD4" w:rsidP="00A85956">
            <w:pPr>
              <w:pStyle w:val="TableBody"/>
            </w:pPr>
            <w:r w:rsidRPr="00A85956">
              <w:t>2018</w:t>
            </w:r>
          </w:p>
        </w:tc>
        <w:tc>
          <w:tcPr>
            <w:tcW w:w="834" w:type="pct"/>
            <w:noWrap/>
            <w:hideMark/>
          </w:tcPr>
          <w:p w14:paraId="4B54A305" w14:textId="77777777" w:rsidR="00124FD4" w:rsidRPr="00A85956" w:rsidRDefault="00124FD4" w:rsidP="00A85956">
            <w:pPr>
              <w:pStyle w:val="TableBody"/>
            </w:pPr>
            <w:r w:rsidRPr="00A85956">
              <w:t>1,423</w:t>
            </w:r>
          </w:p>
        </w:tc>
        <w:tc>
          <w:tcPr>
            <w:tcW w:w="834" w:type="pct"/>
            <w:noWrap/>
            <w:hideMark/>
          </w:tcPr>
          <w:p w14:paraId="08FECABD" w14:textId="77777777" w:rsidR="00124FD4" w:rsidRPr="00A85956" w:rsidRDefault="00124FD4" w:rsidP="00A85956">
            <w:pPr>
              <w:pStyle w:val="TableBody"/>
            </w:pPr>
            <w:r w:rsidRPr="00A85956">
              <w:t>558</w:t>
            </w:r>
          </w:p>
        </w:tc>
        <w:tc>
          <w:tcPr>
            <w:tcW w:w="833" w:type="pct"/>
            <w:noWrap/>
            <w:hideMark/>
          </w:tcPr>
          <w:p w14:paraId="31B478EC" w14:textId="77777777" w:rsidR="00124FD4" w:rsidRPr="00A85956" w:rsidRDefault="00124FD4" w:rsidP="00A85956">
            <w:pPr>
              <w:pStyle w:val="TableBody"/>
            </w:pPr>
            <w:r w:rsidRPr="00A85956">
              <w:t>475</w:t>
            </w:r>
          </w:p>
        </w:tc>
        <w:tc>
          <w:tcPr>
            <w:tcW w:w="834" w:type="pct"/>
            <w:noWrap/>
            <w:hideMark/>
          </w:tcPr>
          <w:p w14:paraId="738FBB6A" w14:textId="77777777" w:rsidR="00124FD4" w:rsidRPr="00A85956" w:rsidRDefault="00124FD4" w:rsidP="00A85956">
            <w:pPr>
              <w:pStyle w:val="TableBody"/>
            </w:pPr>
            <w:r w:rsidRPr="00A85956">
              <w:t>120</w:t>
            </w:r>
          </w:p>
        </w:tc>
        <w:tc>
          <w:tcPr>
            <w:tcW w:w="834" w:type="pct"/>
            <w:noWrap/>
            <w:hideMark/>
          </w:tcPr>
          <w:p w14:paraId="6C15CEDC" w14:textId="77777777" w:rsidR="00124FD4" w:rsidRPr="00A85956" w:rsidRDefault="00124FD4" w:rsidP="00A85956">
            <w:pPr>
              <w:pStyle w:val="TableBody"/>
            </w:pPr>
            <w:r w:rsidRPr="00A85956">
              <w:t>115</w:t>
            </w:r>
          </w:p>
        </w:tc>
      </w:tr>
      <w:tr w:rsidR="00124FD4" w:rsidRPr="00791C18" w14:paraId="61E2469E" w14:textId="77777777" w:rsidTr="00716590">
        <w:trPr>
          <w:trHeight w:val="294"/>
        </w:trPr>
        <w:tc>
          <w:tcPr>
            <w:tcW w:w="833" w:type="pct"/>
            <w:noWrap/>
            <w:hideMark/>
          </w:tcPr>
          <w:p w14:paraId="5067E636" w14:textId="77777777" w:rsidR="00124FD4" w:rsidRPr="00A85956" w:rsidRDefault="00124FD4" w:rsidP="00A85956">
            <w:pPr>
              <w:pStyle w:val="TableBody"/>
            </w:pPr>
            <w:r w:rsidRPr="00A85956">
              <w:t>2019</w:t>
            </w:r>
          </w:p>
        </w:tc>
        <w:tc>
          <w:tcPr>
            <w:tcW w:w="834" w:type="pct"/>
            <w:noWrap/>
            <w:hideMark/>
          </w:tcPr>
          <w:p w14:paraId="3CF7805B" w14:textId="77777777" w:rsidR="00124FD4" w:rsidRPr="00A85956" w:rsidRDefault="00124FD4" w:rsidP="00A85956">
            <w:pPr>
              <w:pStyle w:val="TableBody"/>
            </w:pPr>
            <w:r w:rsidRPr="00A85956">
              <w:t>1,591</w:t>
            </w:r>
          </w:p>
        </w:tc>
        <w:tc>
          <w:tcPr>
            <w:tcW w:w="834" w:type="pct"/>
            <w:noWrap/>
            <w:hideMark/>
          </w:tcPr>
          <w:p w14:paraId="7E03FB9F" w14:textId="77777777" w:rsidR="00124FD4" w:rsidRPr="00A85956" w:rsidRDefault="00124FD4" w:rsidP="00A85956">
            <w:pPr>
              <w:pStyle w:val="TableBody"/>
            </w:pPr>
            <w:r w:rsidRPr="00A85956">
              <w:t>635</w:t>
            </w:r>
          </w:p>
        </w:tc>
        <w:tc>
          <w:tcPr>
            <w:tcW w:w="833" w:type="pct"/>
            <w:noWrap/>
            <w:hideMark/>
          </w:tcPr>
          <w:p w14:paraId="79D8F76C" w14:textId="77777777" w:rsidR="00124FD4" w:rsidRPr="00A85956" w:rsidRDefault="00124FD4" w:rsidP="00A85956">
            <w:pPr>
              <w:pStyle w:val="TableBody"/>
            </w:pPr>
            <w:r w:rsidRPr="00A85956">
              <w:t>501</w:t>
            </w:r>
          </w:p>
        </w:tc>
        <w:tc>
          <w:tcPr>
            <w:tcW w:w="834" w:type="pct"/>
            <w:noWrap/>
            <w:hideMark/>
          </w:tcPr>
          <w:p w14:paraId="1398E365" w14:textId="77777777" w:rsidR="00124FD4" w:rsidRPr="00A85956" w:rsidRDefault="00124FD4" w:rsidP="00A85956">
            <w:pPr>
              <w:pStyle w:val="TableBody"/>
            </w:pPr>
            <w:r w:rsidRPr="00A85956">
              <w:t>113</w:t>
            </w:r>
          </w:p>
        </w:tc>
        <w:tc>
          <w:tcPr>
            <w:tcW w:w="834" w:type="pct"/>
            <w:noWrap/>
            <w:hideMark/>
          </w:tcPr>
          <w:p w14:paraId="6B586897" w14:textId="77777777" w:rsidR="00124FD4" w:rsidRPr="00A85956" w:rsidRDefault="00124FD4" w:rsidP="00A85956">
            <w:pPr>
              <w:pStyle w:val="TableBody"/>
            </w:pPr>
            <w:r w:rsidRPr="00A85956">
              <w:t>104</w:t>
            </w:r>
          </w:p>
        </w:tc>
      </w:tr>
      <w:tr w:rsidR="00124FD4" w:rsidRPr="00791C18" w14:paraId="525852EC" w14:textId="77777777" w:rsidTr="00716590">
        <w:trPr>
          <w:trHeight w:val="294"/>
        </w:trPr>
        <w:tc>
          <w:tcPr>
            <w:tcW w:w="833" w:type="pct"/>
            <w:noWrap/>
            <w:hideMark/>
          </w:tcPr>
          <w:p w14:paraId="40BBFFA7" w14:textId="77777777" w:rsidR="00124FD4" w:rsidRPr="00A85956" w:rsidRDefault="00124FD4" w:rsidP="00A85956">
            <w:pPr>
              <w:pStyle w:val="TableBody"/>
            </w:pPr>
            <w:r w:rsidRPr="00A85956">
              <w:t>2020</w:t>
            </w:r>
          </w:p>
        </w:tc>
        <w:tc>
          <w:tcPr>
            <w:tcW w:w="834" w:type="pct"/>
            <w:noWrap/>
            <w:hideMark/>
          </w:tcPr>
          <w:p w14:paraId="074B84DC" w14:textId="77777777" w:rsidR="00124FD4" w:rsidRPr="00A85956" w:rsidRDefault="00124FD4" w:rsidP="00A85956">
            <w:pPr>
              <w:pStyle w:val="TableBody"/>
            </w:pPr>
            <w:r w:rsidRPr="00A85956">
              <w:t>1,383</w:t>
            </w:r>
          </w:p>
        </w:tc>
        <w:tc>
          <w:tcPr>
            <w:tcW w:w="834" w:type="pct"/>
            <w:noWrap/>
            <w:hideMark/>
          </w:tcPr>
          <w:p w14:paraId="7734A191" w14:textId="77777777" w:rsidR="00124FD4" w:rsidRPr="00A85956" w:rsidRDefault="00124FD4" w:rsidP="00A85956">
            <w:pPr>
              <w:pStyle w:val="TableBody"/>
            </w:pPr>
            <w:r w:rsidRPr="00A85956">
              <w:t>466</w:t>
            </w:r>
          </w:p>
        </w:tc>
        <w:tc>
          <w:tcPr>
            <w:tcW w:w="833" w:type="pct"/>
            <w:noWrap/>
            <w:hideMark/>
          </w:tcPr>
          <w:p w14:paraId="392739FA" w14:textId="77777777" w:rsidR="00124FD4" w:rsidRPr="00A85956" w:rsidRDefault="00124FD4" w:rsidP="00A85956">
            <w:pPr>
              <w:pStyle w:val="TableBody"/>
            </w:pPr>
            <w:r w:rsidRPr="00A85956">
              <w:t>446</w:t>
            </w:r>
          </w:p>
        </w:tc>
        <w:tc>
          <w:tcPr>
            <w:tcW w:w="834" w:type="pct"/>
            <w:noWrap/>
            <w:hideMark/>
          </w:tcPr>
          <w:p w14:paraId="30E800DD" w14:textId="77777777" w:rsidR="00124FD4" w:rsidRPr="00A85956" w:rsidRDefault="00124FD4" w:rsidP="00A85956">
            <w:pPr>
              <w:pStyle w:val="TableBody"/>
            </w:pPr>
            <w:r w:rsidRPr="00A85956">
              <w:t>86</w:t>
            </w:r>
          </w:p>
        </w:tc>
        <w:tc>
          <w:tcPr>
            <w:tcW w:w="834" w:type="pct"/>
            <w:noWrap/>
            <w:hideMark/>
          </w:tcPr>
          <w:p w14:paraId="4F75FE58" w14:textId="77777777" w:rsidR="00124FD4" w:rsidRPr="00A85956" w:rsidRDefault="00124FD4" w:rsidP="00A85956">
            <w:pPr>
              <w:pStyle w:val="TableBody"/>
            </w:pPr>
            <w:r w:rsidRPr="00A85956">
              <w:t>94</w:t>
            </w:r>
          </w:p>
        </w:tc>
      </w:tr>
      <w:tr w:rsidR="00124FD4" w:rsidRPr="00791C18" w14:paraId="57324B8C" w14:textId="77777777" w:rsidTr="00716590">
        <w:trPr>
          <w:trHeight w:val="294"/>
        </w:trPr>
        <w:tc>
          <w:tcPr>
            <w:tcW w:w="833" w:type="pct"/>
            <w:noWrap/>
            <w:hideMark/>
          </w:tcPr>
          <w:p w14:paraId="2172150F" w14:textId="77777777" w:rsidR="00124FD4" w:rsidRPr="00A85956" w:rsidRDefault="00124FD4" w:rsidP="00A85956">
            <w:pPr>
              <w:pStyle w:val="TableBody"/>
            </w:pPr>
            <w:r w:rsidRPr="00A85956">
              <w:lastRenderedPageBreak/>
              <w:t>2021</w:t>
            </w:r>
          </w:p>
        </w:tc>
        <w:tc>
          <w:tcPr>
            <w:tcW w:w="834" w:type="pct"/>
            <w:noWrap/>
            <w:hideMark/>
          </w:tcPr>
          <w:p w14:paraId="309E9473" w14:textId="77777777" w:rsidR="00124FD4" w:rsidRPr="00A85956" w:rsidRDefault="00124FD4" w:rsidP="00A85956">
            <w:pPr>
              <w:pStyle w:val="TableBody"/>
            </w:pPr>
            <w:r w:rsidRPr="00A85956">
              <w:t>1,831</w:t>
            </w:r>
          </w:p>
        </w:tc>
        <w:tc>
          <w:tcPr>
            <w:tcW w:w="834" w:type="pct"/>
            <w:noWrap/>
            <w:hideMark/>
          </w:tcPr>
          <w:p w14:paraId="4EB1DBDD" w14:textId="77777777" w:rsidR="00124FD4" w:rsidRPr="00A85956" w:rsidRDefault="00124FD4" w:rsidP="00A85956">
            <w:pPr>
              <w:pStyle w:val="TableBody"/>
            </w:pPr>
            <w:r w:rsidRPr="00A85956">
              <w:t>575</w:t>
            </w:r>
          </w:p>
        </w:tc>
        <w:tc>
          <w:tcPr>
            <w:tcW w:w="833" w:type="pct"/>
            <w:noWrap/>
            <w:hideMark/>
          </w:tcPr>
          <w:p w14:paraId="184C9031" w14:textId="77777777" w:rsidR="00124FD4" w:rsidRPr="00A85956" w:rsidRDefault="00124FD4" w:rsidP="00A85956">
            <w:pPr>
              <w:pStyle w:val="TableBody"/>
            </w:pPr>
            <w:r w:rsidRPr="00A85956">
              <w:t>507</w:t>
            </w:r>
          </w:p>
        </w:tc>
        <w:tc>
          <w:tcPr>
            <w:tcW w:w="834" w:type="pct"/>
            <w:noWrap/>
            <w:hideMark/>
          </w:tcPr>
          <w:p w14:paraId="4C4478A6" w14:textId="77777777" w:rsidR="00124FD4" w:rsidRPr="00A85956" w:rsidRDefault="00124FD4" w:rsidP="00A85956">
            <w:pPr>
              <w:pStyle w:val="TableBody"/>
            </w:pPr>
            <w:r w:rsidRPr="00A85956">
              <w:t>124</w:t>
            </w:r>
          </w:p>
        </w:tc>
        <w:tc>
          <w:tcPr>
            <w:tcW w:w="834" w:type="pct"/>
            <w:noWrap/>
            <w:hideMark/>
          </w:tcPr>
          <w:p w14:paraId="79D551C4" w14:textId="77777777" w:rsidR="00124FD4" w:rsidRPr="00A85956" w:rsidRDefault="00124FD4" w:rsidP="00A85956">
            <w:pPr>
              <w:pStyle w:val="TableBody"/>
            </w:pPr>
            <w:r w:rsidRPr="00A85956">
              <w:t>130</w:t>
            </w:r>
          </w:p>
        </w:tc>
      </w:tr>
      <w:tr w:rsidR="00124FD4" w:rsidRPr="00791C18" w14:paraId="5F7223A6" w14:textId="77777777" w:rsidTr="00716590">
        <w:trPr>
          <w:trHeight w:val="294"/>
        </w:trPr>
        <w:tc>
          <w:tcPr>
            <w:tcW w:w="833" w:type="pct"/>
            <w:noWrap/>
            <w:hideMark/>
          </w:tcPr>
          <w:p w14:paraId="3F890D2E" w14:textId="77777777" w:rsidR="00124FD4" w:rsidRPr="00A85956" w:rsidRDefault="00124FD4" w:rsidP="00A85956">
            <w:pPr>
              <w:pStyle w:val="TableBody"/>
            </w:pPr>
            <w:r w:rsidRPr="00A85956">
              <w:t>2022</w:t>
            </w:r>
          </w:p>
        </w:tc>
        <w:tc>
          <w:tcPr>
            <w:tcW w:w="834" w:type="pct"/>
            <w:noWrap/>
            <w:hideMark/>
          </w:tcPr>
          <w:p w14:paraId="07CB76F4" w14:textId="77777777" w:rsidR="00124FD4" w:rsidRPr="00A85956" w:rsidRDefault="00124FD4" w:rsidP="00A85956">
            <w:pPr>
              <w:pStyle w:val="TableBody"/>
            </w:pPr>
            <w:r w:rsidRPr="00A85956">
              <w:t>1,699</w:t>
            </w:r>
          </w:p>
        </w:tc>
        <w:tc>
          <w:tcPr>
            <w:tcW w:w="834" w:type="pct"/>
            <w:noWrap/>
            <w:hideMark/>
          </w:tcPr>
          <w:p w14:paraId="239F2EEE" w14:textId="77777777" w:rsidR="00124FD4" w:rsidRPr="00A85956" w:rsidRDefault="00124FD4" w:rsidP="00A85956">
            <w:pPr>
              <w:pStyle w:val="TableBody"/>
            </w:pPr>
            <w:r w:rsidRPr="00A85956">
              <w:t>440</w:t>
            </w:r>
          </w:p>
        </w:tc>
        <w:tc>
          <w:tcPr>
            <w:tcW w:w="833" w:type="pct"/>
            <w:noWrap/>
            <w:hideMark/>
          </w:tcPr>
          <w:p w14:paraId="2CD83475" w14:textId="77777777" w:rsidR="00124FD4" w:rsidRPr="00A85956" w:rsidRDefault="00124FD4" w:rsidP="00A85956">
            <w:pPr>
              <w:pStyle w:val="TableBody"/>
            </w:pPr>
            <w:r w:rsidRPr="00A85956">
              <w:t>384</w:t>
            </w:r>
          </w:p>
        </w:tc>
        <w:tc>
          <w:tcPr>
            <w:tcW w:w="834" w:type="pct"/>
            <w:noWrap/>
            <w:hideMark/>
          </w:tcPr>
          <w:p w14:paraId="7D6137BA" w14:textId="77777777" w:rsidR="00124FD4" w:rsidRPr="00A85956" w:rsidRDefault="00124FD4" w:rsidP="00A85956">
            <w:pPr>
              <w:pStyle w:val="TableBody"/>
            </w:pPr>
            <w:r w:rsidRPr="00A85956">
              <w:t>136</w:t>
            </w:r>
          </w:p>
        </w:tc>
        <w:tc>
          <w:tcPr>
            <w:tcW w:w="834" w:type="pct"/>
            <w:noWrap/>
            <w:hideMark/>
          </w:tcPr>
          <w:p w14:paraId="15A3E8DD" w14:textId="77777777" w:rsidR="00124FD4" w:rsidRPr="00A85956" w:rsidRDefault="00124FD4" w:rsidP="00A85956">
            <w:pPr>
              <w:pStyle w:val="TableBody"/>
            </w:pPr>
            <w:r w:rsidRPr="00A85956">
              <w:t>99</w:t>
            </w:r>
          </w:p>
        </w:tc>
      </w:tr>
      <w:tr w:rsidR="00124FD4" w:rsidRPr="00791C18" w14:paraId="22A321AF" w14:textId="77777777" w:rsidTr="00716590">
        <w:trPr>
          <w:trHeight w:val="294"/>
        </w:trPr>
        <w:tc>
          <w:tcPr>
            <w:tcW w:w="833" w:type="pct"/>
            <w:noWrap/>
            <w:hideMark/>
          </w:tcPr>
          <w:p w14:paraId="38CE817B" w14:textId="77777777" w:rsidR="00124FD4" w:rsidRPr="00A85956" w:rsidRDefault="00124FD4" w:rsidP="00A85956">
            <w:pPr>
              <w:pStyle w:val="TableBody"/>
            </w:pPr>
            <w:r w:rsidRPr="00A85956">
              <w:t>2023</w:t>
            </w:r>
          </w:p>
        </w:tc>
        <w:tc>
          <w:tcPr>
            <w:tcW w:w="834" w:type="pct"/>
            <w:noWrap/>
            <w:hideMark/>
          </w:tcPr>
          <w:p w14:paraId="654A0DEB" w14:textId="77777777" w:rsidR="00124FD4" w:rsidRPr="00A85956" w:rsidRDefault="00124FD4" w:rsidP="00A85956">
            <w:pPr>
              <w:pStyle w:val="TableBody"/>
            </w:pPr>
            <w:r w:rsidRPr="00A85956">
              <w:t>1,480</w:t>
            </w:r>
          </w:p>
        </w:tc>
        <w:tc>
          <w:tcPr>
            <w:tcW w:w="834" w:type="pct"/>
            <w:noWrap/>
            <w:hideMark/>
          </w:tcPr>
          <w:p w14:paraId="6504E016" w14:textId="77777777" w:rsidR="00124FD4" w:rsidRPr="00A85956" w:rsidRDefault="00124FD4" w:rsidP="00A85956">
            <w:pPr>
              <w:pStyle w:val="TableBody"/>
            </w:pPr>
            <w:r w:rsidRPr="00A85956">
              <w:t>437</w:t>
            </w:r>
          </w:p>
        </w:tc>
        <w:tc>
          <w:tcPr>
            <w:tcW w:w="833" w:type="pct"/>
            <w:noWrap/>
            <w:hideMark/>
          </w:tcPr>
          <w:p w14:paraId="0715A588" w14:textId="77777777" w:rsidR="00124FD4" w:rsidRPr="00A85956" w:rsidRDefault="00124FD4" w:rsidP="00A85956">
            <w:pPr>
              <w:pStyle w:val="TableBody"/>
            </w:pPr>
            <w:r w:rsidRPr="00A85956">
              <w:t>264</w:t>
            </w:r>
          </w:p>
        </w:tc>
        <w:tc>
          <w:tcPr>
            <w:tcW w:w="834" w:type="pct"/>
            <w:noWrap/>
            <w:hideMark/>
          </w:tcPr>
          <w:p w14:paraId="647BF758" w14:textId="77777777" w:rsidR="00124FD4" w:rsidRPr="00A85956" w:rsidRDefault="00124FD4" w:rsidP="00A85956">
            <w:pPr>
              <w:pStyle w:val="TableBody"/>
            </w:pPr>
            <w:r w:rsidRPr="00A85956">
              <w:t>108</w:t>
            </w:r>
          </w:p>
        </w:tc>
        <w:tc>
          <w:tcPr>
            <w:tcW w:w="834" w:type="pct"/>
            <w:noWrap/>
            <w:hideMark/>
          </w:tcPr>
          <w:p w14:paraId="02CCD9DE" w14:textId="77777777" w:rsidR="00124FD4" w:rsidRPr="00A85956" w:rsidRDefault="00124FD4" w:rsidP="00A85956">
            <w:pPr>
              <w:pStyle w:val="TableBody"/>
            </w:pPr>
            <w:r w:rsidRPr="00A85956">
              <w:t>107</w:t>
            </w:r>
          </w:p>
        </w:tc>
      </w:tr>
      <w:tr w:rsidR="00124FD4" w:rsidRPr="00791C18" w14:paraId="4A9018DC" w14:textId="77777777" w:rsidTr="00716590">
        <w:trPr>
          <w:trHeight w:val="294"/>
        </w:trPr>
        <w:tc>
          <w:tcPr>
            <w:tcW w:w="833" w:type="pct"/>
            <w:noWrap/>
            <w:hideMark/>
          </w:tcPr>
          <w:p w14:paraId="674FEB9D" w14:textId="77777777" w:rsidR="00124FD4" w:rsidRPr="00A85956" w:rsidRDefault="00124FD4" w:rsidP="00A85956">
            <w:pPr>
              <w:pStyle w:val="TableBody"/>
            </w:pPr>
            <w:r w:rsidRPr="00A85956">
              <w:t>2024</w:t>
            </w:r>
          </w:p>
        </w:tc>
        <w:tc>
          <w:tcPr>
            <w:tcW w:w="834" w:type="pct"/>
            <w:noWrap/>
            <w:hideMark/>
          </w:tcPr>
          <w:p w14:paraId="000EC7B5" w14:textId="77777777" w:rsidR="00124FD4" w:rsidRPr="00A85956" w:rsidRDefault="00124FD4" w:rsidP="00A85956">
            <w:pPr>
              <w:pStyle w:val="TableBody"/>
            </w:pPr>
            <w:r w:rsidRPr="00A85956">
              <w:t>1,029</w:t>
            </w:r>
          </w:p>
        </w:tc>
        <w:tc>
          <w:tcPr>
            <w:tcW w:w="834" w:type="pct"/>
            <w:noWrap/>
            <w:hideMark/>
          </w:tcPr>
          <w:p w14:paraId="5210287E" w14:textId="77777777" w:rsidR="00124FD4" w:rsidRPr="00A85956" w:rsidRDefault="00124FD4" w:rsidP="00A85956">
            <w:pPr>
              <w:pStyle w:val="TableBody"/>
            </w:pPr>
            <w:r w:rsidRPr="00A85956">
              <w:t>529</w:t>
            </w:r>
          </w:p>
        </w:tc>
        <w:tc>
          <w:tcPr>
            <w:tcW w:w="833" w:type="pct"/>
            <w:noWrap/>
            <w:hideMark/>
          </w:tcPr>
          <w:p w14:paraId="50EE5D63" w14:textId="77777777" w:rsidR="00124FD4" w:rsidRPr="00A85956" w:rsidRDefault="00124FD4" w:rsidP="00A85956">
            <w:pPr>
              <w:pStyle w:val="TableBody"/>
            </w:pPr>
            <w:r w:rsidRPr="00A85956">
              <w:t>305</w:t>
            </w:r>
          </w:p>
        </w:tc>
        <w:tc>
          <w:tcPr>
            <w:tcW w:w="834" w:type="pct"/>
            <w:noWrap/>
            <w:hideMark/>
          </w:tcPr>
          <w:p w14:paraId="638190DB" w14:textId="77777777" w:rsidR="00124FD4" w:rsidRPr="00A85956" w:rsidRDefault="00124FD4" w:rsidP="00A85956">
            <w:pPr>
              <w:pStyle w:val="TableBody"/>
            </w:pPr>
            <w:r w:rsidRPr="00A85956">
              <w:t>21</w:t>
            </w:r>
          </w:p>
        </w:tc>
        <w:tc>
          <w:tcPr>
            <w:tcW w:w="834" w:type="pct"/>
            <w:noWrap/>
            <w:hideMark/>
          </w:tcPr>
          <w:p w14:paraId="7C9EFEFE" w14:textId="77777777" w:rsidR="00124FD4" w:rsidRPr="00A85956" w:rsidRDefault="00124FD4" w:rsidP="00A85956">
            <w:pPr>
              <w:pStyle w:val="TableBody"/>
            </w:pPr>
            <w:r w:rsidRPr="00A85956">
              <w:t>119</w:t>
            </w:r>
          </w:p>
        </w:tc>
      </w:tr>
    </w:tbl>
    <w:p w14:paraId="26268EEF" w14:textId="77777777" w:rsidR="00A4454A" w:rsidRPr="008C1137" w:rsidRDefault="00A4454A" w:rsidP="00D4532A">
      <w:r w:rsidRPr="000C258A">
        <w:rPr>
          <w:rStyle w:val="Strong"/>
        </w:rPr>
        <w:t>Source</w:t>
      </w:r>
      <w:r w:rsidRPr="008C1137">
        <w:t>: Australian Bureau of Statistics,</w:t>
      </w:r>
      <w:r w:rsidRPr="008C1137">
        <w:rPr>
          <w:rStyle w:val="Italic"/>
        </w:rPr>
        <w:t xml:space="preserve"> Prisoners in Australia</w:t>
      </w:r>
      <w:r w:rsidRPr="008C1137">
        <w:t>, cat. no. 4517.0 (abs.gov.au, 2024) Table 31</w:t>
      </w:r>
    </w:p>
    <w:p w14:paraId="30463C78" w14:textId="77777777" w:rsidR="00A4454A" w:rsidRPr="008C1137" w:rsidRDefault="00A4454A" w:rsidP="00BE4EDC">
      <w:pPr>
        <w:pStyle w:val="Caption"/>
      </w:pPr>
      <w:r w:rsidRPr="00157502">
        <w:t>Figure 53</w:t>
      </w:r>
      <w:r w:rsidRPr="008C1137">
        <w:t>: Number of unsentenced prisoners on 30 June for offences against the person, by offence type, 2005 to 2024</w:t>
      </w:r>
    </w:p>
    <w:tbl>
      <w:tblPr>
        <w:tblStyle w:val="Table"/>
        <w:tblW w:w="5146" w:type="pct"/>
        <w:tblLayout w:type="fixed"/>
        <w:tblLook w:val="04A0" w:firstRow="1" w:lastRow="0" w:firstColumn="1" w:lastColumn="0" w:noHBand="0" w:noVBand="1"/>
      </w:tblPr>
      <w:tblGrid>
        <w:gridCol w:w="1289"/>
        <w:gridCol w:w="1292"/>
        <w:gridCol w:w="1290"/>
        <w:gridCol w:w="1288"/>
        <w:gridCol w:w="1474"/>
        <w:gridCol w:w="1288"/>
        <w:gridCol w:w="1358"/>
      </w:tblGrid>
      <w:tr w:rsidR="001C2580" w:rsidRPr="001C2580" w14:paraId="10F26E69" w14:textId="77777777" w:rsidTr="0085666A">
        <w:trPr>
          <w:trHeight w:val="288"/>
          <w:tblHeader/>
        </w:trPr>
        <w:tc>
          <w:tcPr>
            <w:tcW w:w="695" w:type="pct"/>
            <w:noWrap/>
            <w:hideMark/>
          </w:tcPr>
          <w:p w14:paraId="22E7BE24" w14:textId="458F3833" w:rsidR="001C2580" w:rsidRPr="00AF7BCC" w:rsidRDefault="00AF7BCC" w:rsidP="00AF7BCC">
            <w:pPr>
              <w:pStyle w:val="TableHeading"/>
            </w:pPr>
            <w:r w:rsidRPr="00AF7BCC">
              <w:t>Year</w:t>
            </w:r>
          </w:p>
        </w:tc>
        <w:tc>
          <w:tcPr>
            <w:tcW w:w="696" w:type="pct"/>
            <w:noWrap/>
            <w:hideMark/>
          </w:tcPr>
          <w:p w14:paraId="2F764299" w14:textId="77777777" w:rsidR="001C2580" w:rsidRPr="00F678CE" w:rsidRDefault="001C2580" w:rsidP="00F678CE">
            <w:pPr>
              <w:pStyle w:val="TableHeading"/>
            </w:pPr>
            <w:r w:rsidRPr="00F678CE">
              <w:t>Cause injury</w:t>
            </w:r>
          </w:p>
        </w:tc>
        <w:tc>
          <w:tcPr>
            <w:tcW w:w="695" w:type="pct"/>
            <w:noWrap/>
            <w:hideMark/>
          </w:tcPr>
          <w:p w14:paraId="66E5A10D" w14:textId="77777777" w:rsidR="001C2580" w:rsidRPr="00F678CE" w:rsidRDefault="001C2580" w:rsidP="00F678CE">
            <w:pPr>
              <w:pStyle w:val="TableHeading"/>
            </w:pPr>
            <w:r w:rsidRPr="00F678CE">
              <w:t>Sexual assault</w:t>
            </w:r>
          </w:p>
        </w:tc>
        <w:tc>
          <w:tcPr>
            <w:tcW w:w="694" w:type="pct"/>
            <w:noWrap/>
            <w:hideMark/>
          </w:tcPr>
          <w:p w14:paraId="126055C7" w14:textId="77777777" w:rsidR="001C2580" w:rsidRPr="00F678CE" w:rsidRDefault="001C2580" w:rsidP="00F678CE">
            <w:pPr>
              <w:pStyle w:val="TableHeading"/>
            </w:pPr>
            <w:r w:rsidRPr="00F678CE">
              <w:t>Homicide</w:t>
            </w:r>
          </w:p>
        </w:tc>
        <w:tc>
          <w:tcPr>
            <w:tcW w:w="794" w:type="pct"/>
            <w:noWrap/>
            <w:hideMark/>
          </w:tcPr>
          <w:p w14:paraId="14C775E8" w14:textId="77777777" w:rsidR="001C2580" w:rsidRPr="00F678CE" w:rsidRDefault="001C2580" w:rsidP="00F678CE">
            <w:pPr>
              <w:pStyle w:val="TableHeading"/>
            </w:pPr>
            <w:r w:rsidRPr="00F678CE">
              <w:t>Dangerous acts</w:t>
            </w:r>
          </w:p>
        </w:tc>
        <w:tc>
          <w:tcPr>
            <w:tcW w:w="694" w:type="pct"/>
            <w:noWrap/>
            <w:hideMark/>
          </w:tcPr>
          <w:p w14:paraId="43030B1D" w14:textId="77777777" w:rsidR="001C2580" w:rsidRPr="00F678CE" w:rsidRDefault="001C2580" w:rsidP="00F678CE">
            <w:pPr>
              <w:pStyle w:val="TableHeading"/>
            </w:pPr>
            <w:r w:rsidRPr="00F678CE">
              <w:t>Robbery</w:t>
            </w:r>
          </w:p>
        </w:tc>
        <w:tc>
          <w:tcPr>
            <w:tcW w:w="733" w:type="pct"/>
            <w:noWrap/>
            <w:hideMark/>
          </w:tcPr>
          <w:p w14:paraId="66CE3C76" w14:textId="77777777" w:rsidR="001C2580" w:rsidRPr="00F678CE" w:rsidRDefault="001C2580" w:rsidP="00F678CE">
            <w:pPr>
              <w:pStyle w:val="TableHeading"/>
            </w:pPr>
            <w:r w:rsidRPr="00F678CE">
              <w:t>Abduction</w:t>
            </w:r>
          </w:p>
        </w:tc>
      </w:tr>
      <w:tr w:rsidR="001C2580" w:rsidRPr="001C2580" w14:paraId="104FA6EA" w14:textId="77777777" w:rsidTr="0085666A">
        <w:trPr>
          <w:trHeight w:val="288"/>
        </w:trPr>
        <w:tc>
          <w:tcPr>
            <w:tcW w:w="695" w:type="pct"/>
            <w:noWrap/>
            <w:hideMark/>
          </w:tcPr>
          <w:p w14:paraId="3F826911" w14:textId="77777777" w:rsidR="001C2580" w:rsidRPr="00A85956" w:rsidRDefault="001C2580" w:rsidP="00A85956">
            <w:pPr>
              <w:pStyle w:val="TableBody"/>
            </w:pPr>
            <w:r w:rsidRPr="00A85956">
              <w:t>2005</w:t>
            </w:r>
          </w:p>
        </w:tc>
        <w:tc>
          <w:tcPr>
            <w:tcW w:w="696" w:type="pct"/>
            <w:noWrap/>
            <w:hideMark/>
          </w:tcPr>
          <w:p w14:paraId="0905907D" w14:textId="77777777" w:rsidR="001C2580" w:rsidRPr="00A85956" w:rsidRDefault="001C2580" w:rsidP="00A85956">
            <w:pPr>
              <w:pStyle w:val="TableBody"/>
            </w:pPr>
            <w:r w:rsidRPr="00A85956">
              <w:t>51</w:t>
            </w:r>
          </w:p>
        </w:tc>
        <w:tc>
          <w:tcPr>
            <w:tcW w:w="695" w:type="pct"/>
            <w:noWrap/>
            <w:hideMark/>
          </w:tcPr>
          <w:p w14:paraId="3584C0AF" w14:textId="77777777" w:rsidR="001C2580" w:rsidRPr="00A85956" w:rsidRDefault="001C2580" w:rsidP="00A85956">
            <w:pPr>
              <w:pStyle w:val="TableBody"/>
            </w:pPr>
            <w:r w:rsidRPr="00A85956">
              <w:t>40</w:t>
            </w:r>
          </w:p>
        </w:tc>
        <w:tc>
          <w:tcPr>
            <w:tcW w:w="694" w:type="pct"/>
            <w:noWrap/>
            <w:hideMark/>
          </w:tcPr>
          <w:p w14:paraId="40E0D908" w14:textId="77777777" w:rsidR="001C2580" w:rsidRPr="00A85956" w:rsidRDefault="001C2580" w:rsidP="00A85956">
            <w:pPr>
              <w:pStyle w:val="TableBody"/>
            </w:pPr>
            <w:r w:rsidRPr="00A85956">
              <w:t>110</w:t>
            </w:r>
          </w:p>
        </w:tc>
        <w:tc>
          <w:tcPr>
            <w:tcW w:w="794" w:type="pct"/>
            <w:noWrap/>
            <w:hideMark/>
          </w:tcPr>
          <w:p w14:paraId="0CF2F17C" w14:textId="77777777" w:rsidR="001C2580" w:rsidRPr="00A85956" w:rsidRDefault="001C2580" w:rsidP="00A85956">
            <w:pPr>
              <w:pStyle w:val="TableBody"/>
            </w:pPr>
            <w:r w:rsidRPr="00A85956">
              <w:t>17</w:t>
            </w:r>
          </w:p>
        </w:tc>
        <w:tc>
          <w:tcPr>
            <w:tcW w:w="694" w:type="pct"/>
            <w:noWrap/>
            <w:hideMark/>
          </w:tcPr>
          <w:p w14:paraId="5F26D2E6" w14:textId="77777777" w:rsidR="001C2580" w:rsidRPr="00A85956" w:rsidRDefault="001C2580" w:rsidP="00A85956">
            <w:pPr>
              <w:pStyle w:val="TableBody"/>
            </w:pPr>
            <w:r w:rsidRPr="00A85956">
              <w:t>114</w:t>
            </w:r>
          </w:p>
        </w:tc>
        <w:tc>
          <w:tcPr>
            <w:tcW w:w="733" w:type="pct"/>
            <w:noWrap/>
            <w:hideMark/>
          </w:tcPr>
          <w:p w14:paraId="6F75ABE0" w14:textId="77777777" w:rsidR="001C2580" w:rsidRPr="00A85956" w:rsidRDefault="001C2580" w:rsidP="00A85956">
            <w:pPr>
              <w:pStyle w:val="TableBody"/>
            </w:pPr>
            <w:r w:rsidRPr="00A85956">
              <w:t>16</w:t>
            </w:r>
          </w:p>
        </w:tc>
      </w:tr>
      <w:tr w:rsidR="001C2580" w:rsidRPr="001C2580" w14:paraId="7A2FA951" w14:textId="77777777" w:rsidTr="0085666A">
        <w:trPr>
          <w:trHeight w:val="288"/>
        </w:trPr>
        <w:tc>
          <w:tcPr>
            <w:tcW w:w="695" w:type="pct"/>
            <w:noWrap/>
            <w:hideMark/>
          </w:tcPr>
          <w:p w14:paraId="5AC32045" w14:textId="77777777" w:rsidR="001C2580" w:rsidRPr="00A85956" w:rsidRDefault="001C2580" w:rsidP="00A85956">
            <w:pPr>
              <w:pStyle w:val="TableBody"/>
            </w:pPr>
            <w:r w:rsidRPr="00A85956">
              <w:t>2006</w:t>
            </w:r>
          </w:p>
        </w:tc>
        <w:tc>
          <w:tcPr>
            <w:tcW w:w="696" w:type="pct"/>
            <w:noWrap/>
            <w:hideMark/>
          </w:tcPr>
          <w:p w14:paraId="0AB9D8ED" w14:textId="77777777" w:rsidR="001C2580" w:rsidRPr="00A85956" w:rsidRDefault="001C2580" w:rsidP="00A85956">
            <w:pPr>
              <w:pStyle w:val="TableBody"/>
            </w:pPr>
            <w:r w:rsidRPr="00A85956">
              <w:t>135</w:t>
            </w:r>
          </w:p>
        </w:tc>
        <w:tc>
          <w:tcPr>
            <w:tcW w:w="695" w:type="pct"/>
            <w:noWrap/>
            <w:hideMark/>
          </w:tcPr>
          <w:p w14:paraId="16C3B81E" w14:textId="77777777" w:rsidR="001C2580" w:rsidRPr="00A85956" w:rsidRDefault="001C2580" w:rsidP="00A85956">
            <w:pPr>
              <w:pStyle w:val="TableBody"/>
            </w:pPr>
            <w:r w:rsidRPr="00A85956">
              <w:t>74</w:t>
            </w:r>
          </w:p>
        </w:tc>
        <w:tc>
          <w:tcPr>
            <w:tcW w:w="694" w:type="pct"/>
            <w:noWrap/>
            <w:hideMark/>
          </w:tcPr>
          <w:p w14:paraId="6D7B1D54" w14:textId="77777777" w:rsidR="001C2580" w:rsidRPr="00A85956" w:rsidRDefault="001C2580" w:rsidP="00A85956">
            <w:pPr>
              <w:pStyle w:val="TableBody"/>
            </w:pPr>
            <w:r w:rsidRPr="00A85956">
              <w:t>121</w:t>
            </w:r>
          </w:p>
        </w:tc>
        <w:tc>
          <w:tcPr>
            <w:tcW w:w="794" w:type="pct"/>
            <w:noWrap/>
            <w:hideMark/>
          </w:tcPr>
          <w:p w14:paraId="272115D4" w14:textId="77777777" w:rsidR="001C2580" w:rsidRPr="00A85956" w:rsidRDefault="001C2580" w:rsidP="00A85956">
            <w:pPr>
              <w:pStyle w:val="TableBody"/>
            </w:pPr>
            <w:r w:rsidRPr="00A85956">
              <w:t>16</w:t>
            </w:r>
          </w:p>
        </w:tc>
        <w:tc>
          <w:tcPr>
            <w:tcW w:w="694" w:type="pct"/>
            <w:noWrap/>
            <w:hideMark/>
          </w:tcPr>
          <w:p w14:paraId="3B4F38AA" w14:textId="77777777" w:rsidR="001C2580" w:rsidRPr="00A85956" w:rsidRDefault="001C2580" w:rsidP="00A85956">
            <w:pPr>
              <w:pStyle w:val="TableBody"/>
            </w:pPr>
            <w:r w:rsidRPr="00A85956">
              <w:t>104</w:t>
            </w:r>
          </w:p>
        </w:tc>
        <w:tc>
          <w:tcPr>
            <w:tcW w:w="733" w:type="pct"/>
            <w:noWrap/>
            <w:hideMark/>
          </w:tcPr>
          <w:p w14:paraId="693D92A5" w14:textId="77777777" w:rsidR="001C2580" w:rsidRPr="00A85956" w:rsidRDefault="001C2580" w:rsidP="00A85956">
            <w:pPr>
              <w:pStyle w:val="TableBody"/>
            </w:pPr>
            <w:r w:rsidRPr="00A85956">
              <w:t>6</w:t>
            </w:r>
          </w:p>
        </w:tc>
      </w:tr>
      <w:tr w:rsidR="001C2580" w:rsidRPr="001C2580" w14:paraId="2D87FC13" w14:textId="77777777" w:rsidTr="0085666A">
        <w:trPr>
          <w:trHeight w:val="288"/>
        </w:trPr>
        <w:tc>
          <w:tcPr>
            <w:tcW w:w="695" w:type="pct"/>
            <w:noWrap/>
            <w:hideMark/>
          </w:tcPr>
          <w:p w14:paraId="117F7F6A" w14:textId="77777777" w:rsidR="001C2580" w:rsidRPr="00A85956" w:rsidRDefault="001C2580" w:rsidP="00A85956">
            <w:pPr>
              <w:pStyle w:val="TableBody"/>
            </w:pPr>
            <w:r w:rsidRPr="00A85956">
              <w:t>2007</w:t>
            </w:r>
          </w:p>
        </w:tc>
        <w:tc>
          <w:tcPr>
            <w:tcW w:w="696" w:type="pct"/>
            <w:noWrap/>
            <w:hideMark/>
          </w:tcPr>
          <w:p w14:paraId="6347CA11" w14:textId="77777777" w:rsidR="001C2580" w:rsidRPr="00A85956" w:rsidRDefault="001C2580" w:rsidP="00A85956">
            <w:pPr>
              <w:pStyle w:val="TableBody"/>
            </w:pPr>
            <w:r w:rsidRPr="00A85956">
              <w:t>139</w:t>
            </w:r>
          </w:p>
        </w:tc>
        <w:tc>
          <w:tcPr>
            <w:tcW w:w="695" w:type="pct"/>
            <w:noWrap/>
            <w:hideMark/>
          </w:tcPr>
          <w:p w14:paraId="541FCFBB" w14:textId="77777777" w:rsidR="001C2580" w:rsidRPr="00A85956" w:rsidRDefault="001C2580" w:rsidP="00A85956">
            <w:pPr>
              <w:pStyle w:val="TableBody"/>
            </w:pPr>
            <w:r w:rsidRPr="00A85956">
              <w:t>66</w:t>
            </w:r>
          </w:p>
        </w:tc>
        <w:tc>
          <w:tcPr>
            <w:tcW w:w="694" w:type="pct"/>
            <w:noWrap/>
            <w:hideMark/>
          </w:tcPr>
          <w:p w14:paraId="637125CD" w14:textId="77777777" w:rsidR="001C2580" w:rsidRPr="00A85956" w:rsidRDefault="001C2580" w:rsidP="00A85956">
            <w:pPr>
              <w:pStyle w:val="TableBody"/>
            </w:pPr>
            <w:r w:rsidRPr="00A85956">
              <w:t>111</w:t>
            </w:r>
          </w:p>
        </w:tc>
        <w:tc>
          <w:tcPr>
            <w:tcW w:w="794" w:type="pct"/>
            <w:noWrap/>
            <w:hideMark/>
          </w:tcPr>
          <w:p w14:paraId="06C426C2" w14:textId="77777777" w:rsidR="001C2580" w:rsidRPr="00A85956" w:rsidRDefault="001C2580" w:rsidP="00A85956">
            <w:pPr>
              <w:pStyle w:val="TableBody"/>
            </w:pPr>
            <w:r w:rsidRPr="00A85956">
              <w:t>19</w:t>
            </w:r>
          </w:p>
        </w:tc>
        <w:tc>
          <w:tcPr>
            <w:tcW w:w="694" w:type="pct"/>
            <w:noWrap/>
            <w:hideMark/>
          </w:tcPr>
          <w:p w14:paraId="2E0F8891" w14:textId="77777777" w:rsidR="001C2580" w:rsidRPr="00A85956" w:rsidRDefault="001C2580" w:rsidP="00A85956">
            <w:pPr>
              <w:pStyle w:val="TableBody"/>
            </w:pPr>
            <w:r w:rsidRPr="00A85956">
              <w:t>101</w:t>
            </w:r>
          </w:p>
        </w:tc>
        <w:tc>
          <w:tcPr>
            <w:tcW w:w="733" w:type="pct"/>
            <w:noWrap/>
            <w:hideMark/>
          </w:tcPr>
          <w:p w14:paraId="24F6DCF9" w14:textId="77777777" w:rsidR="001C2580" w:rsidRPr="00A85956" w:rsidRDefault="001C2580" w:rsidP="00A85956">
            <w:pPr>
              <w:pStyle w:val="TableBody"/>
            </w:pPr>
            <w:r w:rsidRPr="00A85956">
              <w:t>6</w:t>
            </w:r>
          </w:p>
        </w:tc>
      </w:tr>
      <w:tr w:rsidR="001C2580" w:rsidRPr="001C2580" w14:paraId="0C270D30" w14:textId="77777777" w:rsidTr="0085666A">
        <w:trPr>
          <w:trHeight w:val="288"/>
        </w:trPr>
        <w:tc>
          <w:tcPr>
            <w:tcW w:w="695" w:type="pct"/>
            <w:noWrap/>
            <w:hideMark/>
          </w:tcPr>
          <w:p w14:paraId="54DE208B" w14:textId="77777777" w:rsidR="001C2580" w:rsidRPr="00A85956" w:rsidRDefault="001C2580" w:rsidP="00A85956">
            <w:pPr>
              <w:pStyle w:val="TableBody"/>
            </w:pPr>
            <w:r w:rsidRPr="00A85956">
              <w:t>2008</w:t>
            </w:r>
          </w:p>
        </w:tc>
        <w:tc>
          <w:tcPr>
            <w:tcW w:w="696" w:type="pct"/>
            <w:noWrap/>
            <w:hideMark/>
          </w:tcPr>
          <w:p w14:paraId="689364D0" w14:textId="77777777" w:rsidR="001C2580" w:rsidRPr="00A85956" w:rsidRDefault="001C2580" w:rsidP="00A85956">
            <w:pPr>
              <w:pStyle w:val="TableBody"/>
            </w:pPr>
            <w:r w:rsidRPr="00A85956">
              <w:t>159</w:t>
            </w:r>
          </w:p>
        </w:tc>
        <w:tc>
          <w:tcPr>
            <w:tcW w:w="695" w:type="pct"/>
            <w:noWrap/>
            <w:hideMark/>
          </w:tcPr>
          <w:p w14:paraId="798F641D" w14:textId="77777777" w:rsidR="001C2580" w:rsidRPr="00A85956" w:rsidRDefault="001C2580" w:rsidP="00A85956">
            <w:pPr>
              <w:pStyle w:val="TableBody"/>
            </w:pPr>
            <w:r w:rsidRPr="00A85956">
              <w:t>68</w:t>
            </w:r>
          </w:p>
        </w:tc>
        <w:tc>
          <w:tcPr>
            <w:tcW w:w="694" w:type="pct"/>
            <w:noWrap/>
            <w:hideMark/>
          </w:tcPr>
          <w:p w14:paraId="0D00A39A" w14:textId="77777777" w:rsidR="001C2580" w:rsidRPr="00A85956" w:rsidRDefault="001C2580" w:rsidP="00A85956">
            <w:pPr>
              <w:pStyle w:val="TableBody"/>
            </w:pPr>
            <w:r w:rsidRPr="00A85956">
              <w:t>103</w:t>
            </w:r>
          </w:p>
        </w:tc>
        <w:tc>
          <w:tcPr>
            <w:tcW w:w="794" w:type="pct"/>
            <w:noWrap/>
            <w:hideMark/>
          </w:tcPr>
          <w:p w14:paraId="6C90F02F" w14:textId="77777777" w:rsidR="001C2580" w:rsidRPr="00A85956" w:rsidRDefault="001C2580" w:rsidP="00A85956">
            <w:pPr>
              <w:pStyle w:val="TableBody"/>
            </w:pPr>
            <w:r w:rsidRPr="00A85956">
              <w:t>19</w:t>
            </w:r>
          </w:p>
        </w:tc>
        <w:tc>
          <w:tcPr>
            <w:tcW w:w="694" w:type="pct"/>
            <w:noWrap/>
            <w:hideMark/>
          </w:tcPr>
          <w:p w14:paraId="0F5B1F7B" w14:textId="77777777" w:rsidR="001C2580" w:rsidRPr="00A85956" w:rsidRDefault="001C2580" w:rsidP="00A85956">
            <w:pPr>
              <w:pStyle w:val="TableBody"/>
            </w:pPr>
            <w:r w:rsidRPr="00A85956">
              <w:t>107</w:t>
            </w:r>
          </w:p>
        </w:tc>
        <w:tc>
          <w:tcPr>
            <w:tcW w:w="733" w:type="pct"/>
            <w:noWrap/>
            <w:hideMark/>
          </w:tcPr>
          <w:p w14:paraId="35D37472" w14:textId="77777777" w:rsidR="001C2580" w:rsidRPr="00A85956" w:rsidRDefault="001C2580" w:rsidP="00A85956">
            <w:pPr>
              <w:pStyle w:val="TableBody"/>
            </w:pPr>
            <w:r w:rsidRPr="00A85956">
              <w:t>7</w:t>
            </w:r>
          </w:p>
        </w:tc>
      </w:tr>
      <w:tr w:rsidR="001C2580" w:rsidRPr="001C2580" w14:paraId="7003E9FD" w14:textId="77777777" w:rsidTr="0085666A">
        <w:trPr>
          <w:trHeight w:val="288"/>
        </w:trPr>
        <w:tc>
          <w:tcPr>
            <w:tcW w:w="695" w:type="pct"/>
            <w:noWrap/>
            <w:hideMark/>
          </w:tcPr>
          <w:p w14:paraId="5131A0C3" w14:textId="77777777" w:rsidR="001C2580" w:rsidRPr="00A85956" w:rsidRDefault="001C2580" w:rsidP="00A85956">
            <w:pPr>
              <w:pStyle w:val="TableBody"/>
            </w:pPr>
            <w:r w:rsidRPr="00A85956">
              <w:t>2009</w:t>
            </w:r>
          </w:p>
        </w:tc>
        <w:tc>
          <w:tcPr>
            <w:tcW w:w="696" w:type="pct"/>
            <w:noWrap/>
            <w:hideMark/>
          </w:tcPr>
          <w:p w14:paraId="77F126C3" w14:textId="77777777" w:rsidR="001C2580" w:rsidRPr="00A85956" w:rsidRDefault="001C2580" w:rsidP="00A85956">
            <w:pPr>
              <w:pStyle w:val="TableBody"/>
            </w:pPr>
            <w:r w:rsidRPr="00A85956">
              <w:t>195</w:t>
            </w:r>
          </w:p>
        </w:tc>
        <w:tc>
          <w:tcPr>
            <w:tcW w:w="695" w:type="pct"/>
            <w:noWrap/>
            <w:hideMark/>
          </w:tcPr>
          <w:p w14:paraId="79690371" w14:textId="77777777" w:rsidR="001C2580" w:rsidRPr="00A85956" w:rsidRDefault="001C2580" w:rsidP="00A85956">
            <w:pPr>
              <w:pStyle w:val="TableBody"/>
            </w:pPr>
            <w:r w:rsidRPr="00A85956">
              <w:t>70</w:t>
            </w:r>
          </w:p>
        </w:tc>
        <w:tc>
          <w:tcPr>
            <w:tcW w:w="694" w:type="pct"/>
            <w:noWrap/>
            <w:hideMark/>
          </w:tcPr>
          <w:p w14:paraId="4CB608F3" w14:textId="77777777" w:rsidR="001C2580" w:rsidRPr="00A85956" w:rsidRDefault="001C2580" w:rsidP="00A85956">
            <w:pPr>
              <w:pStyle w:val="TableBody"/>
            </w:pPr>
            <w:r w:rsidRPr="00A85956">
              <w:t>92</w:t>
            </w:r>
          </w:p>
        </w:tc>
        <w:tc>
          <w:tcPr>
            <w:tcW w:w="794" w:type="pct"/>
            <w:noWrap/>
            <w:hideMark/>
          </w:tcPr>
          <w:p w14:paraId="7E8238B3" w14:textId="77777777" w:rsidR="001C2580" w:rsidRPr="00A85956" w:rsidRDefault="001C2580" w:rsidP="00A85956">
            <w:pPr>
              <w:pStyle w:val="TableBody"/>
            </w:pPr>
            <w:r w:rsidRPr="00A85956">
              <w:t>16</w:t>
            </w:r>
          </w:p>
        </w:tc>
        <w:tc>
          <w:tcPr>
            <w:tcW w:w="694" w:type="pct"/>
            <w:noWrap/>
            <w:hideMark/>
          </w:tcPr>
          <w:p w14:paraId="64C636D7" w14:textId="77777777" w:rsidR="001C2580" w:rsidRPr="00A85956" w:rsidRDefault="001C2580" w:rsidP="00A85956">
            <w:pPr>
              <w:pStyle w:val="TableBody"/>
            </w:pPr>
            <w:r w:rsidRPr="00A85956">
              <w:t>72</w:t>
            </w:r>
          </w:p>
        </w:tc>
        <w:tc>
          <w:tcPr>
            <w:tcW w:w="733" w:type="pct"/>
            <w:noWrap/>
            <w:hideMark/>
          </w:tcPr>
          <w:p w14:paraId="2332D436" w14:textId="77777777" w:rsidR="001C2580" w:rsidRPr="00A85956" w:rsidRDefault="001C2580" w:rsidP="00A85956">
            <w:pPr>
              <w:pStyle w:val="TableBody"/>
            </w:pPr>
            <w:r w:rsidRPr="00A85956">
              <w:t>6</w:t>
            </w:r>
          </w:p>
        </w:tc>
      </w:tr>
      <w:tr w:rsidR="001C2580" w:rsidRPr="001C2580" w14:paraId="272B944C" w14:textId="77777777" w:rsidTr="0085666A">
        <w:trPr>
          <w:trHeight w:val="288"/>
        </w:trPr>
        <w:tc>
          <w:tcPr>
            <w:tcW w:w="695" w:type="pct"/>
            <w:noWrap/>
            <w:hideMark/>
          </w:tcPr>
          <w:p w14:paraId="61348EF6" w14:textId="77777777" w:rsidR="001C2580" w:rsidRPr="00A85956" w:rsidRDefault="001C2580" w:rsidP="00A85956">
            <w:pPr>
              <w:pStyle w:val="TableBody"/>
            </w:pPr>
            <w:r w:rsidRPr="00A85956">
              <w:t>2010</w:t>
            </w:r>
          </w:p>
        </w:tc>
        <w:tc>
          <w:tcPr>
            <w:tcW w:w="696" w:type="pct"/>
            <w:noWrap/>
            <w:hideMark/>
          </w:tcPr>
          <w:p w14:paraId="385D5D8B" w14:textId="77777777" w:rsidR="001C2580" w:rsidRPr="00A85956" w:rsidRDefault="001C2580" w:rsidP="00A85956">
            <w:pPr>
              <w:pStyle w:val="TableBody"/>
            </w:pPr>
            <w:r w:rsidRPr="00A85956">
              <w:t>209</w:t>
            </w:r>
          </w:p>
        </w:tc>
        <w:tc>
          <w:tcPr>
            <w:tcW w:w="695" w:type="pct"/>
            <w:noWrap/>
            <w:hideMark/>
          </w:tcPr>
          <w:p w14:paraId="70DA5FBB" w14:textId="77777777" w:rsidR="001C2580" w:rsidRPr="00A85956" w:rsidRDefault="001C2580" w:rsidP="00A85956">
            <w:pPr>
              <w:pStyle w:val="TableBody"/>
            </w:pPr>
            <w:r w:rsidRPr="00A85956">
              <w:t>78</w:t>
            </w:r>
          </w:p>
        </w:tc>
        <w:tc>
          <w:tcPr>
            <w:tcW w:w="694" w:type="pct"/>
            <w:noWrap/>
            <w:hideMark/>
          </w:tcPr>
          <w:p w14:paraId="049778A8" w14:textId="77777777" w:rsidR="001C2580" w:rsidRPr="00A85956" w:rsidRDefault="001C2580" w:rsidP="00A85956">
            <w:pPr>
              <w:pStyle w:val="TableBody"/>
            </w:pPr>
            <w:r w:rsidRPr="00A85956">
              <w:t>89</w:t>
            </w:r>
          </w:p>
        </w:tc>
        <w:tc>
          <w:tcPr>
            <w:tcW w:w="794" w:type="pct"/>
            <w:noWrap/>
            <w:hideMark/>
          </w:tcPr>
          <w:p w14:paraId="41FC71EA" w14:textId="77777777" w:rsidR="001C2580" w:rsidRPr="00A85956" w:rsidRDefault="001C2580" w:rsidP="00A85956">
            <w:pPr>
              <w:pStyle w:val="TableBody"/>
            </w:pPr>
            <w:r w:rsidRPr="00A85956">
              <w:t>19</w:t>
            </w:r>
          </w:p>
        </w:tc>
        <w:tc>
          <w:tcPr>
            <w:tcW w:w="694" w:type="pct"/>
            <w:noWrap/>
            <w:hideMark/>
          </w:tcPr>
          <w:p w14:paraId="0CAAF048" w14:textId="77777777" w:rsidR="001C2580" w:rsidRPr="00A85956" w:rsidRDefault="001C2580" w:rsidP="00A85956">
            <w:pPr>
              <w:pStyle w:val="TableBody"/>
            </w:pPr>
            <w:r w:rsidRPr="00A85956">
              <w:t>53</w:t>
            </w:r>
          </w:p>
        </w:tc>
        <w:tc>
          <w:tcPr>
            <w:tcW w:w="733" w:type="pct"/>
            <w:noWrap/>
            <w:hideMark/>
          </w:tcPr>
          <w:p w14:paraId="14D0BE92" w14:textId="77777777" w:rsidR="001C2580" w:rsidRPr="00A85956" w:rsidRDefault="001C2580" w:rsidP="00A85956">
            <w:pPr>
              <w:pStyle w:val="TableBody"/>
            </w:pPr>
            <w:r w:rsidRPr="00A85956">
              <w:t>8</w:t>
            </w:r>
          </w:p>
        </w:tc>
      </w:tr>
      <w:tr w:rsidR="001C2580" w:rsidRPr="001C2580" w14:paraId="16E23A43" w14:textId="77777777" w:rsidTr="0085666A">
        <w:trPr>
          <w:trHeight w:val="288"/>
        </w:trPr>
        <w:tc>
          <w:tcPr>
            <w:tcW w:w="695" w:type="pct"/>
            <w:noWrap/>
            <w:hideMark/>
          </w:tcPr>
          <w:p w14:paraId="4DE4F65C" w14:textId="77777777" w:rsidR="001C2580" w:rsidRPr="00A85956" w:rsidRDefault="001C2580" w:rsidP="00A85956">
            <w:pPr>
              <w:pStyle w:val="TableBody"/>
            </w:pPr>
            <w:r w:rsidRPr="00A85956">
              <w:t>2011</w:t>
            </w:r>
          </w:p>
        </w:tc>
        <w:tc>
          <w:tcPr>
            <w:tcW w:w="696" w:type="pct"/>
            <w:noWrap/>
            <w:hideMark/>
          </w:tcPr>
          <w:p w14:paraId="63CBFD96" w14:textId="77777777" w:rsidR="001C2580" w:rsidRPr="00A85956" w:rsidRDefault="001C2580" w:rsidP="00A85956">
            <w:pPr>
              <w:pStyle w:val="TableBody"/>
            </w:pPr>
            <w:r w:rsidRPr="00A85956">
              <w:t>230</w:t>
            </w:r>
          </w:p>
        </w:tc>
        <w:tc>
          <w:tcPr>
            <w:tcW w:w="695" w:type="pct"/>
            <w:noWrap/>
            <w:hideMark/>
          </w:tcPr>
          <w:p w14:paraId="23CC5F5A" w14:textId="77777777" w:rsidR="001C2580" w:rsidRPr="00A85956" w:rsidRDefault="001C2580" w:rsidP="00A85956">
            <w:pPr>
              <w:pStyle w:val="TableBody"/>
            </w:pPr>
            <w:r w:rsidRPr="00A85956">
              <w:t>67</w:t>
            </w:r>
          </w:p>
        </w:tc>
        <w:tc>
          <w:tcPr>
            <w:tcW w:w="694" w:type="pct"/>
            <w:noWrap/>
            <w:hideMark/>
          </w:tcPr>
          <w:p w14:paraId="7272BCD6" w14:textId="77777777" w:rsidR="001C2580" w:rsidRPr="00A85956" w:rsidRDefault="001C2580" w:rsidP="00A85956">
            <w:pPr>
              <w:pStyle w:val="TableBody"/>
            </w:pPr>
            <w:r w:rsidRPr="00A85956">
              <w:t>71</w:t>
            </w:r>
          </w:p>
        </w:tc>
        <w:tc>
          <w:tcPr>
            <w:tcW w:w="794" w:type="pct"/>
            <w:noWrap/>
            <w:hideMark/>
          </w:tcPr>
          <w:p w14:paraId="36C33FF9" w14:textId="77777777" w:rsidR="001C2580" w:rsidRPr="00A85956" w:rsidRDefault="001C2580" w:rsidP="00A85956">
            <w:pPr>
              <w:pStyle w:val="TableBody"/>
            </w:pPr>
            <w:r w:rsidRPr="00A85956">
              <w:t>19</w:t>
            </w:r>
          </w:p>
        </w:tc>
        <w:tc>
          <w:tcPr>
            <w:tcW w:w="694" w:type="pct"/>
            <w:noWrap/>
            <w:hideMark/>
          </w:tcPr>
          <w:p w14:paraId="7B7A1263" w14:textId="77777777" w:rsidR="001C2580" w:rsidRPr="00A85956" w:rsidRDefault="001C2580" w:rsidP="00A85956">
            <w:pPr>
              <w:pStyle w:val="TableBody"/>
            </w:pPr>
            <w:r w:rsidRPr="00A85956">
              <w:t>75</w:t>
            </w:r>
          </w:p>
        </w:tc>
        <w:tc>
          <w:tcPr>
            <w:tcW w:w="733" w:type="pct"/>
            <w:noWrap/>
            <w:hideMark/>
          </w:tcPr>
          <w:p w14:paraId="1520657D" w14:textId="77777777" w:rsidR="001C2580" w:rsidRPr="00A85956" w:rsidRDefault="001C2580" w:rsidP="00A85956">
            <w:pPr>
              <w:pStyle w:val="TableBody"/>
            </w:pPr>
            <w:r w:rsidRPr="00A85956">
              <w:t>9</w:t>
            </w:r>
          </w:p>
        </w:tc>
      </w:tr>
      <w:tr w:rsidR="001C2580" w:rsidRPr="001C2580" w14:paraId="783595ED" w14:textId="77777777" w:rsidTr="0085666A">
        <w:trPr>
          <w:trHeight w:val="288"/>
        </w:trPr>
        <w:tc>
          <w:tcPr>
            <w:tcW w:w="695" w:type="pct"/>
            <w:noWrap/>
            <w:hideMark/>
          </w:tcPr>
          <w:p w14:paraId="7FE1EB9C" w14:textId="77777777" w:rsidR="001C2580" w:rsidRPr="00A85956" w:rsidRDefault="001C2580" w:rsidP="00A85956">
            <w:pPr>
              <w:pStyle w:val="TableBody"/>
            </w:pPr>
            <w:r w:rsidRPr="00A85956">
              <w:t>2012</w:t>
            </w:r>
          </w:p>
        </w:tc>
        <w:tc>
          <w:tcPr>
            <w:tcW w:w="696" w:type="pct"/>
            <w:noWrap/>
            <w:hideMark/>
          </w:tcPr>
          <w:p w14:paraId="1918C69F" w14:textId="77777777" w:rsidR="001C2580" w:rsidRPr="00A85956" w:rsidRDefault="001C2580" w:rsidP="00A85956">
            <w:pPr>
              <w:pStyle w:val="TableBody"/>
            </w:pPr>
            <w:r w:rsidRPr="00A85956">
              <w:t>254</w:t>
            </w:r>
          </w:p>
        </w:tc>
        <w:tc>
          <w:tcPr>
            <w:tcW w:w="695" w:type="pct"/>
            <w:noWrap/>
            <w:hideMark/>
          </w:tcPr>
          <w:p w14:paraId="66887A7B" w14:textId="77777777" w:rsidR="001C2580" w:rsidRPr="00A85956" w:rsidRDefault="001C2580" w:rsidP="00A85956">
            <w:pPr>
              <w:pStyle w:val="TableBody"/>
            </w:pPr>
            <w:r w:rsidRPr="00A85956">
              <w:t>69</w:t>
            </w:r>
          </w:p>
        </w:tc>
        <w:tc>
          <w:tcPr>
            <w:tcW w:w="694" w:type="pct"/>
            <w:noWrap/>
            <w:hideMark/>
          </w:tcPr>
          <w:p w14:paraId="1CCFADC8" w14:textId="77777777" w:rsidR="001C2580" w:rsidRPr="00A85956" w:rsidRDefault="001C2580" w:rsidP="00A85956">
            <w:pPr>
              <w:pStyle w:val="TableBody"/>
            </w:pPr>
            <w:r w:rsidRPr="00A85956">
              <w:t>73</w:t>
            </w:r>
          </w:p>
        </w:tc>
        <w:tc>
          <w:tcPr>
            <w:tcW w:w="794" w:type="pct"/>
            <w:noWrap/>
            <w:hideMark/>
          </w:tcPr>
          <w:p w14:paraId="664A971D" w14:textId="77777777" w:rsidR="001C2580" w:rsidRPr="00A85956" w:rsidRDefault="001C2580" w:rsidP="00A85956">
            <w:pPr>
              <w:pStyle w:val="TableBody"/>
            </w:pPr>
            <w:r w:rsidRPr="00A85956">
              <w:t>23</w:t>
            </w:r>
          </w:p>
        </w:tc>
        <w:tc>
          <w:tcPr>
            <w:tcW w:w="694" w:type="pct"/>
            <w:noWrap/>
            <w:hideMark/>
          </w:tcPr>
          <w:p w14:paraId="56941BFC" w14:textId="77777777" w:rsidR="001C2580" w:rsidRPr="00A85956" w:rsidRDefault="001C2580" w:rsidP="00A85956">
            <w:pPr>
              <w:pStyle w:val="TableBody"/>
            </w:pPr>
            <w:r w:rsidRPr="00A85956">
              <w:t>86</w:t>
            </w:r>
          </w:p>
        </w:tc>
        <w:tc>
          <w:tcPr>
            <w:tcW w:w="733" w:type="pct"/>
            <w:noWrap/>
            <w:hideMark/>
          </w:tcPr>
          <w:p w14:paraId="0B027455" w14:textId="77777777" w:rsidR="001C2580" w:rsidRPr="00A85956" w:rsidRDefault="001C2580" w:rsidP="00A85956">
            <w:pPr>
              <w:pStyle w:val="TableBody"/>
            </w:pPr>
            <w:r w:rsidRPr="00A85956">
              <w:t>15</w:t>
            </w:r>
          </w:p>
        </w:tc>
      </w:tr>
      <w:tr w:rsidR="001C2580" w:rsidRPr="001C2580" w14:paraId="50407390" w14:textId="77777777" w:rsidTr="0085666A">
        <w:trPr>
          <w:trHeight w:val="288"/>
        </w:trPr>
        <w:tc>
          <w:tcPr>
            <w:tcW w:w="695" w:type="pct"/>
            <w:noWrap/>
            <w:hideMark/>
          </w:tcPr>
          <w:p w14:paraId="3AC59604" w14:textId="77777777" w:rsidR="001C2580" w:rsidRPr="00A85956" w:rsidRDefault="001C2580" w:rsidP="00A85956">
            <w:pPr>
              <w:pStyle w:val="TableBody"/>
            </w:pPr>
            <w:r w:rsidRPr="00A85956">
              <w:t>2013</w:t>
            </w:r>
          </w:p>
        </w:tc>
        <w:tc>
          <w:tcPr>
            <w:tcW w:w="696" w:type="pct"/>
            <w:noWrap/>
            <w:hideMark/>
          </w:tcPr>
          <w:p w14:paraId="4918E71A" w14:textId="77777777" w:rsidR="001C2580" w:rsidRPr="00A85956" w:rsidRDefault="001C2580" w:rsidP="00A85956">
            <w:pPr>
              <w:pStyle w:val="TableBody"/>
            </w:pPr>
            <w:r w:rsidRPr="00A85956">
              <w:t>253</w:t>
            </w:r>
          </w:p>
        </w:tc>
        <w:tc>
          <w:tcPr>
            <w:tcW w:w="695" w:type="pct"/>
            <w:noWrap/>
            <w:hideMark/>
          </w:tcPr>
          <w:p w14:paraId="5B66AD81" w14:textId="77777777" w:rsidR="001C2580" w:rsidRPr="00A85956" w:rsidRDefault="001C2580" w:rsidP="00A85956">
            <w:pPr>
              <w:pStyle w:val="TableBody"/>
            </w:pPr>
            <w:r w:rsidRPr="00A85956">
              <w:t>81</w:t>
            </w:r>
          </w:p>
        </w:tc>
        <w:tc>
          <w:tcPr>
            <w:tcW w:w="694" w:type="pct"/>
            <w:noWrap/>
            <w:hideMark/>
          </w:tcPr>
          <w:p w14:paraId="0D1B1EA2" w14:textId="77777777" w:rsidR="001C2580" w:rsidRPr="00A85956" w:rsidRDefault="001C2580" w:rsidP="00A85956">
            <w:pPr>
              <w:pStyle w:val="TableBody"/>
            </w:pPr>
            <w:r w:rsidRPr="00A85956">
              <w:t>82</w:t>
            </w:r>
          </w:p>
        </w:tc>
        <w:tc>
          <w:tcPr>
            <w:tcW w:w="794" w:type="pct"/>
            <w:noWrap/>
            <w:hideMark/>
          </w:tcPr>
          <w:p w14:paraId="6472EE7D" w14:textId="77777777" w:rsidR="001C2580" w:rsidRPr="00A85956" w:rsidRDefault="001C2580" w:rsidP="00A85956">
            <w:pPr>
              <w:pStyle w:val="TableBody"/>
            </w:pPr>
            <w:r w:rsidRPr="00A85956">
              <w:t>19</w:t>
            </w:r>
          </w:p>
        </w:tc>
        <w:tc>
          <w:tcPr>
            <w:tcW w:w="694" w:type="pct"/>
            <w:noWrap/>
            <w:hideMark/>
          </w:tcPr>
          <w:p w14:paraId="28340FBF" w14:textId="77777777" w:rsidR="001C2580" w:rsidRPr="00A85956" w:rsidRDefault="001C2580" w:rsidP="00A85956">
            <w:pPr>
              <w:pStyle w:val="TableBody"/>
            </w:pPr>
            <w:r w:rsidRPr="00A85956">
              <w:t>88</w:t>
            </w:r>
          </w:p>
        </w:tc>
        <w:tc>
          <w:tcPr>
            <w:tcW w:w="733" w:type="pct"/>
            <w:noWrap/>
            <w:hideMark/>
          </w:tcPr>
          <w:p w14:paraId="704CE029" w14:textId="77777777" w:rsidR="001C2580" w:rsidRPr="00A85956" w:rsidRDefault="001C2580" w:rsidP="00A85956">
            <w:pPr>
              <w:pStyle w:val="TableBody"/>
            </w:pPr>
            <w:r w:rsidRPr="00A85956">
              <w:t>13</w:t>
            </w:r>
          </w:p>
        </w:tc>
      </w:tr>
      <w:tr w:rsidR="001C2580" w:rsidRPr="001C2580" w14:paraId="306308C0" w14:textId="77777777" w:rsidTr="0085666A">
        <w:trPr>
          <w:trHeight w:val="288"/>
        </w:trPr>
        <w:tc>
          <w:tcPr>
            <w:tcW w:w="695" w:type="pct"/>
            <w:noWrap/>
            <w:hideMark/>
          </w:tcPr>
          <w:p w14:paraId="539E4017" w14:textId="77777777" w:rsidR="001C2580" w:rsidRPr="00A85956" w:rsidRDefault="001C2580" w:rsidP="00A85956">
            <w:pPr>
              <w:pStyle w:val="TableBody"/>
            </w:pPr>
            <w:r w:rsidRPr="00A85956">
              <w:t>2014</w:t>
            </w:r>
          </w:p>
        </w:tc>
        <w:tc>
          <w:tcPr>
            <w:tcW w:w="696" w:type="pct"/>
            <w:noWrap/>
            <w:hideMark/>
          </w:tcPr>
          <w:p w14:paraId="790D97F4" w14:textId="77777777" w:rsidR="001C2580" w:rsidRPr="00A85956" w:rsidRDefault="001C2580" w:rsidP="00A85956">
            <w:pPr>
              <w:pStyle w:val="TableBody"/>
            </w:pPr>
            <w:r w:rsidRPr="00A85956">
              <w:t>347</w:t>
            </w:r>
          </w:p>
        </w:tc>
        <w:tc>
          <w:tcPr>
            <w:tcW w:w="695" w:type="pct"/>
            <w:noWrap/>
            <w:hideMark/>
          </w:tcPr>
          <w:p w14:paraId="198B7789" w14:textId="77777777" w:rsidR="001C2580" w:rsidRPr="00A85956" w:rsidRDefault="001C2580" w:rsidP="00A85956">
            <w:pPr>
              <w:pStyle w:val="TableBody"/>
            </w:pPr>
            <w:r w:rsidRPr="00A85956">
              <w:t>74</w:t>
            </w:r>
          </w:p>
        </w:tc>
        <w:tc>
          <w:tcPr>
            <w:tcW w:w="694" w:type="pct"/>
            <w:noWrap/>
            <w:hideMark/>
          </w:tcPr>
          <w:p w14:paraId="16757B0B" w14:textId="77777777" w:rsidR="001C2580" w:rsidRPr="00A85956" w:rsidRDefault="001C2580" w:rsidP="00A85956">
            <w:pPr>
              <w:pStyle w:val="TableBody"/>
            </w:pPr>
            <w:r w:rsidRPr="00A85956">
              <w:t>77</w:t>
            </w:r>
          </w:p>
        </w:tc>
        <w:tc>
          <w:tcPr>
            <w:tcW w:w="794" w:type="pct"/>
            <w:noWrap/>
            <w:hideMark/>
          </w:tcPr>
          <w:p w14:paraId="33FE1848" w14:textId="77777777" w:rsidR="001C2580" w:rsidRPr="00A85956" w:rsidRDefault="001C2580" w:rsidP="00A85956">
            <w:pPr>
              <w:pStyle w:val="TableBody"/>
            </w:pPr>
            <w:r w:rsidRPr="00A85956">
              <w:t>30</w:t>
            </w:r>
          </w:p>
        </w:tc>
        <w:tc>
          <w:tcPr>
            <w:tcW w:w="694" w:type="pct"/>
            <w:noWrap/>
            <w:hideMark/>
          </w:tcPr>
          <w:p w14:paraId="35F66058" w14:textId="77777777" w:rsidR="001C2580" w:rsidRPr="00A85956" w:rsidRDefault="001C2580" w:rsidP="00A85956">
            <w:pPr>
              <w:pStyle w:val="TableBody"/>
            </w:pPr>
            <w:r w:rsidRPr="00A85956">
              <w:t>82</w:t>
            </w:r>
          </w:p>
        </w:tc>
        <w:tc>
          <w:tcPr>
            <w:tcW w:w="733" w:type="pct"/>
            <w:noWrap/>
            <w:hideMark/>
          </w:tcPr>
          <w:p w14:paraId="47DACFCF" w14:textId="77777777" w:rsidR="001C2580" w:rsidRPr="00A85956" w:rsidRDefault="001C2580" w:rsidP="00A85956">
            <w:pPr>
              <w:pStyle w:val="TableBody"/>
            </w:pPr>
            <w:r w:rsidRPr="00A85956">
              <w:t>27</w:t>
            </w:r>
          </w:p>
        </w:tc>
      </w:tr>
      <w:tr w:rsidR="001C2580" w:rsidRPr="001C2580" w14:paraId="139EF7E1" w14:textId="77777777" w:rsidTr="0085666A">
        <w:trPr>
          <w:trHeight w:val="288"/>
        </w:trPr>
        <w:tc>
          <w:tcPr>
            <w:tcW w:w="695" w:type="pct"/>
            <w:noWrap/>
            <w:hideMark/>
          </w:tcPr>
          <w:p w14:paraId="62536B57" w14:textId="77777777" w:rsidR="001C2580" w:rsidRPr="00A85956" w:rsidRDefault="001C2580" w:rsidP="00A85956">
            <w:pPr>
              <w:pStyle w:val="TableBody"/>
            </w:pPr>
            <w:r w:rsidRPr="00A85956">
              <w:t>2015</w:t>
            </w:r>
          </w:p>
        </w:tc>
        <w:tc>
          <w:tcPr>
            <w:tcW w:w="696" w:type="pct"/>
            <w:noWrap/>
            <w:hideMark/>
          </w:tcPr>
          <w:p w14:paraId="3549CE49" w14:textId="77777777" w:rsidR="001C2580" w:rsidRPr="00A85956" w:rsidRDefault="001C2580" w:rsidP="00A85956">
            <w:pPr>
              <w:pStyle w:val="TableBody"/>
            </w:pPr>
            <w:r w:rsidRPr="00A85956">
              <w:t>382</w:t>
            </w:r>
          </w:p>
        </w:tc>
        <w:tc>
          <w:tcPr>
            <w:tcW w:w="695" w:type="pct"/>
            <w:noWrap/>
            <w:hideMark/>
          </w:tcPr>
          <w:p w14:paraId="6B7B8CA6" w14:textId="77777777" w:rsidR="001C2580" w:rsidRPr="00A85956" w:rsidRDefault="001C2580" w:rsidP="00A85956">
            <w:pPr>
              <w:pStyle w:val="TableBody"/>
            </w:pPr>
            <w:r w:rsidRPr="00A85956">
              <w:t>89</w:t>
            </w:r>
          </w:p>
        </w:tc>
        <w:tc>
          <w:tcPr>
            <w:tcW w:w="694" w:type="pct"/>
            <w:noWrap/>
            <w:hideMark/>
          </w:tcPr>
          <w:p w14:paraId="7DCFBD1A" w14:textId="77777777" w:rsidR="001C2580" w:rsidRPr="00A85956" w:rsidRDefault="001C2580" w:rsidP="00A85956">
            <w:pPr>
              <w:pStyle w:val="TableBody"/>
            </w:pPr>
            <w:r w:rsidRPr="00A85956">
              <w:t>94</w:t>
            </w:r>
          </w:p>
        </w:tc>
        <w:tc>
          <w:tcPr>
            <w:tcW w:w="794" w:type="pct"/>
            <w:noWrap/>
            <w:hideMark/>
          </w:tcPr>
          <w:p w14:paraId="259697F1" w14:textId="77777777" w:rsidR="001C2580" w:rsidRPr="00A85956" w:rsidRDefault="001C2580" w:rsidP="00A85956">
            <w:pPr>
              <w:pStyle w:val="TableBody"/>
            </w:pPr>
            <w:r w:rsidRPr="00A85956">
              <w:t>62</w:t>
            </w:r>
          </w:p>
        </w:tc>
        <w:tc>
          <w:tcPr>
            <w:tcW w:w="694" w:type="pct"/>
            <w:noWrap/>
            <w:hideMark/>
          </w:tcPr>
          <w:p w14:paraId="1D4FB804" w14:textId="77777777" w:rsidR="001C2580" w:rsidRPr="00A85956" w:rsidRDefault="001C2580" w:rsidP="00A85956">
            <w:pPr>
              <w:pStyle w:val="TableBody"/>
            </w:pPr>
            <w:r w:rsidRPr="00A85956">
              <w:t>97</w:t>
            </w:r>
          </w:p>
        </w:tc>
        <w:tc>
          <w:tcPr>
            <w:tcW w:w="733" w:type="pct"/>
            <w:noWrap/>
            <w:hideMark/>
          </w:tcPr>
          <w:p w14:paraId="16534587" w14:textId="77777777" w:rsidR="001C2580" w:rsidRPr="00A85956" w:rsidRDefault="001C2580" w:rsidP="00A85956">
            <w:pPr>
              <w:pStyle w:val="TableBody"/>
            </w:pPr>
            <w:r w:rsidRPr="00A85956">
              <w:t>26</w:t>
            </w:r>
          </w:p>
        </w:tc>
      </w:tr>
      <w:tr w:rsidR="001C2580" w:rsidRPr="001C2580" w14:paraId="38691EA2" w14:textId="77777777" w:rsidTr="0085666A">
        <w:trPr>
          <w:trHeight w:val="288"/>
        </w:trPr>
        <w:tc>
          <w:tcPr>
            <w:tcW w:w="695" w:type="pct"/>
            <w:noWrap/>
            <w:hideMark/>
          </w:tcPr>
          <w:p w14:paraId="5498302E" w14:textId="77777777" w:rsidR="001C2580" w:rsidRPr="00A85956" w:rsidRDefault="001C2580" w:rsidP="00A85956">
            <w:pPr>
              <w:pStyle w:val="TableBody"/>
            </w:pPr>
            <w:r w:rsidRPr="00A85956">
              <w:t>2016</w:t>
            </w:r>
          </w:p>
        </w:tc>
        <w:tc>
          <w:tcPr>
            <w:tcW w:w="696" w:type="pct"/>
            <w:noWrap/>
            <w:hideMark/>
          </w:tcPr>
          <w:p w14:paraId="6D7D2C73" w14:textId="77777777" w:rsidR="001C2580" w:rsidRPr="00A85956" w:rsidRDefault="001C2580" w:rsidP="00A85956">
            <w:pPr>
              <w:pStyle w:val="TableBody"/>
            </w:pPr>
            <w:r w:rsidRPr="00A85956">
              <w:t>541</w:t>
            </w:r>
          </w:p>
        </w:tc>
        <w:tc>
          <w:tcPr>
            <w:tcW w:w="695" w:type="pct"/>
            <w:noWrap/>
            <w:hideMark/>
          </w:tcPr>
          <w:p w14:paraId="761F2C83" w14:textId="77777777" w:rsidR="001C2580" w:rsidRPr="00A85956" w:rsidRDefault="001C2580" w:rsidP="00A85956">
            <w:pPr>
              <w:pStyle w:val="TableBody"/>
            </w:pPr>
            <w:r w:rsidRPr="00A85956">
              <w:t>95</w:t>
            </w:r>
          </w:p>
        </w:tc>
        <w:tc>
          <w:tcPr>
            <w:tcW w:w="694" w:type="pct"/>
            <w:noWrap/>
            <w:hideMark/>
          </w:tcPr>
          <w:p w14:paraId="24FB9DCB" w14:textId="77777777" w:rsidR="001C2580" w:rsidRPr="00A85956" w:rsidRDefault="001C2580" w:rsidP="00A85956">
            <w:pPr>
              <w:pStyle w:val="TableBody"/>
            </w:pPr>
            <w:r w:rsidRPr="00A85956">
              <w:t>127</w:t>
            </w:r>
          </w:p>
        </w:tc>
        <w:tc>
          <w:tcPr>
            <w:tcW w:w="794" w:type="pct"/>
            <w:noWrap/>
            <w:hideMark/>
          </w:tcPr>
          <w:p w14:paraId="63E1467E" w14:textId="77777777" w:rsidR="001C2580" w:rsidRPr="00A85956" w:rsidRDefault="001C2580" w:rsidP="00A85956">
            <w:pPr>
              <w:pStyle w:val="TableBody"/>
            </w:pPr>
            <w:r w:rsidRPr="00A85956">
              <w:t>79</w:t>
            </w:r>
          </w:p>
        </w:tc>
        <w:tc>
          <w:tcPr>
            <w:tcW w:w="694" w:type="pct"/>
            <w:noWrap/>
            <w:hideMark/>
          </w:tcPr>
          <w:p w14:paraId="545A3021" w14:textId="77777777" w:rsidR="001C2580" w:rsidRPr="00A85956" w:rsidRDefault="001C2580" w:rsidP="00A85956">
            <w:pPr>
              <w:pStyle w:val="TableBody"/>
            </w:pPr>
            <w:r w:rsidRPr="00A85956">
              <w:t>114</w:t>
            </w:r>
          </w:p>
        </w:tc>
        <w:tc>
          <w:tcPr>
            <w:tcW w:w="733" w:type="pct"/>
            <w:noWrap/>
            <w:hideMark/>
          </w:tcPr>
          <w:p w14:paraId="22F55275" w14:textId="77777777" w:rsidR="001C2580" w:rsidRPr="00A85956" w:rsidRDefault="001C2580" w:rsidP="00A85956">
            <w:pPr>
              <w:pStyle w:val="TableBody"/>
            </w:pPr>
            <w:r w:rsidRPr="00A85956">
              <w:t>35</w:t>
            </w:r>
          </w:p>
        </w:tc>
      </w:tr>
      <w:tr w:rsidR="001C2580" w:rsidRPr="001C2580" w14:paraId="4DC9A2C4" w14:textId="77777777" w:rsidTr="0085666A">
        <w:trPr>
          <w:trHeight w:val="288"/>
        </w:trPr>
        <w:tc>
          <w:tcPr>
            <w:tcW w:w="695" w:type="pct"/>
            <w:noWrap/>
            <w:hideMark/>
          </w:tcPr>
          <w:p w14:paraId="33C8F54F" w14:textId="77777777" w:rsidR="001C2580" w:rsidRPr="00A85956" w:rsidRDefault="001C2580" w:rsidP="00A85956">
            <w:pPr>
              <w:pStyle w:val="TableBody"/>
            </w:pPr>
            <w:r w:rsidRPr="00A85956">
              <w:t>2017</w:t>
            </w:r>
          </w:p>
        </w:tc>
        <w:tc>
          <w:tcPr>
            <w:tcW w:w="696" w:type="pct"/>
            <w:noWrap/>
            <w:hideMark/>
          </w:tcPr>
          <w:p w14:paraId="3F77A3FA" w14:textId="77777777" w:rsidR="001C2580" w:rsidRPr="00A85956" w:rsidRDefault="001C2580" w:rsidP="00A85956">
            <w:pPr>
              <w:pStyle w:val="TableBody"/>
            </w:pPr>
            <w:r w:rsidRPr="00A85956">
              <w:t>666</w:t>
            </w:r>
          </w:p>
        </w:tc>
        <w:tc>
          <w:tcPr>
            <w:tcW w:w="695" w:type="pct"/>
            <w:noWrap/>
            <w:hideMark/>
          </w:tcPr>
          <w:p w14:paraId="6BDA8436" w14:textId="77777777" w:rsidR="001C2580" w:rsidRPr="00A85956" w:rsidRDefault="001C2580" w:rsidP="00A85956">
            <w:pPr>
              <w:pStyle w:val="TableBody"/>
            </w:pPr>
            <w:r w:rsidRPr="00A85956">
              <w:t>128</w:t>
            </w:r>
          </w:p>
        </w:tc>
        <w:tc>
          <w:tcPr>
            <w:tcW w:w="694" w:type="pct"/>
            <w:noWrap/>
            <w:hideMark/>
          </w:tcPr>
          <w:p w14:paraId="390EF604" w14:textId="77777777" w:rsidR="001C2580" w:rsidRPr="00A85956" w:rsidRDefault="001C2580" w:rsidP="00A85956">
            <w:pPr>
              <w:pStyle w:val="TableBody"/>
            </w:pPr>
            <w:r w:rsidRPr="00A85956">
              <w:t>107</w:t>
            </w:r>
          </w:p>
        </w:tc>
        <w:tc>
          <w:tcPr>
            <w:tcW w:w="794" w:type="pct"/>
            <w:noWrap/>
            <w:hideMark/>
          </w:tcPr>
          <w:p w14:paraId="0E00CE99" w14:textId="77777777" w:rsidR="001C2580" w:rsidRPr="00A85956" w:rsidRDefault="001C2580" w:rsidP="00A85956">
            <w:pPr>
              <w:pStyle w:val="TableBody"/>
            </w:pPr>
            <w:r w:rsidRPr="00A85956">
              <w:t>148</w:t>
            </w:r>
          </w:p>
        </w:tc>
        <w:tc>
          <w:tcPr>
            <w:tcW w:w="694" w:type="pct"/>
            <w:noWrap/>
            <w:hideMark/>
          </w:tcPr>
          <w:p w14:paraId="50028093" w14:textId="77777777" w:rsidR="001C2580" w:rsidRPr="00A85956" w:rsidRDefault="001C2580" w:rsidP="00A85956">
            <w:pPr>
              <w:pStyle w:val="TableBody"/>
            </w:pPr>
            <w:r w:rsidRPr="00A85956">
              <w:t>140</w:t>
            </w:r>
          </w:p>
        </w:tc>
        <w:tc>
          <w:tcPr>
            <w:tcW w:w="733" w:type="pct"/>
            <w:noWrap/>
            <w:hideMark/>
          </w:tcPr>
          <w:p w14:paraId="0B0B5BB3" w14:textId="77777777" w:rsidR="001C2580" w:rsidRPr="00A85956" w:rsidRDefault="001C2580" w:rsidP="00A85956">
            <w:pPr>
              <w:pStyle w:val="TableBody"/>
            </w:pPr>
            <w:r w:rsidRPr="00A85956">
              <w:t>43</w:t>
            </w:r>
          </w:p>
        </w:tc>
      </w:tr>
      <w:tr w:rsidR="001C2580" w:rsidRPr="001C2580" w14:paraId="610A84C4" w14:textId="77777777" w:rsidTr="0085666A">
        <w:trPr>
          <w:trHeight w:val="288"/>
        </w:trPr>
        <w:tc>
          <w:tcPr>
            <w:tcW w:w="695" w:type="pct"/>
            <w:noWrap/>
            <w:hideMark/>
          </w:tcPr>
          <w:p w14:paraId="4B7610A5" w14:textId="77777777" w:rsidR="001C2580" w:rsidRPr="00A85956" w:rsidRDefault="001C2580" w:rsidP="00A85956">
            <w:pPr>
              <w:pStyle w:val="TableBody"/>
            </w:pPr>
            <w:r w:rsidRPr="00A85956">
              <w:t>2018</w:t>
            </w:r>
          </w:p>
        </w:tc>
        <w:tc>
          <w:tcPr>
            <w:tcW w:w="696" w:type="pct"/>
            <w:noWrap/>
            <w:hideMark/>
          </w:tcPr>
          <w:p w14:paraId="0B6962CF" w14:textId="77777777" w:rsidR="001C2580" w:rsidRPr="00A85956" w:rsidRDefault="001C2580" w:rsidP="00A85956">
            <w:pPr>
              <w:pStyle w:val="TableBody"/>
            </w:pPr>
            <w:r w:rsidRPr="00A85956">
              <w:t>821</w:t>
            </w:r>
          </w:p>
        </w:tc>
        <w:tc>
          <w:tcPr>
            <w:tcW w:w="695" w:type="pct"/>
            <w:noWrap/>
            <w:hideMark/>
          </w:tcPr>
          <w:p w14:paraId="65006302" w14:textId="77777777" w:rsidR="001C2580" w:rsidRPr="00A85956" w:rsidRDefault="001C2580" w:rsidP="00A85956">
            <w:pPr>
              <w:pStyle w:val="TableBody"/>
            </w:pPr>
            <w:r w:rsidRPr="00A85956">
              <w:t>176</w:t>
            </w:r>
          </w:p>
        </w:tc>
        <w:tc>
          <w:tcPr>
            <w:tcW w:w="694" w:type="pct"/>
            <w:noWrap/>
            <w:hideMark/>
          </w:tcPr>
          <w:p w14:paraId="5AE32C53" w14:textId="77777777" w:rsidR="001C2580" w:rsidRPr="00A85956" w:rsidRDefault="001C2580" w:rsidP="00A85956">
            <w:pPr>
              <w:pStyle w:val="TableBody"/>
            </w:pPr>
            <w:r w:rsidRPr="00A85956">
              <w:t>126</w:t>
            </w:r>
          </w:p>
        </w:tc>
        <w:tc>
          <w:tcPr>
            <w:tcW w:w="794" w:type="pct"/>
            <w:noWrap/>
            <w:hideMark/>
          </w:tcPr>
          <w:p w14:paraId="58285BDF" w14:textId="77777777" w:rsidR="001C2580" w:rsidRPr="00A85956" w:rsidRDefault="001C2580" w:rsidP="00A85956">
            <w:pPr>
              <w:pStyle w:val="TableBody"/>
            </w:pPr>
            <w:r w:rsidRPr="00A85956">
              <w:t>117</w:t>
            </w:r>
          </w:p>
        </w:tc>
        <w:tc>
          <w:tcPr>
            <w:tcW w:w="694" w:type="pct"/>
            <w:noWrap/>
            <w:hideMark/>
          </w:tcPr>
          <w:p w14:paraId="1F594D2F" w14:textId="77777777" w:rsidR="001C2580" w:rsidRPr="00A85956" w:rsidRDefault="001C2580" w:rsidP="00A85956">
            <w:pPr>
              <w:pStyle w:val="TableBody"/>
            </w:pPr>
            <w:r w:rsidRPr="00A85956">
              <w:t>150</w:t>
            </w:r>
          </w:p>
        </w:tc>
        <w:tc>
          <w:tcPr>
            <w:tcW w:w="733" w:type="pct"/>
            <w:noWrap/>
            <w:hideMark/>
          </w:tcPr>
          <w:p w14:paraId="3FF2CF61" w14:textId="77777777" w:rsidR="001C2580" w:rsidRPr="00A85956" w:rsidRDefault="001C2580" w:rsidP="00A85956">
            <w:pPr>
              <w:pStyle w:val="TableBody"/>
            </w:pPr>
            <w:r w:rsidRPr="00A85956">
              <w:t>33</w:t>
            </w:r>
          </w:p>
        </w:tc>
      </w:tr>
      <w:tr w:rsidR="001C2580" w:rsidRPr="001C2580" w14:paraId="12413185" w14:textId="77777777" w:rsidTr="0085666A">
        <w:trPr>
          <w:trHeight w:val="288"/>
        </w:trPr>
        <w:tc>
          <w:tcPr>
            <w:tcW w:w="695" w:type="pct"/>
            <w:noWrap/>
            <w:hideMark/>
          </w:tcPr>
          <w:p w14:paraId="6B944CCF" w14:textId="77777777" w:rsidR="001C2580" w:rsidRPr="00A85956" w:rsidRDefault="001C2580" w:rsidP="00A85956">
            <w:pPr>
              <w:pStyle w:val="TableBody"/>
            </w:pPr>
            <w:r w:rsidRPr="00A85956">
              <w:t>2019</w:t>
            </w:r>
          </w:p>
        </w:tc>
        <w:tc>
          <w:tcPr>
            <w:tcW w:w="696" w:type="pct"/>
            <w:noWrap/>
            <w:hideMark/>
          </w:tcPr>
          <w:p w14:paraId="335399D6" w14:textId="77777777" w:rsidR="001C2580" w:rsidRPr="00A85956" w:rsidRDefault="001C2580" w:rsidP="00A85956">
            <w:pPr>
              <w:pStyle w:val="TableBody"/>
            </w:pPr>
            <w:r w:rsidRPr="00A85956">
              <w:t>914</w:t>
            </w:r>
          </w:p>
        </w:tc>
        <w:tc>
          <w:tcPr>
            <w:tcW w:w="695" w:type="pct"/>
            <w:noWrap/>
            <w:hideMark/>
          </w:tcPr>
          <w:p w14:paraId="29416B4E" w14:textId="77777777" w:rsidR="001C2580" w:rsidRPr="00A85956" w:rsidRDefault="001C2580" w:rsidP="00A85956">
            <w:pPr>
              <w:pStyle w:val="TableBody"/>
            </w:pPr>
            <w:r w:rsidRPr="00A85956">
              <w:t>192</w:t>
            </w:r>
          </w:p>
        </w:tc>
        <w:tc>
          <w:tcPr>
            <w:tcW w:w="694" w:type="pct"/>
            <w:noWrap/>
            <w:hideMark/>
          </w:tcPr>
          <w:p w14:paraId="4DBE4A87" w14:textId="77777777" w:rsidR="001C2580" w:rsidRPr="00A85956" w:rsidRDefault="001C2580" w:rsidP="00A85956">
            <w:pPr>
              <w:pStyle w:val="TableBody"/>
            </w:pPr>
            <w:r w:rsidRPr="00A85956">
              <w:t>133</w:t>
            </w:r>
          </w:p>
        </w:tc>
        <w:tc>
          <w:tcPr>
            <w:tcW w:w="794" w:type="pct"/>
            <w:noWrap/>
            <w:hideMark/>
          </w:tcPr>
          <w:p w14:paraId="183E09EB" w14:textId="77777777" w:rsidR="001C2580" w:rsidRPr="00A85956" w:rsidRDefault="001C2580" w:rsidP="00A85956">
            <w:pPr>
              <w:pStyle w:val="TableBody"/>
            </w:pPr>
            <w:r w:rsidRPr="00A85956">
              <w:t>150</w:t>
            </w:r>
          </w:p>
        </w:tc>
        <w:tc>
          <w:tcPr>
            <w:tcW w:w="694" w:type="pct"/>
            <w:noWrap/>
            <w:hideMark/>
          </w:tcPr>
          <w:p w14:paraId="1F0F2CED" w14:textId="77777777" w:rsidR="001C2580" w:rsidRPr="00A85956" w:rsidRDefault="001C2580" w:rsidP="00A85956">
            <w:pPr>
              <w:pStyle w:val="TableBody"/>
            </w:pPr>
            <w:r w:rsidRPr="00A85956">
              <w:t>151</w:t>
            </w:r>
          </w:p>
        </w:tc>
        <w:tc>
          <w:tcPr>
            <w:tcW w:w="733" w:type="pct"/>
            <w:noWrap/>
            <w:hideMark/>
          </w:tcPr>
          <w:p w14:paraId="243B4E8D" w14:textId="77777777" w:rsidR="001C2580" w:rsidRPr="00A85956" w:rsidRDefault="001C2580" w:rsidP="00A85956">
            <w:pPr>
              <w:pStyle w:val="TableBody"/>
            </w:pPr>
            <w:r w:rsidRPr="00A85956">
              <w:t>51</w:t>
            </w:r>
          </w:p>
        </w:tc>
      </w:tr>
      <w:tr w:rsidR="001C2580" w:rsidRPr="001C2580" w14:paraId="134E56AE" w14:textId="77777777" w:rsidTr="0085666A">
        <w:trPr>
          <w:trHeight w:val="288"/>
        </w:trPr>
        <w:tc>
          <w:tcPr>
            <w:tcW w:w="695" w:type="pct"/>
            <w:noWrap/>
            <w:hideMark/>
          </w:tcPr>
          <w:p w14:paraId="6A157AEE" w14:textId="77777777" w:rsidR="001C2580" w:rsidRPr="00A85956" w:rsidRDefault="001C2580" w:rsidP="00A85956">
            <w:pPr>
              <w:pStyle w:val="TableBody"/>
            </w:pPr>
            <w:r w:rsidRPr="00A85956">
              <w:t>2020</w:t>
            </w:r>
          </w:p>
        </w:tc>
        <w:tc>
          <w:tcPr>
            <w:tcW w:w="696" w:type="pct"/>
            <w:noWrap/>
            <w:hideMark/>
          </w:tcPr>
          <w:p w14:paraId="5519DE77" w14:textId="77777777" w:rsidR="001C2580" w:rsidRPr="00A85956" w:rsidRDefault="001C2580" w:rsidP="00A85956">
            <w:pPr>
              <w:pStyle w:val="TableBody"/>
            </w:pPr>
            <w:r w:rsidRPr="00A85956">
              <w:t>719</w:t>
            </w:r>
          </w:p>
        </w:tc>
        <w:tc>
          <w:tcPr>
            <w:tcW w:w="695" w:type="pct"/>
            <w:noWrap/>
            <w:hideMark/>
          </w:tcPr>
          <w:p w14:paraId="5C786B8C" w14:textId="77777777" w:rsidR="001C2580" w:rsidRPr="00A85956" w:rsidRDefault="001C2580" w:rsidP="00A85956">
            <w:pPr>
              <w:pStyle w:val="TableBody"/>
            </w:pPr>
            <w:r w:rsidRPr="00A85956">
              <w:t>203</w:t>
            </w:r>
          </w:p>
        </w:tc>
        <w:tc>
          <w:tcPr>
            <w:tcW w:w="694" w:type="pct"/>
            <w:noWrap/>
            <w:hideMark/>
          </w:tcPr>
          <w:p w14:paraId="12C2BE6B" w14:textId="77777777" w:rsidR="001C2580" w:rsidRPr="00A85956" w:rsidRDefault="001C2580" w:rsidP="00A85956">
            <w:pPr>
              <w:pStyle w:val="TableBody"/>
            </w:pPr>
            <w:r w:rsidRPr="00A85956">
              <w:t>128</w:t>
            </w:r>
          </w:p>
        </w:tc>
        <w:tc>
          <w:tcPr>
            <w:tcW w:w="794" w:type="pct"/>
            <w:noWrap/>
            <w:hideMark/>
          </w:tcPr>
          <w:p w14:paraId="540FB934" w14:textId="77777777" w:rsidR="001C2580" w:rsidRPr="00A85956" w:rsidRDefault="001C2580" w:rsidP="00A85956">
            <w:pPr>
              <w:pStyle w:val="TableBody"/>
            </w:pPr>
            <w:r w:rsidRPr="00A85956">
              <w:t>139</w:t>
            </w:r>
          </w:p>
        </w:tc>
        <w:tc>
          <w:tcPr>
            <w:tcW w:w="694" w:type="pct"/>
            <w:noWrap/>
            <w:hideMark/>
          </w:tcPr>
          <w:p w14:paraId="7A40F1C7" w14:textId="77777777" w:rsidR="001C2580" w:rsidRPr="00A85956" w:rsidRDefault="001C2580" w:rsidP="00A85956">
            <w:pPr>
              <w:pStyle w:val="TableBody"/>
            </w:pPr>
            <w:r w:rsidRPr="00A85956">
              <w:t>150</w:t>
            </w:r>
          </w:p>
        </w:tc>
        <w:tc>
          <w:tcPr>
            <w:tcW w:w="733" w:type="pct"/>
            <w:noWrap/>
            <w:hideMark/>
          </w:tcPr>
          <w:p w14:paraId="28886318" w14:textId="77777777" w:rsidR="001C2580" w:rsidRPr="00A85956" w:rsidRDefault="001C2580" w:rsidP="00A85956">
            <w:pPr>
              <w:pStyle w:val="TableBody"/>
            </w:pPr>
            <w:r w:rsidRPr="00A85956">
              <w:t>44</w:t>
            </w:r>
          </w:p>
        </w:tc>
      </w:tr>
      <w:tr w:rsidR="001C2580" w:rsidRPr="001C2580" w14:paraId="46FCEA82" w14:textId="77777777" w:rsidTr="0085666A">
        <w:trPr>
          <w:trHeight w:val="288"/>
        </w:trPr>
        <w:tc>
          <w:tcPr>
            <w:tcW w:w="695" w:type="pct"/>
            <w:noWrap/>
            <w:hideMark/>
          </w:tcPr>
          <w:p w14:paraId="3F600536" w14:textId="77777777" w:rsidR="001C2580" w:rsidRPr="00A85956" w:rsidRDefault="001C2580" w:rsidP="00A85956">
            <w:pPr>
              <w:pStyle w:val="TableBody"/>
            </w:pPr>
            <w:r w:rsidRPr="00A85956">
              <w:t>2021</w:t>
            </w:r>
          </w:p>
        </w:tc>
        <w:tc>
          <w:tcPr>
            <w:tcW w:w="696" w:type="pct"/>
            <w:noWrap/>
            <w:hideMark/>
          </w:tcPr>
          <w:p w14:paraId="61B4C4B4" w14:textId="77777777" w:rsidR="001C2580" w:rsidRPr="00A85956" w:rsidRDefault="001C2580" w:rsidP="00A85956">
            <w:pPr>
              <w:pStyle w:val="TableBody"/>
            </w:pPr>
            <w:r w:rsidRPr="00A85956">
              <w:t>1,039</w:t>
            </w:r>
          </w:p>
        </w:tc>
        <w:tc>
          <w:tcPr>
            <w:tcW w:w="695" w:type="pct"/>
            <w:noWrap/>
            <w:hideMark/>
          </w:tcPr>
          <w:p w14:paraId="6EEB104B" w14:textId="77777777" w:rsidR="001C2580" w:rsidRPr="00A85956" w:rsidRDefault="001C2580" w:rsidP="00A85956">
            <w:pPr>
              <w:pStyle w:val="TableBody"/>
            </w:pPr>
            <w:r w:rsidRPr="00A85956">
              <w:t>247</w:t>
            </w:r>
          </w:p>
        </w:tc>
        <w:tc>
          <w:tcPr>
            <w:tcW w:w="694" w:type="pct"/>
            <w:noWrap/>
            <w:hideMark/>
          </w:tcPr>
          <w:p w14:paraId="4ADD0475" w14:textId="77777777" w:rsidR="001C2580" w:rsidRPr="00A85956" w:rsidRDefault="001C2580" w:rsidP="00A85956">
            <w:pPr>
              <w:pStyle w:val="TableBody"/>
            </w:pPr>
            <w:r w:rsidRPr="00A85956">
              <w:t>148</w:t>
            </w:r>
          </w:p>
        </w:tc>
        <w:tc>
          <w:tcPr>
            <w:tcW w:w="794" w:type="pct"/>
            <w:noWrap/>
            <w:hideMark/>
          </w:tcPr>
          <w:p w14:paraId="1C00D60C" w14:textId="77777777" w:rsidR="001C2580" w:rsidRPr="00A85956" w:rsidRDefault="001C2580" w:rsidP="00A85956">
            <w:pPr>
              <w:pStyle w:val="TableBody"/>
            </w:pPr>
            <w:r w:rsidRPr="00A85956">
              <w:t>200</w:t>
            </w:r>
          </w:p>
        </w:tc>
        <w:tc>
          <w:tcPr>
            <w:tcW w:w="694" w:type="pct"/>
            <w:noWrap/>
            <w:hideMark/>
          </w:tcPr>
          <w:p w14:paraId="67204028" w14:textId="77777777" w:rsidR="001C2580" w:rsidRPr="00A85956" w:rsidRDefault="001C2580" w:rsidP="00A85956">
            <w:pPr>
              <w:pStyle w:val="TableBody"/>
            </w:pPr>
            <w:r w:rsidRPr="00A85956">
              <w:t>136</w:t>
            </w:r>
          </w:p>
        </w:tc>
        <w:tc>
          <w:tcPr>
            <w:tcW w:w="733" w:type="pct"/>
            <w:noWrap/>
            <w:hideMark/>
          </w:tcPr>
          <w:p w14:paraId="5B4A2867" w14:textId="77777777" w:rsidR="001C2580" w:rsidRPr="00A85956" w:rsidRDefault="001C2580" w:rsidP="00A85956">
            <w:pPr>
              <w:pStyle w:val="TableBody"/>
            </w:pPr>
            <w:r w:rsidRPr="00A85956">
              <w:t>61</w:t>
            </w:r>
          </w:p>
        </w:tc>
      </w:tr>
      <w:tr w:rsidR="001C2580" w:rsidRPr="001C2580" w14:paraId="32E98081" w14:textId="77777777" w:rsidTr="0085666A">
        <w:trPr>
          <w:trHeight w:val="288"/>
        </w:trPr>
        <w:tc>
          <w:tcPr>
            <w:tcW w:w="695" w:type="pct"/>
            <w:noWrap/>
            <w:hideMark/>
          </w:tcPr>
          <w:p w14:paraId="6FBD5710" w14:textId="77777777" w:rsidR="001C2580" w:rsidRPr="00A85956" w:rsidRDefault="001C2580" w:rsidP="00A85956">
            <w:pPr>
              <w:pStyle w:val="TableBody"/>
            </w:pPr>
            <w:r w:rsidRPr="00A85956">
              <w:t>2022</w:t>
            </w:r>
          </w:p>
        </w:tc>
        <w:tc>
          <w:tcPr>
            <w:tcW w:w="696" w:type="pct"/>
            <w:noWrap/>
            <w:hideMark/>
          </w:tcPr>
          <w:p w14:paraId="4DC1F8D9" w14:textId="77777777" w:rsidR="001C2580" w:rsidRPr="00A85956" w:rsidRDefault="001C2580" w:rsidP="00A85956">
            <w:pPr>
              <w:pStyle w:val="TableBody"/>
            </w:pPr>
            <w:r w:rsidRPr="00A85956">
              <w:t>944</w:t>
            </w:r>
          </w:p>
        </w:tc>
        <w:tc>
          <w:tcPr>
            <w:tcW w:w="695" w:type="pct"/>
            <w:noWrap/>
            <w:hideMark/>
          </w:tcPr>
          <w:p w14:paraId="25747660" w14:textId="77777777" w:rsidR="001C2580" w:rsidRPr="00A85956" w:rsidRDefault="001C2580" w:rsidP="00A85956">
            <w:pPr>
              <w:pStyle w:val="TableBody"/>
            </w:pPr>
            <w:r w:rsidRPr="00A85956">
              <w:t>266</w:t>
            </w:r>
          </w:p>
        </w:tc>
        <w:tc>
          <w:tcPr>
            <w:tcW w:w="694" w:type="pct"/>
            <w:noWrap/>
            <w:hideMark/>
          </w:tcPr>
          <w:p w14:paraId="7FEDF6AC" w14:textId="77777777" w:rsidR="001C2580" w:rsidRPr="00A85956" w:rsidRDefault="001C2580" w:rsidP="00A85956">
            <w:pPr>
              <w:pStyle w:val="TableBody"/>
            </w:pPr>
            <w:r w:rsidRPr="00A85956">
              <w:t>143</w:t>
            </w:r>
          </w:p>
        </w:tc>
        <w:tc>
          <w:tcPr>
            <w:tcW w:w="794" w:type="pct"/>
            <w:noWrap/>
            <w:hideMark/>
          </w:tcPr>
          <w:p w14:paraId="671D0E5B" w14:textId="77777777" w:rsidR="001C2580" w:rsidRPr="00A85956" w:rsidRDefault="001C2580" w:rsidP="00A85956">
            <w:pPr>
              <w:pStyle w:val="TableBody"/>
            </w:pPr>
            <w:r w:rsidRPr="00A85956">
              <w:t>168</w:t>
            </w:r>
          </w:p>
        </w:tc>
        <w:tc>
          <w:tcPr>
            <w:tcW w:w="694" w:type="pct"/>
            <w:noWrap/>
            <w:hideMark/>
          </w:tcPr>
          <w:p w14:paraId="60BCAC39" w14:textId="77777777" w:rsidR="001C2580" w:rsidRPr="00A85956" w:rsidRDefault="001C2580" w:rsidP="00A85956">
            <w:pPr>
              <w:pStyle w:val="TableBody"/>
            </w:pPr>
            <w:r w:rsidRPr="00A85956">
              <w:t>118</w:t>
            </w:r>
          </w:p>
        </w:tc>
        <w:tc>
          <w:tcPr>
            <w:tcW w:w="733" w:type="pct"/>
            <w:noWrap/>
            <w:hideMark/>
          </w:tcPr>
          <w:p w14:paraId="4127E784" w14:textId="77777777" w:rsidR="001C2580" w:rsidRPr="00A85956" w:rsidRDefault="001C2580" w:rsidP="00A85956">
            <w:pPr>
              <w:pStyle w:val="TableBody"/>
            </w:pPr>
            <w:r w:rsidRPr="00A85956">
              <w:t>60</w:t>
            </w:r>
          </w:p>
        </w:tc>
      </w:tr>
      <w:tr w:rsidR="001C2580" w:rsidRPr="001C2580" w14:paraId="4A54352E" w14:textId="77777777" w:rsidTr="0085666A">
        <w:trPr>
          <w:trHeight w:val="288"/>
        </w:trPr>
        <w:tc>
          <w:tcPr>
            <w:tcW w:w="695" w:type="pct"/>
            <w:noWrap/>
            <w:hideMark/>
          </w:tcPr>
          <w:p w14:paraId="42F3AEA1" w14:textId="77777777" w:rsidR="001C2580" w:rsidRPr="00A85956" w:rsidRDefault="001C2580" w:rsidP="00A85956">
            <w:pPr>
              <w:pStyle w:val="TableBody"/>
            </w:pPr>
            <w:r w:rsidRPr="00A85956">
              <w:t>2023</w:t>
            </w:r>
          </w:p>
        </w:tc>
        <w:tc>
          <w:tcPr>
            <w:tcW w:w="696" w:type="pct"/>
            <w:noWrap/>
            <w:hideMark/>
          </w:tcPr>
          <w:p w14:paraId="197F2132" w14:textId="77777777" w:rsidR="001C2580" w:rsidRPr="00A85956" w:rsidRDefault="001C2580" w:rsidP="00A85956">
            <w:pPr>
              <w:pStyle w:val="TableBody"/>
            </w:pPr>
            <w:r w:rsidRPr="00A85956">
              <w:t>816</w:t>
            </w:r>
          </w:p>
        </w:tc>
        <w:tc>
          <w:tcPr>
            <w:tcW w:w="695" w:type="pct"/>
            <w:noWrap/>
            <w:hideMark/>
          </w:tcPr>
          <w:p w14:paraId="3D293250" w14:textId="77777777" w:rsidR="001C2580" w:rsidRPr="00A85956" w:rsidRDefault="001C2580" w:rsidP="00A85956">
            <w:pPr>
              <w:pStyle w:val="TableBody"/>
            </w:pPr>
            <w:r w:rsidRPr="00A85956">
              <w:t>253</w:t>
            </w:r>
          </w:p>
        </w:tc>
        <w:tc>
          <w:tcPr>
            <w:tcW w:w="694" w:type="pct"/>
            <w:noWrap/>
            <w:hideMark/>
          </w:tcPr>
          <w:p w14:paraId="707BF4E9" w14:textId="77777777" w:rsidR="001C2580" w:rsidRPr="00A85956" w:rsidRDefault="001C2580" w:rsidP="00A85956">
            <w:pPr>
              <w:pStyle w:val="TableBody"/>
            </w:pPr>
            <w:r w:rsidRPr="00A85956">
              <w:t>133</w:t>
            </w:r>
          </w:p>
        </w:tc>
        <w:tc>
          <w:tcPr>
            <w:tcW w:w="794" w:type="pct"/>
            <w:noWrap/>
            <w:hideMark/>
          </w:tcPr>
          <w:p w14:paraId="5E6F8448" w14:textId="77777777" w:rsidR="001C2580" w:rsidRPr="00A85956" w:rsidRDefault="001C2580" w:rsidP="00A85956">
            <w:pPr>
              <w:pStyle w:val="TableBody"/>
            </w:pPr>
            <w:r w:rsidRPr="00A85956">
              <w:t>132</w:t>
            </w:r>
          </w:p>
        </w:tc>
        <w:tc>
          <w:tcPr>
            <w:tcW w:w="694" w:type="pct"/>
            <w:noWrap/>
            <w:hideMark/>
          </w:tcPr>
          <w:p w14:paraId="77329EE3" w14:textId="77777777" w:rsidR="001C2580" w:rsidRPr="00A85956" w:rsidRDefault="001C2580" w:rsidP="00A85956">
            <w:pPr>
              <w:pStyle w:val="TableBody"/>
            </w:pPr>
            <w:r w:rsidRPr="00A85956">
              <w:t>102</w:t>
            </w:r>
          </w:p>
        </w:tc>
        <w:tc>
          <w:tcPr>
            <w:tcW w:w="733" w:type="pct"/>
            <w:noWrap/>
            <w:hideMark/>
          </w:tcPr>
          <w:p w14:paraId="6C065769" w14:textId="77777777" w:rsidR="001C2580" w:rsidRPr="00A85956" w:rsidRDefault="001C2580" w:rsidP="00A85956">
            <w:pPr>
              <w:pStyle w:val="TableBody"/>
            </w:pPr>
            <w:r w:rsidRPr="00A85956">
              <w:t>44</w:t>
            </w:r>
          </w:p>
        </w:tc>
      </w:tr>
      <w:tr w:rsidR="001C2580" w:rsidRPr="001C2580" w14:paraId="67F0FBE1" w14:textId="77777777" w:rsidTr="0085666A">
        <w:trPr>
          <w:trHeight w:val="288"/>
        </w:trPr>
        <w:tc>
          <w:tcPr>
            <w:tcW w:w="695" w:type="pct"/>
            <w:noWrap/>
            <w:hideMark/>
          </w:tcPr>
          <w:p w14:paraId="1B88FE0E" w14:textId="77777777" w:rsidR="001C2580" w:rsidRPr="00A85956" w:rsidRDefault="001C2580" w:rsidP="00A85956">
            <w:pPr>
              <w:pStyle w:val="TableBody"/>
            </w:pPr>
            <w:r w:rsidRPr="00A85956">
              <w:t>2024</w:t>
            </w:r>
          </w:p>
        </w:tc>
        <w:tc>
          <w:tcPr>
            <w:tcW w:w="696" w:type="pct"/>
            <w:noWrap/>
            <w:hideMark/>
          </w:tcPr>
          <w:p w14:paraId="7187187A" w14:textId="77777777" w:rsidR="001C2580" w:rsidRPr="00A85956" w:rsidRDefault="001C2580" w:rsidP="00A85956">
            <w:pPr>
              <w:pStyle w:val="TableBody"/>
            </w:pPr>
            <w:r w:rsidRPr="00A85956">
              <w:t>392</w:t>
            </w:r>
          </w:p>
        </w:tc>
        <w:tc>
          <w:tcPr>
            <w:tcW w:w="695" w:type="pct"/>
            <w:noWrap/>
            <w:hideMark/>
          </w:tcPr>
          <w:p w14:paraId="66C305C4" w14:textId="77777777" w:rsidR="001C2580" w:rsidRPr="00A85956" w:rsidRDefault="001C2580" w:rsidP="00A85956">
            <w:pPr>
              <w:pStyle w:val="TableBody"/>
            </w:pPr>
            <w:r w:rsidRPr="00A85956">
              <w:t>195</w:t>
            </w:r>
          </w:p>
        </w:tc>
        <w:tc>
          <w:tcPr>
            <w:tcW w:w="694" w:type="pct"/>
            <w:noWrap/>
            <w:hideMark/>
          </w:tcPr>
          <w:p w14:paraId="62C11D5F" w14:textId="77777777" w:rsidR="001C2580" w:rsidRPr="00A85956" w:rsidRDefault="001C2580" w:rsidP="00A85956">
            <w:pPr>
              <w:pStyle w:val="TableBody"/>
            </w:pPr>
            <w:r w:rsidRPr="00A85956">
              <w:t>131</w:t>
            </w:r>
          </w:p>
        </w:tc>
        <w:tc>
          <w:tcPr>
            <w:tcW w:w="794" w:type="pct"/>
            <w:noWrap/>
            <w:hideMark/>
          </w:tcPr>
          <w:p w14:paraId="2590B84E" w14:textId="77777777" w:rsidR="001C2580" w:rsidRPr="00A85956" w:rsidRDefault="001C2580" w:rsidP="00A85956">
            <w:pPr>
              <w:pStyle w:val="TableBody"/>
            </w:pPr>
            <w:r w:rsidRPr="00A85956">
              <w:t>88</w:t>
            </w:r>
          </w:p>
        </w:tc>
        <w:tc>
          <w:tcPr>
            <w:tcW w:w="694" w:type="pct"/>
            <w:noWrap/>
            <w:hideMark/>
          </w:tcPr>
          <w:p w14:paraId="3BFB464D" w14:textId="77777777" w:rsidR="001C2580" w:rsidRPr="00A85956" w:rsidRDefault="001C2580" w:rsidP="00A85956">
            <w:pPr>
              <w:pStyle w:val="TableBody"/>
            </w:pPr>
            <w:r w:rsidRPr="00A85956">
              <w:t>158</w:t>
            </w:r>
          </w:p>
        </w:tc>
        <w:tc>
          <w:tcPr>
            <w:tcW w:w="733" w:type="pct"/>
            <w:noWrap/>
            <w:hideMark/>
          </w:tcPr>
          <w:p w14:paraId="31C4DA21" w14:textId="77777777" w:rsidR="001C2580" w:rsidRPr="00A85956" w:rsidRDefault="001C2580" w:rsidP="00A85956">
            <w:pPr>
              <w:pStyle w:val="TableBody"/>
            </w:pPr>
            <w:r w:rsidRPr="00A85956">
              <w:t>65</w:t>
            </w:r>
          </w:p>
        </w:tc>
      </w:tr>
    </w:tbl>
    <w:p w14:paraId="0C29AA7A" w14:textId="77777777" w:rsidR="00A4454A" w:rsidRPr="008C1137" w:rsidRDefault="00A4454A" w:rsidP="00D4532A">
      <w:r w:rsidRPr="000C258A">
        <w:rPr>
          <w:rStyle w:val="Strong"/>
        </w:rPr>
        <w:t>Source</w:t>
      </w:r>
      <w:r w:rsidRPr="008C1137">
        <w:t>: Australian Bureau of Statistics,</w:t>
      </w:r>
      <w:r w:rsidRPr="008C1137">
        <w:rPr>
          <w:rStyle w:val="Italic"/>
        </w:rPr>
        <w:t xml:space="preserve"> Prisoners in Australia</w:t>
      </w:r>
      <w:r w:rsidRPr="008C1137">
        <w:t>, cat. no. 4517.0 (abs.gov.au, 2024) Table 31</w:t>
      </w:r>
    </w:p>
    <w:p w14:paraId="357DC391" w14:textId="77777777" w:rsidR="00A4454A" w:rsidRPr="008C1137" w:rsidRDefault="00A4454A" w:rsidP="0002476E">
      <w:pPr>
        <w:pStyle w:val="Heading2"/>
      </w:pPr>
      <w:r w:rsidRPr="008C1137">
        <w:t>Average time served on remand by unsentenced prisoners</w:t>
      </w:r>
    </w:p>
    <w:p w14:paraId="34C462D3" w14:textId="28661B54" w:rsidR="00A4454A" w:rsidRPr="008C1137" w:rsidRDefault="00A4454A" w:rsidP="00210207">
      <w:pPr>
        <w:pStyle w:val="Numbered"/>
      </w:pPr>
      <w:r w:rsidRPr="008C1137">
        <w:t xml:space="preserve">Figure 54 presents the average number of months served on remand by unsentenced prisoners between 2005 and </w:t>
      </w:r>
      <w:r w:rsidRPr="008C1137">
        <w:lastRenderedPageBreak/>
        <w:t>2024.</w:t>
      </w:r>
      <w:r w:rsidRPr="008C1137">
        <w:rPr>
          <w:rStyle w:val="Superscript"/>
        </w:rPr>
        <w:footnoteReference w:id="175"/>
      </w:r>
      <w:r w:rsidRPr="008C1137">
        <w:t xml:space="preserve"> The data measures time spent on remand as at 30 June each year. Given that remand periods are often short and interrupted (an unsentenced prisoner may enter and leave remand several times before the conclusion of their legal matter), it is not representative of the total time spent on remand for all unsentenced prisoners. This is just one measure of time served on remand; Corrections Victoria also provides data on unsentenced discharges (remandees) by episode length, which can indicate the flow of unsentenced prisoners in and out of custody.</w:t>
      </w:r>
      <w:r w:rsidRPr="008C1137">
        <w:rPr>
          <w:rStyle w:val="Superscript"/>
        </w:rPr>
        <w:footnoteReference w:id="176"/>
      </w:r>
      <w:r w:rsidRPr="008C1137">
        <w:t xml:space="preserve"> Both measures are useful for different purposes.</w:t>
      </w:r>
    </w:p>
    <w:p w14:paraId="6D1007A0" w14:textId="77777777" w:rsidR="00A4454A" w:rsidRPr="008C1137" w:rsidRDefault="00A4454A" w:rsidP="00210207">
      <w:pPr>
        <w:pStyle w:val="Numbered"/>
      </w:pPr>
      <w:r w:rsidRPr="008C1137">
        <w:t xml:space="preserve">In the higher courts, the average time served on remand increased from 10 to 14 months, peaking at 15.4 months on 30 June 2022. This increase almost entirely occurred between 30 June 2017 and 30 June 2022, after a lengthy period of stability when average times served on remand ranged between around 9 and 11 months. There was then a slight downward trend in the 2 years to 30 June 2024. </w:t>
      </w:r>
    </w:p>
    <w:p w14:paraId="1B017033" w14:textId="77777777" w:rsidR="00A4454A" w:rsidRPr="008C1137" w:rsidRDefault="00A4454A" w:rsidP="00210207">
      <w:pPr>
        <w:pStyle w:val="Numbered"/>
      </w:pPr>
      <w:r w:rsidRPr="008C1137">
        <w:t>As for the Magistrates’ Court, the average time served on remand was relatively stable, ranging from 2.1 to 3.1 months (or 64 to 94 days). The average time served on remand increased slightly at the outset of COVID-19 (rising from 2.5 to 3.1 months between 30 June 2019 and 30 June 2020) and then remained at around 2.8 months in the 4 years after.</w:t>
      </w:r>
    </w:p>
    <w:p w14:paraId="213A1DBC" w14:textId="77777777" w:rsidR="00A4454A" w:rsidRPr="008C1137" w:rsidRDefault="00A4454A" w:rsidP="00BE4EDC">
      <w:pPr>
        <w:pStyle w:val="Caption"/>
      </w:pPr>
      <w:r w:rsidRPr="00157502">
        <w:t>Figure 54</w:t>
      </w:r>
      <w:r w:rsidRPr="008C1137">
        <w:t>: Average time served on remand (months) by unsentenced prisoners in custody on 30 June, 2005 to 2024</w:t>
      </w:r>
    </w:p>
    <w:tbl>
      <w:tblPr>
        <w:tblStyle w:val="Table"/>
        <w:tblW w:w="5000" w:type="pct"/>
        <w:tblLook w:val="04A0" w:firstRow="1" w:lastRow="0" w:firstColumn="1" w:lastColumn="0" w:noHBand="0" w:noVBand="1"/>
      </w:tblPr>
      <w:tblGrid>
        <w:gridCol w:w="3005"/>
        <w:gridCol w:w="3005"/>
        <w:gridCol w:w="3006"/>
      </w:tblGrid>
      <w:tr w:rsidR="00BA2E7E" w:rsidRPr="00FB0DA3" w14:paraId="678B3727" w14:textId="77777777" w:rsidTr="004945A7">
        <w:trPr>
          <w:trHeight w:val="288"/>
          <w:tblHeader/>
        </w:trPr>
        <w:tc>
          <w:tcPr>
            <w:tcW w:w="1666" w:type="pct"/>
            <w:noWrap/>
            <w:hideMark/>
          </w:tcPr>
          <w:p w14:paraId="3A54E7B7" w14:textId="7E66DE82" w:rsidR="00BA2E7E" w:rsidRPr="00FB0DA3" w:rsidRDefault="00BA2E7E" w:rsidP="000162E2">
            <w:pPr>
              <w:pStyle w:val="TableHeading"/>
              <w:rPr>
                <w:rFonts w:ascii="Times New Roman" w:hAnsi="Times New Roman"/>
              </w:rPr>
            </w:pPr>
            <w:r w:rsidRPr="00FB0DA3">
              <w:t>Year (as at 30 June)</w:t>
            </w:r>
          </w:p>
        </w:tc>
        <w:tc>
          <w:tcPr>
            <w:tcW w:w="1666" w:type="pct"/>
            <w:noWrap/>
            <w:hideMark/>
          </w:tcPr>
          <w:p w14:paraId="664A2F98" w14:textId="77777777" w:rsidR="00BA2E7E" w:rsidRPr="00FB0DA3" w:rsidRDefault="00BA2E7E" w:rsidP="000162E2">
            <w:pPr>
              <w:pStyle w:val="TableHeading"/>
            </w:pPr>
            <w:r w:rsidRPr="00FB0DA3">
              <w:t>Higher courts</w:t>
            </w:r>
          </w:p>
        </w:tc>
        <w:tc>
          <w:tcPr>
            <w:tcW w:w="1667" w:type="pct"/>
            <w:noWrap/>
            <w:hideMark/>
          </w:tcPr>
          <w:p w14:paraId="6A594CC5" w14:textId="66F9BA38" w:rsidR="00BA2E7E" w:rsidRPr="00FB0DA3" w:rsidRDefault="007D592A" w:rsidP="000162E2">
            <w:pPr>
              <w:pStyle w:val="TableHeading"/>
            </w:pPr>
            <w:r w:rsidRPr="00FB0DA3">
              <w:t>Magistrates’</w:t>
            </w:r>
            <w:r w:rsidR="000162E2">
              <w:t xml:space="preserve"> </w:t>
            </w:r>
            <w:r w:rsidR="00BA2E7E" w:rsidRPr="00FB0DA3">
              <w:t>Court</w:t>
            </w:r>
          </w:p>
        </w:tc>
      </w:tr>
      <w:tr w:rsidR="00FB0DA3" w:rsidRPr="00FB0DA3" w14:paraId="159637D1" w14:textId="77777777" w:rsidTr="004945A7">
        <w:trPr>
          <w:trHeight w:val="288"/>
        </w:trPr>
        <w:tc>
          <w:tcPr>
            <w:tcW w:w="1666" w:type="pct"/>
            <w:noWrap/>
            <w:hideMark/>
          </w:tcPr>
          <w:p w14:paraId="45E3DBE8" w14:textId="77777777" w:rsidR="00FB0DA3" w:rsidRPr="00A85956" w:rsidRDefault="00FB0DA3" w:rsidP="00A85956">
            <w:pPr>
              <w:pStyle w:val="TableBody"/>
            </w:pPr>
            <w:r w:rsidRPr="00A85956">
              <w:t>2005</w:t>
            </w:r>
          </w:p>
        </w:tc>
        <w:tc>
          <w:tcPr>
            <w:tcW w:w="1666" w:type="pct"/>
            <w:noWrap/>
            <w:hideMark/>
          </w:tcPr>
          <w:p w14:paraId="51782181" w14:textId="77777777" w:rsidR="00FB0DA3" w:rsidRPr="00A85956" w:rsidRDefault="00FB0DA3" w:rsidP="00A85956">
            <w:pPr>
              <w:pStyle w:val="TableBody"/>
            </w:pPr>
            <w:r w:rsidRPr="00A85956">
              <w:t>10.0</w:t>
            </w:r>
          </w:p>
        </w:tc>
        <w:tc>
          <w:tcPr>
            <w:tcW w:w="1667" w:type="pct"/>
            <w:noWrap/>
            <w:hideMark/>
          </w:tcPr>
          <w:p w14:paraId="06FEC02A" w14:textId="77777777" w:rsidR="00FB0DA3" w:rsidRPr="00A85956" w:rsidRDefault="00FB0DA3" w:rsidP="00A85956">
            <w:pPr>
              <w:pStyle w:val="TableBody"/>
            </w:pPr>
            <w:r w:rsidRPr="00A85956">
              <w:t>3.1</w:t>
            </w:r>
          </w:p>
        </w:tc>
      </w:tr>
      <w:tr w:rsidR="00FB0DA3" w:rsidRPr="00FB0DA3" w14:paraId="1113559A" w14:textId="77777777" w:rsidTr="004945A7">
        <w:trPr>
          <w:trHeight w:val="288"/>
        </w:trPr>
        <w:tc>
          <w:tcPr>
            <w:tcW w:w="1666" w:type="pct"/>
            <w:noWrap/>
            <w:hideMark/>
          </w:tcPr>
          <w:p w14:paraId="3EE7FC35" w14:textId="77777777" w:rsidR="00FB0DA3" w:rsidRPr="00A85956" w:rsidRDefault="00FB0DA3" w:rsidP="00A85956">
            <w:pPr>
              <w:pStyle w:val="TableBody"/>
            </w:pPr>
            <w:r w:rsidRPr="00A85956">
              <w:t>2006</w:t>
            </w:r>
          </w:p>
        </w:tc>
        <w:tc>
          <w:tcPr>
            <w:tcW w:w="1666" w:type="pct"/>
            <w:noWrap/>
            <w:hideMark/>
          </w:tcPr>
          <w:p w14:paraId="64C34855" w14:textId="77777777" w:rsidR="00FB0DA3" w:rsidRPr="00A85956" w:rsidRDefault="00FB0DA3" w:rsidP="00A85956">
            <w:pPr>
              <w:pStyle w:val="TableBody"/>
            </w:pPr>
            <w:r w:rsidRPr="00A85956">
              <w:t>10.4</w:t>
            </w:r>
          </w:p>
        </w:tc>
        <w:tc>
          <w:tcPr>
            <w:tcW w:w="1667" w:type="pct"/>
            <w:noWrap/>
            <w:hideMark/>
          </w:tcPr>
          <w:p w14:paraId="41392A42" w14:textId="77777777" w:rsidR="00FB0DA3" w:rsidRPr="00A85956" w:rsidRDefault="00FB0DA3" w:rsidP="00A85956">
            <w:pPr>
              <w:pStyle w:val="TableBody"/>
            </w:pPr>
            <w:r w:rsidRPr="00A85956">
              <w:t>2.1</w:t>
            </w:r>
          </w:p>
        </w:tc>
      </w:tr>
      <w:tr w:rsidR="00FB0DA3" w:rsidRPr="00FB0DA3" w14:paraId="502A4D78" w14:textId="77777777" w:rsidTr="004945A7">
        <w:trPr>
          <w:trHeight w:val="288"/>
        </w:trPr>
        <w:tc>
          <w:tcPr>
            <w:tcW w:w="1666" w:type="pct"/>
            <w:noWrap/>
            <w:hideMark/>
          </w:tcPr>
          <w:p w14:paraId="2DC7B9A8" w14:textId="77777777" w:rsidR="00FB0DA3" w:rsidRPr="00A85956" w:rsidRDefault="00FB0DA3" w:rsidP="00A85956">
            <w:pPr>
              <w:pStyle w:val="TableBody"/>
            </w:pPr>
            <w:r w:rsidRPr="00A85956">
              <w:t>2007</w:t>
            </w:r>
          </w:p>
        </w:tc>
        <w:tc>
          <w:tcPr>
            <w:tcW w:w="1666" w:type="pct"/>
            <w:noWrap/>
            <w:hideMark/>
          </w:tcPr>
          <w:p w14:paraId="622A2B29" w14:textId="77777777" w:rsidR="00FB0DA3" w:rsidRPr="00A85956" w:rsidRDefault="00FB0DA3" w:rsidP="00A85956">
            <w:pPr>
              <w:pStyle w:val="TableBody"/>
            </w:pPr>
            <w:r w:rsidRPr="00A85956">
              <w:t>10.5</w:t>
            </w:r>
          </w:p>
        </w:tc>
        <w:tc>
          <w:tcPr>
            <w:tcW w:w="1667" w:type="pct"/>
            <w:noWrap/>
            <w:hideMark/>
          </w:tcPr>
          <w:p w14:paraId="0E3BF459" w14:textId="77777777" w:rsidR="00FB0DA3" w:rsidRPr="00A85956" w:rsidRDefault="00FB0DA3" w:rsidP="00A85956">
            <w:pPr>
              <w:pStyle w:val="TableBody"/>
            </w:pPr>
            <w:r w:rsidRPr="00A85956">
              <w:t>2.4</w:t>
            </w:r>
          </w:p>
        </w:tc>
      </w:tr>
      <w:tr w:rsidR="00FB0DA3" w:rsidRPr="00FB0DA3" w14:paraId="44E8FA5E" w14:textId="77777777" w:rsidTr="004945A7">
        <w:trPr>
          <w:trHeight w:val="288"/>
        </w:trPr>
        <w:tc>
          <w:tcPr>
            <w:tcW w:w="1666" w:type="pct"/>
            <w:noWrap/>
            <w:hideMark/>
          </w:tcPr>
          <w:p w14:paraId="01EADE52" w14:textId="77777777" w:rsidR="00FB0DA3" w:rsidRPr="00A85956" w:rsidRDefault="00FB0DA3" w:rsidP="00A85956">
            <w:pPr>
              <w:pStyle w:val="TableBody"/>
            </w:pPr>
            <w:r w:rsidRPr="00A85956">
              <w:lastRenderedPageBreak/>
              <w:t>2008</w:t>
            </w:r>
          </w:p>
        </w:tc>
        <w:tc>
          <w:tcPr>
            <w:tcW w:w="1666" w:type="pct"/>
            <w:noWrap/>
            <w:hideMark/>
          </w:tcPr>
          <w:p w14:paraId="2A5FAE95" w14:textId="77777777" w:rsidR="00FB0DA3" w:rsidRPr="00A85956" w:rsidRDefault="00FB0DA3" w:rsidP="00A85956">
            <w:pPr>
              <w:pStyle w:val="TableBody"/>
            </w:pPr>
            <w:r w:rsidRPr="00A85956">
              <w:t>10.9</w:t>
            </w:r>
          </w:p>
        </w:tc>
        <w:tc>
          <w:tcPr>
            <w:tcW w:w="1667" w:type="pct"/>
            <w:noWrap/>
            <w:hideMark/>
          </w:tcPr>
          <w:p w14:paraId="65B97DC1" w14:textId="77777777" w:rsidR="00FB0DA3" w:rsidRPr="00A85956" w:rsidRDefault="00FB0DA3" w:rsidP="00A85956">
            <w:pPr>
              <w:pStyle w:val="TableBody"/>
            </w:pPr>
            <w:r w:rsidRPr="00A85956">
              <w:t>2.6</w:t>
            </w:r>
          </w:p>
        </w:tc>
      </w:tr>
      <w:tr w:rsidR="00FB0DA3" w:rsidRPr="00FB0DA3" w14:paraId="68EAC175" w14:textId="77777777" w:rsidTr="004945A7">
        <w:trPr>
          <w:trHeight w:val="288"/>
        </w:trPr>
        <w:tc>
          <w:tcPr>
            <w:tcW w:w="1666" w:type="pct"/>
            <w:noWrap/>
            <w:hideMark/>
          </w:tcPr>
          <w:p w14:paraId="38D9B015" w14:textId="77777777" w:rsidR="00FB0DA3" w:rsidRPr="00A85956" w:rsidRDefault="00FB0DA3" w:rsidP="00A85956">
            <w:pPr>
              <w:pStyle w:val="TableBody"/>
            </w:pPr>
            <w:r w:rsidRPr="00A85956">
              <w:t>2009</w:t>
            </w:r>
          </w:p>
        </w:tc>
        <w:tc>
          <w:tcPr>
            <w:tcW w:w="1666" w:type="pct"/>
            <w:noWrap/>
            <w:hideMark/>
          </w:tcPr>
          <w:p w14:paraId="1244D77E" w14:textId="77777777" w:rsidR="00FB0DA3" w:rsidRPr="00A85956" w:rsidRDefault="00FB0DA3" w:rsidP="00A85956">
            <w:pPr>
              <w:pStyle w:val="TableBody"/>
            </w:pPr>
            <w:r w:rsidRPr="00A85956">
              <w:t>10.8</w:t>
            </w:r>
          </w:p>
        </w:tc>
        <w:tc>
          <w:tcPr>
            <w:tcW w:w="1667" w:type="pct"/>
            <w:noWrap/>
            <w:hideMark/>
          </w:tcPr>
          <w:p w14:paraId="3D43CD15" w14:textId="77777777" w:rsidR="00FB0DA3" w:rsidRPr="00A85956" w:rsidRDefault="00FB0DA3" w:rsidP="00A85956">
            <w:pPr>
              <w:pStyle w:val="TableBody"/>
            </w:pPr>
            <w:r w:rsidRPr="00A85956">
              <w:t>2.9</w:t>
            </w:r>
          </w:p>
        </w:tc>
      </w:tr>
      <w:tr w:rsidR="00FB0DA3" w:rsidRPr="00FB0DA3" w14:paraId="0C58D604" w14:textId="77777777" w:rsidTr="004945A7">
        <w:trPr>
          <w:trHeight w:val="288"/>
        </w:trPr>
        <w:tc>
          <w:tcPr>
            <w:tcW w:w="1666" w:type="pct"/>
            <w:noWrap/>
            <w:hideMark/>
          </w:tcPr>
          <w:p w14:paraId="110C8EEE" w14:textId="77777777" w:rsidR="00FB0DA3" w:rsidRPr="00A85956" w:rsidRDefault="00FB0DA3" w:rsidP="00A85956">
            <w:pPr>
              <w:pStyle w:val="TableBody"/>
            </w:pPr>
            <w:r w:rsidRPr="00A85956">
              <w:t>2010</w:t>
            </w:r>
          </w:p>
        </w:tc>
        <w:tc>
          <w:tcPr>
            <w:tcW w:w="1666" w:type="pct"/>
            <w:noWrap/>
            <w:hideMark/>
          </w:tcPr>
          <w:p w14:paraId="29D409BE" w14:textId="77777777" w:rsidR="00FB0DA3" w:rsidRPr="00A85956" w:rsidRDefault="00FB0DA3" w:rsidP="00A85956">
            <w:pPr>
              <w:pStyle w:val="TableBody"/>
            </w:pPr>
            <w:r w:rsidRPr="00A85956">
              <w:t>10.0</w:t>
            </w:r>
          </w:p>
        </w:tc>
        <w:tc>
          <w:tcPr>
            <w:tcW w:w="1667" w:type="pct"/>
            <w:noWrap/>
            <w:hideMark/>
          </w:tcPr>
          <w:p w14:paraId="3271A27F" w14:textId="77777777" w:rsidR="00FB0DA3" w:rsidRPr="00A85956" w:rsidRDefault="00FB0DA3" w:rsidP="00A85956">
            <w:pPr>
              <w:pStyle w:val="TableBody"/>
            </w:pPr>
            <w:r w:rsidRPr="00A85956">
              <w:t>2.9</w:t>
            </w:r>
          </w:p>
        </w:tc>
      </w:tr>
      <w:tr w:rsidR="00FB0DA3" w:rsidRPr="00FB0DA3" w14:paraId="2B0314CE" w14:textId="77777777" w:rsidTr="004945A7">
        <w:trPr>
          <w:trHeight w:val="288"/>
        </w:trPr>
        <w:tc>
          <w:tcPr>
            <w:tcW w:w="1666" w:type="pct"/>
            <w:noWrap/>
            <w:hideMark/>
          </w:tcPr>
          <w:p w14:paraId="471717F7" w14:textId="77777777" w:rsidR="00FB0DA3" w:rsidRPr="00A85956" w:rsidRDefault="00FB0DA3" w:rsidP="00A85956">
            <w:pPr>
              <w:pStyle w:val="TableBody"/>
            </w:pPr>
            <w:r w:rsidRPr="00A85956">
              <w:t>2011</w:t>
            </w:r>
          </w:p>
        </w:tc>
        <w:tc>
          <w:tcPr>
            <w:tcW w:w="1666" w:type="pct"/>
            <w:noWrap/>
            <w:hideMark/>
          </w:tcPr>
          <w:p w14:paraId="5BFF47A1" w14:textId="77777777" w:rsidR="00FB0DA3" w:rsidRPr="00A85956" w:rsidRDefault="00FB0DA3" w:rsidP="00A85956">
            <w:pPr>
              <w:pStyle w:val="TableBody"/>
            </w:pPr>
            <w:r w:rsidRPr="00A85956">
              <w:t>9.5</w:t>
            </w:r>
          </w:p>
        </w:tc>
        <w:tc>
          <w:tcPr>
            <w:tcW w:w="1667" w:type="pct"/>
            <w:noWrap/>
            <w:hideMark/>
          </w:tcPr>
          <w:p w14:paraId="2232E588" w14:textId="77777777" w:rsidR="00FB0DA3" w:rsidRPr="00A85956" w:rsidRDefault="00FB0DA3" w:rsidP="00A85956">
            <w:pPr>
              <w:pStyle w:val="TableBody"/>
            </w:pPr>
            <w:r w:rsidRPr="00A85956">
              <w:t>2.6</w:t>
            </w:r>
          </w:p>
        </w:tc>
      </w:tr>
      <w:tr w:rsidR="00FB0DA3" w:rsidRPr="00FB0DA3" w14:paraId="1B6ABAB1" w14:textId="77777777" w:rsidTr="004945A7">
        <w:trPr>
          <w:trHeight w:val="288"/>
        </w:trPr>
        <w:tc>
          <w:tcPr>
            <w:tcW w:w="1666" w:type="pct"/>
            <w:noWrap/>
            <w:hideMark/>
          </w:tcPr>
          <w:p w14:paraId="3041E825" w14:textId="77777777" w:rsidR="00FB0DA3" w:rsidRPr="00A85956" w:rsidRDefault="00FB0DA3" w:rsidP="00A85956">
            <w:pPr>
              <w:pStyle w:val="TableBody"/>
            </w:pPr>
            <w:r w:rsidRPr="00A85956">
              <w:t>2012</w:t>
            </w:r>
          </w:p>
        </w:tc>
        <w:tc>
          <w:tcPr>
            <w:tcW w:w="1666" w:type="pct"/>
            <w:noWrap/>
            <w:hideMark/>
          </w:tcPr>
          <w:p w14:paraId="6B73ADF4" w14:textId="77777777" w:rsidR="00FB0DA3" w:rsidRPr="00A85956" w:rsidRDefault="00FB0DA3" w:rsidP="00A85956">
            <w:pPr>
              <w:pStyle w:val="TableBody"/>
            </w:pPr>
            <w:r w:rsidRPr="00A85956">
              <w:t>9.5</w:t>
            </w:r>
          </w:p>
        </w:tc>
        <w:tc>
          <w:tcPr>
            <w:tcW w:w="1667" w:type="pct"/>
            <w:noWrap/>
            <w:hideMark/>
          </w:tcPr>
          <w:p w14:paraId="2BC77B7F" w14:textId="77777777" w:rsidR="00FB0DA3" w:rsidRPr="00A85956" w:rsidRDefault="00FB0DA3" w:rsidP="00A85956">
            <w:pPr>
              <w:pStyle w:val="TableBody"/>
            </w:pPr>
            <w:r w:rsidRPr="00A85956">
              <w:t>2.6</w:t>
            </w:r>
          </w:p>
        </w:tc>
      </w:tr>
      <w:tr w:rsidR="00FB0DA3" w:rsidRPr="00FB0DA3" w14:paraId="107E9C18" w14:textId="77777777" w:rsidTr="004945A7">
        <w:trPr>
          <w:trHeight w:val="288"/>
        </w:trPr>
        <w:tc>
          <w:tcPr>
            <w:tcW w:w="1666" w:type="pct"/>
            <w:noWrap/>
            <w:hideMark/>
          </w:tcPr>
          <w:p w14:paraId="6888EB05" w14:textId="77777777" w:rsidR="00FB0DA3" w:rsidRPr="00A85956" w:rsidRDefault="00FB0DA3" w:rsidP="00A85956">
            <w:pPr>
              <w:pStyle w:val="TableBody"/>
            </w:pPr>
            <w:r w:rsidRPr="00A85956">
              <w:t>2013</w:t>
            </w:r>
          </w:p>
        </w:tc>
        <w:tc>
          <w:tcPr>
            <w:tcW w:w="1666" w:type="pct"/>
            <w:noWrap/>
            <w:hideMark/>
          </w:tcPr>
          <w:p w14:paraId="67AD0D09" w14:textId="77777777" w:rsidR="00FB0DA3" w:rsidRPr="00A85956" w:rsidRDefault="00FB0DA3" w:rsidP="00A85956">
            <w:pPr>
              <w:pStyle w:val="TableBody"/>
            </w:pPr>
            <w:r w:rsidRPr="00A85956">
              <w:t>8.7</w:t>
            </w:r>
          </w:p>
        </w:tc>
        <w:tc>
          <w:tcPr>
            <w:tcW w:w="1667" w:type="pct"/>
            <w:noWrap/>
            <w:hideMark/>
          </w:tcPr>
          <w:p w14:paraId="6860530A" w14:textId="77777777" w:rsidR="00FB0DA3" w:rsidRPr="00A85956" w:rsidRDefault="00FB0DA3" w:rsidP="00A85956">
            <w:pPr>
              <w:pStyle w:val="TableBody"/>
            </w:pPr>
            <w:r w:rsidRPr="00A85956">
              <w:t>2.4</w:t>
            </w:r>
          </w:p>
        </w:tc>
      </w:tr>
      <w:tr w:rsidR="00FB0DA3" w:rsidRPr="00FB0DA3" w14:paraId="3FFAFE56" w14:textId="77777777" w:rsidTr="004945A7">
        <w:trPr>
          <w:trHeight w:val="288"/>
        </w:trPr>
        <w:tc>
          <w:tcPr>
            <w:tcW w:w="1666" w:type="pct"/>
            <w:noWrap/>
            <w:hideMark/>
          </w:tcPr>
          <w:p w14:paraId="643708FA" w14:textId="77777777" w:rsidR="00FB0DA3" w:rsidRPr="00A85956" w:rsidRDefault="00FB0DA3" w:rsidP="00A85956">
            <w:pPr>
              <w:pStyle w:val="TableBody"/>
            </w:pPr>
            <w:r w:rsidRPr="00A85956">
              <w:t>2014</w:t>
            </w:r>
          </w:p>
        </w:tc>
        <w:tc>
          <w:tcPr>
            <w:tcW w:w="1666" w:type="pct"/>
            <w:noWrap/>
            <w:hideMark/>
          </w:tcPr>
          <w:p w14:paraId="2E604ADE" w14:textId="77777777" w:rsidR="00FB0DA3" w:rsidRPr="00A85956" w:rsidRDefault="00FB0DA3" w:rsidP="00A85956">
            <w:pPr>
              <w:pStyle w:val="TableBody"/>
            </w:pPr>
            <w:r w:rsidRPr="00A85956">
              <w:t>9.1</w:t>
            </w:r>
          </w:p>
        </w:tc>
        <w:tc>
          <w:tcPr>
            <w:tcW w:w="1667" w:type="pct"/>
            <w:noWrap/>
            <w:hideMark/>
          </w:tcPr>
          <w:p w14:paraId="09235200" w14:textId="77777777" w:rsidR="00FB0DA3" w:rsidRPr="00A85956" w:rsidRDefault="00FB0DA3" w:rsidP="00A85956">
            <w:pPr>
              <w:pStyle w:val="TableBody"/>
            </w:pPr>
            <w:r w:rsidRPr="00A85956">
              <w:t>2.2</w:t>
            </w:r>
          </w:p>
        </w:tc>
      </w:tr>
      <w:tr w:rsidR="00FB0DA3" w:rsidRPr="00FB0DA3" w14:paraId="60FE2F63" w14:textId="77777777" w:rsidTr="004945A7">
        <w:trPr>
          <w:trHeight w:val="288"/>
        </w:trPr>
        <w:tc>
          <w:tcPr>
            <w:tcW w:w="1666" w:type="pct"/>
            <w:noWrap/>
            <w:hideMark/>
          </w:tcPr>
          <w:p w14:paraId="1AFC07BB" w14:textId="77777777" w:rsidR="00FB0DA3" w:rsidRPr="00A85956" w:rsidRDefault="00FB0DA3" w:rsidP="00A85956">
            <w:pPr>
              <w:pStyle w:val="TableBody"/>
            </w:pPr>
            <w:r w:rsidRPr="00A85956">
              <w:t>2015</w:t>
            </w:r>
          </w:p>
        </w:tc>
        <w:tc>
          <w:tcPr>
            <w:tcW w:w="1666" w:type="pct"/>
            <w:noWrap/>
            <w:hideMark/>
          </w:tcPr>
          <w:p w14:paraId="51C14648" w14:textId="77777777" w:rsidR="00FB0DA3" w:rsidRPr="00A85956" w:rsidRDefault="00FB0DA3" w:rsidP="00A85956">
            <w:pPr>
              <w:pStyle w:val="TableBody"/>
            </w:pPr>
            <w:r w:rsidRPr="00A85956">
              <w:t>9.9</w:t>
            </w:r>
          </w:p>
        </w:tc>
        <w:tc>
          <w:tcPr>
            <w:tcW w:w="1667" w:type="pct"/>
            <w:noWrap/>
            <w:hideMark/>
          </w:tcPr>
          <w:p w14:paraId="124C1F96" w14:textId="77777777" w:rsidR="00FB0DA3" w:rsidRPr="00A85956" w:rsidRDefault="00FB0DA3" w:rsidP="00A85956">
            <w:pPr>
              <w:pStyle w:val="TableBody"/>
            </w:pPr>
            <w:r w:rsidRPr="00A85956">
              <w:t>2.1</w:t>
            </w:r>
          </w:p>
        </w:tc>
      </w:tr>
      <w:tr w:rsidR="00FB0DA3" w:rsidRPr="00FB0DA3" w14:paraId="5E9979CB" w14:textId="77777777" w:rsidTr="004945A7">
        <w:trPr>
          <w:trHeight w:val="288"/>
        </w:trPr>
        <w:tc>
          <w:tcPr>
            <w:tcW w:w="1666" w:type="pct"/>
            <w:noWrap/>
            <w:hideMark/>
          </w:tcPr>
          <w:p w14:paraId="126CC2A8" w14:textId="77777777" w:rsidR="00FB0DA3" w:rsidRPr="00A85956" w:rsidRDefault="00FB0DA3" w:rsidP="00A85956">
            <w:pPr>
              <w:pStyle w:val="TableBody"/>
            </w:pPr>
            <w:r w:rsidRPr="00A85956">
              <w:t>2016</w:t>
            </w:r>
          </w:p>
        </w:tc>
        <w:tc>
          <w:tcPr>
            <w:tcW w:w="1666" w:type="pct"/>
            <w:noWrap/>
            <w:hideMark/>
          </w:tcPr>
          <w:p w14:paraId="71746AC4" w14:textId="77777777" w:rsidR="00FB0DA3" w:rsidRPr="00A85956" w:rsidRDefault="00FB0DA3" w:rsidP="00A85956">
            <w:pPr>
              <w:pStyle w:val="TableBody"/>
            </w:pPr>
            <w:r w:rsidRPr="00A85956">
              <w:t>9.7</w:t>
            </w:r>
          </w:p>
        </w:tc>
        <w:tc>
          <w:tcPr>
            <w:tcW w:w="1667" w:type="pct"/>
            <w:noWrap/>
            <w:hideMark/>
          </w:tcPr>
          <w:p w14:paraId="5BAF594B" w14:textId="77777777" w:rsidR="00FB0DA3" w:rsidRPr="00A85956" w:rsidRDefault="00FB0DA3" w:rsidP="00A85956">
            <w:pPr>
              <w:pStyle w:val="TableBody"/>
            </w:pPr>
            <w:r w:rsidRPr="00A85956">
              <w:t>2.2</w:t>
            </w:r>
          </w:p>
        </w:tc>
      </w:tr>
      <w:tr w:rsidR="00FB0DA3" w:rsidRPr="00FB0DA3" w14:paraId="1DC52AF0" w14:textId="77777777" w:rsidTr="004945A7">
        <w:trPr>
          <w:trHeight w:val="288"/>
        </w:trPr>
        <w:tc>
          <w:tcPr>
            <w:tcW w:w="1666" w:type="pct"/>
            <w:noWrap/>
            <w:hideMark/>
          </w:tcPr>
          <w:p w14:paraId="40E23E55" w14:textId="77777777" w:rsidR="00FB0DA3" w:rsidRPr="00A85956" w:rsidRDefault="00FB0DA3" w:rsidP="00A85956">
            <w:pPr>
              <w:pStyle w:val="TableBody"/>
            </w:pPr>
            <w:r w:rsidRPr="00A85956">
              <w:t>2017</w:t>
            </w:r>
          </w:p>
        </w:tc>
        <w:tc>
          <w:tcPr>
            <w:tcW w:w="1666" w:type="pct"/>
            <w:noWrap/>
            <w:hideMark/>
          </w:tcPr>
          <w:p w14:paraId="427E17B3" w14:textId="77777777" w:rsidR="00FB0DA3" w:rsidRPr="00A85956" w:rsidRDefault="00FB0DA3" w:rsidP="00A85956">
            <w:pPr>
              <w:pStyle w:val="TableBody"/>
            </w:pPr>
            <w:r w:rsidRPr="00A85956">
              <w:t>10.0</w:t>
            </w:r>
          </w:p>
        </w:tc>
        <w:tc>
          <w:tcPr>
            <w:tcW w:w="1667" w:type="pct"/>
            <w:noWrap/>
            <w:hideMark/>
          </w:tcPr>
          <w:p w14:paraId="4EE73AAB" w14:textId="77777777" w:rsidR="00FB0DA3" w:rsidRPr="00A85956" w:rsidRDefault="00FB0DA3" w:rsidP="00A85956">
            <w:pPr>
              <w:pStyle w:val="TableBody"/>
            </w:pPr>
            <w:r w:rsidRPr="00A85956">
              <w:t>2.5</w:t>
            </w:r>
          </w:p>
        </w:tc>
      </w:tr>
      <w:tr w:rsidR="00FB0DA3" w:rsidRPr="00FB0DA3" w14:paraId="2ED81281" w14:textId="77777777" w:rsidTr="004945A7">
        <w:trPr>
          <w:trHeight w:val="288"/>
        </w:trPr>
        <w:tc>
          <w:tcPr>
            <w:tcW w:w="1666" w:type="pct"/>
            <w:noWrap/>
            <w:hideMark/>
          </w:tcPr>
          <w:p w14:paraId="300CFC66" w14:textId="77777777" w:rsidR="00FB0DA3" w:rsidRPr="00A85956" w:rsidRDefault="00FB0DA3" w:rsidP="00A85956">
            <w:pPr>
              <w:pStyle w:val="TableBody"/>
            </w:pPr>
            <w:r w:rsidRPr="00A85956">
              <w:t>2018</w:t>
            </w:r>
          </w:p>
        </w:tc>
        <w:tc>
          <w:tcPr>
            <w:tcW w:w="1666" w:type="pct"/>
            <w:noWrap/>
            <w:hideMark/>
          </w:tcPr>
          <w:p w14:paraId="7D3BAC45" w14:textId="77777777" w:rsidR="00FB0DA3" w:rsidRPr="00A85956" w:rsidRDefault="00FB0DA3" w:rsidP="00A85956">
            <w:pPr>
              <w:pStyle w:val="TableBody"/>
            </w:pPr>
            <w:r w:rsidRPr="00A85956">
              <w:t>11.3</w:t>
            </w:r>
          </w:p>
        </w:tc>
        <w:tc>
          <w:tcPr>
            <w:tcW w:w="1667" w:type="pct"/>
            <w:noWrap/>
            <w:hideMark/>
          </w:tcPr>
          <w:p w14:paraId="1C0A7594" w14:textId="77777777" w:rsidR="00FB0DA3" w:rsidRPr="00A85956" w:rsidRDefault="00FB0DA3" w:rsidP="00A85956">
            <w:pPr>
              <w:pStyle w:val="TableBody"/>
            </w:pPr>
            <w:r w:rsidRPr="00A85956">
              <w:t>2.3</w:t>
            </w:r>
          </w:p>
        </w:tc>
      </w:tr>
      <w:tr w:rsidR="00FB0DA3" w:rsidRPr="00FB0DA3" w14:paraId="61C73728" w14:textId="77777777" w:rsidTr="004945A7">
        <w:trPr>
          <w:trHeight w:val="288"/>
        </w:trPr>
        <w:tc>
          <w:tcPr>
            <w:tcW w:w="1666" w:type="pct"/>
            <w:noWrap/>
            <w:hideMark/>
          </w:tcPr>
          <w:p w14:paraId="324A9F61" w14:textId="77777777" w:rsidR="00FB0DA3" w:rsidRPr="00A85956" w:rsidRDefault="00FB0DA3" w:rsidP="00A85956">
            <w:pPr>
              <w:pStyle w:val="TableBody"/>
            </w:pPr>
            <w:r w:rsidRPr="00A85956">
              <w:t>2019</w:t>
            </w:r>
          </w:p>
        </w:tc>
        <w:tc>
          <w:tcPr>
            <w:tcW w:w="1666" w:type="pct"/>
            <w:noWrap/>
            <w:hideMark/>
          </w:tcPr>
          <w:p w14:paraId="73D10EC6" w14:textId="77777777" w:rsidR="00FB0DA3" w:rsidRPr="00A85956" w:rsidRDefault="00FB0DA3" w:rsidP="00A85956">
            <w:pPr>
              <w:pStyle w:val="TableBody"/>
            </w:pPr>
            <w:r w:rsidRPr="00A85956">
              <w:t>12.0</w:t>
            </w:r>
          </w:p>
        </w:tc>
        <w:tc>
          <w:tcPr>
            <w:tcW w:w="1667" w:type="pct"/>
            <w:noWrap/>
            <w:hideMark/>
          </w:tcPr>
          <w:p w14:paraId="038992A9" w14:textId="77777777" w:rsidR="00FB0DA3" w:rsidRPr="00A85956" w:rsidRDefault="00FB0DA3" w:rsidP="00A85956">
            <w:pPr>
              <w:pStyle w:val="TableBody"/>
            </w:pPr>
            <w:r w:rsidRPr="00A85956">
              <w:t>2.5</w:t>
            </w:r>
          </w:p>
        </w:tc>
      </w:tr>
      <w:tr w:rsidR="00FB0DA3" w:rsidRPr="00FB0DA3" w14:paraId="456CA9ED" w14:textId="77777777" w:rsidTr="004945A7">
        <w:trPr>
          <w:trHeight w:val="288"/>
        </w:trPr>
        <w:tc>
          <w:tcPr>
            <w:tcW w:w="1666" w:type="pct"/>
            <w:noWrap/>
            <w:hideMark/>
          </w:tcPr>
          <w:p w14:paraId="329BEDD2" w14:textId="77777777" w:rsidR="00FB0DA3" w:rsidRPr="00A85956" w:rsidRDefault="00FB0DA3" w:rsidP="00A85956">
            <w:pPr>
              <w:pStyle w:val="TableBody"/>
            </w:pPr>
            <w:r w:rsidRPr="00A85956">
              <w:t>2020</w:t>
            </w:r>
          </w:p>
        </w:tc>
        <w:tc>
          <w:tcPr>
            <w:tcW w:w="1666" w:type="pct"/>
            <w:noWrap/>
            <w:hideMark/>
          </w:tcPr>
          <w:p w14:paraId="22FF6789" w14:textId="77777777" w:rsidR="00FB0DA3" w:rsidRPr="00A85956" w:rsidRDefault="00FB0DA3" w:rsidP="00A85956">
            <w:pPr>
              <w:pStyle w:val="TableBody"/>
            </w:pPr>
            <w:r w:rsidRPr="00A85956">
              <w:t>13.8</w:t>
            </w:r>
          </w:p>
        </w:tc>
        <w:tc>
          <w:tcPr>
            <w:tcW w:w="1667" w:type="pct"/>
            <w:noWrap/>
            <w:hideMark/>
          </w:tcPr>
          <w:p w14:paraId="47E22C08" w14:textId="77777777" w:rsidR="00FB0DA3" w:rsidRPr="00A85956" w:rsidRDefault="00FB0DA3" w:rsidP="00A85956">
            <w:pPr>
              <w:pStyle w:val="TableBody"/>
            </w:pPr>
            <w:r w:rsidRPr="00A85956">
              <w:t>3.1</w:t>
            </w:r>
          </w:p>
        </w:tc>
      </w:tr>
      <w:tr w:rsidR="00FB0DA3" w:rsidRPr="00FB0DA3" w14:paraId="74A0982B" w14:textId="77777777" w:rsidTr="004945A7">
        <w:trPr>
          <w:trHeight w:val="288"/>
        </w:trPr>
        <w:tc>
          <w:tcPr>
            <w:tcW w:w="1666" w:type="pct"/>
            <w:noWrap/>
            <w:hideMark/>
          </w:tcPr>
          <w:p w14:paraId="74BFD30B" w14:textId="77777777" w:rsidR="00FB0DA3" w:rsidRPr="00A85956" w:rsidRDefault="00FB0DA3" w:rsidP="00A85956">
            <w:pPr>
              <w:pStyle w:val="TableBody"/>
            </w:pPr>
            <w:r w:rsidRPr="00A85956">
              <w:t>2021</w:t>
            </w:r>
          </w:p>
        </w:tc>
        <w:tc>
          <w:tcPr>
            <w:tcW w:w="1666" w:type="pct"/>
            <w:noWrap/>
            <w:hideMark/>
          </w:tcPr>
          <w:p w14:paraId="7E10470D" w14:textId="77777777" w:rsidR="00FB0DA3" w:rsidRPr="00A85956" w:rsidRDefault="00FB0DA3" w:rsidP="00A85956">
            <w:pPr>
              <w:pStyle w:val="TableBody"/>
            </w:pPr>
            <w:r w:rsidRPr="00A85956">
              <w:t>15.0</w:t>
            </w:r>
          </w:p>
        </w:tc>
        <w:tc>
          <w:tcPr>
            <w:tcW w:w="1667" w:type="pct"/>
            <w:noWrap/>
            <w:hideMark/>
          </w:tcPr>
          <w:p w14:paraId="1F21C5D5" w14:textId="77777777" w:rsidR="00FB0DA3" w:rsidRPr="00A85956" w:rsidRDefault="00FB0DA3" w:rsidP="00A85956">
            <w:pPr>
              <w:pStyle w:val="TableBody"/>
            </w:pPr>
            <w:r w:rsidRPr="00A85956">
              <w:t>2.8</w:t>
            </w:r>
          </w:p>
        </w:tc>
      </w:tr>
      <w:tr w:rsidR="00FB0DA3" w:rsidRPr="00FB0DA3" w14:paraId="52AFA7CC" w14:textId="77777777" w:rsidTr="004945A7">
        <w:trPr>
          <w:trHeight w:val="288"/>
        </w:trPr>
        <w:tc>
          <w:tcPr>
            <w:tcW w:w="1666" w:type="pct"/>
            <w:noWrap/>
            <w:hideMark/>
          </w:tcPr>
          <w:p w14:paraId="4FFA9A8A" w14:textId="77777777" w:rsidR="00FB0DA3" w:rsidRPr="00A85956" w:rsidRDefault="00FB0DA3" w:rsidP="00A85956">
            <w:pPr>
              <w:pStyle w:val="TableBody"/>
            </w:pPr>
            <w:r w:rsidRPr="00A85956">
              <w:t>2022</w:t>
            </w:r>
          </w:p>
        </w:tc>
        <w:tc>
          <w:tcPr>
            <w:tcW w:w="1666" w:type="pct"/>
            <w:noWrap/>
            <w:hideMark/>
          </w:tcPr>
          <w:p w14:paraId="5C076FC8" w14:textId="77777777" w:rsidR="00FB0DA3" w:rsidRPr="00A85956" w:rsidRDefault="00FB0DA3" w:rsidP="00A85956">
            <w:pPr>
              <w:pStyle w:val="TableBody"/>
            </w:pPr>
            <w:r w:rsidRPr="00A85956">
              <w:t>15.4</w:t>
            </w:r>
          </w:p>
        </w:tc>
        <w:tc>
          <w:tcPr>
            <w:tcW w:w="1667" w:type="pct"/>
            <w:noWrap/>
            <w:hideMark/>
          </w:tcPr>
          <w:p w14:paraId="651EE53F" w14:textId="77777777" w:rsidR="00FB0DA3" w:rsidRPr="00A85956" w:rsidRDefault="00FB0DA3" w:rsidP="00A85956">
            <w:pPr>
              <w:pStyle w:val="TableBody"/>
            </w:pPr>
            <w:r w:rsidRPr="00A85956">
              <w:t>2.7</w:t>
            </w:r>
          </w:p>
        </w:tc>
      </w:tr>
      <w:tr w:rsidR="00FB0DA3" w:rsidRPr="00FB0DA3" w14:paraId="1472A70A" w14:textId="77777777" w:rsidTr="004945A7">
        <w:trPr>
          <w:trHeight w:val="288"/>
        </w:trPr>
        <w:tc>
          <w:tcPr>
            <w:tcW w:w="1666" w:type="pct"/>
            <w:noWrap/>
            <w:hideMark/>
          </w:tcPr>
          <w:p w14:paraId="37C53153" w14:textId="77777777" w:rsidR="00FB0DA3" w:rsidRPr="00A85956" w:rsidRDefault="00FB0DA3" w:rsidP="00A85956">
            <w:pPr>
              <w:pStyle w:val="TableBody"/>
            </w:pPr>
            <w:r w:rsidRPr="00A85956">
              <w:t>2023</w:t>
            </w:r>
          </w:p>
        </w:tc>
        <w:tc>
          <w:tcPr>
            <w:tcW w:w="1666" w:type="pct"/>
            <w:noWrap/>
            <w:hideMark/>
          </w:tcPr>
          <w:p w14:paraId="23020C6E" w14:textId="77777777" w:rsidR="00FB0DA3" w:rsidRPr="00A85956" w:rsidRDefault="00FB0DA3" w:rsidP="00A85956">
            <w:pPr>
              <w:pStyle w:val="TableBody"/>
            </w:pPr>
            <w:r w:rsidRPr="00A85956">
              <w:t>14.7</w:t>
            </w:r>
          </w:p>
        </w:tc>
        <w:tc>
          <w:tcPr>
            <w:tcW w:w="1667" w:type="pct"/>
            <w:noWrap/>
            <w:hideMark/>
          </w:tcPr>
          <w:p w14:paraId="3E2BCDB8" w14:textId="77777777" w:rsidR="00FB0DA3" w:rsidRPr="00A85956" w:rsidRDefault="00FB0DA3" w:rsidP="00A85956">
            <w:pPr>
              <w:pStyle w:val="TableBody"/>
            </w:pPr>
            <w:r w:rsidRPr="00A85956">
              <w:t>2.7</w:t>
            </w:r>
          </w:p>
        </w:tc>
      </w:tr>
      <w:tr w:rsidR="00FB0DA3" w:rsidRPr="00FB0DA3" w14:paraId="55D9CD26" w14:textId="77777777" w:rsidTr="004945A7">
        <w:trPr>
          <w:trHeight w:val="288"/>
        </w:trPr>
        <w:tc>
          <w:tcPr>
            <w:tcW w:w="1666" w:type="pct"/>
            <w:noWrap/>
            <w:hideMark/>
          </w:tcPr>
          <w:p w14:paraId="0D7EEC59" w14:textId="77777777" w:rsidR="00FB0DA3" w:rsidRPr="00A85956" w:rsidRDefault="00FB0DA3" w:rsidP="00A85956">
            <w:pPr>
              <w:pStyle w:val="TableBody"/>
            </w:pPr>
            <w:r w:rsidRPr="00A85956">
              <w:t>2024</w:t>
            </w:r>
          </w:p>
        </w:tc>
        <w:tc>
          <w:tcPr>
            <w:tcW w:w="1666" w:type="pct"/>
            <w:noWrap/>
            <w:hideMark/>
          </w:tcPr>
          <w:p w14:paraId="593DD145" w14:textId="77777777" w:rsidR="00FB0DA3" w:rsidRPr="00A85956" w:rsidRDefault="00FB0DA3" w:rsidP="00A85956">
            <w:pPr>
              <w:pStyle w:val="TableBody"/>
            </w:pPr>
            <w:r w:rsidRPr="00A85956">
              <w:t>14.0</w:t>
            </w:r>
          </w:p>
        </w:tc>
        <w:tc>
          <w:tcPr>
            <w:tcW w:w="1667" w:type="pct"/>
            <w:noWrap/>
            <w:hideMark/>
          </w:tcPr>
          <w:p w14:paraId="0AE4F8AD" w14:textId="77777777" w:rsidR="00FB0DA3" w:rsidRPr="00A85956" w:rsidRDefault="00FB0DA3" w:rsidP="00A85956">
            <w:pPr>
              <w:pStyle w:val="TableBody"/>
            </w:pPr>
            <w:r w:rsidRPr="00A85956">
              <w:t>2.9</w:t>
            </w:r>
          </w:p>
        </w:tc>
      </w:tr>
    </w:tbl>
    <w:p w14:paraId="2DD086F4" w14:textId="77777777" w:rsidR="00A4454A" w:rsidRPr="008C1137" w:rsidRDefault="00A4454A" w:rsidP="00D4532A">
      <w:r w:rsidRPr="000C258A">
        <w:rPr>
          <w:rStyle w:val="Strong"/>
        </w:rPr>
        <w:t>Source</w:t>
      </w:r>
      <w:r w:rsidRPr="008C1137">
        <w:t>: Australian Bureau of Statistics,</w:t>
      </w:r>
      <w:r w:rsidRPr="008C1137">
        <w:rPr>
          <w:rStyle w:val="Italic"/>
        </w:rPr>
        <w:t xml:space="preserve"> Prisoners in Australia</w:t>
      </w:r>
      <w:r w:rsidRPr="008C1137">
        <w:t>, cat. no. 4517.0 (abs.gov.au, 2024) Table 35</w:t>
      </w:r>
    </w:p>
    <w:p w14:paraId="33D6066C" w14:textId="77777777" w:rsidR="00A4454A" w:rsidRPr="008C1137" w:rsidRDefault="00A4454A" w:rsidP="00BE4EDC">
      <w:pPr>
        <w:pStyle w:val="Caption"/>
      </w:pPr>
      <w:r w:rsidRPr="00157502">
        <w:t>Figure 55</w:t>
      </w:r>
      <w:r w:rsidRPr="008C1137">
        <w:t>: Number of unsentenced prisoners held on remand for 1 year or more as at 30 June, 2005 to 2024</w:t>
      </w:r>
    </w:p>
    <w:tbl>
      <w:tblPr>
        <w:tblStyle w:val="Table"/>
        <w:tblW w:w="5000" w:type="pct"/>
        <w:tblLook w:val="04A0" w:firstRow="1" w:lastRow="0" w:firstColumn="1" w:lastColumn="0" w:noHBand="0" w:noVBand="1"/>
      </w:tblPr>
      <w:tblGrid>
        <w:gridCol w:w="4755"/>
        <w:gridCol w:w="4261"/>
      </w:tblGrid>
      <w:tr w:rsidR="0047439B" w:rsidRPr="0047439B" w14:paraId="2E955D2D" w14:textId="77777777" w:rsidTr="006B2265">
        <w:trPr>
          <w:trHeight w:val="288"/>
          <w:tblHeader/>
        </w:trPr>
        <w:tc>
          <w:tcPr>
            <w:tcW w:w="2637" w:type="pct"/>
            <w:noWrap/>
            <w:hideMark/>
          </w:tcPr>
          <w:p w14:paraId="4D5D5F94" w14:textId="77777777" w:rsidR="0047439B" w:rsidRPr="0047439B" w:rsidRDefault="0047439B" w:rsidP="00F20882">
            <w:pPr>
              <w:pStyle w:val="TableHeading"/>
            </w:pPr>
            <w:r w:rsidRPr="0047439B">
              <w:t>Year (as at 30 June)</w:t>
            </w:r>
          </w:p>
        </w:tc>
        <w:tc>
          <w:tcPr>
            <w:tcW w:w="2363" w:type="pct"/>
            <w:noWrap/>
            <w:hideMark/>
          </w:tcPr>
          <w:p w14:paraId="39FCB415" w14:textId="71B177F0" w:rsidR="0047439B" w:rsidRPr="00F678CE" w:rsidRDefault="00291865" w:rsidP="00F678CE">
            <w:pPr>
              <w:pStyle w:val="TableHeading"/>
            </w:pPr>
            <w:r>
              <w:t>Number</w:t>
            </w:r>
          </w:p>
        </w:tc>
      </w:tr>
      <w:tr w:rsidR="0047439B" w:rsidRPr="0047439B" w14:paraId="0705161A" w14:textId="77777777" w:rsidTr="006B2265">
        <w:trPr>
          <w:trHeight w:val="288"/>
        </w:trPr>
        <w:tc>
          <w:tcPr>
            <w:tcW w:w="2637" w:type="pct"/>
            <w:noWrap/>
            <w:hideMark/>
          </w:tcPr>
          <w:p w14:paraId="33244F21" w14:textId="77777777" w:rsidR="0047439B" w:rsidRPr="00A85956" w:rsidRDefault="0047439B" w:rsidP="00A85956">
            <w:pPr>
              <w:pStyle w:val="TableBody"/>
            </w:pPr>
            <w:r w:rsidRPr="00A85956">
              <w:t>2005</w:t>
            </w:r>
          </w:p>
        </w:tc>
        <w:tc>
          <w:tcPr>
            <w:tcW w:w="2363" w:type="pct"/>
            <w:noWrap/>
            <w:hideMark/>
          </w:tcPr>
          <w:p w14:paraId="03C711DE" w14:textId="77777777" w:rsidR="0047439B" w:rsidRPr="00A85956" w:rsidRDefault="0047439B" w:rsidP="00A85956">
            <w:pPr>
              <w:pStyle w:val="TableBody"/>
            </w:pPr>
            <w:r w:rsidRPr="00A85956">
              <w:t>95</w:t>
            </w:r>
          </w:p>
        </w:tc>
      </w:tr>
      <w:tr w:rsidR="0047439B" w:rsidRPr="0047439B" w14:paraId="41DF9353" w14:textId="77777777" w:rsidTr="006B2265">
        <w:trPr>
          <w:trHeight w:val="288"/>
        </w:trPr>
        <w:tc>
          <w:tcPr>
            <w:tcW w:w="2637" w:type="pct"/>
            <w:noWrap/>
            <w:hideMark/>
          </w:tcPr>
          <w:p w14:paraId="692D8A3C" w14:textId="77777777" w:rsidR="0047439B" w:rsidRPr="00A85956" w:rsidRDefault="0047439B" w:rsidP="00A85956">
            <w:pPr>
              <w:pStyle w:val="TableBody"/>
            </w:pPr>
            <w:r w:rsidRPr="00A85956">
              <w:t>2006</w:t>
            </w:r>
          </w:p>
        </w:tc>
        <w:tc>
          <w:tcPr>
            <w:tcW w:w="2363" w:type="pct"/>
            <w:noWrap/>
            <w:hideMark/>
          </w:tcPr>
          <w:p w14:paraId="7615EADA" w14:textId="77777777" w:rsidR="0047439B" w:rsidRPr="00A85956" w:rsidRDefault="0047439B" w:rsidP="00A85956">
            <w:pPr>
              <w:pStyle w:val="TableBody"/>
            </w:pPr>
            <w:r w:rsidRPr="00A85956">
              <w:t>99</w:t>
            </w:r>
          </w:p>
        </w:tc>
      </w:tr>
      <w:tr w:rsidR="0047439B" w:rsidRPr="0047439B" w14:paraId="42918FD6" w14:textId="77777777" w:rsidTr="006B2265">
        <w:trPr>
          <w:trHeight w:val="288"/>
        </w:trPr>
        <w:tc>
          <w:tcPr>
            <w:tcW w:w="2637" w:type="pct"/>
            <w:noWrap/>
            <w:hideMark/>
          </w:tcPr>
          <w:p w14:paraId="3923A0CF" w14:textId="77777777" w:rsidR="0047439B" w:rsidRPr="00A85956" w:rsidRDefault="0047439B" w:rsidP="00A85956">
            <w:pPr>
              <w:pStyle w:val="TableBody"/>
            </w:pPr>
            <w:r w:rsidRPr="00A85956">
              <w:t>2007</w:t>
            </w:r>
          </w:p>
        </w:tc>
        <w:tc>
          <w:tcPr>
            <w:tcW w:w="2363" w:type="pct"/>
            <w:noWrap/>
            <w:hideMark/>
          </w:tcPr>
          <w:p w14:paraId="2DBCE45D" w14:textId="77777777" w:rsidR="0047439B" w:rsidRPr="00A85956" w:rsidRDefault="0047439B" w:rsidP="00A85956">
            <w:pPr>
              <w:pStyle w:val="TableBody"/>
            </w:pPr>
            <w:r w:rsidRPr="00A85956">
              <w:t>117</w:t>
            </w:r>
          </w:p>
        </w:tc>
      </w:tr>
      <w:tr w:rsidR="0047439B" w:rsidRPr="0047439B" w14:paraId="2A889B92" w14:textId="77777777" w:rsidTr="006B2265">
        <w:trPr>
          <w:trHeight w:val="288"/>
        </w:trPr>
        <w:tc>
          <w:tcPr>
            <w:tcW w:w="2637" w:type="pct"/>
            <w:noWrap/>
            <w:hideMark/>
          </w:tcPr>
          <w:p w14:paraId="6547EC97" w14:textId="77777777" w:rsidR="0047439B" w:rsidRPr="00A85956" w:rsidRDefault="0047439B" w:rsidP="00A85956">
            <w:pPr>
              <w:pStyle w:val="TableBody"/>
            </w:pPr>
            <w:r w:rsidRPr="00A85956">
              <w:t>2008</w:t>
            </w:r>
          </w:p>
        </w:tc>
        <w:tc>
          <w:tcPr>
            <w:tcW w:w="2363" w:type="pct"/>
            <w:noWrap/>
            <w:hideMark/>
          </w:tcPr>
          <w:p w14:paraId="69563052" w14:textId="77777777" w:rsidR="0047439B" w:rsidRPr="00A85956" w:rsidRDefault="0047439B" w:rsidP="00A85956">
            <w:pPr>
              <w:pStyle w:val="TableBody"/>
            </w:pPr>
            <w:r w:rsidRPr="00A85956">
              <w:t>117</w:t>
            </w:r>
          </w:p>
        </w:tc>
      </w:tr>
      <w:tr w:rsidR="0047439B" w:rsidRPr="0047439B" w14:paraId="69218EE5" w14:textId="77777777" w:rsidTr="006B2265">
        <w:trPr>
          <w:trHeight w:val="288"/>
        </w:trPr>
        <w:tc>
          <w:tcPr>
            <w:tcW w:w="2637" w:type="pct"/>
            <w:noWrap/>
            <w:hideMark/>
          </w:tcPr>
          <w:p w14:paraId="55C50B73" w14:textId="77777777" w:rsidR="0047439B" w:rsidRPr="00A85956" w:rsidRDefault="0047439B" w:rsidP="00A85956">
            <w:pPr>
              <w:pStyle w:val="TableBody"/>
            </w:pPr>
            <w:r w:rsidRPr="00A85956">
              <w:t>2009</w:t>
            </w:r>
          </w:p>
        </w:tc>
        <w:tc>
          <w:tcPr>
            <w:tcW w:w="2363" w:type="pct"/>
            <w:noWrap/>
            <w:hideMark/>
          </w:tcPr>
          <w:p w14:paraId="43CB4BA3" w14:textId="77777777" w:rsidR="0047439B" w:rsidRPr="00A85956" w:rsidRDefault="0047439B" w:rsidP="00A85956">
            <w:pPr>
              <w:pStyle w:val="TableBody"/>
            </w:pPr>
            <w:r w:rsidRPr="00A85956">
              <w:t>110</w:t>
            </w:r>
          </w:p>
        </w:tc>
      </w:tr>
      <w:tr w:rsidR="0047439B" w:rsidRPr="0047439B" w14:paraId="3048337B" w14:textId="77777777" w:rsidTr="006B2265">
        <w:trPr>
          <w:trHeight w:val="288"/>
        </w:trPr>
        <w:tc>
          <w:tcPr>
            <w:tcW w:w="2637" w:type="pct"/>
            <w:noWrap/>
            <w:hideMark/>
          </w:tcPr>
          <w:p w14:paraId="4773C97F" w14:textId="77777777" w:rsidR="0047439B" w:rsidRPr="00A85956" w:rsidRDefault="0047439B" w:rsidP="00A85956">
            <w:pPr>
              <w:pStyle w:val="TableBody"/>
            </w:pPr>
            <w:r w:rsidRPr="00A85956">
              <w:t>2010</w:t>
            </w:r>
          </w:p>
        </w:tc>
        <w:tc>
          <w:tcPr>
            <w:tcW w:w="2363" w:type="pct"/>
            <w:noWrap/>
            <w:hideMark/>
          </w:tcPr>
          <w:p w14:paraId="35DB11D7" w14:textId="77777777" w:rsidR="0047439B" w:rsidRPr="00A85956" w:rsidRDefault="0047439B" w:rsidP="00A85956">
            <w:pPr>
              <w:pStyle w:val="TableBody"/>
            </w:pPr>
            <w:r w:rsidRPr="00A85956">
              <w:t>105</w:t>
            </w:r>
          </w:p>
        </w:tc>
      </w:tr>
      <w:tr w:rsidR="0047439B" w:rsidRPr="0047439B" w14:paraId="56787FCE" w14:textId="77777777" w:rsidTr="006B2265">
        <w:trPr>
          <w:trHeight w:val="288"/>
        </w:trPr>
        <w:tc>
          <w:tcPr>
            <w:tcW w:w="2637" w:type="pct"/>
            <w:noWrap/>
            <w:hideMark/>
          </w:tcPr>
          <w:p w14:paraId="5CEBCF5F" w14:textId="77777777" w:rsidR="0047439B" w:rsidRPr="00A85956" w:rsidRDefault="0047439B" w:rsidP="00A85956">
            <w:pPr>
              <w:pStyle w:val="TableBody"/>
            </w:pPr>
            <w:r w:rsidRPr="00A85956">
              <w:t>2011</w:t>
            </w:r>
          </w:p>
        </w:tc>
        <w:tc>
          <w:tcPr>
            <w:tcW w:w="2363" w:type="pct"/>
            <w:noWrap/>
            <w:hideMark/>
          </w:tcPr>
          <w:p w14:paraId="125EB5FE" w14:textId="77777777" w:rsidR="0047439B" w:rsidRPr="00A85956" w:rsidRDefault="0047439B" w:rsidP="00A85956">
            <w:pPr>
              <w:pStyle w:val="TableBody"/>
            </w:pPr>
            <w:r w:rsidRPr="00A85956">
              <w:t>96</w:t>
            </w:r>
          </w:p>
        </w:tc>
      </w:tr>
      <w:tr w:rsidR="0047439B" w:rsidRPr="0047439B" w14:paraId="68BFBC3B" w14:textId="77777777" w:rsidTr="006B2265">
        <w:trPr>
          <w:trHeight w:val="288"/>
        </w:trPr>
        <w:tc>
          <w:tcPr>
            <w:tcW w:w="2637" w:type="pct"/>
            <w:noWrap/>
            <w:hideMark/>
          </w:tcPr>
          <w:p w14:paraId="67CBD3F5" w14:textId="77777777" w:rsidR="0047439B" w:rsidRPr="00A85956" w:rsidRDefault="0047439B" w:rsidP="00A85956">
            <w:pPr>
              <w:pStyle w:val="TableBody"/>
            </w:pPr>
            <w:r w:rsidRPr="00A85956">
              <w:t>2012</w:t>
            </w:r>
          </w:p>
        </w:tc>
        <w:tc>
          <w:tcPr>
            <w:tcW w:w="2363" w:type="pct"/>
            <w:noWrap/>
            <w:hideMark/>
          </w:tcPr>
          <w:p w14:paraId="45DA74CD" w14:textId="77777777" w:rsidR="0047439B" w:rsidRPr="00A85956" w:rsidRDefault="0047439B" w:rsidP="00A85956">
            <w:pPr>
              <w:pStyle w:val="TableBody"/>
            </w:pPr>
            <w:r w:rsidRPr="00A85956">
              <w:t>122</w:t>
            </w:r>
          </w:p>
        </w:tc>
      </w:tr>
      <w:tr w:rsidR="0047439B" w:rsidRPr="0047439B" w14:paraId="3CC32EE5" w14:textId="77777777" w:rsidTr="006B2265">
        <w:trPr>
          <w:trHeight w:val="288"/>
        </w:trPr>
        <w:tc>
          <w:tcPr>
            <w:tcW w:w="2637" w:type="pct"/>
            <w:noWrap/>
            <w:hideMark/>
          </w:tcPr>
          <w:p w14:paraId="1EA50285" w14:textId="77777777" w:rsidR="0047439B" w:rsidRPr="00A85956" w:rsidRDefault="0047439B" w:rsidP="00A85956">
            <w:pPr>
              <w:pStyle w:val="TableBody"/>
            </w:pPr>
            <w:r w:rsidRPr="00A85956">
              <w:t>2013</w:t>
            </w:r>
          </w:p>
        </w:tc>
        <w:tc>
          <w:tcPr>
            <w:tcW w:w="2363" w:type="pct"/>
            <w:noWrap/>
            <w:hideMark/>
          </w:tcPr>
          <w:p w14:paraId="1DA42243" w14:textId="77777777" w:rsidR="0047439B" w:rsidRPr="00A85956" w:rsidRDefault="0047439B" w:rsidP="00A85956">
            <w:pPr>
              <w:pStyle w:val="TableBody"/>
            </w:pPr>
            <w:r w:rsidRPr="00A85956">
              <w:t>80</w:t>
            </w:r>
          </w:p>
        </w:tc>
      </w:tr>
      <w:tr w:rsidR="0047439B" w:rsidRPr="0047439B" w14:paraId="3AA6ACDE" w14:textId="77777777" w:rsidTr="006B2265">
        <w:trPr>
          <w:trHeight w:val="288"/>
        </w:trPr>
        <w:tc>
          <w:tcPr>
            <w:tcW w:w="2637" w:type="pct"/>
            <w:noWrap/>
            <w:hideMark/>
          </w:tcPr>
          <w:p w14:paraId="26EAD6C4" w14:textId="77777777" w:rsidR="0047439B" w:rsidRPr="00A85956" w:rsidRDefault="0047439B" w:rsidP="00A85956">
            <w:pPr>
              <w:pStyle w:val="TableBody"/>
            </w:pPr>
            <w:r w:rsidRPr="00A85956">
              <w:t>2014</w:t>
            </w:r>
          </w:p>
        </w:tc>
        <w:tc>
          <w:tcPr>
            <w:tcW w:w="2363" w:type="pct"/>
            <w:noWrap/>
            <w:hideMark/>
          </w:tcPr>
          <w:p w14:paraId="1EC65B3B" w14:textId="77777777" w:rsidR="0047439B" w:rsidRPr="00A85956" w:rsidRDefault="0047439B" w:rsidP="00A85956">
            <w:pPr>
              <w:pStyle w:val="TableBody"/>
            </w:pPr>
            <w:r w:rsidRPr="00A85956">
              <w:t>100</w:t>
            </w:r>
          </w:p>
        </w:tc>
      </w:tr>
      <w:tr w:rsidR="0047439B" w:rsidRPr="0047439B" w14:paraId="07179A11" w14:textId="77777777" w:rsidTr="006B2265">
        <w:trPr>
          <w:trHeight w:val="288"/>
        </w:trPr>
        <w:tc>
          <w:tcPr>
            <w:tcW w:w="2637" w:type="pct"/>
            <w:noWrap/>
            <w:hideMark/>
          </w:tcPr>
          <w:p w14:paraId="27429099" w14:textId="77777777" w:rsidR="0047439B" w:rsidRPr="00A85956" w:rsidRDefault="0047439B" w:rsidP="00A85956">
            <w:pPr>
              <w:pStyle w:val="TableBody"/>
            </w:pPr>
            <w:r w:rsidRPr="00A85956">
              <w:t>2015</w:t>
            </w:r>
          </w:p>
        </w:tc>
        <w:tc>
          <w:tcPr>
            <w:tcW w:w="2363" w:type="pct"/>
            <w:noWrap/>
            <w:hideMark/>
          </w:tcPr>
          <w:p w14:paraId="08B44715" w14:textId="77777777" w:rsidR="0047439B" w:rsidRPr="00A85956" w:rsidRDefault="0047439B" w:rsidP="00A85956">
            <w:pPr>
              <w:pStyle w:val="TableBody"/>
            </w:pPr>
            <w:r w:rsidRPr="00A85956">
              <w:t>110</w:t>
            </w:r>
          </w:p>
        </w:tc>
      </w:tr>
      <w:tr w:rsidR="0047439B" w:rsidRPr="0047439B" w14:paraId="50D074ED" w14:textId="77777777" w:rsidTr="006B2265">
        <w:trPr>
          <w:trHeight w:val="288"/>
        </w:trPr>
        <w:tc>
          <w:tcPr>
            <w:tcW w:w="2637" w:type="pct"/>
            <w:noWrap/>
            <w:hideMark/>
          </w:tcPr>
          <w:p w14:paraId="2F7E42D0" w14:textId="77777777" w:rsidR="0047439B" w:rsidRPr="00A85956" w:rsidRDefault="0047439B" w:rsidP="00A85956">
            <w:pPr>
              <w:pStyle w:val="TableBody"/>
            </w:pPr>
            <w:r w:rsidRPr="00A85956">
              <w:t>2016</w:t>
            </w:r>
          </w:p>
        </w:tc>
        <w:tc>
          <w:tcPr>
            <w:tcW w:w="2363" w:type="pct"/>
            <w:noWrap/>
            <w:hideMark/>
          </w:tcPr>
          <w:p w14:paraId="6BA26A2F" w14:textId="77777777" w:rsidR="0047439B" w:rsidRPr="00A85956" w:rsidRDefault="0047439B" w:rsidP="00A85956">
            <w:pPr>
              <w:pStyle w:val="TableBody"/>
            </w:pPr>
            <w:r w:rsidRPr="00A85956">
              <w:t>116</w:t>
            </w:r>
          </w:p>
        </w:tc>
      </w:tr>
      <w:tr w:rsidR="0047439B" w:rsidRPr="0047439B" w14:paraId="0467A589" w14:textId="77777777" w:rsidTr="006B2265">
        <w:trPr>
          <w:trHeight w:val="288"/>
        </w:trPr>
        <w:tc>
          <w:tcPr>
            <w:tcW w:w="2637" w:type="pct"/>
            <w:noWrap/>
            <w:hideMark/>
          </w:tcPr>
          <w:p w14:paraId="682278A5" w14:textId="77777777" w:rsidR="0047439B" w:rsidRPr="00A85956" w:rsidRDefault="0047439B" w:rsidP="00A85956">
            <w:pPr>
              <w:pStyle w:val="TableBody"/>
            </w:pPr>
            <w:r w:rsidRPr="00A85956">
              <w:t>2017</w:t>
            </w:r>
          </w:p>
        </w:tc>
        <w:tc>
          <w:tcPr>
            <w:tcW w:w="2363" w:type="pct"/>
            <w:noWrap/>
            <w:hideMark/>
          </w:tcPr>
          <w:p w14:paraId="4C5217CB" w14:textId="77777777" w:rsidR="0047439B" w:rsidRPr="00A85956" w:rsidRDefault="0047439B" w:rsidP="00A85956">
            <w:pPr>
              <w:pStyle w:val="TableBody"/>
            </w:pPr>
            <w:r w:rsidRPr="00A85956">
              <w:t>191</w:t>
            </w:r>
          </w:p>
        </w:tc>
      </w:tr>
      <w:tr w:rsidR="0047439B" w:rsidRPr="0047439B" w14:paraId="62A1D91D" w14:textId="77777777" w:rsidTr="006B2265">
        <w:trPr>
          <w:trHeight w:val="288"/>
        </w:trPr>
        <w:tc>
          <w:tcPr>
            <w:tcW w:w="2637" w:type="pct"/>
            <w:noWrap/>
            <w:hideMark/>
          </w:tcPr>
          <w:p w14:paraId="174623A2" w14:textId="77777777" w:rsidR="0047439B" w:rsidRPr="00A85956" w:rsidRDefault="0047439B" w:rsidP="00A85956">
            <w:pPr>
              <w:pStyle w:val="TableBody"/>
            </w:pPr>
            <w:r w:rsidRPr="00A85956">
              <w:t>2018</w:t>
            </w:r>
          </w:p>
        </w:tc>
        <w:tc>
          <w:tcPr>
            <w:tcW w:w="2363" w:type="pct"/>
            <w:noWrap/>
            <w:hideMark/>
          </w:tcPr>
          <w:p w14:paraId="5A3FF4DE" w14:textId="77777777" w:rsidR="0047439B" w:rsidRPr="00A85956" w:rsidRDefault="0047439B" w:rsidP="00A85956">
            <w:pPr>
              <w:pStyle w:val="TableBody"/>
            </w:pPr>
            <w:r w:rsidRPr="00A85956">
              <w:t>278</w:t>
            </w:r>
          </w:p>
        </w:tc>
      </w:tr>
      <w:tr w:rsidR="0047439B" w:rsidRPr="0047439B" w14:paraId="32D88ACF" w14:textId="77777777" w:rsidTr="006B2265">
        <w:trPr>
          <w:trHeight w:val="288"/>
        </w:trPr>
        <w:tc>
          <w:tcPr>
            <w:tcW w:w="2637" w:type="pct"/>
            <w:noWrap/>
            <w:hideMark/>
          </w:tcPr>
          <w:p w14:paraId="76132006" w14:textId="77777777" w:rsidR="0047439B" w:rsidRPr="00A85956" w:rsidRDefault="0047439B" w:rsidP="00A85956">
            <w:pPr>
              <w:pStyle w:val="TableBody"/>
            </w:pPr>
            <w:r w:rsidRPr="00A85956">
              <w:t>2019</w:t>
            </w:r>
          </w:p>
        </w:tc>
        <w:tc>
          <w:tcPr>
            <w:tcW w:w="2363" w:type="pct"/>
            <w:noWrap/>
            <w:hideMark/>
          </w:tcPr>
          <w:p w14:paraId="185C954E" w14:textId="77777777" w:rsidR="0047439B" w:rsidRPr="00A85956" w:rsidRDefault="0047439B" w:rsidP="00A85956">
            <w:pPr>
              <w:pStyle w:val="TableBody"/>
            </w:pPr>
            <w:r w:rsidRPr="00A85956">
              <w:t>312</w:t>
            </w:r>
          </w:p>
        </w:tc>
      </w:tr>
      <w:tr w:rsidR="0047439B" w:rsidRPr="0047439B" w14:paraId="03954C52" w14:textId="77777777" w:rsidTr="006B2265">
        <w:trPr>
          <w:trHeight w:val="288"/>
        </w:trPr>
        <w:tc>
          <w:tcPr>
            <w:tcW w:w="2637" w:type="pct"/>
            <w:noWrap/>
            <w:hideMark/>
          </w:tcPr>
          <w:p w14:paraId="3851E6E4" w14:textId="77777777" w:rsidR="0047439B" w:rsidRPr="00A85956" w:rsidRDefault="0047439B" w:rsidP="00A85956">
            <w:pPr>
              <w:pStyle w:val="TableBody"/>
            </w:pPr>
            <w:r w:rsidRPr="00A85956">
              <w:t>2020</w:t>
            </w:r>
          </w:p>
        </w:tc>
        <w:tc>
          <w:tcPr>
            <w:tcW w:w="2363" w:type="pct"/>
            <w:noWrap/>
            <w:hideMark/>
          </w:tcPr>
          <w:p w14:paraId="456D0CEA" w14:textId="77777777" w:rsidR="0047439B" w:rsidRPr="00A85956" w:rsidRDefault="0047439B" w:rsidP="00A85956">
            <w:pPr>
              <w:pStyle w:val="TableBody"/>
            </w:pPr>
            <w:r w:rsidRPr="00A85956">
              <w:t>368</w:t>
            </w:r>
          </w:p>
        </w:tc>
      </w:tr>
      <w:tr w:rsidR="0047439B" w:rsidRPr="0047439B" w14:paraId="4B044398" w14:textId="77777777" w:rsidTr="006B2265">
        <w:trPr>
          <w:trHeight w:val="288"/>
        </w:trPr>
        <w:tc>
          <w:tcPr>
            <w:tcW w:w="2637" w:type="pct"/>
            <w:noWrap/>
            <w:hideMark/>
          </w:tcPr>
          <w:p w14:paraId="119D9B11" w14:textId="77777777" w:rsidR="0047439B" w:rsidRPr="00A85956" w:rsidRDefault="0047439B" w:rsidP="00A85956">
            <w:pPr>
              <w:pStyle w:val="TableBody"/>
            </w:pPr>
            <w:r w:rsidRPr="00A85956">
              <w:t>2021</w:t>
            </w:r>
          </w:p>
        </w:tc>
        <w:tc>
          <w:tcPr>
            <w:tcW w:w="2363" w:type="pct"/>
            <w:noWrap/>
            <w:hideMark/>
          </w:tcPr>
          <w:p w14:paraId="229F0EB7" w14:textId="77777777" w:rsidR="0047439B" w:rsidRPr="00A85956" w:rsidRDefault="0047439B" w:rsidP="00A85956">
            <w:pPr>
              <w:pStyle w:val="TableBody"/>
            </w:pPr>
            <w:r w:rsidRPr="00A85956">
              <w:t>440</w:t>
            </w:r>
          </w:p>
        </w:tc>
      </w:tr>
      <w:tr w:rsidR="0047439B" w:rsidRPr="0047439B" w14:paraId="6937DCBF" w14:textId="77777777" w:rsidTr="006B2265">
        <w:trPr>
          <w:trHeight w:val="288"/>
        </w:trPr>
        <w:tc>
          <w:tcPr>
            <w:tcW w:w="2637" w:type="pct"/>
            <w:noWrap/>
            <w:hideMark/>
          </w:tcPr>
          <w:p w14:paraId="7DA1F223" w14:textId="77777777" w:rsidR="0047439B" w:rsidRPr="00A85956" w:rsidRDefault="0047439B" w:rsidP="00A85956">
            <w:pPr>
              <w:pStyle w:val="TableBody"/>
            </w:pPr>
            <w:r w:rsidRPr="00A85956">
              <w:t>2022</w:t>
            </w:r>
          </w:p>
        </w:tc>
        <w:tc>
          <w:tcPr>
            <w:tcW w:w="2363" w:type="pct"/>
            <w:noWrap/>
            <w:hideMark/>
          </w:tcPr>
          <w:p w14:paraId="33694990" w14:textId="77777777" w:rsidR="0047439B" w:rsidRPr="00A85956" w:rsidRDefault="0047439B" w:rsidP="00A85956">
            <w:pPr>
              <w:pStyle w:val="TableBody"/>
            </w:pPr>
            <w:r w:rsidRPr="00A85956">
              <w:t>462</w:t>
            </w:r>
          </w:p>
        </w:tc>
      </w:tr>
      <w:tr w:rsidR="0047439B" w:rsidRPr="0047439B" w14:paraId="66C4108A" w14:textId="77777777" w:rsidTr="006B2265">
        <w:trPr>
          <w:trHeight w:val="288"/>
        </w:trPr>
        <w:tc>
          <w:tcPr>
            <w:tcW w:w="2637" w:type="pct"/>
            <w:noWrap/>
            <w:hideMark/>
          </w:tcPr>
          <w:p w14:paraId="1F1C7783" w14:textId="77777777" w:rsidR="0047439B" w:rsidRPr="00A85956" w:rsidRDefault="0047439B" w:rsidP="00A85956">
            <w:pPr>
              <w:pStyle w:val="TableBody"/>
            </w:pPr>
            <w:r w:rsidRPr="00A85956">
              <w:t>2023</w:t>
            </w:r>
          </w:p>
        </w:tc>
        <w:tc>
          <w:tcPr>
            <w:tcW w:w="2363" w:type="pct"/>
            <w:noWrap/>
            <w:hideMark/>
          </w:tcPr>
          <w:p w14:paraId="0DE008F3" w14:textId="77777777" w:rsidR="0047439B" w:rsidRPr="00A85956" w:rsidRDefault="0047439B" w:rsidP="00A85956">
            <w:pPr>
              <w:pStyle w:val="TableBody"/>
            </w:pPr>
            <w:r w:rsidRPr="00A85956">
              <w:t>430</w:t>
            </w:r>
          </w:p>
        </w:tc>
      </w:tr>
      <w:tr w:rsidR="0047439B" w:rsidRPr="0047439B" w14:paraId="481C7A2A" w14:textId="77777777" w:rsidTr="006B2265">
        <w:trPr>
          <w:trHeight w:val="288"/>
        </w:trPr>
        <w:tc>
          <w:tcPr>
            <w:tcW w:w="2637" w:type="pct"/>
            <w:noWrap/>
            <w:hideMark/>
          </w:tcPr>
          <w:p w14:paraId="0ABB7C2A" w14:textId="77777777" w:rsidR="0047439B" w:rsidRPr="00A85956" w:rsidRDefault="0047439B" w:rsidP="00A85956">
            <w:pPr>
              <w:pStyle w:val="TableBody"/>
            </w:pPr>
            <w:r w:rsidRPr="00A85956">
              <w:t>2024</w:t>
            </w:r>
          </w:p>
        </w:tc>
        <w:tc>
          <w:tcPr>
            <w:tcW w:w="2363" w:type="pct"/>
            <w:noWrap/>
            <w:hideMark/>
          </w:tcPr>
          <w:p w14:paraId="7E957E55" w14:textId="77777777" w:rsidR="0047439B" w:rsidRPr="00A85956" w:rsidRDefault="0047439B" w:rsidP="00A85956">
            <w:pPr>
              <w:pStyle w:val="TableBody"/>
            </w:pPr>
            <w:r w:rsidRPr="00A85956">
              <w:t>334</w:t>
            </w:r>
          </w:p>
        </w:tc>
      </w:tr>
    </w:tbl>
    <w:p w14:paraId="737BE4CC" w14:textId="77777777" w:rsidR="00A4454A" w:rsidRPr="008C1137" w:rsidRDefault="00A4454A" w:rsidP="00D4532A">
      <w:r w:rsidRPr="000C258A">
        <w:rPr>
          <w:rStyle w:val="Strong"/>
        </w:rPr>
        <w:lastRenderedPageBreak/>
        <w:t>Source</w:t>
      </w:r>
      <w:r w:rsidRPr="008C1137">
        <w:t>: Australian Bureau of Statistics,</w:t>
      </w:r>
      <w:r w:rsidRPr="008C1137">
        <w:rPr>
          <w:rStyle w:val="Italic"/>
        </w:rPr>
        <w:t xml:space="preserve"> Prisoners in Australia</w:t>
      </w:r>
      <w:r w:rsidRPr="008C1137">
        <w:t>, cat. no. 4517.0 (abs.gov.au, 2024) Table 32</w:t>
      </w:r>
    </w:p>
    <w:p w14:paraId="73054D22" w14:textId="47B26276" w:rsidR="00A4454A" w:rsidRPr="008C1137" w:rsidRDefault="00A4454A" w:rsidP="00210207">
      <w:pPr>
        <w:pStyle w:val="Numbered"/>
      </w:pPr>
      <w:r w:rsidRPr="008C1137">
        <w:t xml:space="preserve">Figure 56 shows the proportion of unsentenced prisoners who had spent time on remand (ranging from less than 1 month to 1 year and over) as at 30 June each year. The figure shows that since 30 June 2016 in particular, there was an increase in both the </w:t>
      </w:r>
      <w:r w:rsidRPr="003B3217">
        <w:rPr>
          <w:rStyle w:val="Italic"/>
        </w:rPr>
        <w:t>number</w:t>
      </w:r>
      <w:r w:rsidRPr="008C1137">
        <w:t xml:space="preserve"> of unsentenced prisoners on remand for a year or more (from 116 to 334, peaking at 462 in 2022) and the proportion of unsentenced prisoners on remand for a year or more (from 6% to 17%) (see further Figure 55). Moreover, from 2005 to 2024, the proportion of unsentenced prisoners who had spent less than 1 month on remand decreased from 25% to 19% of all unsentenced prisoners, while the proportion of unsentenced prisoners spending 1 month to less than 12 months on remand increased from 60% to 65%. In effect, not only has the number of unsentenced prisoners increased, so too has the length of time they spend on remand. </w:t>
      </w:r>
    </w:p>
    <w:p w14:paraId="2D6D0844" w14:textId="77777777" w:rsidR="00A4454A" w:rsidRPr="008C1137" w:rsidRDefault="00A4454A" w:rsidP="00BE4EDC">
      <w:pPr>
        <w:pStyle w:val="Numbered"/>
      </w:pPr>
      <w:r w:rsidRPr="008C1137">
        <w:t xml:space="preserve">When unsentenced prisoners were divided into just two groups (unsentenced prisoners who spent more than 6 months on remand and unsentenced prisoners who spent less than 6 months on remand), there was an apparent increase in the proportion of unsentenced prisoners who spent </w:t>
      </w:r>
      <w:r w:rsidRPr="003B3217">
        <w:rPr>
          <w:rStyle w:val="Italic"/>
        </w:rPr>
        <w:t>shorter</w:t>
      </w:r>
      <w:r w:rsidRPr="008C1137">
        <w:t xml:space="preserve"> periods on remand between 30 June 2011 and 30 June 2021, correlated with significant growth in the unsentenced prisoner population during that time:</w:t>
      </w:r>
    </w:p>
    <w:p w14:paraId="4AE2D65E" w14:textId="77777777" w:rsidR="00A4454A" w:rsidRPr="008C1137" w:rsidRDefault="00A4454A" w:rsidP="008C1137">
      <w:pPr>
        <w:pStyle w:val="Bullets"/>
      </w:pPr>
      <w:r w:rsidRPr="008C1137">
        <w:t xml:space="preserve">from 2005 to 2010, between </w:t>
      </w:r>
      <w:r w:rsidRPr="000C258A">
        <w:rPr>
          <w:rStyle w:val="Strong"/>
        </w:rPr>
        <w:t xml:space="preserve">67% </w:t>
      </w:r>
      <w:r w:rsidRPr="008C1137">
        <w:t>and</w:t>
      </w:r>
      <w:r w:rsidRPr="000C258A">
        <w:rPr>
          <w:rStyle w:val="Strong"/>
        </w:rPr>
        <w:t xml:space="preserve"> 69%</w:t>
      </w:r>
      <w:r w:rsidRPr="008C1137">
        <w:t xml:space="preserve"> of unsentenced prisoners on 30 June had spent </w:t>
      </w:r>
      <w:r w:rsidRPr="003B3217">
        <w:rPr>
          <w:rStyle w:val="Italic"/>
        </w:rPr>
        <w:t>less</w:t>
      </w:r>
      <w:r w:rsidRPr="008C1137">
        <w:t xml:space="preserve"> than 6 months on remand</w:t>
      </w:r>
    </w:p>
    <w:p w14:paraId="7B46C0CB" w14:textId="77777777" w:rsidR="00A4454A" w:rsidRPr="008C1137" w:rsidRDefault="00A4454A" w:rsidP="008C1137">
      <w:pPr>
        <w:pStyle w:val="Bullets"/>
      </w:pPr>
      <w:r w:rsidRPr="008C1137">
        <w:t xml:space="preserve">between 2011 and 2021, that had increased to between </w:t>
      </w:r>
      <w:r w:rsidRPr="000C258A">
        <w:rPr>
          <w:rStyle w:val="Strong"/>
        </w:rPr>
        <w:t xml:space="preserve">71% </w:t>
      </w:r>
      <w:r w:rsidRPr="008C1137">
        <w:t>and</w:t>
      </w:r>
      <w:r w:rsidRPr="000C258A">
        <w:rPr>
          <w:rStyle w:val="Strong"/>
        </w:rPr>
        <w:t xml:space="preserve"> 81%</w:t>
      </w:r>
      <w:r w:rsidRPr="008C1137">
        <w:t xml:space="preserve"> (with an anomalous drop to 67% in 2020 during COVID-19)</w:t>
      </w:r>
    </w:p>
    <w:p w14:paraId="645F141F" w14:textId="77777777" w:rsidR="00A4454A" w:rsidRPr="000C258A" w:rsidRDefault="00A4454A" w:rsidP="008C1137">
      <w:pPr>
        <w:pStyle w:val="Bullets"/>
        <w:rPr>
          <w:rStyle w:val="Strong"/>
        </w:rPr>
      </w:pPr>
      <w:r w:rsidRPr="008C1137">
        <w:lastRenderedPageBreak/>
        <w:t xml:space="preserve">then, in the 3 years to 2024, the proportion of unsentenced prisoners who spent </w:t>
      </w:r>
      <w:r w:rsidRPr="003B3217">
        <w:rPr>
          <w:rStyle w:val="Italic"/>
        </w:rPr>
        <w:t>less</w:t>
      </w:r>
      <w:r w:rsidRPr="008C1137">
        <w:t xml:space="preserve"> than 6 months on remand decreased back to between </w:t>
      </w:r>
      <w:r w:rsidRPr="000C258A">
        <w:rPr>
          <w:rStyle w:val="Strong"/>
        </w:rPr>
        <w:t xml:space="preserve">66% </w:t>
      </w:r>
      <w:r w:rsidRPr="008C1137">
        <w:rPr>
          <w:rFonts w:cs="ITC Franklin Gothic Std Book"/>
        </w:rPr>
        <w:t>and</w:t>
      </w:r>
      <w:r w:rsidRPr="000C258A">
        <w:rPr>
          <w:rStyle w:val="Strong"/>
        </w:rPr>
        <w:t xml:space="preserve"> 68%.</w:t>
      </w:r>
    </w:p>
    <w:p w14:paraId="2E93C427" w14:textId="77777777" w:rsidR="00A4454A" w:rsidRPr="008C1137" w:rsidRDefault="00A4454A" w:rsidP="00BE4EDC">
      <w:pPr>
        <w:pStyle w:val="Caption"/>
      </w:pPr>
      <w:r w:rsidRPr="00157502">
        <w:t>Figure 56</w:t>
      </w:r>
      <w:r w:rsidRPr="008C1137">
        <w:t>: Proportion of unsentenced prisoners on 30 June, by time spent on remand, 2005 to 2024</w:t>
      </w:r>
    </w:p>
    <w:tbl>
      <w:tblPr>
        <w:tblStyle w:val="Table"/>
        <w:tblW w:w="5000" w:type="pct"/>
        <w:tblLook w:val="04A0" w:firstRow="1" w:lastRow="0" w:firstColumn="1" w:lastColumn="0" w:noHBand="0" w:noVBand="1"/>
      </w:tblPr>
      <w:tblGrid>
        <w:gridCol w:w="1548"/>
        <w:gridCol w:w="1192"/>
        <w:gridCol w:w="1652"/>
        <w:gridCol w:w="1652"/>
        <w:gridCol w:w="1735"/>
        <w:gridCol w:w="1237"/>
      </w:tblGrid>
      <w:tr w:rsidR="00C50B3E" w:rsidRPr="00C50B3E" w14:paraId="38333FF9" w14:textId="77777777" w:rsidTr="00FD06C8">
        <w:trPr>
          <w:trHeight w:val="288"/>
          <w:tblHeader/>
        </w:trPr>
        <w:tc>
          <w:tcPr>
            <w:tcW w:w="692" w:type="pct"/>
            <w:noWrap/>
            <w:hideMark/>
          </w:tcPr>
          <w:p w14:paraId="184DF574" w14:textId="77777777" w:rsidR="00C50B3E" w:rsidRPr="00C50B3E" w:rsidRDefault="00C50B3E" w:rsidP="00FD06C8">
            <w:pPr>
              <w:pStyle w:val="TableHeading"/>
            </w:pPr>
            <w:r w:rsidRPr="00C50B3E">
              <w:t>Year (as at 30 June)</w:t>
            </w:r>
          </w:p>
        </w:tc>
        <w:tc>
          <w:tcPr>
            <w:tcW w:w="1134" w:type="pct"/>
            <w:noWrap/>
            <w:hideMark/>
          </w:tcPr>
          <w:p w14:paraId="01CE25AF" w14:textId="77777777" w:rsidR="00C50B3E" w:rsidRPr="00F678CE" w:rsidRDefault="00C50B3E" w:rsidP="00F678CE">
            <w:pPr>
              <w:pStyle w:val="TableHeading"/>
            </w:pPr>
            <w:r w:rsidRPr="00F678CE">
              <w:t>Under 1 month</w:t>
            </w:r>
          </w:p>
        </w:tc>
        <w:tc>
          <w:tcPr>
            <w:tcW w:w="836" w:type="pct"/>
            <w:noWrap/>
            <w:hideMark/>
          </w:tcPr>
          <w:p w14:paraId="5C884E93" w14:textId="77777777" w:rsidR="00C50B3E" w:rsidRPr="00F678CE" w:rsidRDefault="00C50B3E" w:rsidP="00F678CE">
            <w:pPr>
              <w:pStyle w:val="TableHeading"/>
            </w:pPr>
            <w:r w:rsidRPr="00F678CE">
              <w:t>1 and under 3 months</w:t>
            </w:r>
          </w:p>
        </w:tc>
        <w:tc>
          <w:tcPr>
            <w:tcW w:w="836" w:type="pct"/>
            <w:noWrap/>
            <w:hideMark/>
          </w:tcPr>
          <w:p w14:paraId="743B551A" w14:textId="77777777" w:rsidR="00C50B3E" w:rsidRPr="00F678CE" w:rsidRDefault="00C50B3E" w:rsidP="00F678CE">
            <w:pPr>
              <w:pStyle w:val="TableHeading"/>
            </w:pPr>
            <w:r w:rsidRPr="00F678CE">
              <w:t>3 and under 6 months</w:t>
            </w:r>
          </w:p>
        </w:tc>
        <w:tc>
          <w:tcPr>
            <w:tcW w:w="881" w:type="pct"/>
            <w:noWrap/>
            <w:hideMark/>
          </w:tcPr>
          <w:p w14:paraId="233CAAA0" w14:textId="77777777" w:rsidR="00C50B3E" w:rsidRPr="00F678CE" w:rsidRDefault="00C50B3E" w:rsidP="00F678CE">
            <w:pPr>
              <w:pStyle w:val="TableHeading"/>
            </w:pPr>
            <w:r w:rsidRPr="00F678CE">
              <w:t>6 and under 12 months</w:t>
            </w:r>
          </w:p>
        </w:tc>
        <w:tc>
          <w:tcPr>
            <w:tcW w:w="620" w:type="pct"/>
            <w:noWrap/>
            <w:hideMark/>
          </w:tcPr>
          <w:p w14:paraId="696A906B" w14:textId="77777777" w:rsidR="00C50B3E" w:rsidRPr="00F678CE" w:rsidRDefault="00C50B3E" w:rsidP="00F678CE">
            <w:pPr>
              <w:pStyle w:val="TableHeading"/>
            </w:pPr>
            <w:r w:rsidRPr="00F678CE">
              <w:t>1 year and over</w:t>
            </w:r>
          </w:p>
        </w:tc>
      </w:tr>
      <w:tr w:rsidR="00C50B3E" w:rsidRPr="00C50B3E" w14:paraId="29A2EF99" w14:textId="77777777" w:rsidTr="00FD06C8">
        <w:trPr>
          <w:trHeight w:val="288"/>
        </w:trPr>
        <w:tc>
          <w:tcPr>
            <w:tcW w:w="692" w:type="pct"/>
            <w:noWrap/>
            <w:hideMark/>
          </w:tcPr>
          <w:p w14:paraId="212A0AE7" w14:textId="77777777" w:rsidR="00C50B3E" w:rsidRPr="00A85956" w:rsidRDefault="00C50B3E" w:rsidP="00A85956">
            <w:pPr>
              <w:pStyle w:val="TableBody"/>
            </w:pPr>
            <w:r w:rsidRPr="00A85956">
              <w:t>2005</w:t>
            </w:r>
          </w:p>
        </w:tc>
        <w:tc>
          <w:tcPr>
            <w:tcW w:w="1134" w:type="pct"/>
            <w:noWrap/>
            <w:hideMark/>
          </w:tcPr>
          <w:p w14:paraId="64F0F26B" w14:textId="77777777" w:rsidR="00C50B3E" w:rsidRPr="00A85956" w:rsidRDefault="00C50B3E" w:rsidP="00A85956">
            <w:pPr>
              <w:pStyle w:val="TableBody"/>
            </w:pPr>
            <w:r w:rsidRPr="00A85956">
              <w:t>163</w:t>
            </w:r>
          </w:p>
        </w:tc>
        <w:tc>
          <w:tcPr>
            <w:tcW w:w="836" w:type="pct"/>
            <w:noWrap/>
            <w:hideMark/>
          </w:tcPr>
          <w:p w14:paraId="0A90DD0C" w14:textId="77777777" w:rsidR="00C50B3E" w:rsidRPr="00A85956" w:rsidRDefault="00C50B3E" w:rsidP="00A85956">
            <w:pPr>
              <w:pStyle w:val="TableBody"/>
            </w:pPr>
            <w:r w:rsidRPr="00A85956">
              <w:t>152</w:t>
            </w:r>
          </w:p>
        </w:tc>
        <w:tc>
          <w:tcPr>
            <w:tcW w:w="836" w:type="pct"/>
            <w:noWrap/>
            <w:hideMark/>
          </w:tcPr>
          <w:p w14:paraId="727CD798" w14:textId="77777777" w:rsidR="00C50B3E" w:rsidRPr="00A85956" w:rsidRDefault="00C50B3E" w:rsidP="00A85956">
            <w:pPr>
              <w:pStyle w:val="TableBody"/>
            </w:pPr>
            <w:r w:rsidRPr="00A85956">
              <w:t>124</w:t>
            </w:r>
          </w:p>
        </w:tc>
        <w:tc>
          <w:tcPr>
            <w:tcW w:w="881" w:type="pct"/>
            <w:noWrap/>
            <w:hideMark/>
          </w:tcPr>
          <w:p w14:paraId="3A67D1F0" w14:textId="77777777" w:rsidR="00C50B3E" w:rsidRPr="00A85956" w:rsidRDefault="00C50B3E" w:rsidP="00A85956">
            <w:pPr>
              <w:pStyle w:val="TableBody"/>
            </w:pPr>
            <w:r w:rsidRPr="00A85956">
              <w:t>115</w:t>
            </w:r>
          </w:p>
        </w:tc>
        <w:tc>
          <w:tcPr>
            <w:tcW w:w="620" w:type="pct"/>
            <w:noWrap/>
            <w:hideMark/>
          </w:tcPr>
          <w:p w14:paraId="3BEDB76F" w14:textId="77777777" w:rsidR="00C50B3E" w:rsidRPr="00A85956" w:rsidRDefault="00C50B3E" w:rsidP="00A85956">
            <w:pPr>
              <w:pStyle w:val="TableBody"/>
            </w:pPr>
            <w:r w:rsidRPr="00A85956">
              <w:t>95</w:t>
            </w:r>
          </w:p>
        </w:tc>
      </w:tr>
      <w:tr w:rsidR="00C50B3E" w:rsidRPr="00C50B3E" w14:paraId="4068107D" w14:textId="77777777" w:rsidTr="00FD06C8">
        <w:trPr>
          <w:trHeight w:val="288"/>
        </w:trPr>
        <w:tc>
          <w:tcPr>
            <w:tcW w:w="692" w:type="pct"/>
            <w:noWrap/>
            <w:hideMark/>
          </w:tcPr>
          <w:p w14:paraId="6ACE84FD" w14:textId="77777777" w:rsidR="00C50B3E" w:rsidRPr="00A85956" w:rsidRDefault="00C50B3E" w:rsidP="00A85956">
            <w:pPr>
              <w:pStyle w:val="TableBody"/>
            </w:pPr>
            <w:r w:rsidRPr="00A85956">
              <w:t>2006</w:t>
            </w:r>
          </w:p>
        </w:tc>
        <w:tc>
          <w:tcPr>
            <w:tcW w:w="1134" w:type="pct"/>
            <w:noWrap/>
            <w:hideMark/>
          </w:tcPr>
          <w:p w14:paraId="0FD0D7E6" w14:textId="77777777" w:rsidR="00C50B3E" w:rsidRPr="00A85956" w:rsidRDefault="00C50B3E" w:rsidP="00A85956">
            <w:pPr>
              <w:pStyle w:val="TableBody"/>
            </w:pPr>
            <w:r w:rsidRPr="00A85956">
              <w:t>220</w:t>
            </w:r>
          </w:p>
        </w:tc>
        <w:tc>
          <w:tcPr>
            <w:tcW w:w="836" w:type="pct"/>
            <w:noWrap/>
            <w:hideMark/>
          </w:tcPr>
          <w:p w14:paraId="59F73AF1" w14:textId="77777777" w:rsidR="00C50B3E" w:rsidRPr="00A85956" w:rsidRDefault="00C50B3E" w:rsidP="00A85956">
            <w:pPr>
              <w:pStyle w:val="TableBody"/>
            </w:pPr>
            <w:r w:rsidRPr="00A85956">
              <w:t>183</w:t>
            </w:r>
          </w:p>
        </w:tc>
        <w:tc>
          <w:tcPr>
            <w:tcW w:w="836" w:type="pct"/>
            <w:noWrap/>
            <w:hideMark/>
          </w:tcPr>
          <w:p w14:paraId="7C9D05B7" w14:textId="77777777" w:rsidR="00C50B3E" w:rsidRPr="00A85956" w:rsidRDefault="00C50B3E" w:rsidP="00A85956">
            <w:pPr>
              <w:pStyle w:val="TableBody"/>
            </w:pPr>
            <w:r w:rsidRPr="00A85956">
              <w:t>107</w:t>
            </w:r>
          </w:p>
        </w:tc>
        <w:tc>
          <w:tcPr>
            <w:tcW w:w="881" w:type="pct"/>
            <w:noWrap/>
            <w:hideMark/>
          </w:tcPr>
          <w:p w14:paraId="2EF13957" w14:textId="77777777" w:rsidR="00C50B3E" w:rsidRPr="00A85956" w:rsidRDefault="00C50B3E" w:rsidP="00A85956">
            <w:pPr>
              <w:pStyle w:val="TableBody"/>
            </w:pPr>
            <w:r w:rsidRPr="00A85956">
              <w:t>128</w:t>
            </w:r>
          </w:p>
        </w:tc>
        <w:tc>
          <w:tcPr>
            <w:tcW w:w="620" w:type="pct"/>
            <w:noWrap/>
            <w:hideMark/>
          </w:tcPr>
          <w:p w14:paraId="77317BD2" w14:textId="77777777" w:rsidR="00C50B3E" w:rsidRPr="00A85956" w:rsidRDefault="00C50B3E" w:rsidP="00A85956">
            <w:pPr>
              <w:pStyle w:val="TableBody"/>
            </w:pPr>
            <w:r w:rsidRPr="00A85956">
              <w:t>99</w:t>
            </w:r>
          </w:p>
        </w:tc>
      </w:tr>
      <w:tr w:rsidR="00C50B3E" w:rsidRPr="00C50B3E" w14:paraId="2EB3562F" w14:textId="77777777" w:rsidTr="00FD06C8">
        <w:trPr>
          <w:trHeight w:val="288"/>
        </w:trPr>
        <w:tc>
          <w:tcPr>
            <w:tcW w:w="692" w:type="pct"/>
            <w:noWrap/>
            <w:hideMark/>
          </w:tcPr>
          <w:p w14:paraId="734D6625" w14:textId="77777777" w:rsidR="00C50B3E" w:rsidRPr="00A85956" w:rsidRDefault="00C50B3E" w:rsidP="00A85956">
            <w:pPr>
              <w:pStyle w:val="TableBody"/>
            </w:pPr>
            <w:r w:rsidRPr="00A85956">
              <w:t>2007</w:t>
            </w:r>
          </w:p>
        </w:tc>
        <w:tc>
          <w:tcPr>
            <w:tcW w:w="1134" w:type="pct"/>
            <w:noWrap/>
            <w:hideMark/>
          </w:tcPr>
          <w:p w14:paraId="7B54985E" w14:textId="77777777" w:rsidR="00C50B3E" w:rsidRPr="00A85956" w:rsidRDefault="00C50B3E" w:rsidP="00A85956">
            <w:pPr>
              <w:pStyle w:val="TableBody"/>
            </w:pPr>
            <w:r w:rsidRPr="00A85956">
              <w:t>183</w:t>
            </w:r>
          </w:p>
        </w:tc>
        <w:tc>
          <w:tcPr>
            <w:tcW w:w="836" w:type="pct"/>
            <w:noWrap/>
            <w:hideMark/>
          </w:tcPr>
          <w:p w14:paraId="776642F5" w14:textId="77777777" w:rsidR="00C50B3E" w:rsidRPr="00A85956" w:rsidRDefault="00C50B3E" w:rsidP="00A85956">
            <w:pPr>
              <w:pStyle w:val="TableBody"/>
            </w:pPr>
            <w:r w:rsidRPr="00A85956">
              <w:t>225</w:t>
            </w:r>
          </w:p>
        </w:tc>
        <w:tc>
          <w:tcPr>
            <w:tcW w:w="836" w:type="pct"/>
            <w:noWrap/>
            <w:hideMark/>
          </w:tcPr>
          <w:p w14:paraId="2923B81A" w14:textId="77777777" w:rsidR="00C50B3E" w:rsidRPr="00A85956" w:rsidRDefault="00C50B3E" w:rsidP="00A85956">
            <w:pPr>
              <w:pStyle w:val="TableBody"/>
            </w:pPr>
            <w:r w:rsidRPr="00A85956">
              <w:t>136</w:t>
            </w:r>
          </w:p>
        </w:tc>
        <w:tc>
          <w:tcPr>
            <w:tcW w:w="881" w:type="pct"/>
            <w:noWrap/>
            <w:hideMark/>
          </w:tcPr>
          <w:p w14:paraId="5A5A841A" w14:textId="77777777" w:rsidR="00C50B3E" w:rsidRPr="00A85956" w:rsidRDefault="00C50B3E" w:rsidP="00A85956">
            <w:pPr>
              <w:pStyle w:val="TableBody"/>
            </w:pPr>
            <w:r w:rsidRPr="00A85956">
              <w:t>147</w:t>
            </w:r>
          </w:p>
        </w:tc>
        <w:tc>
          <w:tcPr>
            <w:tcW w:w="620" w:type="pct"/>
            <w:noWrap/>
            <w:hideMark/>
          </w:tcPr>
          <w:p w14:paraId="5D8ABE4C" w14:textId="77777777" w:rsidR="00C50B3E" w:rsidRPr="00A85956" w:rsidRDefault="00C50B3E" w:rsidP="00A85956">
            <w:pPr>
              <w:pStyle w:val="TableBody"/>
            </w:pPr>
            <w:r w:rsidRPr="00A85956">
              <w:t>117</w:t>
            </w:r>
          </w:p>
        </w:tc>
      </w:tr>
      <w:tr w:rsidR="00C50B3E" w:rsidRPr="00C50B3E" w14:paraId="73FBDDD3" w14:textId="77777777" w:rsidTr="00FD06C8">
        <w:trPr>
          <w:trHeight w:val="288"/>
        </w:trPr>
        <w:tc>
          <w:tcPr>
            <w:tcW w:w="692" w:type="pct"/>
            <w:noWrap/>
            <w:hideMark/>
          </w:tcPr>
          <w:p w14:paraId="30FE041E" w14:textId="77777777" w:rsidR="00C50B3E" w:rsidRPr="00A85956" w:rsidRDefault="00C50B3E" w:rsidP="00A85956">
            <w:pPr>
              <w:pStyle w:val="TableBody"/>
            </w:pPr>
            <w:r w:rsidRPr="00A85956">
              <w:t>2008</w:t>
            </w:r>
          </w:p>
        </w:tc>
        <w:tc>
          <w:tcPr>
            <w:tcW w:w="1134" w:type="pct"/>
            <w:noWrap/>
            <w:hideMark/>
          </w:tcPr>
          <w:p w14:paraId="1BF0D1D6" w14:textId="77777777" w:rsidR="00C50B3E" w:rsidRPr="00A85956" w:rsidRDefault="00C50B3E" w:rsidP="00A85956">
            <w:pPr>
              <w:pStyle w:val="TableBody"/>
            </w:pPr>
            <w:r w:rsidRPr="00A85956">
              <w:t>185</w:t>
            </w:r>
          </w:p>
        </w:tc>
        <w:tc>
          <w:tcPr>
            <w:tcW w:w="836" w:type="pct"/>
            <w:noWrap/>
            <w:hideMark/>
          </w:tcPr>
          <w:p w14:paraId="00AEB78B" w14:textId="77777777" w:rsidR="00C50B3E" w:rsidRPr="00A85956" w:rsidRDefault="00C50B3E" w:rsidP="00A85956">
            <w:pPr>
              <w:pStyle w:val="TableBody"/>
            </w:pPr>
            <w:r w:rsidRPr="00A85956">
              <w:t>202</w:t>
            </w:r>
          </w:p>
        </w:tc>
        <w:tc>
          <w:tcPr>
            <w:tcW w:w="836" w:type="pct"/>
            <w:noWrap/>
            <w:hideMark/>
          </w:tcPr>
          <w:p w14:paraId="49C3F6D5" w14:textId="77777777" w:rsidR="00C50B3E" w:rsidRPr="00A85956" w:rsidRDefault="00C50B3E" w:rsidP="00A85956">
            <w:pPr>
              <w:pStyle w:val="TableBody"/>
            </w:pPr>
            <w:r w:rsidRPr="00A85956">
              <w:t>166</w:t>
            </w:r>
          </w:p>
        </w:tc>
        <w:tc>
          <w:tcPr>
            <w:tcW w:w="881" w:type="pct"/>
            <w:noWrap/>
            <w:hideMark/>
          </w:tcPr>
          <w:p w14:paraId="7DE13114" w14:textId="77777777" w:rsidR="00C50B3E" w:rsidRPr="00A85956" w:rsidRDefault="00C50B3E" w:rsidP="00A85956">
            <w:pPr>
              <w:pStyle w:val="TableBody"/>
            </w:pPr>
            <w:r w:rsidRPr="00A85956">
              <w:t>140</w:t>
            </w:r>
          </w:p>
        </w:tc>
        <w:tc>
          <w:tcPr>
            <w:tcW w:w="620" w:type="pct"/>
            <w:noWrap/>
            <w:hideMark/>
          </w:tcPr>
          <w:p w14:paraId="4324C08E" w14:textId="77777777" w:rsidR="00C50B3E" w:rsidRPr="00A85956" w:rsidRDefault="00C50B3E" w:rsidP="00A85956">
            <w:pPr>
              <w:pStyle w:val="TableBody"/>
            </w:pPr>
            <w:r w:rsidRPr="00A85956">
              <w:t>117</w:t>
            </w:r>
          </w:p>
        </w:tc>
      </w:tr>
      <w:tr w:rsidR="00C50B3E" w:rsidRPr="00C50B3E" w14:paraId="7655D2DB" w14:textId="77777777" w:rsidTr="00FD06C8">
        <w:trPr>
          <w:trHeight w:val="288"/>
        </w:trPr>
        <w:tc>
          <w:tcPr>
            <w:tcW w:w="692" w:type="pct"/>
            <w:noWrap/>
            <w:hideMark/>
          </w:tcPr>
          <w:p w14:paraId="2079EA7B" w14:textId="77777777" w:rsidR="00C50B3E" w:rsidRPr="00A85956" w:rsidRDefault="00C50B3E" w:rsidP="00A85956">
            <w:pPr>
              <w:pStyle w:val="TableBody"/>
            </w:pPr>
            <w:r w:rsidRPr="00A85956">
              <w:t>2009</w:t>
            </w:r>
          </w:p>
        </w:tc>
        <w:tc>
          <w:tcPr>
            <w:tcW w:w="1134" w:type="pct"/>
            <w:noWrap/>
            <w:hideMark/>
          </w:tcPr>
          <w:p w14:paraId="002529DC" w14:textId="77777777" w:rsidR="00C50B3E" w:rsidRPr="00A85956" w:rsidRDefault="00C50B3E" w:rsidP="00A85956">
            <w:pPr>
              <w:pStyle w:val="TableBody"/>
            </w:pPr>
            <w:r w:rsidRPr="00A85956">
              <w:t>168</w:t>
            </w:r>
          </w:p>
        </w:tc>
        <w:tc>
          <w:tcPr>
            <w:tcW w:w="836" w:type="pct"/>
            <w:noWrap/>
            <w:hideMark/>
          </w:tcPr>
          <w:p w14:paraId="2CC380BD" w14:textId="77777777" w:rsidR="00C50B3E" w:rsidRPr="00A85956" w:rsidRDefault="00C50B3E" w:rsidP="00A85956">
            <w:pPr>
              <w:pStyle w:val="TableBody"/>
            </w:pPr>
            <w:r w:rsidRPr="00A85956">
              <w:t>240</w:t>
            </w:r>
          </w:p>
        </w:tc>
        <w:tc>
          <w:tcPr>
            <w:tcW w:w="836" w:type="pct"/>
            <w:noWrap/>
            <w:hideMark/>
          </w:tcPr>
          <w:p w14:paraId="632EA5C1" w14:textId="77777777" w:rsidR="00C50B3E" w:rsidRPr="00A85956" w:rsidRDefault="00C50B3E" w:rsidP="00A85956">
            <w:pPr>
              <w:pStyle w:val="TableBody"/>
            </w:pPr>
            <w:r w:rsidRPr="00A85956">
              <w:t>146</w:t>
            </w:r>
          </w:p>
        </w:tc>
        <w:tc>
          <w:tcPr>
            <w:tcW w:w="881" w:type="pct"/>
            <w:noWrap/>
            <w:hideMark/>
          </w:tcPr>
          <w:p w14:paraId="0F99D633" w14:textId="77777777" w:rsidR="00C50B3E" w:rsidRPr="00A85956" w:rsidRDefault="00C50B3E" w:rsidP="00A85956">
            <w:pPr>
              <w:pStyle w:val="TableBody"/>
            </w:pPr>
            <w:r w:rsidRPr="00A85956">
              <w:t>151</w:t>
            </w:r>
          </w:p>
        </w:tc>
        <w:tc>
          <w:tcPr>
            <w:tcW w:w="620" w:type="pct"/>
            <w:noWrap/>
            <w:hideMark/>
          </w:tcPr>
          <w:p w14:paraId="1BBB2A63" w14:textId="77777777" w:rsidR="00C50B3E" w:rsidRPr="00A85956" w:rsidRDefault="00C50B3E" w:rsidP="00A85956">
            <w:pPr>
              <w:pStyle w:val="TableBody"/>
            </w:pPr>
            <w:r w:rsidRPr="00A85956">
              <w:t>110</w:t>
            </w:r>
          </w:p>
        </w:tc>
      </w:tr>
      <w:tr w:rsidR="00C50B3E" w:rsidRPr="00C50B3E" w14:paraId="180128BC" w14:textId="77777777" w:rsidTr="00FD06C8">
        <w:trPr>
          <w:trHeight w:val="288"/>
        </w:trPr>
        <w:tc>
          <w:tcPr>
            <w:tcW w:w="692" w:type="pct"/>
            <w:noWrap/>
            <w:hideMark/>
          </w:tcPr>
          <w:p w14:paraId="558712EB" w14:textId="77777777" w:rsidR="00C50B3E" w:rsidRPr="00A85956" w:rsidRDefault="00C50B3E" w:rsidP="00A85956">
            <w:pPr>
              <w:pStyle w:val="TableBody"/>
            </w:pPr>
            <w:r w:rsidRPr="00A85956">
              <w:t>2010</w:t>
            </w:r>
          </w:p>
        </w:tc>
        <w:tc>
          <w:tcPr>
            <w:tcW w:w="1134" w:type="pct"/>
            <w:noWrap/>
            <w:hideMark/>
          </w:tcPr>
          <w:p w14:paraId="39EDA8D9" w14:textId="77777777" w:rsidR="00C50B3E" w:rsidRPr="00A85956" w:rsidRDefault="00C50B3E" w:rsidP="00A85956">
            <w:pPr>
              <w:pStyle w:val="TableBody"/>
            </w:pPr>
            <w:r w:rsidRPr="00A85956">
              <w:t>180</w:t>
            </w:r>
          </w:p>
        </w:tc>
        <w:tc>
          <w:tcPr>
            <w:tcW w:w="836" w:type="pct"/>
            <w:noWrap/>
            <w:hideMark/>
          </w:tcPr>
          <w:p w14:paraId="6D7360C0" w14:textId="77777777" w:rsidR="00C50B3E" w:rsidRPr="00A85956" w:rsidRDefault="00C50B3E" w:rsidP="00A85956">
            <w:pPr>
              <w:pStyle w:val="TableBody"/>
            </w:pPr>
            <w:r w:rsidRPr="00A85956">
              <w:t>182</w:t>
            </w:r>
          </w:p>
        </w:tc>
        <w:tc>
          <w:tcPr>
            <w:tcW w:w="836" w:type="pct"/>
            <w:noWrap/>
            <w:hideMark/>
          </w:tcPr>
          <w:p w14:paraId="7E53905F" w14:textId="77777777" w:rsidR="00C50B3E" w:rsidRPr="00A85956" w:rsidRDefault="00C50B3E" w:rsidP="00A85956">
            <w:pPr>
              <w:pStyle w:val="TableBody"/>
            </w:pPr>
            <w:r w:rsidRPr="00A85956">
              <w:t>192</w:t>
            </w:r>
          </w:p>
        </w:tc>
        <w:tc>
          <w:tcPr>
            <w:tcW w:w="881" w:type="pct"/>
            <w:noWrap/>
            <w:hideMark/>
          </w:tcPr>
          <w:p w14:paraId="66D678A2" w14:textId="77777777" w:rsidR="00C50B3E" w:rsidRPr="00A85956" w:rsidRDefault="00C50B3E" w:rsidP="00A85956">
            <w:pPr>
              <w:pStyle w:val="TableBody"/>
            </w:pPr>
            <w:r w:rsidRPr="00A85956">
              <w:t>145</w:t>
            </w:r>
          </w:p>
        </w:tc>
        <w:tc>
          <w:tcPr>
            <w:tcW w:w="620" w:type="pct"/>
            <w:noWrap/>
            <w:hideMark/>
          </w:tcPr>
          <w:p w14:paraId="4CDEBCE3" w14:textId="77777777" w:rsidR="00C50B3E" w:rsidRPr="00A85956" w:rsidRDefault="00C50B3E" w:rsidP="00A85956">
            <w:pPr>
              <w:pStyle w:val="TableBody"/>
            </w:pPr>
            <w:r w:rsidRPr="00A85956">
              <w:t>105</w:t>
            </w:r>
          </w:p>
        </w:tc>
      </w:tr>
      <w:tr w:rsidR="00C50B3E" w:rsidRPr="00C50B3E" w14:paraId="075A5C34" w14:textId="77777777" w:rsidTr="00FD06C8">
        <w:trPr>
          <w:trHeight w:val="288"/>
        </w:trPr>
        <w:tc>
          <w:tcPr>
            <w:tcW w:w="692" w:type="pct"/>
            <w:noWrap/>
            <w:hideMark/>
          </w:tcPr>
          <w:p w14:paraId="7F8466B8" w14:textId="77777777" w:rsidR="00C50B3E" w:rsidRPr="00A85956" w:rsidRDefault="00C50B3E" w:rsidP="00A85956">
            <w:pPr>
              <w:pStyle w:val="TableBody"/>
            </w:pPr>
            <w:r w:rsidRPr="00A85956">
              <w:t>2011</w:t>
            </w:r>
          </w:p>
        </w:tc>
        <w:tc>
          <w:tcPr>
            <w:tcW w:w="1134" w:type="pct"/>
            <w:noWrap/>
            <w:hideMark/>
          </w:tcPr>
          <w:p w14:paraId="1565AA6A" w14:textId="77777777" w:rsidR="00C50B3E" w:rsidRPr="00A85956" w:rsidRDefault="00C50B3E" w:rsidP="00A85956">
            <w:pPr>
              <w:pStyle w:val="TableBody"/>
            </w:pPr>
            <w:r w:rsidRPr="00A85956">
              <w:t>204</w:t>
            </w:r>
          </w:p>
        </w:tc>
        <w:tc>
          <w:tcPr>
            <w:tcW w:w="836" w:type="pct"/>
            <w:noWrap/>
            <w:hideMark/>
          </w:tcPr>
          <w:p w14:paraId="78476ADD" w14:textId="77777777" w:rsidR="00C50B3E" w:rsidRPr="00A85956" w:rsidRDefault="00C50B3E" w:rsidP="00A85956">
            <w:pPr>
              <w:pStyle w:val="TableBody"/>
            </w:pPr>
            <w:r w:rsidRPr="00A85956">
              <w:t>248</w:t>
            </w:r>
          </w:p>
        </w:tc>
        <w:tc>
          <w:tcPr>
            <w:tcW w:w="836" w:type="pct"/>
            <w:noWrap/>
            <w:hideMark/>
          </w:tcPr>
          <w:p w14:paraId="66DB8FA0" w14:textId="77777777" w:rsidR="00C50B3E" w:rsidRPr="00A85956" w:rsidRDefault="00C50B3E" w:rsidP="00A85956">
            <w:pPr>
              <w:pStyle w:val="TableBody"/>
            </w:pPr>
            <w:r w:rsidRPr="00A85956">
              <w:t>206</w:t>
            </w:r>
          </w:p>
        </w:tc>
        <w:tc>
          <w:tcPr>
            <w:tcW w:w="881" w:type="pct"/>
            <w:noWrap/>
            <w:hideMark/>
          </w:tcPr>
          <w:p w14:paraId="1021EA55" w14:textId="77777777" w:rsidR="00C50B3E" w:rsidRPr="00A85956" w:rsidRDefault="00C50B3E" w:rsidP="00A85956">
            <w:pPr>
              <w:pStyle w:val="TableBody"/>
            </w:pPr>
            <w:r w:rsidRPr="00A85956">
              <w:t>122</w:t>
            </w:r>
          </w:p>
        </w:tc>
        <w:tc>
          <w:tcPr>
            <w:tcW w:w="620" w:type="pct"/>
            <w:noWrap/>
            <w:hideMark/>
          </w:tcPr>
          <w:p w14:paraId="0027865D" w14:textId="77777777" w:rsidR="00C50B3E" w:rsidRPr="00A85956" w:rsidRDefault="00C50B3E" w:rsidP="00A85956">
            <w:pPr>
              <w:pStyle w:val="TableBody"/>
            </w:pPr>
            <w:r w:rsidRPr="00A85956">
              <w:t>96</w:t>
            </w:r>
          </w:p>
        </w:tc>
      </w:tr>
      <w:tr w:rsidR="00C50B3E" w:rsidRPr="00C50B3E" w14:paraId="035AF414" w14:textId="77777777" w:rsidTr="00FD06C8">
        <w:trPr>
          <w:trHeight w:val="288"/>
        </w:trPr>
        <w:tc>
          <w:tcPr>
            <w:tcW w:w="692" w:type="pct"/>
            <w:noWrap/>
            <w:hideMark/>
          </w:tcPr>
          <w:p w14:paraId="308FF622" w14:textId="77777777" w:rsidR="00C50B3E" w:rsidRPr="00A85956" w:rsidRDefault="00C50B3E" w:rsidP="00A85956">
            <w:pPr>
              <w:pStyle w:val="TableBody"/>
            </w:pPr>
            <w:r w:rsidRPr="00A85956">
              <w:t>2012</w:t>
            </w:r>
          </w:p>
        </w:tc>
        <w:tc>
          <w:tcPr>
            <w:tcW w:w="1134" w:type="pct"/>
            <w:noWrap/>
            <w:hideMark/>
          </w:tcPr>
          <w:p w14:paraId="1DE243E5" w14:textId="77777777" w:rsidR="00C50B3E" w:rsidRPr="00A85956" w:rsidRDefault="00C50B3E" w:rsidP="00A85956">
            <w:pPr>
              <w:pStyle w:val="TableBody"/>
            </w:pPr>
            <w:r w:rsidRPr="00A85956">
              <w:t>237</w:t>
            </w:r>
          </w:p>
        </w:tc>
        <w:tc>
          <w:tcPr>
            <w:tcW w:w="836" w:type="pct"/>
            <w:noWrap/>
            <w:hideMark/>
          </w:tcPr>
          <w:p w14:paraId="0C5372B6" w14:textId="77777777" w:rsidR="00C50B3E" w:rsidRPr="00A85956" w:rsidRDefault="00C50B3E" w:rsidP="00A85956">
            <w:pPr>
              <w:pStyle w:val="TableBody"/>
            </w:pPr>
            <w:r w:rsidRPr="00A85956">
              <w:t>306</w:t>
            </w:r>
          </w:p>
        </w:tc>
        <w:tc>
          <w:tcPr>
            <w:tcW w:w="836" w:type="pct"/>
            <w:noWrap/>
            <w:hideMark/>
          </w:tcPr>
          <w:p w14:paraId="78646906" w14:textId="77777777" w:rsidR="00C50B3E" w:rsidRPr="00A85956" w:rsidRDefault="00C50B3E" w:rsidP="00A85956">
            <w:pPr>
              <w:pStyle w:val="TableBody"/>
            </w:pPr>
            <w:r w:rsidRPr="00A85956">
              <w:t>188</w:t>
            </w:r>
          </w:p>
        </w:tc>
        <w:tc>
          <w:tcPr>
            <w:tcW w:w="881" w:type="pct"/>
            <w:noWrap/>
            <w:hideMark/>
          </w:tcPr>
          <w:p w14:paraId="3F1DF684" w14:textId="77777777" w:rsidR="00C50B3E" w:rsidRPr="00A85956" w:rsidRDefault="00C50B3E" w:rsidP="00A85956">
            <w:pPr>
              <w:pStyle w:val="TableBody"/>
            </w:pPr>
            <w:r w:rsidRPr="00A85956">
              <w:t>143</w:t>
            </w:r>
          </w:p>
        </w:tc>
        <w:tc>
          <w:tcPr>
            <w:tcW w:w="620" w:type="pct"/>
            <w:noWrap/>
            <w:hideMark/>
          </w:tcPr>
          <w:p w14:paraId="7B86F466" w14:textId="77777777" w:rsidR="00C50B3E" w:rsidRPr="00A85956" w:rsidRDefault="00C50B3E" w:rsidP="00A85956">
            <w:pPr>
              <w:pStyle w:val="TableBody"/>
            </w:pPr>
            <w:r w:rsidRPr="00A85956">
              <w:t>122</w:t>
            </w:r>
          </w:p>
        </w:tc>
      </w:tr>
      <w:tr w:rsidR="00C50B3E" w:rsidRPr="00C50B3E" w14:paraId="0758FA23" w14:textId="77777777" w:rsidTr="00FD06C8">
        <w:trPr>
          <w:trHeight w:val="288"/>
        </w:trPr>
        <w:tc>
          <w:tcPr>
            <w:tcW w:w="692" w:type="pct"/>
            <w:noWrap/>
            <w:hideMark/>
          </w:tcPr>
          <w:p w14:paraId="53526307" w14:textId="77777777" w:rsidR="00C50B3E" w:rsidRPr="00A85956" w:rsidRDefault="00C50B3E" w:rsidP="00A85956">
            <w:pPr>
              <w:pStyle w:val="TableBody"/>
            </w:pPr>
            <w:r w:rsidRPr="00A85956">
              <w:t>2013</w:t>
            </w:r>
          </w:p>
        </w:tc>
        <w:tc>
          <w:tcPr>
            <w:tcW w:w="1134" w:type="pct"/>
            <w:noWrap/>
            <w:hideMark/>
          </w:tcPr>
          <w:p w14:paraId="1AADF37D" w14:textId="77777777" w:rsidR="00C50B3E" w:rsidRPr="00A85956" w:rsidRDefault="00C50B3E" w:rsidP="00A85956">
            <w:pPr>
              <w:pStyle w:val="TableBody"/>
            </w:pPr>
            <w:r w:rsidRPr="00A85956">
              <w:t>200</w:t>
            </w:r>
          </w:p>
        </w:tc>
        <w:tc>
          <w:tcPr>
            <w:tcW w:w="836" w:type="pct"/>
            <w:noWrap/>
            <w:hideMark/>
          </w:tcPr>
          <w:p w14:paraId="1E62C420" w14:textId="77777777" w:rsidR="00C50B3E" w:rsidRPr="00A85956" w:rsidRDefault="00C50B3E" w:rsidP="00A85956">
            <w:pPr>
              <w:pStyle w:val="TableBody"/>
            </w:pPr>
            <w:r w:rsidRPr="00A85956">
              <w:t>302</w:t>
            </w:r>
          </w:p>
        </w:tc>
        <w:tc>
          <w:tcPr>
            <w:tcW w:w="836" w:type="pct"/>
            <w:noWrap/>
            <w:hideMark/>
          </w:tcPr>
          <w:p w14:paraId="4E0ABE90" w14:textId="77777777" w:rsidR="00C50B3E" w:rsidRPr="00A85956" w:rsidRDefault="00C50B3E" w:rsidP="00A85956">
            <w:pPr>
              <w:pStyle w:val="TableBody"/>
            </w:pPr>
            <w:r w:rsidRPr="00A85956">
              <w:t>204</w:t>
            </w:r>
          </w:p>
        </w:tc>
        <w:tc>
          <w:tcPr>
            <w:tcW w:w="881" w:type="pct"/>
            <w:noWrap/>
            <w:hideMark/>
          </w:tcPr>
          <w:p w14:paraId="0D3D8A55" w14:textId="77777777" w:rsidR="00C50B3E" w:rsidRPr="00A85956" w:rsidRDefault="00C50B3E" w:rsidP="00A85956">
            <w:pPr>
              <w:pStyle w:val="TableBody"/>
            </w:pPr>
            <w:r w:rsidRPr="00A85956">
              <w:t>168</w:t>
            </w:r>
          </w:p>
        </w:tc>
        <w:tc>
          <w:tcPr>
            <w:tcW w:w="620" w:type="pct"/>
            <w:noWrap/>
            <w:hideMark/>
          </w:tcPr>
          <w:p w14:paraId="0CF0A790" w14:textId="77777777" w:rsidR="00C50B3E" w:rsidRPr="00A85956" w:rsidRDefault="00C50B3E" w:rsidP="00A85956">
            <w:pPr>
              <w:pStyle w:val="TableBody"/>
            </w:pPr>
            <w:r w:rsidRPr="00A85956">
              <w:t>80</w:t>
            </w:r>
          </w:p>
        </w:tc>
      </w:tr>
      <w:tr w:rsidR="00C50B3E" w:rsidRPr="00C50B3E" w14:paraId="68C977CF" w14:textId="77777777" w:rsidTr="00FD06C8">
        <w:trPr>
          <w:trHeight w:val="288"/>
        </w:trPr>
        <w:tc>
          <w:tcPr>
            <w:tcW w:w="692" w:type="pct"/>
            <w:noWrap/>
            <w:hideMark/>
          </w:tcPr>
          <w:p w14:paraId="7B80B461" w14:textId="77777777" w:rsidR="00C50B3E" w:rsidRPr="00A85956" w:rsidRDefault="00C50B3E" w:rsidP="00A85956">
            <w:pPr>
              <w:pStyle w:val="TableBody"/>
            </w:pPr>
            <w:r w:rsidRPr="00A85956">
              <w:t>2014</w:t>
            </w:r>
          </w:p>
        </w:tc>
        <w:tc>
          <w:tcPr>
            <w:tcW w:w="1134" w:type="pct"/>
            <w:noWrap/>
            <w:hideMark/>
          </w:tcPr>
          <w:p w14:paraId="1394D8C3" w14:textId="77777777" w:rsidR="00C50B3E" w:rsidRPr="00A85956" w:rsidRDefault="00C50B3E" w:rsidP="00A85956">
            <w:pPr>
              <w:pStyle w:val="TableBody"/>
            </w:pPr>
            <w:r w:rsidRPr="00A85956">
              <w:t>325</w:t>
            </w:r>
          </w:p>
        </w:tc>
        <w:tc>
          <w:tcPr>
            <w:tcW w:w="836" w:type="pct"/>
            <w:noWrap/>
            <w:hideMark/>
          </w:tcPr>
          <w:p w14:paraId="504C7D7E" w14:textId="77777777" w:rsidR="00C50B3E" w:rsidRPr="00A85956" w:rsidRDefault="00C50B3E" w:rsidP="00A85956">
            <w:pPr>
              <w:pStyle w:val="TableBody"/>
            </w:pPr>
            <w:r w:rsidRPr="00A85956">
              <w:t>347</w:t>
            </w:r>
          </w:p>
        </w:tc>
        <w:tc>
          <w:tcPr>
            <w:tcW w:w="836" w:type="pct"/>
            <w:noWrap/>
            <w:hideMark/>
          </w:tcPr>
          <w:p w14:paraId="21771DA5" w14:textId="77777777" w:rsidR="00C50B3E" w:rsidRPr="00A85956" w:rsidRDefault="00C50B3E" w:rsidP="00A85956">
            <w:pPr>
              <w:pStyle w:val="TableBody"/>
            </w:pPr>
            <w:r w:rsidRPr="00A85956">
              <w:t>213</w:t>
            </w:r>
          </w:p>
        </w:tc>
        <w:tc>
          <w:tcPr>
            <w:tcW w:w="881" w:type="pct"/>
            <w:noWrap/>
            <w:hideMark/>
          </w:tcPr>
          <w:p w14:paraId="71B918BB" w14:textId="77777777" w:rsidR="00C50B3E" w:rsidRPr="00A85956" w:rsidRDefault="00C50B3E" w:rsidP="00A85956">
            <w:pPr>
              <w:pStyle w:val="TableBody"/>
            </w:pPr>
            <w:r w:rsidRPr="00A85956">
              <w:t>154</w:t>
            </w:r>
          </w:p>
        </w:tc>
        <w:tc>
          <w:tcPr>
            <w:tcW w:w="620" w:type="pct"/>
            <w:noWrap/>
            <w:hideMark/>
          </w:tcPr>
          <w:p w14:paraId="64F6BD4F" w14:textId="77777777" w:rsidR="00C50B3E" w:rsidRPr="00A85956" w:rsidRDefault="00C50B3E" w:rsidP="00A85956">
            <w:pPr>
              <w:pStyle w:val="TableBody"/>
            </w:pPr>
            <w:r w:rsidRPr="00A85956">
              <w:t>100</w:t>
            </w:r>
          </w:p>
        </w:tc>
      </w:tr>
      <w:tr w:rsidR="00C50B3E" w:rsidRPr="00C50B3E" w14:paraId="68D300A8" w14:textId="77777777" w:rsidTr="00FD06C8">
        <w:trPr>
          <w:trHeight w:val="288"/>
        </w:trPr>
        <w:tc>
          <w:tcPr>
            <w:tcW w:w="692" w:type="pct"/>
            <w:noWrap/>
            <w:hideMark/>
          </w:tcPr>
          <w:p w14:paraId="1406208F" w14:textId="77777777" w:rsidR="00C50B3E" w:rsidRPr="00A85956" w:rsidRDefault="00C50B3E" w:rsidP="00A85956">
            <w:pPr>
              <w:pStyle w:val="TableBody"/>
            </w:pPr>
            <w:r w:rsidRPr="00A85956">
              <w:t>2015</w:t>
            </w:r>
          </w:p>
        </w:tc>
        <w:tc>
          <w:tcPr>
            <w:tcW w:w="1134" w:type="pct"/>
            <w:noWrap/>
            <w:hideMark/>
          </w:tcPr>
          <w:p w14:paraId="4A1BD80E" w14:textId="77777777" w:rsidR="00C50B3E" w:rsidRPr="00A85956" w:rsidRDefault="00C50B3E" w:rsidP="00A85956">
            <w:pPr>
              <w:pStyle w:val="TableBody"/>
            </w:pPr>
            <w:r w:rsidRPr="00A85956">
              <w:t>440</w:t>
            </w:r>
          </w:p>
        </w:tc>
        <w:tc>
          <w:tcPr>
            <w:tcW w:w="836" w:type="pct"/>
            <w:noWrap/>
            <w:hideMark/>
          </w:tcPr>
          <w:p w14:paraId="293C5D37" w14:textId="77777777" w:rsidR="00C50B3E" w:rsidRPr="00A85956" w:rsidRDefault="00C50B3E" w:rsidP="00A85956">
            <w:pPr>
              <w:pStyle w:val="TableBody"/>
            </w:pPr>
            <w:r w:rsidRPr="00A85956">
              <w:t>411</w:t>
            </w:r>
          </w:p>
        </w:tc>
        <w:tc>
          <w:tcPr>
            <w:tcW w:w="836" w:type="pct"/>
            <w:noWrap/>
            <w:hideMark/>
          </w:tcPr>
          <w:p w14:paraId="0BD0CF71" w14:textId="77777777" w:rsidR="00C50B3E" w:rsidRPr="00A85956" w:rsidRDefault="00C50B3E" w:rsidP="00A85956">
            <w:pPr>
              <w:pStyle w:val="TableBody"/>
            </w:pPr>
            <w:r w:rsidRPr="00A85956">
              <w:t>274</w:t>
            </w:r>
          </w:p>
        </w:tc>
        <w:tc>
          <w:tcPr>
            <w:tcW w:w="881" w:type="pct"/>
            <w:noWrap/>
            <w:hideMark/>
          </w:tcPr>
          <w:p w14:paraId="64B2C7F6" w14:textId="77777777" w:rsidR="00C50B3E" w:rsidRPr="00A85956" w:rsidRDefault="00C50B3E" w:rsidP="00A85956">
            <w:pPr>
              <w:pStyle w:val="TableBody"/>
            </w:pPr>
            <w:r w:rsidRPr="00A85956">
              <w:t>200</w:t>
            </w:r>
          </w:p>
        </w:tc>
        <w:tc>
          <w:tcPr>
            <w:tcW w:w="620" w:type="pct"/>
            <w:noWrap/>
            <w:hideMark/>
          </w:tcPr>
          <w:p w14:paraId="39AE2520" w14:textId="77777777" w:rsidR="00C50B3E" w:rsidRPr="00A85956" w:rsidRDefault="00C50B3E" w:rsidP="00A85956">
            <w:pPr>
              <w:pStyle w:val="TableBody"/>
            </w:pPr>
            <w:r w:rsidRPr="00A85956">
              <w:t>110</w:t>
            </w:r>
          </w:p>
        </w:tc>
      </w:tr>
      <w:tr w:rsidR="00C50B3E" w:rsidRPr="00C50B3E" w14:paraId="03625BCC" w14:textId="77777777" w:rsidTr="00FD06C8">
        <w:trPr>
          <w:trHeight w:val="288"/>
        </w:trPr>
        <w:tc>
          <w:tcPr>
            <w:tcW w:w="692" w:type="pct"/>
            <w:noWrap/>
            <w:hideMark/>
          </w:tcPr>
          <w:p w14:paraId="01CD2A8A" w14:textId="77777777" w:rsidR="00C50B3E" w:rsidRPr="00A85956" w:rsidRDefault="00C50B3E" w:rsidP="00A85956">
            <w:pPr>
              <w:pStyle w:val="TableBody"/>
            </w:pPr>
            <w:r w:rsidRPr="00A85956">
              <w:t>2016</w:t>
            </w:r>
          </w:p>
        </w:tc>
        <w:tc>
          <w:tcPr>
            <w:tcW w:w="1134" w:type="pct"/>
            <w:noWrap/>
            <w:hideMark/>
          </w:tcPr>
          <w:p w14:paraId="36E5AD20" w14:textId="77777777" w:rsidR="00C50B3E" w:rsidRPr="00A85956" w:rsidRDefault="00C50B3E" w:rsidP="00A85956">
            <w:pPr>
              <w:pStyle w:val="TableBody"/>
            </w:pPr>
            <w:r w:rsidRPr="00A85956">
              <w:t>543</w:t>
            </w:r>
          </w:p>
        </w:tc>
        <w:tc>
          <w:tcPr>
            <w:tcW w:w="836" w:type="pct"/>
            <w:noWrap/>
            <w:hideMark/>
          </w:tcPr>
          <w:p w14:paraId="242F78EC" w14:textId="77777777" w:rsidR="00C50B3E" w:rsidRPr="00A85956" w:rsidRDefault="00C50B3E" w:rsidP="00A85956">
            <w:pPr>
              <w:pStyle w:val="TableBody"/>
            </w:pPr>
            <w:r w:rsidRPr="00A85956">
              <w:t>597</w:t>
            </w:r>
          </w:p>
        </w:tc>
        <w:tc>
          <w:tcPr>
            <w:tcW w:w="836" w:type="pct"/>
            <w:noWrap/>
            <w:hideMark/>
          </w:tcPr>
          <w:p w14:paraId="4C3ECD7A" w14:textId="77777777" w:rsidR="00C50B3E" w:rsidRPr="00A85956" w:rsidRDefault="00C50B3E" w:rsidP="00A85956">
            <w:pPr>
              <w:pStyle w:val="TableBody"/>
            </w:pPr>
            <w:r w:rsidRPr="00A85956">
              <w:t>379</w:t>
            </w:r>
          </w:p>
        </w:tc>
        <w:tc>
          <w:tcPr>
            <w:tcW w:w="881" w:type="pct"/>
            <w:noWrap/>
            <w:hideMark/>
          </w:tcPr>
          <w:p w14:paraId="205D8FB3" w14:textId="77777777" w:rsidR="00C50B3E" w:rsidRPr="00A85956" w:rsidRDefault="00C50B3E" w:rsidP="00A85956">
            <w:pPr>
              <w:pStyle w:val="TableBody"/>
            </w:pPr>
            <w:r w:rsidRPr="00A85956">
              <w:t>242</w:t>
            </w:r>
          </w:p>
        </w:tc>
        <w:tc>
          <w:tcPr>
            <w:tcW w:w="620" w:type="pct"/>
            <w:noWrap/>
            <w:hideMark/>
          </w:tcPr>
          <w:p w14:paraId="405E795B" w14:textId="77777777" w:rsidR="00C50B3E" w:rsidRPr="00A85956" w:rsidRDefault="00C50B3E" w:rsidP="00A85956">
            <w:pPr>
              <w:pStyle w:val="TableBody"/>
            </w:pPr>
            <w:r w:rsidRPr="00A85956">
              <w:t>116</w:t>
            </w:r>
          </w:p>
        </w:tc>
      </w:tr>
      <w:tr w:rsidR="00C50B3E" w:rsidRPr="00C50B3E" w14:paraId="595AE9B2" w14:textId="77777777" w:rsidTr="00FD06C8">
        <w:trPr>
          <w:trHeight w:val="288"/>
        </w:trPr>
        <w:tc>
          <w:tcPr>
            <w:tcW w:w="692" w:type="pct"/>
            <w:noWrap/>
            <w:hideMark/>
          </w:tcPr>
          <w:p w14:paraId="6F685C60" w14:textId="77777777" w:rsidR="00C50B3E" w:rsidRPr="00A85956" w:rsidRDefault="00C50B3E" w:rsidP="00A85956">
            <w:pPr>
              <w:pStyle w:val="TableBody"/>
            </w:pPr>
            <w:r w:rsidRPr="00A85956">
              <w:t>2017</w:t>
            </w:r>
          </w:p>
        </w:tc>
        <w:tc>
          <w:tcPr>
            <w:tcW w:w="1134" w:type="pct"/>
            <w:noWrap/>
            <w:hideMark/>
          </w:tcPr>
          <w:p w14:paraId="11ACC2B8" w14:textId="77777777" w:rsidR="00C50B3E" w:rsidRPr="00A85956" w:rsidRDefault="00C50B3E" w:rsidP="00A85956">
            <w:pPr>
              <w:pStyle w:val="TableBody"/>
            </w:pPr>
            <w:r w:rsidRPr="00A85956">
              <w:t>560</w:t>
            </w:r>
          </w:p>
        </w:tc>
        <w:tc>
          <w:tcPr>
            <w:tcW w:w="836" w:type="pct"/>
            <w:noWrap/>
            <w:hideMark/>
          </w:tcPr>
          <w:p w14:paraId="2BB6B96D" w14:textId="77777777" w:rsidR="00C50B3E" w:rsidRPr="00A85956" w:rsidRDefault="00C50B3E" w:rsidP="00A85956">
            <w:pPr>
              <w:pStyle w:val="TableBody"/>
            </w:pPr>
            <w:r w:rsidRPr="00A85956">
              <w:t>682</w:t>
            </w:r>
          </w:p>
        </w:tc>
        <w:tc>
          <w:tcPr>
            <w:tcW w:w="836" w:type="pct"/>
            <w:noWrap/>
            <w:hideMark/>
          </w:tcPr>
          <w:p w14:paraId="1BF4675D" w14:textId="77777777" w:rsidR="00C50B3E" w:rsidRPr="00A85956" w:rsidRDefault="00C50B3E" w:rsidP="00A85956">
            <w:pPr>
              <w:pStyle w:val="TableBody"/>
            </w:pPr>
            <w:r w:rsidRPr="00A85956">
              <w:t>467</w:t>
            </w:r>
          </w:p>
        </w:tc>
        <w:tc>
          <w:tcPr>
            <w:tcW w:w="881" w:type="pct"/>
            <w:noWrap/>
            <w:hideMark/>
          </w:tcPr>
          <w:p w14:paraId="0A2E0952" w14:textId="77777777" w:rsidR="00C50B3E" w:rsidRPr="00A85956" w:rsidRDefault="00C50B3E" w:rsidP="00A85956">
            <w:pPr>
              <w:pStyle w:val="TableBody"/>
            </w:pPr>
            <w:r w:rsidRPr="00A85956">
              <w:t>318</w:t>
            </w:r>
          </w:p>
        </w:tc>
        <w:tc>
          <w:tcPr>
            <w:tcW w:w="620" w:type="pct"/>
            <w:noWrap/>
            <w:hideMark/>
          </w:tcPr>
          <w:p w14:paraId="23283A8D" w14:textId="77777777" w:rsidR="00C50B3E" w:rsidRPr="00A85956" w:rsidRDefault="00C50B3E" w:rsidP="00A85956">
            <w:pPr>
              <w:pStyle w:val="TableBody"/>
            </w:pPr>
            <w:r w:rsidRPr="00A85956">
              <w:t>191</w:t>
            </w:r>
          </w:p>
        </w:tc>
      </w:tr>
      <w:tr w:rsidR="00C50B3E" w:rsidRPr="00C50B3E" w14:paraId="7A895C03" w14:textId="77777777" w:rsidTr="00FD06C8">
        <w:trPr>
          <w:trHeight w:val="288"/>
        </w:trPr>
        <w:tc>
          <w:tcPr>
            <w:tcW w:w="692" w:type="pct"/>
            <w:noWrap/>
            <w:hideMark/>
          </w:tcPr>
          <w:p w14:paraId="0FC42D88" w14:textId="77777777" w:rsidR="00C50B3E" w:rsidRPr="00A85956" w:rsidRDefault="00C50B3E" w:rsidP="00A85956">
            <w:pPr>
              <w:pStyle w:val="TableBody"/>
            </w:pPr>
            <w:r w:rsidRPr="00A85956">
              <w:t>2018</w:t>
            </w:r>
          </w:p>
        </w:tc>
        <w:tc>
          <w:tcPr>
            <w:tcW w:w="1134" w:type="pct"/>
            <w:noWrap/>
            <w:hideMark/>
          </w:tcPr>
          <w:p w14:paraId="7413620A" w14:textId="77777777" w:rsidR="00C50B3E" w:rsidRPr="00A85956" w:rsidRDefault="00C50B3E" w:rsidP="00A85956">
            <w:pPr>
              <w:pStyle w:val="TableBody"/>
            </w:pPr>
            <w:r w:rsidRPr="00A85956">
              <w:t>735</w:t>
            </w:r>
          </w:p>
        </w:tc>
        <w:tc>
          <w:tcPr>
            <w:tcW w:w="836" w:type="pct"/>
            <w:noWrap/>
            <w:hideMark/>
          </w:tcPr>
          <w:p w14:paraId="26A51D35" w14:textId="77777777" w:rsidR="00C50B3E" w:rsidRPr="00A85956" w:rsidRDefault="00C50B3E" w:rsidP="00A85956">
            <w:pPr>
              <w:pStyle w:val="TableBody"/>
            </w:pPr>
            <w:r w:rsidRPr="00A85956">
              <w:t>775</w:t>
            </w:r>
          </w:p>
        </w:tc>
        <w:tc>
          <w:tcPr>
            <w:tcW w:w="836" w:type="pct"/>
            <w:noWrap/>
            <w:hideMark/>
          </w:tcPr>
          <w:p w14:paraId="275E5299" w14:textId="77777777" w:rsidR="00C50B3E" w:rsidRPr="00A85956" w:rsidRDefault="00C50B3E" w:rsidP="00A85956">
            <w:pPr>
              <w:pStyle w:val="TableBody"/>
            </w:pPr>
            <w:r w:rsidRPr="00A85956">
              <w:t>528</w:t>
            </w:r>
          </w:p>
        </w:tc>
        <w:tc>
          <w:tcPr>
            <w:tcW w:w="881" w:type="pct"/>
            <w:noWrap/>
            <w:hideMark/>
          </w:tcPr>
          <w:p w14:paraId="689370FA" w14:textId="77777777" w:rsidR="00C50B3E" w:rsidRPr="00A85956" w:rsidRDefault="00C50B3E" w:rsidP="00A85956">
            <w:pPr>
              <w:pStyle w:val="TableBody"/>
            </w:pPr>
            <w:r w:rsidRPr="00A85956">
              <w:t>394</w:t>
            </w:r>
          </w:p>
        </w:tc>
        <w:tc>
          <w:tcPr>
            <w:tcW w:w="620" w:type="pct"/>
            <w:noWrap/>
            <w:hideMark/>
          </w:tcPr>
          <w:p w14:paraId="7B6205E7" w14:textId="77777777" w:rsidR="00C50B3E" w:rsidRPr="00A85956" w:rsidRDefault="00C50B3E" w:rsidP="00A85956">
            <w:pPr>
              <w:pStyle w:val="TableBody"/>
            </w:pPr>
            <w:r w:rsidRPr="00A85956">
              <w:t>278</w:t>
            </w:r>
          </w:p>
        </w:tc>
      </w:tr>
      <w:tr w:rsidR="00C50B3E" w:rsidRPr="00C50B3E" w14:paraId="4F4E0DB6" w14:textId="77777777" w:rsidTr="00FD06C8">
        <w:trPr>
          <w:trHeight w:val="288"/>
        </w:trPr>
        <w:tc>
          <w:tcPr>
            <w:tcW w:w="692" w:type="pct"/>
            <w:noWrap/>
            <w:hideMark/>
          </w:tcPr>
          <w:p w14:paraId="029BCAEA" w14:textId="77777777" w:rsidR="00C50B3E" w:rsidRPr="00A85956" w:rsidRDefault="00C50B3E" w:rsidP="00A85956">
            <w:pPr>
              <w:pStyle w:val="TableBody"/>
            </w:pPr>
            <w:r w:rsidRPr="00A85956">
              <w:t>2019</w:t>
            </w:r>
          </w:p>
        </w:tc>
        <w:tc>
          <w:tcPr>
            <w:tcW w:w="1134" w:type="pct"/>
            <w:noWrap/>
            <w:hideMark/>
          </w:tcPr>
          <w:p w14:paraId="2DC4352C" w14:textId="77777777" w:rsidR="00C50B3E" w:rsidRPr="00A85956" w:rsidRDefault="00C50B3E" w:rsidP="00A85956">
            <w:pPr>
              <w:pStyle w:val="TableBody"/>
            </w:pPr>
            <w:r w:rsidRPr="00A85956">
              <w:t>695</w:t>
            </w:r>
          </w:p>
        </w:tc>
        <w:tc>
          <w:tcPr>
            <w:tcW w:w="836" w:type="pct"/>
            <w:noWrap/>
            <w:hideMark/>
          </w:tcPr>
          <w:p w14:paraId="5B389B5F" w14:textId="77777777" w:rsidR="00C50B3E" w:rsidRPr="00A85956" w:rsidRDefault="00C50B3E" w:rsidP="00A85956">
            <w:pPr>
              <w:pStyle w:val="TableBody"/>
            </w:pPr>
            <w:r w:rsidRPr="00A85956">
              <w:t>911</w:t>
            </w:r>
          </w:p>
        </w:tc>
        <w:tc>
          <w:tcPr>
            <w:tcW w:w="836" w:type="pct"/>
            <w:noWrap/>
            <w:hideMark/>
          </w:tcPr>
          <w:p w14:paraId="25AD79CF" w14:textId="77777777" w:rsidR="00C50B3E" w:rsidRPr="00A85956" w:rsidRDefault="00C50B3E" w:rsidP="00A85956">
            <w:pPr>
              <w:pStyle w:val="TableBody"/>
            </w:pPr>
            <w:r w:rsidRPr="00A85956">
              <w:t>598</w:t>
            </w:r>
          </w:p>
        </w:tc>
        <w:tc>
          <w:tcPr>
            <w:tcW w:w="881" w:type="pct"/>
            <w:noWrap/>
            <w:hideMark/>
          </w:tcPr>
          <w:p w14:paraId="0B26BC11" w14:textId="77777777" w:rsidR="00C50B3E" w:rsidRPr="00A85956" w:rsidRDefault="00C50B3E" w:rsidP="00A85956">
            <w:pPr>
              <w:pStyle w:val="TableBody"/>
            </w:pPr>
            <w:r w:rsidRPr="00A85956">
              <w:t>462</w:t>
            </w:r>
          </w:p>
        </w:tc>
        <w:tc>
          <w:tcPr>
            <w:tcW w:w="620" w:type="pct"/>
            <w:noWrap/>
            <w:hideMark/>
          </w:tcPr>
          <w:p w14:paraId="68097EB0" w14:textId="77777777" w:rsidR="00C50B3E" w:rsidRPr="00A85956" w:rsidRDefault="00C50B3E" w:rsidP="00A85956">
            <w:pPr>
              <w:pStyle w:val="TableBody"/>
            </w:pPr>
            <w:r w:rsidRPr="00A85956">
              <w:t>312</w:t>
            </w:r>
          </w:p>
        </w:tc>
      </w:tr>
      <w:tr w:rsidR="00C50B3E" w:rsidRPr="00C50B3E" w14:paraId="2A8D8180" w14:textId="77777777" w:rsidTr="00FD06C8">
        <w:trPr>
          <w:trHeight w:val="288"/>
        </w:trPr>
        <w:tc>
          <w:tcPr>
            <w:tcW w:w="692" w:type="pct"/>
            <w:noWrap/>
            <w:hideMark/>
          </w:tcPr>
          <w:p w14:paraId="0070EEEA" w14:textId="77777777" w:rsidR="00C50B3E" w:rsidRPr="00A85956" w:rsidRDefault="00C50B3E" w:rsidP="00A85956">
            <w:pPr>
              <w:pStyle w:val="TableBody"/>
            </w:pPr>
            <w:r w:rsidRPr="00A85956">
              <w:t>2020</w:t>
            </w:r>
          </w:p>
        </w:tc>
        <w:tc>
          <w:tcPr>
            <w:tcW w:w="1134" w:type="pct"/>
            <w:noWrap/>
            <w:hideMark/>
          </w:tcPr>
          <w:p w14:paraId="078A3AC9" w14:textId="77777777" w:rsidR="00C50B3E" w:rsidRPr="00A85956" w:rsidRDefault="00C50B3E" w:rsidP="00A85956">
            <w:pPr>
              <w:pStyle w:val="TableBody"/>
            </w:pPr>
            <w:r w:rsidRPr="00A85956">
              <w:t>619</w:t>
            </w:r>
          </w:p>
        </w:tc>
        <w:tc>
          <w:tcPr>
            <w:tcW w:w="836" w:type="pct"/>
            <w:noWrap/>
            <w:hideMark/>
          </w:tcPr>
          <w:p w14:paraId="5CFDF833" w14:textId="77777777" w:rsidR="00C50B3E" w:rsidRPr="00A85956" w:rsidRDefault="00C50B3E" w:rsidP="00A85956">
            <w:pPr>
              <w:pStyle w:val="TableBody"/>
            </w:pPr>
            <w:r w:rsidRPr="00A85956">
              <w:t>631</w:t>
            </w:r>
          </w:p>
        </w:tc>
        <w:tc>
          <w:tcPr>
            <w:tcW w:w="836" w:type="pct"/>
            <w:noWrap/>
            <w:hideMark/>
          </w:tcPr>
          <w:p w14:paraId="1627B74D" w14:textId="77777777" w:rsidR="00C50B3E" w:rsidRPr="00A85956" w:rsidRDefault="00C50B3E" w:rsidP="00A85956">
            <w:pPr>
              <w:pStyle w:val="TableBody"/>
            </w:pPr>
            <w:r w:rsidRPr="00A85956">
              <w:t>419</w:t>
            </w:r>
          </w:p>
        </w:tc>
        <w:tc>
          <w:tcPr>
            <w:tcW w:w="881" w:type="pct"/>
            <w:noWrap/>
            <w:hideMark/>
          </w:tcPr>
          <w:p w14:paraId="0CAFBD06" w14:textId="77777777" w:rsidR="00C50B3E" w:rsidRPr="00A85956" w:rsidRDefault="00C50B3E" w:rsidP="00A85956">
            <w:pPr>
              <w:pStyle w:val="TableBody"/>
            </w:pPr>
            <w:r w:rsidRPr="00A85956">
              <w:t>443</w:t>
            </w:r>
          </w:p>
        </w:tc>
        <w:tc>
          <w:tcPr>
            <w:tcW w:w="620" w:type="pct"/>
            <w:noWrap/>
            <w:hideMark/>
          </w:tcPr>
          <w:p w14:paraId="4CF33D8F" w14:textId="77777777" w:rsidR="00C50B3E" w:rsidRPr="00A85956" w:rsidRDefault="00C50B3E" w:rsidP="00A85956">
            <w:pPr>
              <w:pStyle w:val="TableBody"/>
            </w:pPr>
            <w:r w:rsidRPr="00A85956">
              <w:t>368</w:t>
            </w:r>
          </w:p>
        </w:tc>
      </w:tr>
      <w:tr w:rsidR="00C50B3E" w:rsidRPr="00C50B3E" w14:paraId="7B90197A" w14:textId="77777777" w:rsidTr="00FD06C8">
        <w:trPr>
          <w:trHeight w:val="288"/>
        </w:trPr>
        <w:tc>
          <w:tcPr>
            <w:tcW w:w="692" w:type="pct"/>
            <w:noWrap/>
            <w:hideMark/>
          </w:tcPr>
          <w:p w14:paraId="11ADCA38" w14:textId="77777777" w:rsidR="00C50B3E" w:rsidRPr="00A85956" w:rsidRDefault="00C50B3E" w:rsidP="00A85956">
            <w:pPr>
              <w:pStyle w:val="TableBody"/>
            </w:pPr>
            <w:r w:rsidRPr="00A85956">
              <w:t>2021</w:t>
            </w:r>
          </w:p>
        </w:tc>
        <w:tc>
          <w:tcPr>
            <w:tcW w:w="1134" w:type="pct"/>
            <w:noWrap/>
            <w:hideMark/>
          </w:tcPr>
          <w:p w14:paraId="53337B18" w14:textId="77777777" w:rsidR="00C50B3E" w:rsidRPr="00A85956" w:rsidRDefault="00C50B3E" w:rsidP="00A85956">
            <w:pPr>
              <w:pStyle w:val="TableBody"/>
            </w:pPr>
            <w:r w:rsidRPr="00A85956">
              <w:t>707</w:t>
            </w:r>
          </w:p>
        </w:tc>
        <w:tc>
          <w:tcPr>
            <w:tcW w:w="836" w:type="pct"/>
            <w:noWrap/>
            <w:hideMark/>
          </w:tcPr>
          <w:p w14:paraId="79061CC2" w14:textId="77777777" w:rsidR="00C50B3E" w:rsidRPr="00A85956" w:rsidRDefault="00C50B3E" w:rsidP="00A85956">
            <w:pPr>
              <w:pStyle w:val="TableBody"/>
            </w:pPr>
            <w:r w:rsidRPr="00A85956">
              <w:t>882</w:t>
            </w:r>
          </w:p>
        </w:tc>
        <w:tc>
          <w:tcPr>
            <w:tcW w:w="836" w:type="pct"/>
            <w:noWrap/>
            <w:hideMark/>
          </w:tcPr>
          <w:p w14:paraId="7A8A44E5" w14:textId="77777777" w:rsidR="00C50B3E" w:rsidRPr="00A85956" w:rsidRDefault="00C50B3E" w:rsidP="00A85956">
            <w:pPr>
              <w:pStyle w:val="TableBody"/>
            </w:pPr>
            <w:r w:rsidRPr="00A85956">
              <w:t>668</w:t>
            </w:r>
          </w:p>
        </w:tc>
        <w:tc>
          <w:tcPr>
            <w:tcW w:w="881" w:type="pct"/>
            <w:noWrap/>
            <w:hideMark/>
          </w:tcPr>
          <w:p w14:paraId="2582004D" w14:textId="77777777" w:rsidR="00C50B3E" w:rsidRPr="00A85956" w:rsidRDefault="00C50B3E" w:rsidP="00A85956">
            <w:pPr>
              <w:pStyle w:val="TableBody"/>
            </w:pPr>
            <w:r w:rsidRPr="00A85956">
              <w:t>478</w:t>
            </w:r>
          </w:p>
        </w:tc>
        <w:tc>
          <w:tcPr>
            <w:tcW w:w="620" w:type="pct"/>
            <w:noWrap/>
            <w:hideMark/>
          </w:tcPr>
          <w:p w14:paraId="07524E3C" w14:textId="77777777" w:rsidR="00C50B3E" w:rsidRPr="00A85956" w:rsidRDefault="00C50B3E" w:rsidP="00A85956">
            <w:pPr>
              <w:pStyle w:val="TableBody"/>
            </w:pPr>
            <w:r w:rsidRPr="00A85956">
              <w:t>440</w:t>
            </w:r>
          </w:p>
        </w:tc>
      </w:tr>
      <w:tr w:rsidR="00C50B3E" w:rsidRPr="00C50B3E" w14:paraId="5046C771" w14:textId="77777777" w:rsidTr="00FD06C8">
        <w:trPr>
          <w:trHeight w:val="288"/>
        </w:trPr>
        <w:tc>
          <w:tcPr>
            <w:tcW w:w="692" w:type="pct"/>
            <w:noWrap/>
            <w:hideMark/>
          </w:tcPr>
          <w:p w14:paraId="622E5AAC" w14:textId="77777777" w:rsidR="00C50B3E" w:rsidRPr="00A85956" w:rsidRDefault="00C50B3E" w:rsidP="00A85956">
            <w:pPr>
              <w:pStyle w:val="TableBody"/>
            </w:pPr>
            <w:r w:rsidRPr="00A85956">
              <w:t>2022</w:t>
            </w:r>
          </w:p>
        </w:tc>
        <w:tc>
          <w:tcPr>
            <w:tcW w:w="1134" w:type="pct"/>
            <w:noWrap/>
            <w:hideMark/>
          </w:tcPr>
          <w:p w14:paraId="27597458" w14:textId="77777777" w:rsidR="00C50B3E" w:rsidRPr="00A85956" w:rsidRDefault="00C50B3E" w:rsidP="00A85956">
            <w:pPr>
              <w:pStyle w:val="TableBody"/>
            </w:pPr>
            <w:r w:rsidRPr="00A85956">
              <w:t>608</w:t>
            </w:r>
          </w:p>
        </w:tc>
        <w:tc>
          <w:tcPr>
            <w:tcW w:w="836" w:type="pct"/>
            <w:noWrap/>
            <w:hideMark/>
          </w:tcPr>
          <w:p w14:paraId="2DD1111D" w14:textId="77777777" w:rsidR="00C50B3E" w:rsidRPr="00A85956" w:rsidRDefault="00C50B3E" w:rsidP="00A85956">
            <w:pPr>
              <w:pStyle w:val="TableBody"/>
            </w:pPr>
            <w:r w:rsidRPr="00A85956">
              <w:t>717</w:t>
            </w:r>
          </w:p>
        </w:tc>
        <w:tc>
          <w:tcPr>
            <w:tcW w:w="836" w:type="pct"/>
            <w:noWrap/>
            <w:hideMark/>
          </w:tcPr>
          <w:p w14:paraId="488A4167" w14:textId="77777777" w:rsidR="00C50B3E" w:rsidRPr="00A85956" w:rsidRDefault="00C50B3E" w:rsidP="00A85956">
            <w:pPr>
              <w:pStyle w:val="TableBody"/>
            </w:pPr>
            <w:r w:rsidRPr="00A85956">
              <w:t>553</w:t>
            </w:r>
          </w:p>
        </w:tc>
        <w:tc>
          <w:tcPr>
            <w:tcW w:w="881" w:type="pct"/>
            <w:noWrap/>
            <w:hideMark/>
          </w:tcPr>
          <w:p w14:paraId="7AFBEB46" w14:textId="77777777" w:rsidR="00C50B3E" w:rsidRPr="00A85956" w:rsidRDefault="00C50B3E" w:rsidP="00A85956">
            <w:pPr>
              <w:pStyle w:val="TableBody"/>
            </w:pPr>
            <w:r w:rsidRPr="00A85956">
              <w:t>425</w:t>
            </w:r>
          </w:p>
        </w:tc>
        <w:tc>
          <w:tcPr>
            <w:tcW w:w="620" w:type="pct"/>
            <w:noWrap/>
            <w:hideMark/>
          </w:tcPr>
          <w:p w14:paraId="2D7DDAFC" w14:textId="77777777" w:rsidR="00C50B3E" w:rsidRPr="00A85956" w:rsidRDefault="00C50B3E" w:rsidP="00A85956">
            <w:pPr>
              <w:pStyle w:val="TableBody"/>
            </w:pPr>
            <w:r w:rsidRPr="00A85956">
              <w:t>462</w:t>
            </w:r>
          </w:p>
        </w:tc>
      </w:tr>
      <w:tr w:rsidR="00C50B3E" w:rsidRPr="00C50B3E" w14:paraId="30078D92" w14:textId="77777777" w:rsidTr="00FD06C8">
        <w:trPr>
          <w:trHeight w:val="288"/>
        </w:trPr>
        <w:tc>
          <w:tcPr>
            <w:tcW w:w="692" w:type="pct"/>
            <w:noWrap/>
            <w:hideMark/>
          </w:tcPr>
          <w:p w14:paraId="465E2858" w14:textId="77777777" w:rsidR="00C50B3E" w:rsidRPr="00A85956" w:rsidRDefault="00C50B3E" w:rsidP="00A85956">
            <w:pPr>
              <w:pStyle w:val="TableBody"/>
            </w:pPr>
            <w:r w:rsidRPr="00A85956">
              <w:t>2023</w:t>
            </w:r>
          </w:p>
        </w:tc>
        <w:tc>
          <w:tcPr>
            <w:tcW w:w="1134" w:type="pct"/>
            <w:noWrap/>
            <w:hideMark/>
          </w:tcPr>
          <w:p w14:paraId="253EA032" w14:textId="77777777" w:rsidR="00C50B3E" w:rsidRPr="00A85956" w:rsidRDefault="00C50B3E" w:rsidP="00A85956">
            <w:pPr>
              <w:pStyle w:val="TableBody"/>
            </w:pPr>
            <w:r w:rsidRPr="00A85956">
              <w:t>549</w:t>
            </w:r>
          </w:p>
        </w:tc>
        <w:tc>
          <w:tcPr>
            <w:tcW w:w="836" w:type="pct"/>
            <w:noWrap/>
            <w:hideMark/>
          </w:tcPr>
          <w:p w14:paraId="6E946B0A" w14:textId="77777777" w:rsidR="00C50B3E" w:rsidRPr="00A85956" w:rsidRDefault="00C50B3E" w:rsidP="00A85956">
            <w:pPr>
              <w:pStyle w:val="TableBody"/>
            </w:pPr>
            <w:r w:rsidRPr="00A85956">
              <w:t>611</w:t>
            </w:r>
          </w:p>
        </w:tc>
        <w:tc>
          <w:tcPr>
            <w:tcW w:w="836" w:type="pct"/>
            <w:noWrap/>
            <w:hideMark/>
          </w:tcPr>
          <w:p w14:paraId="4EDB4668" w14:textId="77777777" w:rsidR="00C50B3E" w:rsidRPr="00A85956" w:rsidRDefault="00C50B3E" w:rsidP="00A85956">
            <w:pPr>
              <w:pStyle w:val="TableBody"/>
            </w:pPr>
            <w:r w:rsidRPr="00A85956">
              <w:t>439</w:t>
            </w:r>
          </w:p>
        </w:tc>
        <w:tc>
          <w:tcPr>
            <w:tcW w:w="881" w:type="pct"/>
            <w:noWrap/>
            <w:hideMark/>
          </w:tcPr>
          <w:p w14:paraId="4D28F3A6" w14:textId="77777777" w:rsidR="00C50B3E" w:rsidRPr="00A85956" w:rsidRDefault="00C50B3E" w:rsidP="00A85956">
            <w:pPr>
              <w:pStyle w:val="TableBody"/>
            </w:pPr>
            <w:r w:rsidRPr="00A85956">
              <w:t>383</w:t>
            </w:r>
          </w:p>
        </w:tc>
        <w:tc>
          <w:tcPr>
            <w:tcW w:w="620" w:type="pct"/>
            <w:noWrap/>
            <w:hideMark/>
          </w:tcPr>
          <w:p w14:paraId="3718086A" w14:textId="77777777" w:rsidR="00C50B3E" w:rsidRPr="00A85956" w:rsidRDefault="00C50B3E" w:rsidP="00A85956">
            <w:pPr>
              <w:pStyle w:val="TableBody"/>
            </w:pPr>
            <w:r w:rsidRPr="00A85956">
              <w:t>430</w:t>
            </w:r>
          </w:p>
        </w:tc>
      </w:tr>
      <w:tr w:rsidR="00C50B3E" w:rsidRPr="00C50B3E" w14:paraId="5F7130F9" w14:textId="77777777" w:rsidTr="00FD06C8">
        <w:trPr>
          <w:trHeight w:val="288"/>
        </w:trPr>
        <w:tc>
          <w:tcPr>
            <w:tcW w:w="692" w:type="pct"/>
            <w:noWrap/>
            <w:hideMark/>
          </w:tcPr>
          <w:p w14:paraId="2CCEE352" w14:textId="77777777" w:rsidR="00C50B3E" w:rsidRPr="00A85956" w:rsidRDefault="00C50B3E" w:rsidP="00A85956">
            <w:pPr>
              <w:pStyle w:val="TableBody"/>
            </w:pPr>
            <w:r w:rsidRPr="00A85956">
              <w:t>2024</w:t>
            </w:r>
          </w:p>
        </w:tc>
        <w:tc>
          <w:tcPr>
            <w:tcW w:w="1134" w:type="pct"/>
            <w:noWrap/>
            <w:hideMark/>
          </w:tcPr>
          <w:p w14:paraId="17F38CFE" w14:textId="77777777" w:rsidR="00C50B3E" w:rsidRPr="00A85956" w:rsidRDefault="00C50B3E" w:rsidP="00A85956">
            <w:pPr>
              <w:pStyle w:val="TableBody"/>
            </w:pPr>
            <w:r w:rsidRPr="00A85956">
              <w:t>377</w:t>
            </w:r>
          </w:p>
        </w:tc>
        <w:tc>
          <w:tcPr>
            <w:tcW w:w="836" w:type="pct"/>
            <w:noWrap/>
            <w:hideMark/>
          </w:tcPr>
          <w:p w14:paraId="7574BBB2" w14:textId="77777777" w:rsidR="00C50B3E" w:rsidRPr="00A85956" w:rsidRDefault="00C50B3E" w:rsidP="00A85956">
            <w:pPr>
              <w:pStyle w:val="TableBody"/>
            </w:pPr>
            <w:r w:rsidRPr="00A85956">
              <w:t>534</w:t>
            </w:r>
          </w:p>
        </w:tc>
        <w:tc>
          <w:tcPr>
            <w:tcW w:w="836" w:type="pct"/>
            <w:noWrap/>
            <w:hideMark/>
          </w:tcPr>
          <w:p w14:paraId="1A518A30" w14:textId="77777777" w:rsidR="00C50B3E" w:rsidRPr="00A85956" w:rsidRDefault="00C50B3E" w:rsidP="00A85956">
            <w:pPr>
              <w:pStyle w:val="TableBody"/>
            </w:pPr>
            <w:r w:rsidRPr="00A85956">
              <w:t>430</w:t>
            </w:r>
          </w:p>
        </w:tc>
        <w:tc>
          <w:tcPr>
            <w:tcW w:w="881" w:type="pct"/>
            <w:noWrap/>
            <w:hideMark/>
          </w:tcPr>
          <w:p w14:paraId="452F03EB" w14:textId="77777777" w:rsidR="00C50B3E" w:rsidRPr="00A85956" w:rsidRDefault="00C50B3E" w:rsidP="00A85956">
            <w:pPr>
              <w:pStyle w:val="TableBody"/>
            </w:pPr>
            <w:r w:rsidRPr="00A85956">
              <w:t>330</w:t>
            </w:r>
          </w:p>
        </w:tc>
        <w:tc>
          <w:tcPr>
            <w:tcW w:w="620" w:type="pct"/>
            <w:noWrap/>
            <w:hideMark/>
          </w:tcPr>
          <w:p w14:paraId="37B615DB" w14:textId="77777777" w:rsidR="00C50B3E" w:rsidRPr="00A85956" w:rsidRDefault="00C50B3E" w:rsidP="00A85956">
            <w:pPr>
              <w:pStyle w:val="TableBody"/>
            </w:pPr>
            <w:r w:rsidRPr="00A85956">
              <w:t>334</w:t>
            </w:r>
          </w:p>
        </w:tc>
      </w:tr>
    </w:tbl>
    <w:p w14:paraId="1922B8C3" w14:textId="77777777" w:rsidR="00A4454A" w:rsidRPr="008C1137" w:rsidRDefault="00A4454A" w:rsidP="00D4532A">
      <w:r w:rsidRPr="000C258A">
        <w:rPr>
          <w:rStyle w:val="Strong"/>
        </w:rPr>
        <w:t>Source</w:t>
      </w:r>
      <w:r w:rsidRPr="008C1137">
        <w:t>: Australian Bureau of Statistics,</w:t>
      </w:r>
      <w:r w:rsidRPr="008C1137">
        <w:rPr>
          <w:rStyle w:val="Italic"/>
        </w:rPr>
        <w:t xml:space="preserve"> Prisoners in Australia</w:t>
      </w:r>
      <w:r w:rsidRPr="008C1137">
        <w:t>, cat. no. 4517.0 (abs.gov.au, 2024) Table 32</w:t>
      </w:r>
    </w:p>
    <w:p w14:paraId="6416BE05" w14:textId="77777777" w:rsidR="00A4454A" w:rsidRPr="008C1137" w:rsidRDefault="00A4454A" w:rsidP="00210207">
      <w:pPr>
        <w:pStyle w:val="Numbered"/>
      </w:pPr>
      <w:r w:rsidRPr="008C1137">
        <w:t xml:space="preserve">Given that the length of time served on remand can be affected by the number of new and pending cases, Figure 57 presents the number of pending criminal cases as at 30 June in the 11 years to 2024. </w:t>
      </w:r>
    </w:p>
    <w:p w14:paraId="5784B3F6" w14:textId="77777777" w:rsidR="00A4454A" w:rsidRPr="008C1137" w:rsidRDefault="00A4454A" w:rsidP="00BE4EDC">
      <w:pPr>
        <w:pStyle w:val="Caption"/>
      </w:pPr>
      <w:r w:rsidRPr="00157502">
        <w:t>Figure 57</w:t>
      </w:r>
      <w:r w:rsidRPr="008C1137">
        <w:t>: Number of pending criminal cases on 30 June, all courts, 2014 to 2024</w:t>
      </w:r>
    </w:p>
    <w:tbl>
      <w:tblPr>
        <w:tblStyle w:val="Table"/>
        <w:tblW w:w="5000" w:type="pct"/>
        <w:tblLook w:val="04A0" w:firstRow="1" w:lastRow="0" w:firstColumn="1" w:lastColumn="0" w:noHBand="0" w:noVBand="1"/>
      </w:tblPr>
      <w:tblGrid>
        <w:gridCol w:w="4508"/>
        <w:gridCol w:w="4508"/>
      </w:tblGrid>
      <w:tr w:rsidR="00796689" w:rsidRPr="00796689" w14:paraId="7087FA39" w14:textId="77777777" w:rsidTr="00BE05C8">
        <w:trPr>
          <w:trHeight w:val="288"/>
          <w:tblHeader/>
        </w:trPr>
        <w:tc>
          <w:tcPr>
            <w:tcW w:w="2500" w:type="pct"/>
            <w:noWrap/>
            <w:hideMark/>
          </w:tcPr>
          <w:p w14:paraId="6BC2B633" w14:textId="77777777" w:rsidR="00796689" w:rsidRPr="00796689" w:rsidRDefault="00796689" w:rsidP="002054FC">
            <w:pPr>
              <w:pStyle w:val="TableHeading"/>
            </w:pPr>
            <w:r w:rsidRPr="00796689">
              <w:t>Year (as at 30 June)</w:t>
            </w:r>
          </w:p>
        </w:tc>
        <w:tc>
          <w:tcPr>
            <w:tcW w:w="2500" w:type="pct"/>
            <w:noWrap/>
            <w:hideMark/>
          </w:tcPr>
          <w:p w14:paraId="041D3BB3" w14:textId="77777777" w:rsidR="00796689" w:rsidRPr="00796689" w:rsidRDefault="00796689" w:rsidP="002054FC">
            <w:pPr>
              <w:pStyle w:val="TableHeading"/>
            </w:pPr>
            <w:r w:rsidRPr="00796689">
              <w:t>Total</w:t>
            </w:r>
          </w:p>
        </w:tc>
      </w:tr>
      <w:tr w:rsidR="00796689" w:rsidRPr="00796689" w14:paraId="4956D2D0" w14:textId="77777777" w:rsidTr="00BE05C8">
        <w:trPr>
          <w:trHeight w:val="288"/>
        </w:trPr>
        <w:tc>
          <w:tcPr>
            <w:tcW w:w="2500" w:type="pct"/>
            <w:noWrap/>
            <w:hideMark/>
          </w:tcPr>
          <w:p w14:paraId="2B973F64" w14:textId="77777777" w:rsidR="00796689" w:rsidRPr="00796689" w:rsidRDefault="00796689" w:rsidP="00906ADE">
            <w:pPr>
              <w:pStyle w:val="TableBody"/>
            </w:pPr>
            <w:r w:rsidRPr="00796689">
              <w:t>2014</w:t>
            </w:r>
          </w:p>
        </w:tc>
        <w:tc>
          <w:tcPr>
            <w:tcW w:w="2500" w:type="pct"/>
            <w:noWrap/>
            <w:hideMark/>
          </w:tcPr>
          <w:p w14:paraId="56A9C0D0" w14:textId="77777777" w:rsidR="00796689" w:rsidRPr="00A85956" w:rsidRDefault="00796689" w:rsidP="00A85956">
            <w:pPr>
              <w:pStyle w:val="TableBody"/>
            </w:pPr>
            <w:r w:rsidRPr="00A85956">
              <w:t>42,050</w:t>
            </w:r>
          </w:p>
        </w:tc>
      </w:tr>
      <w:tr w:rsidR="00796689" w:rsidRPr="00796689" w14:paraId="07B55AF5" w14:textId="77777777" w:rsidTr="00BE05C8">
        <w:trPr>
          <w:trHeight w:val="288"/>
        </w:trPr>
        <w:tc>
          <w:tcPr>
            <w:tcW w:w="2500" w:type="pct"/>
            <w:noWrap/>
            <w:hideMark/>
          </w:tcPr>
          <w:p w14:paraId="22E25AF1" w14:textId="77777777" w:rsidR="00796689" w:rsidRPr="00796689" w:rsidRDefault="00796689" w:rsidP="00906ADE">
            <w:pPr>
              <w:pStyle w:val="TableBody"/>
            </w:pPr>
            <w:r w:rsidRPr="00796689">
              <w:t>2015</w:t>
            </w:r>
          </w:p>
        </w:tc>
        <w:tc>
          <w:tcPr>
            <w:tcW w:w="2500" w:type="pct"/>
            <w:noWrap/>
            <w:hideMark/>
          </w:tcPr>
          <w:p w14:paraId="6E2B219C" w14:textId="77777777" w:rsidR="00796689" w:rsidRPr="00A85956" w:rsidRDefault="00796689" w:rsidP="00A85956">
            <w:pPr>
              <w:pStyle w:val="TableBody"/>
            </w:pPr>
            <w:r w:rsidRPr="00A85956">
              <w:t>48,274</w:t>
            </w:r>
          </w:p>
        </w:tc>
      </w:tr>
      <w:tr w:rsidR="00796689" w:rsidRPr="00796689" w14:paraId="4E05ED19" w14:textId="77777777" w:rsidTr="00BE05C8">
        <w:trPr>
          <w:trHeight w:val="288"/>
        </w:trPr>
        <w:tc>
          <w:tcPr>
            <w:tcW w:w="2500" w:type="pct"/>
            <w:noWrap/>
            <w:hideMark/>
          </w:tcPr>
          <w:p w14:paraId="536F1117" w14:textId="77777777" w:rsidR="00796689" w:rsidRPr="00796689" w:rsidRDefault="00796689" w:rsidP="00906ADE">
            <w:pPr>
              <w:pStyle w:val="TableBody"/>
            </w:pPr>
            <w:r w:rsidRPr="00796689">
              <w:t>2016</w:t>
            </w:r>
          </w:p>
        </w:tc>
        <w:tc>
          <w:tcPr>
            <w:tcW w:w="2500" w:type="pct"/>
            <w:noWrap/>
            <w:hideMark/>
          </w:tcPr>
          <w:p w14:paraId="57E02C07" w14:textId="77777777" w:rsidR="00796689" w:rsidRPr="00A85956" w:rsidRDefault="00796689" w:rsidP="00A85956">
            <w:pPr>
              <w:pStyle w:val="TableBody"/>
            </w:pPr>
            <w:r w:rsidRPr="00A85956">
              <w:t>46,730</w:t>
            </w:r>
          </w:p>
        </w:tc>
      </w:tr>
      <w:tr w:rsidR="00796689" w:rsidRPr="00796689" w14:paraId="07DCD9A6" w14:textId="77777777" w:rsidTr="00BE05C8">
        <w:trPr>
          <w:trHeight w:val="288"/>
        </w:trPr>
        <w:tc>
          <w:tcPr>
            <w:tcW w:w="2500" w:type="pct"/>
            <w:noWrap/>
            <w:hideMark/>
          </w:tcPr>
          <w:p w14:paraId="5465A8C7" w14:textId="77777777" w:rsidR="00796689" w:rsidRPr="00796689" w:rsidRDefault="00796689" w:rsidP="00906ADE">
            <w:pPr>
              <w:pStyle w:val="TableBody"/>
            </w:pPr>
            <w:r w:rsidRPr="00796689">
              <w:t>2017</w:t>
            </w:r>
          </w:p>
        </w:tc>
        <w:tc>
          <w:tcPr>
            <w:tcW w:w="2500" w:type="pct"/>
            <w:noWrap/>
            <w:hideMark/>
          </w:tcPr>
          <w:p w14:paraId="1CC9E181" w14:textId="77777777" w:rsidR="00796689" w:rsidRPr="00A85956" w:rsidRDefault="00796689" w:rsidP="00A85956">
            <w:pPr>
              <w:pStyle w:val="TableBody"/>
            </w:pPr>
            <w:r w:rsidRPr="00A85956">
              <w:t>54,382</w:t>
            </w:r>
          </w:p>
        </w:tc>
      </w:tr>
      <w:tr w:rsidR="00796689" w:rsidRPr="00796689" w14:paraId="75E36799" w14:textId="77777777" w:rsidTr="00BE05C8">
        <w:trPr>
          <w:trHeight w:val="288"/>
        </w:trPr>
        <w:tc>
          <w:tcPr>
            <w:tcW w:w="2500" w:type="pct"/>
            <w:noWrap/>
            <w:hideMark/>
          </w:tcPr>
          <w:p w14:paraId="3E96693B" w14:textId="77777777" w:rsidR="00796689" w:rsidRPr="00796689" w:rsidRDefault="00796689" w:rsidP="00906ADE">
            <w:pPr>
              <w:pStyle w:val="TableBody"/>
            </w:pPr>
            <w:r w:rsidRPr="00796689">
              <w:lastRenderedPageBreak/>
              <w:t>2018</w:t>
            </w:r>
          </w:p>
        </w:tc>
        <w:tc>
          <w:tcPr>
            <w:tcW w:w="2500" w:type="pct"/>
            <w:noWrap/>
            <w:hideMark/>
          </w:tcPr>
          <w:p w14:paraId="220D5E32" w14:textId="77777777" w:rsidR="00796689" w:rsidRPr="00A85956" w:rsidRDefault="00796689" w:rsidP="00A85956">
            <w:pPr>
              <w:pStyle w:val="TableBody"/>
            </w:pPr>
            <w:r w:rsidRPr="00A85956">
              <w:t>53,340</w:t>
            </w:r>
          </w:p>
        </w:tc>
      </w:tr>
      <w:tr w:rsidR="00796689" w:rsidRPr="00796689" w14:paraId="0D548F88" w14:textId="77777777" w:rsidTr="00BE05C8">
        <w:trPr>
          <w:trHeight w:val="288"/>
        </w:trPr>
        <w:tc>
          <w:tcPr>
            <w:tcW w:w="2500" w:type="pct"/>
            <w:noWrap/>
            <w:hideMark/>
          </w:tcPr>
          <w:p w14:paraId="300A44B4" w14:textId="77777777" w:rsidR="00796689" w:rsidRPr="00796689" w:rsidRDefault="00796689" w:rsidP="00906ADE">
            <w:pPr>
              <w:pStyle w:val="TableBody"/>
            </w:pPr>
            <w:r w:rsidRPr="00796689">
              <w:t>2019</w:t>
            </w:r>
          </w:p>
        </w:tc>
        <w:tc>
          <w:tcPr>
            <w:tcW w:w="2500" w:type="pct"/>
            <w:noWrap/>
            <w:hideMark/>
          </w:tcPr>
          <w:p w14:paraId="6B0A831B" w14:textId="77777777" w:rsidR="00796689" w:rsidRPr="00A85956" w:rsidRDefault="00796689" w:rsidP="00A85956">
            <w:pPr>
              <w:pStyle w:val="TableBody"/>
            </w:pPr>
            <w:r w:rsidRPr="00A85956">
              <w:t>56,075</w:t>
            </w:r>
          </w:p>
        </w:tc>
      </w:tr>
      <w:tr w:rsidR="00796689" w:rsidRPr="00796689" w14:paraId="6DC13047" w14:textId="77777777" w:rsidTr="00BE05C8">
        <w:trPr>
          <w:trHeight w:val="288"/>
        </w:trPr>
        <w:tc>
          <w:tcPr>
            <w:tcW w:w="2500" w:type="pct"/>
            <w:noWrap/>
            <w:hideMark/>
          </w:tcPr>
          <w:p w14:paraId="00131D77" w14:textId="77777777" w:rsidR="00796689" w:rsidRPr="00796689" w:rsidRDefault="00796689" w:rsidP="00906ADE">
            <w:pPr>
              <w:pStyle w:val="TableBody"/>
            </w:pPr>
            <w:r w:rsidRPr="00796689">
              <w:t>2020</w:t>
            </w:r>
          </w:p>
        </w:tc>
        <w:tc>
          <w:tcPr>
            <w:tcW w:w="2500" w:type="pct"/>
            <w:noWrap/>
            <w:hideMark/>
          </w:tcPr>
          <w:p w14:paraId="6C49FECF" w14:textId="77777777" w:rsidR="00796689" w:rsidRPr="00A85956" w:rsidRDefault="00796689" w:rsidP="00A85956">
            <w:pPr>
              <w:pStyle w:val="TableBody"/>
            </w:pPr>
            <w:r w:rsidRPr="00A85956">
              <w:t>86,049</w:t>
            </w:r>
          </w:p>
        </w:tc>
      </w:tr>
      <w:tr w:rsidR="00796689" w:rsidRPr="00796689" w14:paraId="7F657109" w14:textId="77777777" w:rsidTr="00BE05C8">
        <w:trPr>
          <w:trHeight w:val="288"/>
        </w:trPr>
        <w:tc>
          <w:tcPr>
            <w:tcW w:w="2500" w:type="pct"/>
            <w:noWrap/>
            <w:hideMark/>
          </w:tcPr>
          <w:p w14:paraId="276605E9" w14:textId="77777777" w:rsidR="00796689" w:rsidRPr="00796689" w:rsidRDefault="00796689" w:rsidP="00906ADE">
            <w:pPr>
              <w:pStyle w:val="TableBody"/>
            </w:pPr>
            <w:r w:rsidRPr="00796689">
              <w:t>2021</w:t>
            </w:r>
          </w:p>
        </w:tc>
        <w:tc>
          <w:tcPr>
            <w:tcW w:w="2500" w:type="pct"/>
            <w:noWrap/>
            <w:hideMark/>
          </w:tcPr>
          <w:p w14:paraId="694461B6" w14:textId="77777777" w:rsidR="00796689" w:rsidRPr="00A85956" w:rsidRDefault="00796689" w:rsidP="00A85956">
            <w:pPr>
              <w:pStyle w:val="TableBody"/>
            </w:pPr>
            <w:r w:rsidRPr="00A85956">
              <w:t>105,141</w:t>
            </w:r>
          </w:p>
        </w:tc>
      </w:tr>
      <w:tr w:rsidR="00796689" w:rsidRPr="00796689" w14:paraId="69D05481" w14:textId="77777777" w:rsidTr="00BE05C8">
        <w:trPr>
          <w:trHeight w:val="288"/>
        </w:trPr>
        <w:tc>
          <w:tcPr>
            <w:tcW w:w="2500" w:type="pct"/>
            <w:noWrap/>
            <w:hideMark/>
          </w:tcPr>
          <w:p w14:paraId="71AE5204" w14:textId="77777777" w:rsidR="00796689" w:rsidRPr="00796689" w:rsidRDefault="00796689" w:rsidP="00906ADE">
            <w:pPr>
              <w:pStyle w:val="TableBody"/>
            </w:pPr>
            <w:r w:rsidRPr="00796689">
              <w:t>2022</w:t>
            </w:r>
          </w:p>
        </w:tc>
        <w:tc>
          <w:tcPr>
            <w:tcW w:w="2500" w:type="pct"/>
            <w:noWrap/>
            <w:hideMark/>
          </w:tcPr>
          <w:p w14:paraId="61EA050B" w14:textId="77777777" w:rsidR="00796689" w:rsidRPr="00A85956" w:rsidRDefault="00796689" w:rsidP="00A85956">
            <w:pPr>
              <w:pStyle w:val="TableBody"/>
            </w:pPr>
            <w:r w:rsidRPr="00A85956">
              <w:t>86,605</w:t>
            </w:r>
          </w:p>
        </w:tc>
      </w:tr>
      <w:tr w:rsidR="00796689" w:rsidRPr="00796689" w14:paraId="5F9DF4DC" w14:textId="77777777" w:rsidTr="00BE05C8">
        <w:trPr>
          <w:trHeight w:val="288"/>
        </w:trPr>
        <w:tc>
          <w:tcPr>
            <w:tcW w:w="2500" w:type="pct"/>
            <w:noWrap/>
            <w:hideMark/>
          </w:tcPr>
          <w:p w14:paraId="7846CD13" w14:textId="77777777" w:rsidR="00796689" w:rsidRPr="00796689" w:rsidRDefault="00796689" w:rsidP="00906ADE">
            <w:pPr>
              <w:pStyle w:val="TableBody"/>
            </w:pPr>
            <w:r w:rsidRPr="00796689">
              <w:t>2023</w:t>
            </w:r>
          </w:p>
        </w:tc>
        <w:tc>
          <w:tcPr>
            <w:tcW w:w="2500" w:type="pct"/>
            <w:noWrap/>
            <w:hideMark/>
          </w:tcPr>
          <w:p w14:paraId="4E279578" w14:textId="77777777" w:rsidR="00796689" w:rsidRPr="00A85956" w:rsidRDefault="00796689" w:rsidP="00A85956">
            <w:pPr>
              <w:pStyle w:val="TableBody"/>
            </w:pPr>
            <w:r w:rsidRPr="00A85956">
              <w:t>67,973</w:t>
            </w:r>
          </w:p>
        </w:tc>
      </w:tr>
      <w:tr w:rsidR="00796689" w:rsidRPr="00796689" w14:paraId="3D7185D8" w14:textId="77777777" w:rsidTr="00BE05C8">
        <w:trPr>
          <w:trHeight w:val="288"/>
        </w:trPr>
        <w:tc>
          <w:tcPr>
            <w:tcW w:w="2500" w:type="pct"/>
            <w:noWrap/>
            <w:hideMark/>
          </w:tcPr>
          <w:p w14:paraId="49C774B6" w14:textId="77777777" w:rsidR="00796689" w:rsidRPr="00796689" w:rsidRDefault="00796689" w:rsidP="00906ADE">
            <w:pPr>
              <w:pStyle w:val="TableBody"/>
            </w:pPr>
            <w:r w:rsidRPr="00796689">
              <w:t>2024</w:t>
            </w:r>
          </w:p>
        </w:tc>
        <w:tc>
          <w:tcPr>
            <w:tcW w:w="2500" w:type="pct"/>
            <w:noWrap/>
            <w:hideMark/>
          </w:tcPr>
          <w:p w14:paraId="21A120BC" w14:textId="77777777" w:rsidR="00796689" w:rsidRPr="00A85956" w:rsidRDefault="00796689" w:rsidP="00A85956">
            <w:pPr>
              <w:pStyle w:val="TableBody"/>
            </w:pPr>
            <w:r w:rsidRPr="00A85956">
              <w:t>56,148</w:t>
            </w:r>
          </w:p>
        </w:tc>
      </w:tr>
    </w:tbl>
    <w:p w14:paraId="19B70827" w14:textId="77777777" w:rsidR="00A4454A" w:rsidRPr="008C1137" w:rsidRDefault="00A4454A" w:rsidP="00D4532A">
      <w:r w:rsidRPr="000C258A">
        <w:rPr>
          <w:rStyle w:val="Strong"/>
        </w:rPr>
        <w:t>Source</w:t>
      </w:r>
      <w:r w:rsidRPr="008C1137">
        <w:t>: Productivity Commission,</w:t>
      </w:r>
      <w:r w:rsidRPr="008C1137">
        <w:rPr>
          <w:rStyle w:val="Italic"/>
        </w:rPr>
        <w:t xml:space="preserve"> Report on Government Services </w:t>
      </w:r>
      <w:r w:rsidRPr="008C1137">
        <w:t>(2025) Table 7A.20</w:t>
      </w:r>
    </w:p>
    <w:p w14:paraId="1DC080D5" w14:textId="77777777" w:rsidR="00A4454A" w:rsidRPr="008C1137" w:rsidRDefault="00A4454A" w:rsidP="00210207">
      <w:pPr>
        <w:pStyle w:val="Numbered"/>
      </w:pPr>
      <w:r w:rsidRPr="008C1137">
        <w:t>The number of pending criminal cases increased by 33%, with most of the increase occurring in the 2 years to 2021 (to a peak of 105,283 cases). This almost twofold increase can primarily be attributed to the effect of COVID-19 on the court system. As of 30 June 2024, the number of pending criminal cases had declined by 47% since its peak on 30 June 2021. In fact, the number of pending criminal cases in 2024 had returned to pre-pandemic levels.</w:t>
      </w:r>
    </w:p>
    <w:p w14:paraId="7D1B3BD9" w14:textId="77777777" w:rsidR="00A4454A" w:rsidRPr="008C1137" w:rsidRDefault="00A4454A" w:rsidP="00210207">
      <w:pPr>
        <w:pStyle w:val="Numbered"/>
      </w:pPr>
      <w:r w:rsidRPr="008C1137">
        <w:t>There does not seem to be a strong link between the number of pending criminal cases and the length of time unsentenced prisoners spend on remand. As the number of pending criminal cases has increased, so too has the</w:t>
      </w:r>
      <w:r w:rsidRPr="003B3217">
        <w:rPr>
          <w:rStyle w:val="Italic"/>
        </w:rPr>
        <w:t xml:space="preserve"> volume</w:t>
      </w:r>
      <w:r w:rsidRPr="008C1137">
        <w:t xml:space="preserve"> of unsentenced prisoners who have been held on remand for short, medium and long periods of time. This suggests that the volume of unsentenced prisoners is more likely contributing to the increase in the prison population, rather than any changes in the number of pending criminal cases (excluding the anomalous spike during COVID-19).</w:t>
      </w:r>
    </w:p>
    <w:p w14:paraId="18D3F72F" w14:textId="346D8241" w:rsidR="00A4454A" w:rsidRPr="008C1137" w:rsidRDefault="00A4454A" w:rsidP="008D24FA">
      <w:pPr>
        <w:pStyle w:val="Heading1Numbered"/>
      </w:pPr>
      <w:bookmarkStart w:id="9" w:name="_Toc210672553"/>
      <w:r w:rsidRPr="008C1137">
        <w:lastRenderedPageBreak/>
        <w:t>Prisoners through the system</w:t>
      </w:r>
      <w:bookmarkEnd w:id="9"/>
    </w:p>
    <w:p w14:paraId="16BE8996" w14:textId="74BCC9A6" w:rsidR="00A4454A" w:rsidRPr="008C1137" w:rsidRDefault="00A4454A" w:rsidP="00BE4EDC">
      <w:pPr>
        <w:pStyle w:val="Numbered"/>
      </w:pPr>
      <w:r w:rsidRPr="008C1137">
        <w:t>The prison population changes regularly, with the reception of new prisoners (either when they are received on remand or when they are sentenced to a term of imprisonment), and the discharge of existing prisoners (either when they are released after serving a prison sentence or when they are released from remand without becoming a sentenced prisoner).</w:t>
      </w:r>
      <w:r w:rsidRPr="008C1137">
        <w:rPr>
          <w:rStyle w:val="Superscript"/>
        </w:rPr>
        <w:footnoteReference w:id="177"/>
      </w:r>
      <w:r w:rsidRPr="008C1137">
        <w:t xml:space="preserve"> Therefore, the prison population, which is examined by reference to the number of prisoners at the conclusion of each month (Figure 37), does not capture the total number of people who enter and exit prison throughout the year, sometimes referred to as the ‘flow’ or ‘churn’ of prisoners through the system.</w:t>
      </w:r>
      <w:r w:rsidRPr="008C1137">
        <w:rPr>
          <w:rStyle w:val="Superscript"/>
        </w:rPr>
        <w:footnoteReference w:id="178"/>
      </w:r>
      <w:r w:rsidRPr="008C1137">
        <w:t xml:space="preserve"> For example, a prisoner who is remanded in custody on 2 March but is discharged on 20 March will not be counted in the prison population at the end of the month. </w:t>
      </w:r>
    </w:p>
    <w:p w14:paraId="26B10C38" w14:textId="77777777" w:rsidR="00A4454A" w:rsidRPr="008C1137" w:rsidRDefault="00A4454A" w:rsidP="00210207">
      <w:pPr>
        <w:pStyle w:val="Numbered"/>
      </w:pPr>
      <w:r w:rsidRPr="008C1137">
        <w:t xml:space="preserve">Therefore, to capture changes in the </w:t>
      </w:r>
      <w:r w:rsidRPr="003B3217">
        <w:rPr>
          <w:rStyle w:val="Italic"/>
        </w:rPr>
        <w:t>volume</w:t>
      </w:r>
      <w:r w:rsidRPr="008C1137">
        <w:t xml:space="preserve"> of prisoners through the system, this chapter examines Corrections data on the number of prisoner receptions (entries) and discharges (exits) for the 20 years to 30 June 2024. Further, additional data was sourced to examine trends in the number of offenders eligible for parole or subject to post-sentence orders from the Adult Parole Board’s (for the period from 1 July 2013 to 30 June 2024) and Post Sentence Authority’s (for the period from 30 June 2018 to 30 June 2024) annual reports.</w:t>
      </w:r>
    </w:p>
    <w:p w14:paraId="712E9A2E" w14:textId="77777777" w:rsidR="00A4454A" w:rsidRPr="008C1137" w:rsidRDefault="00A4454A" w:rsidP="0002476E">
      <w:pPr>
        <w:pStyle w:val="Heading2"/>
      </w:pPr>
      <w:r w:rsidRPr="008C1137">
        <w:lastRenderedPageBreak/>
        <w:t>Prisoner receptions and discharges</w:t>
      </w:r>
    </w:p>
    <w:p w14:paraId="23DDCEC0" w14:textId="626EA4C0" w:rsidR="00A4454A" w:rsidRPr="008C1137" w:rsidRDefault="00A4454A" w:rsidP="00210207">
      <w:pPr>
        <w:pStyle w:val="Numbered"/>
      </w:pPr>
      <w:r w:rsidRPr="008C1137">
        <w:t xml:space="preserve">Figures 58 and 59 show the number of people concurrently received into, and discharged from, prison in the 20 years to 30 June 2024. Prisoner receptions and prisoner discharges are further categorised as ‘unsentenced’ or ‘sentenced’. </w:t>
      </w:r>
    </w:p>
    <w:p w14:paraId="6EBD4719" w14:textId="77777777" w:rsidR="00F717E2" w:rsidRPr="008C1137" w:rsidRDefault="00F717E2" w:rsidP="00BE4EDC">
      <w:pPr>
        <w:pStyle w:val="Caption"/>
      </w:pPr>
      <w:r w:rsidRPr="00157502">
        <w:t>Figure 58</w:t>
      </w:r>
      <w:r w:rsidRPr="008C1137">
        <w:t>: Number of prisoner receptions, by unsentenced and sentenced receptions, 2004–05 to 2023–24</w:t>
      </w:r>
    </w:p>
    <w:tbl>
      <w:tblPr>
        <w:tblStyle w:val="Table"/>
        <w:tblW w:w="5000" w:type="pct"/>
        <w:tblLook w:val="04A0" w:firstRow="1" w:lastRow="0" w:firstColumn="1" w:lastColumn="0" w:noHBand="0" w:noVBand="1"/>
      </w:tblPr>
      <w:tblGrid>
        <w:gridCol w:w="1660"/>
        <w:gridCol w:w="1886"/>
        <w:gridCol w:w="2864"/>
        <w:gridCol w:w="2606"/>
      </w:tblGrid>
      <w:tr w:rsidR="00EE230D" w:rsidRPr="00EE230D" w14:paraId="4599B691" w14:textId="77777777" w:rsidTr="00F1504C">
        <w:trPr>
          <w:trHeight w:val="288"/>
          <w:tblHeader/>
        </w:trPr>
        <w:tc>
          <w:tcPr>
            <w:tcW w:w="704" w:type="pct"/>
            <w:noWrap/>
            <w:hideMark/>
          </w:tcPr>
          <w:p w14:paraId="56DEA6A0" w14:textId="77777777" w:rsidR="00EE230D" w:rsidRPr="00EE230D" w:rsidRDefault="00EE230D" w:rsidP="00F1504C">
            <w:pPr>
              <w:pStyle w:val="TableHeading"/>
            </w:pPr>
            <w:r w:rsidRPr="00EE230D">
              <w:t>Financial year</w:t>
            </w:r>
          </w:p>
        </w:tc>
        <w:tc>
          <w:tcPr>
            <w:tcW w:w="795" w:type="pct"/>
            <w:noWrap/>
            <w:hideMark/>
          </w:tcPr>
          <w:p w14:paraId="36AB2B42" w14:textId="77777777" w:rsidR="00EE230D" w:rsidRPr="00EE230D" w:rsidRDefault="00EE230D" w:rsidP="00F1504C">
            <w:pPr>
              <w:pStyle w:val="TableHeading"/>
            </w:pPr>
            <w:r w:rsidRPr="00EE230D">
              <w:t>Total receptions</w:t>
            </w:r>
          </w:p>
        </w:tc>
        <w:tc>
          <w:tcPr>
            <w:tcW w:w="1655" w:type="pct"/>
            <w:noWrap/>
            <w:hideMark/>
          </w:tcPr>
          <w:p w14:paraId="5FA7425D" w14:textId="77777777" w:rsidR="00EE230D" w:rsidRPr="00EE230D" w:rsidRDefault="00EE230D" w:rsidP="00F1504C">
            <w:pPr>
              <w:pStyle w:val="TableHeading"/>
            </w:pPr>
            <w:r w:rsidRPr="00EE230D">
              <w:t>Unsentenced at reception</w:t>
            </w:r>
          </w:p>
        </w:tc>
        <w:tc>
          <w:tcPr>
            <w:tcW w:w="1845" w:type="pct"/>
            <w:noWrap/>
            <w:hideMark/>
          </w:tcPr>
          <w:p w14:paraId="2EA9DD40" w14:textId="77777777" w:rsidR="00EE230D" w:rsidRPr="00EE230D" w:rsidRDefault="00EE230D" w:rsidP="00F1504C">
            <w:pPr>
              <w:pStyle w:val="TableHeading"/>
            </w:pPr>
            <w:r w:rsidRPr="00EE230D">
              <w:t>Sentenced at reception</w:t>
            </w:r>
          </w:p>
        </w:tc>
      </w:tr>
      <w:tr w:rsidR="00EE230D" w:rsidRPr="00EE230D" w14:paraId="3931D7B2" w14:textId="77777777" w:rsidTr="00F1504C">
        <w:trPr>
          <w:trHeight w:val="288"/>
        </w:trPr>
        <w:tc>
          <w:tcPr>
            <w:tcW w:w="704" w:type="pct"/>
            <w:noWrap/>
            <w:hideMark/>
          </w:tcPr>
          <w:p w14:paraId="34FDBC1B" w14:textId="77777777" w:rsidR="00EE230D" w:rsidRPr="00EE230D" w:rsidRDefault="00EE230D" w:rsidP="00906ADE">
            <w:pPr>
              <w:pStyle w:val="TableBody"/>
            </w:pPr>
            <w:r w:rsidRPr="00EE230D">
              <w:t>2004-05</w:t>
            </w:r>
          </w:p>
        </w:tc>
        <w:tc>
          <w:tcPr>
            <w:tcW w:w="795" w:type="pct"/>
            <w:noWrap/>
            <w:hideMark/>
          </w:tcPr>
          <w:p w14:paraId="05263313" w14:textId="77777777" w:rsidR="00EE230D" w:rsidRPr="00A85956" w:rsidRDefault="00EE230D" w:rsidP="00A85956">
            <w:pPr>
              <w:pStyle w:val="TableBody"/>
            </w:pPr>
            <w:r w:rsidRPr="00A85956">
              <w:t>4,839</w:t>
            </w:r>
          </w:p>
        </w:tc>
        <w:tc>
          <w:tcPr>
            <w:tcW w:w="1655" w:type="pct"/>
            <w:noWrap/>
            <w:hideMark/>
          </w:tcPr>
          <w:p w14:paraId="25821C85" w14:textId="77777777" w:rsidR="00EE230D" w:rsidRPr="00A85956" w:rsidRDefault="00EE230D" w:rsidP="00A85956">
            <w:pPr>
              <w:pStyle w:val="TableBody"/>
            </w:pPr>
            <w:r w:rsidRPr="00A85956">
              <w:t>2,633</w:t>
            </w:r>
          </w:p>
        </w:tc>
        <w:tc>
          <w:tcPr>
            <w:tcW w:w="1845" w:type="pct"/>
            <w:noWrap/>
            <w:hideMark/>
          </w:tcPr>
          <w:p w14:paraId="0B8CF223" w14:textId="77777777" w:rsidR="00EE230D" w:rsidRPr="00A85956" w:rsidRDefault="00EE230D" w:rsidP="00A85956">
            <w:pPr>
              <w:pStyle w:val="TableBody"/>
            </w:pPr>
            <w:r w:rsidRPr="00A85956">
              <w:t>2,206</w:t>
            </w:r>
          </w:p>
        </w:tc>
      </w:tr>
      <w:tr w:rsidR="00EE230D" w:rsidRPr="00EE230D" w14:paraId="108F1BFC" w14:textId="77777777" w:rsidTr="00F1504C">
        <w:trPr>
          <w:trHeight w:val="288"/>
        </w:trPr>
        <w:tc>
          <w:tcPr>
            <w:tcW w:w="704" w:type="pct"/>
            <w:noWrap/>
            <w:hideMark/>
          </w:tcPr>
          <w:p w14:paraId="482C9D3B" w14:textId="77777777" w:rsidR="00EE230D" w:rsidRPr="00EE230D" w:rsidRDefault="00EE230D" w:rsidP="00906ADE">
            <w:pPr>
              <w:pStyle w:val="TableBody"/>
            </w:pPr>
            <w:r w:rsidRPr="00EE230D">
              <w:t>2005-06</w:t>
            </w:r>
          </w:p>
        </w:tc>
        <w:tc>
          <w:tcPr>
            <w:tcW w:w="795" w:type="pct"/>
            <w:noWrap/>
            <w:hideMark/>
          </w:tcPr>
          <w:p w14:paraId="7298CAE7" w14:textId="77777777" w:rsidR="00EE230D" w:rsidRPr="00A85956" w:rsidRDefault="00EE230D" w:rsidP="00A85956">
            <w:pPr>
              <w:pStyle w:val="TableBody"/>
            </w:pPr>
            <w:r w:rsidRPr="00A85956">
              <w:t>4,864</w:t>
            </w:r>
          </w:p>
        </w:tc>
        <w:tc>
          <w:tcPr>
            <w:tcW w:w="1655" w:type="pct"/>
            <w:noWrap/>
            <w:hideMark/>
          </w:tcPr>
          <w:p w14:paraId="6AAD0464" w14:textId="77777777" w:rsidR="00EE230D" w:rsidRPr="00A85956" w:rsidRDefault="00EE230D" w:rsidP="00A85956">
            <w:pPr>
              <w:pStyle w:val="TableBody"/>
            </w:pPr>
            <w:r w:rsidRPr="00A85956">
              <w:t>2,539</w:t>
            </w:r>
          </w:p>
        </w:tc>
        <w:tc>
          <w:tcPr>
            <w:tcW w:w="1845" w:type="pct"/>
            <w:noWrap/>
            <w:hideMark/>
          </w:tcPr>
          <w:p w14:paraId="0A8E4F91" w14:textId="77777777" w:rsidR="00EE230D" w:rsidRPr="00A85956" w:rsidRDefault="00EE230D" w:rsidP="00A85956">
            <w:pPr>
              <w:pStyle w:val="TableBody"/>
            </w:pPr>
            <w:r w:rsidRPr="00A85956">
              <w:t>2,325</w:t>
            </w:r>
          </w:p>
        </w:tc>
      </w:tr>
      <w:tr w:rsidR="00EE230D" w:rsidRPr="00EE230D" w14:paraId="3A284191" w14:textId="77777777" w:rsidTr="00F1504C">
        <w:trPr>
          <w:trHeight w:val="288"/>
        </w:trPr>
        <w:tc>
          <w:tcPr>
            <w:tcW w:w="704" w:type="pct"/>
            <w:noWrap/>
            <w:hideMark/>
          </w:tcPr>
          <w:p w14:paraId="5D314FC3" w14:textId="77777777" w:rsidR="00EE230D" w:rsidRPr="00EE230D" w:rsidRDefault="00EE230D" w:rsidP="00906ADE">
            <w:pPr>
              <w:pStyle w:val="TableBody"/>
            </w:pPr>
            <w:r w:rsidRPr="00EE230D">
              <w:t>2006-07</w:t>
            </w:r>
          </w:p>
        </w:tc>
        <w:tc>
          <w:tcPr>
            <w:tcW w:w="795" w:type="pct"/>
            <w:noWrap/>
            <w:hideMark/>
          </w:tcPr>
          <w:p w14:paraId="47CDD50A" w14:textId="77777777" w:rsidR="00EE230D" w:rsidRPr="00A85956" w:rsidRDefault="00EE230D" w:rsidP="00A85956">
            <w:pPr>
              <w:pStyle w:val="TableBody"/>
            </w:pPr>
            <w:r w:rsidRPr="00A85956">
              <w:t>5,324</w:t>
            </w:r>
          </w:p>
        </w:tc>
        <w:tc>
          <w:tcPr>
            <w:tcW w:w="1655" w:type="pct"/>
            <w:noWrap/>
            <w:hideMark/>
          </w:tcPr>
          <w:p w14:paraId="3E72BB5F" w14:textId="77777777" w:rsidR="00EE230D" w:rsidRPr="00A85956" w:rsidRDefault="00EE230D" w:rsidP="00A85956">
            <w:pPr>
              <w:pStyle w:val="TableBody"/>
            </w:pPr>
            <w:r w:rsidRPr="00A85956">
              <w:t>3,091</w:t>
            </w:r>
          </w:p>
        </w:tc>
        <w:tc>
          <w:tcPr>
            <w:tcW w:w="1845" w:type="pct"/>
            <w:noWrap/>
            <w:hideMark/>
          </w:tcPr>
          <w:p w14:paraId="528B0413" w14:textId="77777777" w:rsidR="00EE230D" w:rsidRPr="00A85956" w:rsidRDefault="00EE230D" w:rsidP="00A85956">
            <w:pPr>
              <w:pStyle w:val="TableBody"/>
            </w:pPr>
            <w:r w:rsidRPr="00A85956">
              <w:t>2,233</w:t>
            </w:r>
          </w:p>
        </w:tc>
      </w:tr>
      <w:tr w:rsidR="00EE230D" w:rsidRPr="00EE230D" w14:paraId="0326AB27" w14:textId="77777777" w:rsidTr="00F1504C">
        <w:trPr>
          <w:trHeight w:val="288"/>
        </w:trPr>
        <w:tc>
          <w:tcPr>
            <w:tcW w:w="704" w:type="pct"/>
            <w:noWrap/>
            <w:hideMark/>
          </w:tcPr>
          <w:p w14:paraId="35682A66" w14:textId="77777777" w:rsidR="00EE230D" w:rsidRPr="00EE230D" w:rsidRDefault="00EE230D" w:rsidP="00906ADE">
            <w:pPr>
              <w:pStyle w:val="TableBody"/>
            </w:pPr>
            <w:r w:rsidRPr="00EE230D">
              <w:t>2007-08</w:t>
            </w:r>
          </w:p>
        </w:tc>
        <w:tc>
          <w:tcPr>
            <w:tcW w:w="795" w:type="pct"/>
            <w:noWrap/>
            <w:hideMark/>
          </w:tcPr>
          <w:p w14:paraId="782F52E8" w14:textId="77777777" w:rsidR="00EE230D" w:rsidRPr="00A85956" w:rsidRDefault="00EE230D" w:rsidP="00A85956">
            <w:pPr>
              <w:pStyle w:val="TableBody"/>
            </w:pPr>
            <w:r w:rsidRPr="00A85956">
              <w:t>5,362</w:t>
            </w:r>
          </w:p>
        </w:tc>
        <w:tc>
          <w:tcPr>
            <w:tcW w:w="1655" w:type="pct"/>
            <w:noWrap/>
            <w:hideMark/>
          </w:tcPr>
          <w:p w14:paraId="4A8C95E7" w14:textId="77777777" w:rsidR="00EE230D" w:rsidRPr="00A85956" w:rsidRDefault="00EE230D" w:rsidP="00A85956">
            <w:pPr>
              <w:pStyle w:val="TableBody"/>
            </w:pPr>
            <w:r w:rsidRPr="00A85956">
              <w:t>3,283</w:t>
            </w:r>
          </w:p>
        </w:tc>
        <w:tc>
          <w:tcPr>
            <w:tcW w:w="1845" w:type="pct"/>
            <w:noWrap/>
            <w:hideMark/>
          </w:tcPr>
          <w:p w14:paraId="0E5F9012" w14:textId="77777777" w:rsidR="00EE230D" w:rsidRPr="00A85956" w:rsidRDefault="00EE230D" w:rsidP="00A85956">
            <w:pPr>
              <w:pStyle w:val="TableBody"/>
            </w:pPr>
            <w:r w:rsidRPr="00A85956">
              <w:t>2,079</w:t>
            </w:r>
          </w:p>
        </w:tc>
      </w:tr>
      <w:tr w:rsidR="00EE230D" w:rsidRPr="00EE230D" w14:paraId="1B60E7C0" w14:textId="77777777" w:rsidTr="00F1504C">
        <w:trPr>
          <w:trHeight w:val="288"/>
        </w:trPr>
        <w:tc>
          <w:tcPr>
            <w:tcW w:w="704" w:type="pct"/>
            <w:noWrap/>
            <w:hideMark/>
          </w:tcPr>
          <w:p w14:paraId="7D80BBE0" w14:textId="77777777" w:rsidR="00EE230D" w:rsidRPr="00EE230D" w:rsidRDefault="00EE230D" w:rsidP="00906ADE">
            <w:pPr>
              <w:pStyle w:val="TableBody"/>
            </w:pPr>
            <w:r w:rsidRPr="00EE230D">
              <w:t>2008-09</w:t>
            </w:r>
          </w:p>
        </w:tc>
        <w:tc>
          <w:tcPr>
            <w:tcW w:w="795" w:type="pct"/>
            <w:noWrap/>
            <w:hideMark/>
          </w:tcPr>
          <w:p w14:paraId="4EB46FDF" w14:textId="77777777" w:rsidR="00EE230D" w:rsidRPr="00A85956" w:rsidRDefault="00EE230D" w:rsidP="00A85956">
            <w:pPr>
              <w:pStyle w:val="TableBody"/>
            </w:pPr>
            <w:r w:rsidRPr="00A85956">
              <w:t>5,627</w:t>
            </w:r>
          </w:p>
        </w:tc>
        <w:tc>
          <w:tcPr>
            <w:tcW w:w="1655" w:type="pct"/>
            <w:noWrap/>
            <w:hideMark/>
          </w:tcPr>
          <w:p w14:paraId="7B34935A" w14:textId="77777777" w:rsidR="00EE230D" w:rsidRPr="00A85956" w:rsidRDefault="00EE230D" w:rsidP="00A85956">
            <w:pPr>
              <w:pStyle w:val="TableBody"/>
            </w:pPr>
            <w:r w:rsidRPr="00A85956">
              <w:t>3,575</w:t>
            </w:r>
          </w:p>
        </w:tc>
        <w:tc>
          <w:tcPr>
            <w:tcW w:w="1845" w:type="pct"/>
            <w:noWrap/>
            <w:hideMark/>
          </w:tcPr>
          <w:p w14:paraId="2B05DFA1" w14:textId="77777777" w:rsidR="00EE230D" w:rsidRPr="00A85956" w:rsidRDefault="00EE230D" w:rsidP="00A85956">
            <w:pPr>
              <w:pStyle w:val="TableBody"/>
            </w:pPr>
            <w:r w:rsidRPr="00A85956">
              <w:t>2,052</w:t>
            </w:r>
          </w:p>
        </w:tc>
      </w:tr>
      <w:tr w:rsidR="00EE230D" w:rsidRPr="00EE230D" w14:paraId="6E83509A" w14:textId="77777777" w:rsidTr="00F1504C">
        <w:trPr>
          <w:trHeight w:val="288"/>
        </w:trPr>
        <w:tc>
          <w:tcPr>
            <w:tcW w:w="704" w:type="pct"/>
            <w:noWrap/>
            <w:hideMark/>
          </w:tcPr>
          <w:p w14:paraId="6FA7766E" w14:textId="77777777" w:rsidR="00EE230D" w:rsidRPr="00EE230D" w:rsidRDefault="00EE230D" w:rsidP="00906ADE">
            <w:pPr>
              <w:pStyle w:val="TableBody"/>
            </w:pPr>
            <w:r w:rsidRPr="00EE230D">
              <w:t>2009-10</w:t>
            </w:r>
          </w:p>
        </w:tc>
        <w:tc>
          <w:tcPr>
            <w:tcW w:w="795" w:type="pct"/>
            <w:noWrap/>
            <w:hideMark/>
          </w:tcPr>
          <w:p w14:paraId="06775752" w14:textId="77777777" w:rsidR="00EE230D" w:rsidRPr="00A85956" w:rsidRDefault="00EE230D" w:rsidP="00A85956">
            <w:pPr>
              <w:pStyle w:val="TableBody"/>
            </w:pPr>
            <w:r w:rsidRPr="00A85956">
              <w:t>5,877</w:t>
            </w:r>
          </w:p>
        </w:tc>
        <w:tc>
          <w:tcPr>
            <w:tcW w:w="1655" w:type="pct"/>
            <w:noWrap/>
            <w:hideMark/>
          </w:tcPr>
          <w:p w14:paraId="2B5D93EC" w14:textId="77777777" w:rsidR="00EE230D" w:rsidRPr="00A85956" w:rsidRDefault="00EE230D" w:rsidP="00A85956">
            <w:pPr>
              <w:pStyle w:val="TableBody"/>
            </w:pPr>
            <w:r w:rsidRPr="00A85956">
              <w:t>3,545</w:t>
            </w:r>
          </w:p>
        </w:tc>
        <w:tc>
          <w:tcPr>
            <w:tcW w:w="1845" w:type="pct"/>
            <w:noWrap/>
            <w:hideMark/>
          </w:tcPr>
          <w:p w14:paraId="400081E0" w14:textId="77777777" w:rsidR="00EE230D" w:rsidRPr="00A85956" w:rsidRDefault="00EE230D" w:rsidP="00A85956">
            <w:pPr>
              <w:pStyle w:val="TableBody"/>
            </w:pPr>
            <w:r w:rsidRPr="00A85956">
              <w:t>2,332</w:t>
            </w:r>
          </w:p>
        </w:tc>
      </w:tr>
      <w:tr w:rsidR="00EE230D" w:rsidRPr="00EE230D" w14:paraId="55A619D9" w14:textId="77777777" w:rsidTr="00F1504C">
        <w:trPr>
          <w:trHeight w:val="288"/>
        </w:trPr>
        <w:tc>
          <w:tcPr>
            <w:tcW w:w="704" w:type="pct"/>
            <w:noWrap/>
            <w:hideMark/>
          </w:tcPr>
          <w:p w14:paraId="3EB8292B" w14:textId="77777777" w:rsidR="00EE230D" w:rsidRPr="00EE230D" w:rsidRDefault="00EE230D" w:rsidP="00906ADE">
            <w:pPr>
              <w:pStyle w:val="TableBody"/>
            </w:pPr>
            <w:r w:rsidRPr="00EE230D">
              <w:t>2010-11</w:t>
            </w:r>
          </w:p>
        </w:tc>
        <w:tc>
          <w:tcPr>
            <w:tcW w:w="795" w:type="pct"/>
            <w:noWrap/>
            <w:hideMark/>
          </w:tcPr>
          <w:p w14:paraId="3A102EF6" w14:textId="77777777" w:rsidR="00EE230D" w:rsidRPr="00A85956" w:rsidRDefault="00EE230D" w:rsidP="00A85956">
            <w:pPr>
              <w:pStyle w:val="TableBody"/>
            </w:pPr>
            <w:r w:rsidRPr="00A85956">
              <w:t>5,774</w:t>
            </w:r>
          </w:p>
        </w:tc>
        <w:tc>
          <w:tcPr>
            <w:tcW w:w="1655" w:type="pct"/>
            <w:noWrap/>
            <w:hideMark/>
          </w:tcPr>
          <w:p w14:paraId="19E67321" w14:textId="77777777" w:rsidR="00EE230D" w:rsidRPr="00A85956" w:rsidRDefault="00EE230D" w:rsidP="00A85956">
            <w:pPr>
              <w:pStyle w:val="TableBody"/>
            </w:pPr>
            <w:r w:rsidRPr="00A85956">
              <w:t>3,515</w:t>
            </w:r>
          </w:p>
        </w:tc>
        <w:tc>
          <w:tcPr>
            <w:tcW w:w="1845" w:type="pct"/>
            <w:noWrap/>
            <w:hideMark/>
          </w:tcPr>
          <w:p w14:paraId="38DB71B6" w14:textId="77777777" w:rsidR="00EE230D" w:rsidRPr="00A85956" w:rsidRDefault="00EE230D" w:rsidP="00A85956">
            <w:pPr>
              <w:pStyle w:val="TableBody"/>
            </w:pPr>
            <w:r w:rsidRPr="00A85956">
              <w:t>2,259</w:t>
            </w:r>
          </w:p>
        </w:tc>
      </w:tr>
      <w:tr w:rsidR="00EE230D" w:rsidRPr="00EE230D" w14:paraId="56E0DAAD" w14:textId="77777777" w:rsidTr="00F1504C">
        <w:trPr>
          <w:trHeight w:val="288"/>
        </w:trPr>
        <w:tc>
          <w:tcPr>
            <w:tcW w:w="704" w:type="pct"/>
            <w:noWrap/>
            <w:hideMark/>
          </w:tcPr>
          <w:p w14:paraId="603A85A7" w14:textId="77777777" w:rsidR="00EE230D" w:rsidRPr="00EE230D" w:rsidRDefault="00EE230D" w:rsidP="00906ADE">
            <w:pPr>
              <w:pStyle w:val="TableBody"/>
            </w:pPr>
            <w:r w:rsidRPr="00EE230D">
              <w:t>2011-12</w:t>
            </w:r>
          </w:p>
        </w:tc>
        <w:tc>
          <w:tcPr>
            <w:tcW w:w="795" w:type="pct"/>
            <w:noWrap/>
            <w:hideMark/>
          </w:tcPr>
          <w:p w14:paraId="4026401E" w14:textId="77777777" w:rsidR="00EE230D" w:rsidRPr="00A85956" w:rsidRDefault="00EE230D" w:rsidP="00A85956">
            <w:pPr>
              <w:pStyle w:val="TableBody"/>
            </w:pPr>
            <w:r w:rsidRPr="00A85956">
              <w:t>6,296</w:t>
            </w:r>
          </w:p>
        </w:tc>
        <w:tc>
          <w:tcPr>
            <w:tcW w:w="1655" w:type="pct"/>
            <w:noWrap/>
            <w:hideMark/>
          </w:tcPr>
          <w:p w14:paraId="1676A0AF" w14:textId="77777777" w:rsidR="00EE230D" w:rsidRPr="00A85956" w:rsidRDefault="00EE230D" w:rsidP="00A85956">
            <w:pPr>
              <w:pStyle w:val="TableBody"/>
            </w:pPr>
            <w:r w:rsidRPr="00A85956">
              <w:t>4,022</w:t>
            </w:r>
          </w:p>
        </w:tc>
        <w:tc>
          <w:tcPr>
            <w:tcW w:w="1845" w:type="pct"/>
            <w:noWrap/>
            <w:hideMark/>
          </w:tcPr>
          <w:p w14:paraId="5FFF0E9F" w14:textId="77777777" w:rsidR="00EE230D" w:rsidRPr="00A85956" w:rsidRDefault="00EE230D" w:rsidP="00A85956">
            <w:pPr>
              <w:pStyle w:val="TableBody"/>
            </w:pPr>
            <w:r w:rsidRPr="00A85956">
              <w:t>2,274</w:t>
            </w:r>
          </w:p>
        </w:tc>
      </w:tr>
      <w:tr w:rsidR="00EE230D" w:rsidRPr="00EE230D" w14:paraId="02CAA1C3" w14:textId="77777777" w:rsidTr="00F1504C">
        <w:trPr>
          <w:trHeight w:val="288"/>
        </w:trPr>
        <w:tc>
          <w:tcPr>
            <w:tcW w:w="704" w:type="pct"/>
            <w:noWrap/>
            <w:hideMark/>
          </w:tcPr>
          <w:p w14:paraId="0B3214CA" w14:textId="77777777" w:rsidR="00EE230D" w:rsidRPr="00EE230D" w:rsidRDefault="00EE230D" w:rsidP="00906ADE">
            <w:pPr>
              <w:pStyle w:val="TableBody"/>
            </w:pPr>
            <w:r w:rsidRPr="00EE230D">
              <w:t>2012-13</w:t>
            </w:r>
          </w:p>
        </w:tc>
        <w:tc>
          <w:tcPr>
            <w:tcW w:w="795" w:type="pct"/>
            <w:noWrap/>
            <w:hideMark/>
          </w:tcPr>
          <w:p w14:paraId="1B54391D" w14:textId="77777777" w:rsidR="00EE230D" w:rsidRPr="00A85956" w:rsidRDefault="00EE230D" w:rsidP="00A85956">
            <w:pPr>
              <w:pStyle w:val="TableBody"/>
            </w:pPr>
            <w:r w:rsidRPr="00A85956">
              <w:t>7,117</w:t>
            </w:r>
          </w:p>
        </w:tc>
        <w:tc>
          <w:tcPr>
            <w:tcW w:w="1655" w:type="pct"/>
            <w:noWrap/>
            <w:hideMark/>
          </w:tcPr>
          <w:p w14:paraId="091FDC10" w14:textId="77777777" w:rsidR="00EE230D" w:rsidRPr="00A85956" w:rsidRDefault="00EE230D" w:rsidP="00A85956">
            <w:pPr>
              <w:pStyle w:val="TableBody"/>
            </w:pPr>
            <w:r w:rsidRPr="00A85956">
              <w:t>4,454</w:t>
            </w:r>
          </w:p>
        </w:tc>
        <w:tc>
          <w:tcPr>
            <w:tcW w:w="1845" w:type="pct"/>
            <w:noWrap/>
            <w:hideMark/>
          </w:tcPr>
          <w:p w14:paraId="264A1314" w14:textId="77777777" w:rsidR="00EE230D" w:rsidRPr="00A85956" w:rsidRDefault="00EE230D" w:rsidP="00A85956">
            <w:pPr>
              <w:pStyle w:val="TableBody"/>
            </w:pPr>
            <w:r w:rsidRPr="00A85956">
              <w:t>2,663</w:t>
            </w:r>
          </w:p>
        </w:tc>
      </w:tr>
      <w:tr w:rsidR="00EE230D" w:rsidRPr="00EE230D" w14:paraId="7A26C553" w14:textId="77777777" w:rsidTr="00F1504C">
        <w:trPr>
          <w:trHeight w:val="288"/>
        </w:trPr>
        <w:tc>
          <w:tcPr>
            <w:tcW w:w="704" w:type="pct"/>
            <w:noWrap/>
            <w:hideMark/>
          </w:tcPr>
          <w:p w14:paraId="32AC71DC" w14:textId="77777777" w:rsidR="00EE230D" w:rsidRPr="00EE230D" w:rsidRDefault="00EE230D" w:rsidP="00906ADE">
            <w:pPr>
              <w:pStyle w:val="TableBody"/>
            </w:pPr>
            <w:r w:rsidRPr="00EE230D">
              <w:t>2013-14</w:t>
            </w:r>
          </w:p>
        </w:tc>
        <w:tc>
          <w:tcPr>
            <w:tcW w:w="795" w:type="pct"/>
            <w:noWrap/>
            <w:hideMark/>
          </w:tcPr>
          <w:p w14:paraId="1C98CB5C" w14:textId="77777777" w:rsidR="00EE230D" w:rsidRPr="00A85956" w:rsidRDefault="00EE230D" w:rsidP="00A85956">
            <w:pPr>
              <w:pStyle w:val="TableBody"/>
            </w:pPr>
            <w:r w:rsidRPr="00A85956">
              <w:t>7,292</w:t>
            </w:r>
          </w:p>
        </w:tc>
        <w:tc>
          <w:tcPr>
            <w:tcW w:w="1655" w:type="pct"/>
            <w:noWrap/>
            <w:hideMark/>
          </w:tcPr>
          <w:p w14:paraId="2CBE4903" w14:textId="77777777" w:rsidR="00EE230D" w:rsidRPr="00A85956" w:rsidRDefault="00EE230D" w:rsidP="00A85956">
            <w:pPr>
              <w:pStyle w:val="TableBody"/>
            </w:pPr>
            <w:r w:rsidRPr="00A85956">
              <w:t>4,529</w:t>
            </w:r>
          </w:p>
        </w:tc>
        <w:tc>
          <w:tcPr>
            <w:tcW w:w="1845" w:type="pct"/>
            <w:noWrap/>
            <w:hideMark/>
          </w:tcPr>
          <w:p w14:paraId="1B03C199" w14:textId="77777777" w:rsidR="00EE230D" w:rsidRPr="00A85956" w:rsidRDefault="00EE230D" w:rsidP="00A85956">
            <w:pPr>
              <w:pStyle w:val="TableBody"/>
            </w:pPr>
            <w:r w:rsidRPr="00A85956">
              <w:t>2,763</w:t>
            </w:r>
          </w:p>
        </w:tc>
      </w:tr>
      <w:tr w:rsidR="00EE230D" w:rsidRPr="00EE230D" w14:paraId="560A9705" w14:textId="77777777" w:rsidTr="00F1504C">
        <w:trPr>
          <w:trHeight w:val="288"/>
        </w:trPr>
        <w:tc>
          <w:tcPr>
            <w:tcW w:w="704" w:type="pct"/>
            <w:noWrap/>
            <w:hideMark/>
          </w:tcPr>
          <w:p w14:paraId="3C6CEA94" w14:textId="77777777" w:rsidR="00EE230D" w:rsidRPr="00EE230D" w:rsidRDefault="00EE230D" w:rsidP="00906ADE">
            <w:pPr>
              <w:pStyle w:val="TableBody"/>
            </w:pPr>
            <w:r w:rsidRPr="00EE230D">
              <w:t>2014-15</w:t>
            </w:r>
          </w:p>
        </w:tc>
        <w:tc>
          <w:tcPr>
            <w:tcW w:w="795" w:type="pct"/>
            <w:noWrap/>
            <w:hideMark/>
          </w:tcPr>
          <w:p w14:paraId="396FF91F" w14:textId="77777777" w:rsidR="00EE230D" w:rsidRPr="00A85956" w:rsidRDefault="00EE230D" w:rsidP="00A85956">
            <w:pPr>
              <w:pStyle w:val="TableBody"/>
            </w:pPr>
            <w:r w:rsidRPr="00A85956">
              <w:t>9,155</w:t>
            </w:r>
          </w:p>
        </w:tc>
        <w:tc>
          <w:tcPr>
            <w:tcW w:w="1655" w:type="pct"/>
            <w:noWrap/>
            <w:hideMark/>
          </w:tcPr>
          <w:p w14:paraId="17B4ED6F" w14:textId="77777777" w:rsidR="00EE230D" w:rsidRPr="00A85956" w:rsidRDefault="00EE230D" w:rsidP="00A85956">
            <w:pPr>
              <w:pStyle w:val="TableBody"/>
            </w:pPr>
            <w:r w:rsidRPr="00A85956">
              <w:t>6,862</w:t>
            </w:r>
          </w:p>
        </w:tc>
        <w:tc>
          <w:tcPr>
            <w:tcW w:w="1845" w:type="pct"/>
            <w:noWrap/>
            <w:hideMark/>
          </w:tcPr>
          <w:p w14:paraId="130586A1" w14:textId="77777777" w:rsidR="00EE230D" w:rsidRPr="00A85956" w:rsidRDefault="00EE230D" w:rsidP="00A85956">
            <w:pPr>
              <w:pStyle w:val="TableBody"/>
            </w:pPr>
            <w:r w:rsidRPr="00A85956">
              <w:t>2,293</w:t>
            </w:r>
          </w:p>
        </w:tc>
      </w:tr>
      <w:tr w:rsidR="00EE230D" w:rsidRPr="00EE230D" w14:paraId="1E38CF09" w14:textId="77777777" w:rsidTr="00F1504C">
        <w:trPr>
          <w:trHeight w:val="288"/>
        </w:trPr>
        <w:tc>
          <w:tcPr>
            <w:tcW w:w="704" w:type="pct"/>
            <w:noWrap/>
            <w:hideMark/>
          </w:tcPr>
          <w:p w14:paraId="6F506E0F" w14:textId="77777777" w:rsidR="00EE230D" w:rsidRPr="00EE230D" w:rsidRDefault="00EE230D" w:rsidP="00906ADE">
            <w:pPr>
              <w:pStyle w:val="TableBody"/>
            </w:pPr>
            <w:r w:rsidRPr="00EE230D">
              <w:t>2015-16</w:t>
            </w:r>
          </w:p>
        </w:tc>
        <w:tc>
          <w:tcPr>
            <w:tcW w:w="795" w:type="pct"/>
            <w:noWrap/>
            <w:hideMark/>
          </w:tcPr>
          <w:p w14:paraId="7B9B2E15" w14:textId="77777777" w:rsidR="00EE230D" w:rsidRPr="00A85956" w:rsidRDefault="00EE230D" w:rsidP="00A85956">
            <w:pPr>
              <w:pStyle w:val="TableBody"/>
            </w:pPr>
            <w:r w:rsidRPr="00A85956">
              <w:t>9,808</w:t>
            </w:r>
          </w:p>
        </w:tc>
        <w:tc>
          <w:tcPr>
            <w:tcW w:w="1655" w:type="pct"/>
            <w:noWrap/>
            <w:hideMark/>
          </w:tcPr>
          <w:p w14:paraId="0B43C68E" w14:textId="77777777" w:rsidR="00EE230D" w:rsidRPr="00A85956" w:rsidRDefault="00EE230D" w:rsidP="00A85956">
            <w:pPr>
              <w:pStyle w:val="TableBody"/>
            </w:pPr>
            <w:r w:rsidRPr="00A85956">
              <w:t>7,786</w:t>
            </w:r>
          </w:p>
        </w:tc>
        <w:tc>
          <w:tcPr>
            <w:tcW w:w="1845" w:type="pct"/>
            <w:noWrap/>
            <w:hideMark/>
          </w:tcPr>
          <w:p w14:paraId="4224F0DB" w14:textId="77777777" w:rsidR="00EE230D" w:rsidRPr="00A85956" w:rsidRDefault="00EE230D" w:rsidP="00A85956">
            <w:pPr>
              <w:pStyle w:val="TableBody"/>
            </w:pPr>
            <w:r w:rsidRPr="00A85956">
              <w:t>2,022</w:t>
            </w:r>
          </w:p>
        </w:tc>
      </w:tr>
      <w:tr w:rsidR="00EE230D" w:rsidRPr="00EE230D" w14:paraId="7488DADE" w14:textId="77777777" w:rsidTr="00F1504C">
        <w:trPr>
          <w:trHeight w:val="288"/>
        </w:trPr>
        <w:tc>
          <w:tcPr>
            <w:tcW w:w="704" w:type="pct"/>
            <w:noWrap/>
            <w:hideMark/>
          </w:tcPr>
          <w:p w14:paraId="046B5F12" w14:textId="77777777" w:rsidR="00EE230D" w:rsidRPr="00EE230D" w:rsidRDefault="00EE230D" w:rsidP="00906ADE">
            <w:pPr>
              <w:pStyle w:val="TableBody"/>
            </w:pPr>
            <w:r w:rsidRPr="00EE230D">
              <w:t>2016-17</w:t>
            </w:r>
          </w:p>
        </w:tc>
        <w:tc>
          <w:tcPr>
            <w:tcW w:w="795" w:type="pct"/>
            <w:noWrap/>
            <w:hideMark/>
          </w:tcPr>
          <w:p w14:paraId="262ADE01" w14:textId="77777777" w:rsidR="00EE230D" w:rsidRPr="00A85956" w:rsidRDefault="00EE230D" w:rsidP="00A85956">
            <w:pPr>
              <w:pStyle w:val="TableBody"/>
            </w:pPr>
            <w:r w:rsidRPr="00A85956">
              <w:t>10,721</w:t>
            </w:r>
          </w:p>
        </w:tc>
        <w:tc>
          <w:tcPr>
            <w:tcW w:w="1655" w:type="pct"/>
            <w:noWrap/>
            <w:hideMark/>
          </w:tcPr>
          <w:p w14:paraId="55938323" w14:textId="77777777" w:rsidR="00EE230D" w:rsidRPr="00A85956" w:rsidRDefault="00EE230D" w:rsidP="00A85956">
            <w:pPr>
              <w:pStyle w:val="TableBody"/>
            </w:pPr>
            <w:r w:rsidRPr="00A85956">
              <w:t>8,894</w:t>
            </w:r>
          </w:p>
        </w:tc>
        <w:tc>
          <w:tcPr>
            <w:tcW w:w="1845" w:type="pct"/>
            <w:noWrap/>
            <w:hideMark/>
          </w:tcPr>
          <w:p w14:paraId="171AA717" w14:textId="77777777" w:rsidR="00EE230D" w:rsidRPr="00A85956" w:rsidRDefault="00EE230D" w:rsidP="00A85956">
            <w:pPr>
              <w:pStyle w:val="TableBody"/>
            </w:pPr>
            <w:r w:rsidRPr="00A85956">
              <w:t>1,827</w:t>
            </w:r>
          </w:p>
        </w:tc>
      </w:tr>
      <w:tr w:rsidR="00EE230D" w:rsidRPr="00EE230D" w14:paraId="24AEBBA9" w14:textId="77777777" w:rsidTr="00F1504C">
        <w:trPr>
          <w:trHeight w:val="288"/>
        </w:trPr>
        <w:tc>
          <w:tcPr>
            <w:tcW w:w="704" w:type="pct"/>
            <w:noWrap/>
            <w:hideMark/>
          </w:tcPr>
          <w:p w14:paraId="41417BB9" w14:textId="77777777" w:rsidR="00EE230D" w:rsidRPr="00EE230D" w:rsidRDefault="00EE230D" w:rsidP="00906ADE">
            <w:pPr>
              <w:pStyle w:val="TableBody"/>
            </w:pPr>
            <w:r w:rsidRPr="00EE230D">
              <w:t>2017-18</w:t>
            </w:r>
          </w:p>
        </w:tc>
        <w:tc>
          <w:tcPr>
            <w:tcW w:w="795" w:type="pct"/>
            <w:noWrap/>
            <w:hideMark/>
          </w:tcPr>
          <w:p w14:paraId="08343277" w14:textId="77777777" w:rsidR="00EE230D" w:rsidRPr="00A85956" w:rsidRDefault="00EE230D" w:rsidP="00A85956">
            <w:pPr>
              <w:pStyle w:val="TableBody"/>
            </w:pPr>
            <w:r w:rsidRPr="00A85956">
              <w:t>11,321</w:t>
            </w:r>
          </w:p>
        </w:tc>
        <w:tc>
          <w:tcPr>
            <w:tcW w:w="1655" w:type="pct"/>
            <w:noWrap/>
            <w:hideMark/>
          </w:tcPr>
          <w:p w14:paraId="5580B2EE" w14:textId="77777777" w:rsidR="00EE230D" w:rsidRPr="00A85956" w:rsidRDefault="00EE230D" w:rsidP="00A85956">
            <w:pPr>
              <w:pStyle w:val="TableBody"/>
            </w:pPr>
            <w:r w:rsidRPr="00A85956">
              <w:t>9,531</w:t>
            </w:r>
          </w:p>
        </w:tc>
        <w:tc>
          <w:tcPr>
            <w:tcW w:w="1845" w:type="pct"/>
            <w:noWrap/>
            <w:hideMark/>
          </w:tcPr>
          <w:p w14:paraId="455D3B0A" w14:textId="77777777" w:rsidR="00EE230D" w:rsidRPr="00A85956" w:rsidRDefault="00EE230D" w:rsidP="00A85956">
            <w:pPr>
              <w:pStyle w:val="TableBody"/>
            </w:pPr>
            <w:r w:rsidRPr="00A85956">
              <w:t>1,790</w:t>
            </w:r>
          </w:p>
        </w:tc>
      </w:tr>
      <w:tr w:rsidR="00EE230D" w:rsidRPr="00EE230D" w14:paraId="4D5697E5" w14:textId="77777777" w:rsidTr="00F1504C">
        <w:trPr>
          <w:trHeight w:val="288"/>
        </w:trPr>
        <w:tc>
          <w:tcPr>
            <w:tcW w:w="704" w:type="pct"/>
            <w:noWrap/>
            <w:hideMark/>
          </w:tcPr>
          <w:p w14:paraId="5E6211BE" w14:textId="77777777" w:rsidR="00EE230D" w:rsidRPr="00EE230D" w:rsidRDefault="00EE230D" w:rsidP="00906ADE">
            <w:pPr>
              <w:pStyle w:val="TableBody"/>
            </w:pPr>
            <w:r w:rsidRPr="00EE230D">
              <w:t>2018-19</w:t>
            </w:r>
          </w:p>
        </w:tc>
        <w:tc>
          <w:tcPr>
            <w:tcW w:w="795" w:type="pct"/>
            <w:noWrap/>
            <w:hideMark/>
          </w:tcPr>
          <w:p w14:paraId="734F8D92" w14:textId="77777777" w:rsidR="00EE230D" w:rsidRPr="00A85956" w:rsidRDefault="00EE230D" w:rsidP="00A85956">
            <w:pPr>
              <w:pStyle w:val="TableBody"/>
            </w:pPr>
            <w:r w:rsidRPr="00A85956">
              <w:t>13,238</w:t>
            </w:r>
          </w:p>
        </w:tc>
        <w:tc>
          <w:tcPr>
            <w:tcW w:w="1655" w:type="pct"/>
            <w:noWrap/>
            <w:hideMark/>
          </w:tcPr>
          <w:p w14:paraId="4DF71B4A" w14:textId="77777777" w:rsidR="00EE230D" w:rsidRPr="00A85956" w:rsidRDefault="00EE230D" w:rsidP="00A85956">
            <w:pPr>
              <w:pStyle w:val="TableBody"/>
            </w:pPr>
            <w:r w:rsidRPr="00A85956">
              <w:t>11,374</w:t>
            </w:r>
          </w:p>
        </w:tc>
        <w:tc>
          <w:tcPr>
            <w:tcW w:w="1845" w:type="pct"/>
            <w:noWrap/>
            <w:hideMark/>
          </w:tcPr>
          <w:p w14:paraId="1BDECC76" w14:textId="77777777" w:rsidR="00EE230D" w:rsidRPr="00A85956" w:rsidRDefault="00EE230D" w:rsidP="00A85956">
            <w:pPr>
              <w:pStyle w:val="TableBody"/>
            </w:pPr>
            <w:r w:rsidRPr="00A85956">
              <w:t>1,864</w:t>
            </w:r>
          </w:p>
        </w:tc>
      </w:tr>
      <w:tr w:rsidR="00EE230D" w:rsidRPr="00EE230D" w14:paraId="233EAB92" w14:textId="77777777" w:rsidTr="00F1504C">
        <w:trPr>
          <w:trHeight w:val="288"/>
        </w:trPr>
        <w:tc>
          <w:tcPr>
            <w:tcW w:w="704" w:type="pct"/>
            <w:noWrap/>
            <w:hideMark/>
          </w:tcPr>
          <w:p w14:paraId="0E0DFB8B" w14:textId="77777777" w:rsidR="00EE230D" w:rsidRPr="00EE230D" w:rsidRDefault="00EE230D" w:rsidP="00906ADE">
            <w:pPr>
              <w:pStyle w:val="TableBody"/>
            </w:pPr>
            <w:r w:rsidRPr="00EE230D">
              <w:t>2019-20</w:t>
            </w:r>
          </w:p>
        </w:tc>
        <w:tc>
          <w:tcPr>
            <w:tcW w:w="795" w:type="pct"/>
            <w:noWrap/>
            <w:hideMark/>
          </w:tcPr>
          <w:p w14:paraId="4977C4AF" w14:textId="77777777" w:rsidR="00EE230D" w:rsidRPr="00A85956" w:rsidRDefault="00EE230D" w:rsidP="00A85956">
            <w:pPr>
              <w:pStyle w:val="TableBody"/>
            </w:pPr>
            <w:r w:rsidRPr="00A85956">
              <w:t>12,665</w:t>
            </w:r>
          </w:p>
        </w:tc>
        <w:tc>
          <w:tcPr>
            <w:tcW w:w="1655" w:type="pct"/>
            <w:noWrap/>
            <w:hideMark/>
          </w:tcPr>
          <w:p w14:paraId="12C14877" w14:textId="77777777" w:rsidR="00EE230D" w:rsidRPr="00A85956" w:rsidRDefault="00EE230D" w:rsidP="00A85956">
            <w:pPr>
              <w:pStyle w:val="TableBody"/>
            </w:pPr>
            <w:r w:rsidRPr="00A85956">
              <w:t>10,988</w:t>
            </w:r>
          </w:p>
        </w:tc>
        <w:tc>
          <w:tcPr>
            <w:tcW w:w="1845" w:type="pct"/>
            <w:noWrap/>
            <w:hideMark/>
          </w:tcPr>
          <w:p w14:paraId="1C05BD5F" w14:textId="77777777" w:rsidR="00EE230D" w:rsidRPr="00A85956" w:rsidRDefault="00EE230D" w:rsidP="00A85956">
            <w:pPr>
              <w:pStyle w:val="TableBody"/>
            </w:pPr>
            <w:r w:rsidRPr="00A85956">
              <w:t>1,677</w:t>
            </w:r>
          </w:p>
        </w:tc>
      </w:tr>
      <w:tr w:rsidR="00EE230D" w:rsidRPr="00EE230D" w14:paraId="52B03406" w14:textId="77777777" w:rsidTr="00F1504C">
        <w:trPr>
          <w:trHeight w:val="288"/>
        </w:trPr>
        <w:tc>
          <w:tcPr>
            <w:tcW w:w="704" w:type="pct"/>
            <w:noWrap/>
            <w:hideMark/>
          </w:tcPr>
          <w:p w14:paraId="3648D383" w14:textId="77777777" w:rsidR="00EE230D" w:rsidRPr="00EE230D" w:rsidRDefault="00EE230D" w:rsidP="00906ADE">
            <w:pPr>
              <w:pStyle w:val="TableBody"/>
            </w:pPr>
            <w:r w:rsidRPr="00EE230D">
              <w:t>2020-21</w:t>
            </w:r>
          </w:p>
        </w:tc>
        <w:tc>
          <w:tcPr>
            <w:tcW w:w="795" w:type="pct"/>
            <w:noWrap/>
            <w:hideMark/>
          </w:tcPr>
          <w:p w14:paraId="22E70968" w14:textId="77777777" w:rsidR="00EE230D" w:rsidRPr="00A85956" w:rsidRDefault="00EE230D" w:rsidP="00A85956">
            <w:pPr>
              <w:pStyle w:val="TableBody"/>
            </w:pPr>
            <w:r w:rsidRPr="00A85956">
              <w:t>12,167</w:t>
            </w:r>
          </w:p>
        </w:tc>
        <w:tc>
          <w:tcPr>
            <w:tcW w:w="1655" w:type="pct"/>
            <w:noWrap/>
            <w:hideMark/>
          </w:tcPr>
          <w:p w14:paraId="146092D5" w14:textId="77777777" w:rsidR="00EE230D" w:rsidRPr="00A85956" w:rsidRDefault="00EE230D" w:rsidP="00A85956">
            <w:pPr>
              <w:pStyle w:val="TableBody"/>
            </w:pPr>
            <w:r w:rsidRPr="00A85956">
              <w:t>10,863</w:t>
            </w:r>
          </w:p>
        </w:tc>
        <w:tc>
          <w:tcPr>
            <w:tcW w:w="1845" w:type="pct"/>
            <w:noWrap/>
            <w:hideMark/>
          </w:tcPr>
          <w:p w14:paraId="57EDA3C2" w14:textId="77777777" w:rsidR="00EE230D" w:rsidRPr="00A85956" w:rsidRDefault="00EE230D" w:rsidP="00A85956">
            <w:pPr>
              <w:pStyle w:val="TableBody"/>
            </w:pPr>
            <w:r w:rsidRPr="00A85956">
              <w:t>1,304</w:t>
            </w:r>
          </w:p>
        </w:tc>
      </w:tr>
      <w:tr w:rsidR="00EE230D" w:rsidRPr="00EE230D" w14:paraId="677E6B21" w14:textId="77777777" w:rsidTr="00F1504C">
        <w:trPr>
          <w:trHeight w:val="288"/>
        </w:trPr>
        <w:tc>
          <w:tcPr>
            <w:tcW w:w="704" w:type="pct"/>
            <w:noWrap/>
            <w:hideMark/>
          </w:tcPr>
          <w:p w14:paraId="4CC8AF42" w14:textId="77777777" w:rsidR="00EE230D" w:rsidRPr="00EE230D" w:rsidRDefault="00EE230D" w:rsidP="00906ADE">
            <w:pPr>
              <w:pStyle w:val="TableBody"/>
            </w:pPr>
            <w:r w:rsidRPr="00EE230D">
              <w:t>2021-22</w:t>
            </w:r>
          </w:p>
        </w:tc>
        <w:tc>
          <w:tcPr>
            <w:tcW w:w="795" w:type="pct"/>
            <w:noWrap/>
            <w:hideMark/>
          </w:tcPr>
          <w:p w14:paraId="49F85217" w14:textId="77777777" w:rsidR="00EE230D" w:rsidRPr="00A85956" w:rsidRDefault="00EE230D" w:rsidP="00A85956">
            <w:pPr>
              <w:pStyle w:val="TableBody"/>
            </w:pPr>
            <w:r w:rsidRPr="00A85956">
              <w:t>10,380</w:t>
            </w:r>
          </w:p>
        </w:tc>
        <w:tc>
          <w:tcPr>
            <w:tcW w:w="1655" w:type="pct"/>
            <w:noWrap/>
            <w:hideMark/>
          </w:tcPr>
          <w:p w14:paraId="56721166" w14:textId="77777777" w:rsidR="00EE230D" w:rsidRPr="00A85956" w:rsidRDefault="00EE230D" w:rsidP="00A85956">
            <w:pPr>
              <w:pStyle w:val="TableBody"/>
            </w:pPr>
            <w:r w:rsidRPr="00A85956">
              <w:t>9,133</w:t>
            </w:r>
          </w:p>
        </w:tc>
        <w:tc>
          <w:tcPr>
            <w:tcW w:w="1845" w:type="pct"/>
            <w:noWrap/>
            <w:hideMark/>
          </w:tcPr>
          <w:p w14:paraId="7112561C" w14:textId="77777777" w:rsidR="00EE230D" w:rsidRPr="00A85956" w:rsidRDefault="00EE230D" w:rsidP="00A85956">
            <w:pPr>
              <w:pStyle w:val="TableBody"/>
            </w:pPr>
            <w:r w:rsidRPr="00A85956">
              <w:t>1,247</w:t>
            </w:r>
          </w:p>
        </w:tc>
      </w:tr>
      <w:tr w:rsidR="00EE230D" w:rsidRPr="00EE230D" w14:paraId="03DB1544" w14:textId="77777777" w:rsidTr="00F1504C">
        <w:trPr>
          <w:trHeight w:val="288"/>
        </w:trPr>
        <w:tc>
          <w:tcPr>
            <w:tcW w:w="704" w:type="pct"/>
            <w:noWrap/>
            <w:hideMark/>
          </w:tcPr>
          <w:p w14:paraId="77E0ADAC" w14:textId="77777777" w:rsidR="00EE230D" w:rsidRPr="00EE230D" w:rsidRDefault="00EE230D" w:rsidP="00906ADE">
            <w:pPr>
              <w:pStyle w:val="TableBody"/>
            </w:pPr>
            <w:r w:rsidRPr="00EE230D">
              <w:t>2022-23</w:t>
            </w:r>
          </w:p>
        </w:tc>
        <w:tc>
          <w:tcPr>
            <w:tcW w:w="795" w:type="pct"/>
            <w:noWrap/>
            <w:hideMark/>
          </w:tcPr>
          <w:p w14:paraId="017393C7" w14:textId="77777777" w:rsidR="00EE230D" w:rsidRPr="00A85956" w:rsidRDefault="00EE230D" w:rsidP="00A85956">
            <w:pPr>
              <w:pStyle w:val="TableBody"/>
            </w:pPr>
            <w:r w:rsidRPr="00A85956">
              <w:t>10,583</w:t>
            </w:r>
          </w:p>
        </w:tc>
        <w:tc>
          <w:tcPr>
            <w:tcW w:w="1655" w:type="pct"/>
            <w:noWrap/>
            <w:hideMark/>
          </w:tcPr>
          <w:p w14:paraId="49F8E92C" w14:textId="77777777" w:rsidR="00EE230D" w:rsidRPr="00A85956" w:rsidRDefault="00EE230D" w:rsidP="00A85956">
            <w:pPr>
              <w:pStyle w:val="TableBody"/>
            </w:pPr>
            <w:r w:rsidRPr="00A85956">
              <w:t>9,204</w:t>
            </w:r>
          </w:p>
        </w:tc>
        <w:tc>
          <w:tcPr>
            <w:tcW w:w="1845" w:type="pct"/>
            <w:noWrap/>
            <w:hideMark/>
          </w:tcPr>
          <w:p w14:paraId="6D161972" w14:textId="77777777" w:rsidR="00EE230D" w:rsidRPr="00A85956" w:rsidRDefault="00EE230D" w:rsidP="00A85956">
            <w:pPr>
              <w:pStyle w:val="TableBody"/>
            </w:pPr>
            <w:r w:rsidRPr="00A85956">
              <w:t>1,379</w:t>
            </w:r>
          </w:p>
        </w:tc>
      </w:tr>
      <w:tr w:rsidR="00EE230D" w:rsidRPr="00EE230D" w14:paraId="6B5BA3AE" w14:textId="77777777" w:rsidTr="00F1504C">
        <w:trPr>
          <w:trHeight w:val="288"/>
        </w:trPr>
        <w:tc>
          <w:tcPr>
            <w:tcW w:w="704" w:type="pct"/>
            <w:noWrap/>
            <w:hideMark/>
          </w:tcPr>
          <w:p w14:paraId="06CB8615" w14:textId="77777777" w:rsidR="00EE230D" w:rsidRPr="00EE230D" w:rsidRDefault="00EE230D" w:rsidP="00906ADE">
            <w:pPr>
              <w:pStyle w:val="TableBody"/>
            </w:pPr>
            <w:r w:rsidRPr="00EE230D">
              <w:t>2023-24</w:t>
            </w:r>
          </w:p>
        </w:tc>
        <w:tc>
          <w:tcPr>
            <w:tcW w:w="795" w:type="pct"/>
            <w:noWrap/>
            <w:hideMark/>
          </w:tcPr>
          <w:p w14:paraId="48E385D5" w14:textId="77777777" w:rsidR="00EE230D" w:rsidRPr="00A85956" w:rsidRDefault="00EE230D" w:rsidP="00A85956">
            <w:pPr>
              <w:pStyle w:val="TableBody"/>
            </w:pPr>
            <w:r w:rsidRPr="00A85956">
              <w:t>8,648</w:t>
            </w:r>
          </w:p>
        </w:tc>
        <w:tc>
          <w:tcPr>
            <w:tcW w:w="1655" w:type="pct"/>
            <w:noWrap/>
            <w:hideMark/>
          </w:tcPr>
          <w:p w14:paraId="5B920AAD" w14:textId="77777777" w:rsidR="00EE230D" w:rsidRPr="00A85956" w:rsidRDefault="00EE230D" w:rsidP="00A85956">
            <w:pPr>
              <w:pStyle w:val="TableBody"/>
            </w:pPr>
            <w:r w:rsidRPr="00A85956">
              <w:t>7,380</w:t>
            </w:r>
          </w:p>
        </w:tc>
        <w:tc>
          <w:tcPr>
            <w:tcW w:w="1845" w:type="pct"/>
            <w:noWrap/>
            <w:hideMark/>
          </w:tcPr>
          <w:p w14:paraId="0CB087EF" w14:textId="77777777" w:rsidR="00EE230D" w:rsidRPr="00A85956" w:rsidRDefault="00EE230D" w:rsidP="00A85956">
            <w:pPr>
              <w:pStyle w:val="TableBody"/>
            </w:pPr>
            <w:r w:rsidRPr="00A85956">
              <w:t>1,268</w:t>
            </w:r>
          </w:p>
        </w:tc>
      </w:tr>
    </w:tbl>
    <w:p w14:paraId="12A0A619" w14:textId="77777777" w:rsidR="00F717E2" w:rsidRPr="008C1137" w:rsidRDefault="00F717E2" w:rsidP="00D4532A">
      <w:r w:rsidRPr="000C258A">
        <w:rPr>
          <w:rStyle w:val="Strong"/>
        </w:rPr>
        <w:t>Source</w:t>
      </w:r>
      <w:r w:rsidRPr="008C1137">
        <w:t>: Corrections Victoria,</w:t>
      </w:r>
      <w:r w:rsidRPr="008C1137">
        <w:rPr>
          <w:rStyle w:val="Italic"/>
        </w:rPr>
        <w:t xml:space="preserve"> Monthly Time Series Prison and Community Corrections Data </w:t>
      </w:r>
      <w:r w:rsidRPr="008C1137">
        <w:t>(corrections.vic.gov.au, 2024) Table 2</w:t>
      </w:r>
    </w:p>
    <w:p w14:paraId="01A826F4" w14:textId="77777777" w:rsidR="007F14DE" w:rsidRPr="008C1137" w:rsidRDefault="007F14DE" w:rsidP="00BE4EDC">
      <w:pPr>
        <w:pStyle w:val="Caption"/>
      </w:pPr>
      <w:r w:rsidRPr="00157502">
        <w:t>Figure 59</w:t>
      </w:r>
      <w:r w:rsidRPr="008C1137">
        <w:t>: Number of prisoner discharges, by sentenced and unsentenced prisoners, 2004–05 to 2023–24</w:t>
      </w:r>
    </w:p>
    <w:tbl>
      <w:tblPr>
        <w:tblStyle w:val="Table"/>
        <w:tblW w:w="5000" w:type="pct"/>
        <w:tblLayout w:type="fixed"/>
        <w:tblLook w:val="04A0" w:firstRow="1" w:lastRow="0" w:firstColumn="1" w:lastColumn="0" w:noHBand="0" w:noVBand="1"/>
      </w:tblPr>
      <w:tblGrid>
        <w:gridCol w:w="2254"/>
        <w:gridCol w:w="2254"/>
        <w:gridCol w:w="2254"/>
        <w:gridCol w:w="2254"/>
      </w:tblGrid>
      <w:tr w:rsidR="00EE230D" w:rsidRPr="00EE230D" w14:paraId="265EBEBE" w14:textId="77777777" w:rsidTr="002A5510">
        <w:trPr>
          <w:trHeight w:val="288"/>
          <w:tblHeader/>
        </w:trPr>
        <w:tc>
          <w:tcPr>
            <w:tcW w:w="1250" w:type="pct"/>
            <w:noWrap/>
            <w:hideMark/>
          </w:tcPr>
          <w:p w14:paraId="54A0E55B" w14:textId="77777777" w:rsidR="00EE230D" w:rsidRPr="00EE230D" w:rsidRDefault="00EE230D" w:rsidP="00C96BDD">
            <w:pPr>
              <w:pStyle w:val="TableHeading"/>
            </w:pPr>
            <w:r w:rsidRPr="00EE230D">
              <w:t>Financial year</w:t>
            </w:r>
          </w:p>
        </w:tc>
        <w:tc>
          <w:tcPr>
            <w:tcW w:w="1250" w:type="pct"/>
            <w:noWrap/>
            <w:hideMark/>
          </w:tcPr>
          <w:p w14:paraId="3B8BC08F" w14:textId="77777777" w:rsidR="00EE230D" w:rsidRPr="00EE230D" w:rsidRDefault="00EE230D" w:rsidP="00C96BDD">
            <w:pPr>
              <w:pStyle w:val="TableHeading"/>
            </w:pPr>
            <w:r w:rsidRPr="00EE230D">
              <w:t>Total discharges</w:t>
            </w:r>
          </w:p>
        </w:tc>
        <w:tc>
          <w:tcPr>
            <w:tcW w:w="1250" w:type="pct"/>
            <w:noWrap/>
            <w:hideMark/>
          </w:tcPr>
          <w:p w14:paraId="7B66F068" w14:textId="77777777" w:rsidR="00EE230D" w:rsidRPr="00EE230D" w:rsidRDefault="00EE230D" w:rsidP="00C96BDD">
            <w:pPr>
              <w:pStyle w:val="TableHeading"/>
            </w:pPr>
            <w:r w:rsidRPr="00EE230D">
              <w:t>Sentenced during episode</w:t>
            </w:r>
          </w:p>
        </w:tc>
        <w:tc>
          <w:tcPr>
            <w:tcW w:w="1250" w:type="pct"/>
            <w:noWrap/>
            <w:hideMark/>
          </w:tcPr>
          <w:p w14:paraId="3721CA68" w14:textId="77777777" w:rsidR="00EE230D" w:rsidRPr="00EE230D" w:rsidRDefault="00EE230D" w:rsidP="00C96BDD">
            <w:pPr>
              <w:pStyle w:val="TableHeading"/>
            </w:pPr>
            <w:r w:rsidRPr="00EE230D">
              <w:t>Not sentenced during episode</w:t>
            </w:r>
          </w:p>
        </w:tc>
      </w:tr>
      <w:tr w:rsidR="00EE230D" w:rsidRPr="00EE230D" w14:paraId="197CECC9" w14:textId="77777777" w:rsidTr="002A5510">
        <w:trPr>
          <w:trHeight w:val="288"/>
        </w:trPr>
        <w:tc>
          <w:tcPr>
            <w:tcW w:w="1250" w:type="pct"/>
            <w:noWrap/>
            <w:hideMark/>
          </w:tcPr>
          <w:p w14:paraId="1BC83307" w14:textId="77777777" w:rsidR="00EE230D" w:rsidRPr="00EE230D" w:rsidRDefault="00EE230D" w:rsidP="00906ADE">
            <w:pPr>
              <w:pStyle w:val="TableBody"/>
            </w:pPr>
            <w:r w:rsidRPr="00EE230D">
              <w:t>2004-05</w:t>
            </w:r>
          </w:p>
        </w:tc>
        <w:tc>
          <w:tcPr>
            <w:tcW w:w="1250" w:type="pct"/>
            <w:noWrap/>
            <w:hideMark/>
          </w:tcPr>
          <w:p w14:paraId="6A5A4944" w14:textId="77777777" w:rsidR="00EE230D" w:rsidRPr="00A85956" w:rsidRDefault="00EE230D" w:rsidP="00A85956">
            <w:pPr>
              <w:pStyle w:val="TableBody"/>
            </w:pPr>
            <w:r w:rsidRPr="00A85956">
              <w:t>4,628</w:t>
            </w:r>
          </w:p>
        </w:tc>
        <w:tc>
          <w:tcPr>
            <w:tcW w:w="1250" w:type="pct"/>
            <w:noWrap/>
            <w:hideMark/>
          </w:tcPr>
          <w:p w14:paraId="24B9989C" w14:textId="77777777" w:rsidR="00EE230D" w:rsidRPr="00A85956" w:rsidRDefault="00EE230D" w:rsidP="00A85956">
            <w:pPr>
              <w:pStyle w:val="TableBody"/>
            </w:pPr>
            <w:r w:rsidRPr="00A85956">
              <w:t>3,525</w:t>
            </w:r>
          </w:p>
        </w:tc>
        <w:tc>
          <w:tcPr>
            <w:tcW w:w="1250" w:type="pct"/>
            <w:noWrap/>
            <w:hideMark/>
          </w:tcPr>
          <w:p w14:paraId="7F206984" w14:textId="77777777" w:rsidR="00EE230D" w:rsidRPr="00A85956" w:rsidRDefault="00EE230D" w:rsidP="00A85956">
            <w:pPr>
              <w:pStyle w:val="TableBody"/>
            </w:pPr>
            <w:r w:rsidRPr="00A85956">
              <w:t>1,103</w:t>
            </w:r>
          </w:p>
        </w:tc>
      </w:tr>
      <w:tr w:rsidR="00EE230D" w:rsidRPr="00EE230D" w14:paraId="309F433E" w14:textId="77777777" w:rsidTr="002A5510">
        <w:trPr>
          <w:trHeight w:val="288"/>
        </w:trPr>
        <w:tc>
          <w:tcPr>
            <w:tcW w:w="1250" w:type="pct"/>
            <w:noWrap/>
            <w:hideMark/>
          </w:tcPr>
          <w:p w14:paraId="689489FF" w14:textId="77777777" w:rsidR="00EE230D" w:rsidRPr="00EE230D" w:rsidRDefault="00EE230D" w:rsidP="00906ADE">
            <w:pPr>
              <w:pStyle w:val="TableBody"/>
            </w:pPr>
            <w:r w:rsidRPr="00EE230D">
              <w:t>2005-06</w:t>
            </w:r>
          </w:p>
        </w:tc>
        <w:tc>
          <w:tcPr>
            <w:tcW w:w="1250" w:type="pct"/>
            <w:noWrap/>
            <w:hideMark/>
          </w:tcPr>
          <w:p w14:paraId="257EF792" w14:textId="77777777" w:rsidR="00EE230D" w:rsidRPr="00A85956" w:rsidRDefault="00EE230D" w:rsidP="00A85956">
            <w:pPr>
              <w:pStyle w:val="TableBody"/>
            </w:pPr>
            <w:r w:rsidRPr="00A85956">
              <w:t>4,527</w:t>
            </w:r>
          </w:p>
        </w:tc>
        <w:tc>
          <w:tcPr>
            <w:tcW w:w="1250" w:type="pct"/>
            <w:noWrap/>
            <w:hideMark/>
          </w:tcPr>
          <w:p w14:paraId="12EC6027" w14:textId="77777777" w:rsidR="00EE230D" w:rsidRPr="00A85956" w:rsidRDefault="00EE230D" w:rsidP="00A85956">
            <w:pPr>
              <w:pStyle w:val="TableBody"/>
            </w:pPr>
            <w:r w:rsidRPr="00A85956">
              <w:t>3,495</w:t>
            </w:r>
          </w:p>
        </w:tc>
        <w:tc>
          <w:tcPr>
            <w:tcW w:w="1250" w:type="pct"/>
            <w:noWrap/>
            <w:hideMark/>
          </w:tcPr>
          <w:p w14:paraId="11316FEB" w14:textId="77777777" w:rsidR="00EE230D" w:rsidRPr="00A85956" w:rsidRDefault="00EE230D" w:rsidP="00A85956">
            <w:pPr>
              <w:pStyle w:val="TableBody"/>
            </w:pPr>
            <w:r w:rsidRPr="00A85956">
              <w:t>1,032</w:t>
            </w:r>
          </w:p>
        </w:tc>
      </w:tr>
      <w:tr w:rsidR="00EE230D" w:rsidRPr="00EE230D" w14:paraId="5174642A" w14:textId="77777777" w:rsidTr="002A5510">
        <w:trPr>
          <w:trHeight w:val="288"/>
        </w:trPr>
        <w:tc>
          <w:tcPr>
            <w:tcW w:w="1250" w:type="pct"/>
            <w:noWrap/>
            <w:hideMark/>
          </w:tcPr>
          <w:p w14:paraId="68E37631" w14:textId="77777777" w:rsidR="00EE230D" w:rsidRPr="00EE230D" w:rsidRDefault="00EE230D" w:rsidP="00906ADE">
            <w:pPr>
              <w:pStyle w:val="TableBody"/>
            </w:pPr>
            <w:r w:rsidRPr="00EE230D">
              <w:t>2006-07</w:t>
            </w:r>
          </w:p>
        </w:tc>
        <w:tc>
          <w:tcPr>
            <w:tcW w:w="1250" w:type="pct"/>
            <w:noWrap/>
            <w:hideMark/>
          </w:tcPr>
          <w:p w14:paraId="793A1961" w14:textId="77777777" w:rsidR="00EE230D" w:rsidRPr="00A85956" w:rsidRDefault="00EE230D" w:rsidP="00A85956">
            <w:pPr>
              <w:pStyle w:val="TableBody"/>
            </w:pPr>
            <w:r w:rsidRPr="00A85956">
              <w:t>4,987</w:t>
            </w:r>
          </w:p>
        </w:tc>
        <w:tc>
          <w:tcPr>
            <w:tcW w:w="1250" w:type="pct"/>
            <w:noWrap/>
            <w:hideMark/>
          </w:tcPr>
          <w:p w14:paraId="44EC8770" w14:textId="77777777" w:rsidR="00EE230D" w:rsidRPr="00A85956" w:rsidRDefault="00EE230D" w:rsidP="00A85956">
            <w:pPr>
              <w:pStyle w:val="TableBody"/>
            </w:pPr>
            <w:r w:rsidRPr="00A85956">
              <w:t>3,618</w:t>
            </w:r>
          </w:p>
        </w:tc>
        <w:tc>
          <w:tcPr>
            <w:tcW w:w="1250" w:type="pct"/>
            <w:noWrap/>
            <w:hideMark/>
          </w:tcPr>
          <w:p w14:paraId="4114AE6D" w14:textId="77777777" w:rsidR="00EE230D" w:rsidRPr="00A85956" w:rsidRDefault="00EE230D" w:rsidP="00A85956">
            <w:pPr>
              <w:pStyle w:val="TableBody"/>
            </w:pPr>
            <w:r w:rsidRPr="00A85956">
              <w:t>1,369</w:t>
            </w:r>
          </w:p>
        </w:tc>
      </w:tr>
      <w:tr w:rsidR="00EE230D" w:rsidRPr="00EE230D" w14:paraId="53F1AC6E" w14:textId="77777777" w:rsidTr="002A5510">
        <w:trPr>
          <w:trHeight w:val="288"/>
        </w:trPr>
        <w:tc>
          <w:tcPr>
            <w:tcW w:w="1250" w:type="pct"/>
            <w:noWrap/>
            <w:hideMark/>
          </w:tcPr>
          <w:p w14:paraId="79336D8E" w14:textId="77777777" w:rsidR="00EE230D" w:rsidRPr="00EE230D" w:rsidRDefault="00EE230D" w:rsidP="00906ADE">
            <w:pPr>
              <w:pStyle w:val="TableBody"/>
            </w:pPr>
            <w:r w:rsidRPr="00EE230D">
              <w:t>2007-08</w:t>
            </w:r>
          </w:p>
        </w:tc>
        <w:tc>
          <w:tcPr>
            <w:tcW w:w="1250" w:type="pct"/>
            <w:noWrap/>
            <w:hideMark/>
          </w:tcPr>
          <w:p w14:paraId="44FED9AC" w14:textId="77777777" w:rsidR="00EE230D" w:rsidRPr="00A85956" w:rsidRDefault="00EE230D" w:rsidP="00A85956">
            <w:pPr>
              <w:pStyle w:val="TableBody"/>
            </w:pPr>
            <w:r w:rsidRPr="00A85956">
              <w:t>5,258</w:t>
            </w:r>
          </w:p>
        </w:tc>
        <w:tc>
          <w:tcPr>
            <w:tcW w:w="1250" w:type="pct"/>
            <w:noWrap/>
            <w:hideMark/>
          </w:tcPr>
          <w:p w14:paraId="7FF16356" w14:textId="77777777" w:rsidR="00EE230D" w:rsidRPr="00A85956" w:rsidRDefault="00EE230D" w:rsidP="00A85956">
            <w:pPr>
              <w:pStyle w:val="TableBody"/>
            </w:pPr>
            <w:r w:rsidRPr="00A85956">
              <w:t>3,784</w:t>
            </w:r>
          </w:p>
        </w:tc>
        <w:tc>
          <w:tcPr>
            <w:tcW w:w="1250" w:type="pct"/>
            <w:noWrap/>
            <w:hideMark/>
          </w:tcPr>
          <w:p w14:paraId="6A7CE1DC" w14:textId="77777777" w:rsidR="00EE230D" w:rsidRPr="00A85956" w:rsidRDefault="00EE230D" w:rsidP="00A85956">
            <w:pPr>
              <w:pStyle w:val="TableBody"/>
            </w:pPr>
            <w:r w:rsidRPr="00A85956">
              <w:t>1,474</w:t>
            </w:r>
          </w:p>
        </w:tc>
      </w:tr>
      <w:tr w:rsidR="00EE230D" w:rsidRPr="00EE230D" w14:paraId="70D71C3E" w14:textId="77777777" w:rsidTr="002A5510">
        <w:trPr>
          <w:trHeight w:val="288"/>
        </w:trPr>
        <w:tc>
          <w:tcPr>
            <w:tcW w:w="1250" w:type="pct"/>
            <w:noWrap/>
            <w:hideMark/>
          </w:tcPr>
          <w:p w14:paraId="7970ED4C" w14:textId="77777777" w:rsidR="00EE230D" w:rsidRPr="00EE230D" w:rsidRDefault="00EE230D" w:rsidP="00906ADE">
            <w:pPr>
              <w:pStyle w:val="TableBody"/>
            </w:pPr>
            <w:r w:rsidRPr="00EE230D">
              <w:t>2008-09</w:t>
            </w:r>
          </w:p>
        </w:tc>
        <w:tc>
          <w:tcPr>
            <w:tcW w:w="1250" w:type="pct"/>
            <w:noWrap/>
            <w:hideMark/>
          </w:tcPr>
          <w:p w14:paraId="7C4C67AE" w14:textId="77777777" w:rsidR="00EE230D" w:rsidRPr="00A85956" w:rsidRDefault="00EE230D" w:rsidP="00A85956">
            <w:pPr>
              <w:pStyle w:val="TableBody"/>
            </w:pPr>
            <w:r w:rsidRPr="00A85956">
              <w:t>5,458</w:t>
            </w:r>
          </w:p>
        </w:tc>
        <w:tc>
          <w:tcPr>
            <w:tcW w:w="1250" w:type="pct"/>
            <w:noWrap/>
            <w:hideMark/>
          </w:tcPr>
          <w:p w14:paraId="1A326DC8" w14:textId="77777777" w:rsidR="00EE230D" w:rsidRPr="00A85956" w:rsidRDefault="00EE230D" w:rsidP="00A85956">
            <w:pPr>
              <w:pStyle w:val="TableBody"/>
            </w:pPr>
            <w:r w:rsidRPr="00A85956">
              <w:t>3,816</w:t>
            </w:r>
          </w:p>
        </w:tc>
        <w:tc>
          <w:tcPr>
            <w:tcW w:w="1250" w:type="pct"/>
            <w:noWrap/>
            <w:hideMark/>
          </w:tcPr>
          <w:p w14:paraId="1BAA56F8" w14:textId="77777777" w:rsidR="00EE230D" w:rsidRPr="00A85956" w:rsidRDefault="00EE230D" w:rsidP="00A85956">
            <w:pPr>
              <w:pStyle w:val="TableBody"/>
            </w:pPr>
            <w:r w:rsidRPr="00A85956">
              <w:t>1,642</w:t>
            </w:r>
          </w:p>
        </w:tc>
      </w:tr>
      <w:tr w:rsidR="00EE230D" w:rsidRPr="00EE230D" w14:paraId="2AE05D88" w14:textId="77777777" w:rsidTr="002A5510">
        <w:trPr>
          <w:trHeight w:val="288"/>
        </w:trPr>
        <w:tc>
          <w:tcPr>
            <w:tcW w:w="1250" w:type="pct"/>
            <w:noWrap/>
            <w:hideMark/>
          </w:tcPr>
          <w:p w14:paraId="0763608D" w14:textId="77777777" w:rsidR="00EE230D" w:rsidRPr="00EE230D" w:rsidRDefault="00EE230D" w:rsidP="00906ADE">
            <w:pPr>
              <w:pStyle w:val="TableBody"/>
            </w:pPr>
            <w:r w:rsidRPr="00EE230D">
              <w:t>2009-10</w:t>
            </w:r>
          </w:p>
        </w:tc>
        <w:tc>
          <w:tcPr>
            <w:tcW w:w="1250" w:type="pct"/>
            <w:noWrap/>
            <w:hideMark/>
          </w:tcPr>
          <w:p w14:paraId="0A7BB59A" w14:textId="77777777" w:rsidR="00EE230D" w:rsidRPr="00A85956" w:rsidRDefault="00EE230D" w:rsidP="00A85956">
            <w:pPr>
              <w:pStyle w:val="TableBody"/>
            </w:pPr>
            <w:r w:rsidRPr="00A85956">
              <w:t>5,620</w:t>
            </w:r>
          </w:p>
        </w:tc>
        <w:tc>
          <w:tcPr>
            <w:tcW w:w="1250" w:type="pct"/>
            <w:noWrap/>
            <w:hideMark/>
          </w:tcPr>
          <w:p w14:paraId="46F28726" w14:textId="77777777" w:rsidR="00EE230D" w:rsidRPr="00A85956" w:rsidRDefault="00EE230D" w:rsidP="00A85956">
            <w:pPr>
              <w:pStyle w:val="TableBody"/>
            </w:pPr>
            <w:r w:rsidRPr="00A85956">
              <w:t>4,091</w:t>
            </w:r>
          </w:p>
        </w:tc>
        <w:tc>
          <w:tcPr>
            <w:tcW w:w="1250" w:type="pct"/>
            <w:noWrap/>
            <w:hideMark/>
          </w:tcPr>
          <w:p w14:paraId="61378B1A" w14:textId="77777777" w:rsidR="00EE230D" w:rsidRPr="00A85956" w:rsidRDefault="00EE230D" w:rsidP="00A85956">
            <w:pPr>
              <w:pStyle w:val="TableBody"/>
            </w:pPr>
            <w:r w:rsidRPr="00A85956">
              <w:t>1,529</w:t>
            </w:r>
          </w:p>
        </w:tc>
      </w:tr>
      <w:tr w:rsidR="00EE230D" w:rsidRPr="00EE230D" w14:paraId="66710A80" w14:textId="77777777" w:rsidTr="002A5510">
        <w:trPr>
          <w:trHeight w:val="288"/>
        </w:trPr>
        <w:tc>
          <w:tcPr>
            <w:tcW w:w="1250" w:type="pct"/>
            <w:noWrap/>
            <w:hideMark/>
          </w:tcPr>
          <w:p w14:paraId="7C70F242" w14:textId="77777777" w:rsidR="00EE230D" w:rsidRPr="00EE230D" w:rsidRDefault="00EE230D" w:rsidP="00906ADE">
            <w:pPr>
              <w:pStyle w:val="TableBody"/>
            </w:pPr>
            <w:r w:rsidRPr="00EE230D">
              <w:t>2010-11</w:t>
            </w:r>
          </w:p>
        </w:tc>
        <w:tc>
          <w:tcPr>
            <w:tcW w:w="1250" w:type="pct"/>
            <w:noWrap/>
            <w:hideMark/>
          </w:tcPr>
          <w:p w14:paraId="140AD59A" w14:textId="77777777" w:rsidR="00EE230D" w:rsidRPr="00A85956" w:rsidRDefault="00EE230D" w:rsidP="00A85956">
            <w:pPr>
              <w:pStyle w:val="TableBody"/>
            </w:pPr>
            <w:r w:rsidRPr="00A85956">
              <w:t>5,514</w:t>
            </w:r>
          </w:p>
        </w:tc>
        <w:tc>
          <w:tcPr>
            <w:tcW w:w="1250" w:type="pct"/>
            <w:noWrap/>
            <w:hideMark/>
          </w:tcPr>
          <w:p w14:paraId="7EB11FBA" w14:textId="77777777" w:rsidR="00EE230D" w:rsidRPr="00A85956" w:rsidRDefault="00EE230D" w:rsidP="00A85956">
            <w:pPr>
              <w:pStyle w:val="TableBody"/>
            </w:pPr>
            <w:r w:rsidRPr="00A85956">
              <w:t>4,009</w:t>
            </w:r>
          </w:p>
        </w:tc>
        <w:tc>
          <w:tcPr>
            <w:tcW w:w="1250" w:type="pct"/>
            <w:noWrap/>
            <w:hideMark/>
          </w:tcPr>
          <w:p w14:paraId="6C1B17E8" w14:textId="77777777" w:rsidR="00EE230D" w:rsidRPr="00A85956" w:rsidRDefault="00EE230D" w:rsidP="00A85956">
            <w:pPr>
              <w:pStyle w:val="TableBody"/>
            </w:pPr>
            <w:r w:rsidRPr="00A85956">
              <w:t>1,505</w:t>
            </w:r>
          </w:p>
        </w:tc>
      </w:tr>
      <w:tr w:rsidR="00EE230D" w:rsidRPr="00EE230D" w14:paraId="0044D45F" w14:textId="77777777" w:rsidTr="002A5510">
        <w:trPr>
          <w:trHeight w:val="288"/>
        </w:trPr>
        <w:tc>
          <w:tcPr>
            <w:tcW w:w="1250" w:type="pct"/>
            <w:noWrap/>
            <w:hideMark/>
          </w:tcPr>
          <w:p w14:paraId="19ACCE02" w14:textId="77777777" w:rsidR="00EE230D" w:rsidRPr="00EE230D" w:rsidRDefault="00EE230D" w:rsidP="00906ADE">
            <w:pPr>
              <w:pStyle w:val="TableBody"/>
            </w:pPr>
            <w:r w:rsidRPr="00EE230D">
              <w:lastRenderedPageBreak/>
              <w:t>2011-12</w:t>
            </w:r>
          </w:p>
        </w:tc>
        <w:tc>
          <w:tcPr>
            <w:tcW w:w="1250" w:type="pct"/>
            <w:noWrap/>
            <w:hideMark/>
          </w:tcPr>
          <w:p w14:paraId="1567DFB9" w14:textId="77777777" w:rsidR="00EE230D" w:rsidRPr="00A85956" w:rsidRDefault="00EE230D" w:rsidP="00A85956">
            <w:pPr>
              <w:pStyle w:val="TableBody"/>
            </w:pPr>
            <w:r w:rsidRPr="00A85956">
              <w:t>6,094</w:t>
            </w:r>
          </w:p>
        </w:tc>
        <w:tc>
          <w:tcPr>
            <w:tcW w:w="1250" w:type="pct"/>
            <w:noWrap/>
            <w:hideMark/>
          </w:tcPr>
          <w:p w14:paraId="4CFE6A23" w14:textId="77777777" w:rsidR="00EE230D" w:rsidRPr="00A85956" w:rsidRDefault="00EE230D" w:rsidP="00A85956">
            <w:pPr>
              <w:pStyle w:val="TableBody"/>
            </w:pPr>
            <w:r w:rsidRPr="00A85956">
              <w:t>4,243</w:t>
            </w:r>
          </w:p>
        </w:tc>
        <w:tc>
          <w:tcPr>
            <w:tcW w:w="1250" w:type="pct"/>
            <w:noWrap/>
            <w:hideMark/>
          </w:tcPr>
          <w:p w14:paraId="573AA7D1" w14:textId="77777777" w:rsidR="00EE230D" w:rsidRPr="00A85956" w:rsidRDefault="00EE230D" w:rsidP="00A85956">
            <w:pPr>
              <w:pStyle w:val="TableBody"/>
            </w:pPr>
            <w:r w:rsidRPr="00A85956">
              <w:t>1,851</w:t>
            </w:r>
          </w:p>
        </w:tc>
      </w:tr>
      <w:tr w:rsidR="00EE230D" w:rsidRPr="00EE230D" w14:paraId="7E543059" w14:textId="77777777" w:rsidTr="002A5510">
        <w:trPr>
          <w:trHeight w:val="288"/>
        </w:trPr>
        <w:tc>
          <w:tcPr>
            <w:tcW w:w="1250" w:type="pct"/>
            <w:noWrap/>
            <w:hideMark/>
          </w:tcPr>
          <w:p w14:paraId="6B93F303" w14:textId="77777777" w:rsidR="00EE230D" w:rsidRPr="00EE230D" w:rsidRDefault="00EE230D" w:rsidP="00906ADE">
            <w:pPr>
              <w:pStyle w:val="TableBody"/>
            </w:pPr>
            <w:r w:rsidRPr="00EE230D">
              <w:t>2012-13</w:t>
            </w:r>
          </w:p>
        </w:tc>
        <w:tc>
          <w:tcPr>
            <w:tcW w:w="1250" w:type="pct"/>
            <w:noWrap/>
            <w:hideMark/>
          </w:tcPr>
          <w:p w14:paraId="25DEA444" w14:textId="77777777" w:rsidR="00EE230D" w:rsidRPr="00A85956" w:rsidRDefault="00EE230D" w:rsidP="00A85956">
            <w:pPr>
              <w:pStyle w:val="TableBody"/>
            </w:pPr>
            <w:r w:rsidRPr="00A85956">
              <w:t>6,608</w:t>
            </w:r>
          </w:p>
        </w:tc>
        <w:tc>
          <w:tcPr>
            <w:tcW w:w="1250" w:type="pct"/>
            <w:noWrap/>
            <w:hideMark/>
          </w:tcPr>
          <w:p w14:paraId="69509566" w14:textId="77777777" w:rsidR="00EE230D" w:rsidRPr="00A85956" w:rsidRDefault="00EE230D" w:rsidP="00A85956">
            <w:pPr>
              <w:pStyle w:val="TableBody"/>
            </w:pPr>
            <w:r w:rsidRPr="00A85956">
              <w:t>4,470</w:t>
            </w:r>
          </w:p>
        </w:tc>
        <w:tc>
          <w:tcPr>
            <w:tcW w:w="1250" w:type="pct"/>
            <w:noWrap/>
            <w:hideMark/>
          </w:tcPr>
          <w:p w14:paraId="53805BF2" w14:textId="77777777" w:rsidR="00EE230D" w:rsidRPr="00A85956" w:rsidRDefault="00EE230D" w:rsidP="00A85956">
            <w:pPr>
              <w:pStyle w:val="TableBody"/>
            </w:pPr>
            <w:r w:rsidRPr="00A85956">
              <w:t>2,138</w:t>
            </w:r>
          </w:p>
        </w:tc>
      </w:tr>
      <w:tr w:rsidR="00EE230D" w:rsidRPr="00EE230D" w14:paraId="1660C0FD" w14:textId="77777777" w:rsidTr="002A5510">
        <w:trPr>
          <w:trHeight w:val="288"/>
        </w:trPr>
        <w:tc>
          <w:tcPr>
            <w:tcW w:w="1250" w:type="pct"/>
            <w:noWrap/>
            <w:hideMark/>
          </w:tcPr>
          <w:p w14:paraId="7ECFB393" w14:textId="77777777" w:rsidR="00EE230D" w:rsidRPr="00EE230D" w:rsidRDefault="00EE230D" w:rsidP="00906ADE">
            <w:pPr>
              <w:pStyle w:val="TableBody"/>
            </w:pPr>
            <w:r w:rsidRPr="00EE230D">
              <w:t>2013-14</w:t>
            </w:r>
          </w:p>
        </w:tc>
        <w:tc>
          <w:tcPr>
            <w:tcW w:w="1250" w:type="pct"/>
            <w:noWrap/>
            <w:hideMark/>
          </w:tcPr>
          <w:p w14:paraId="01290851" w14:textId="77777777" w:rsidR="00EE230D" w:rsidRPr="00A85956" w:rsidRDefault="00EE230D" w:rsidP="00A85956">
            <w:pPr>
              <w:pStyle w:val="TableBody"/>
            </w:pPr>
            <w:r w:rsidRPr="00A85956">
              <w:t>6,496</w:t>
            </w:r>
          </w:p>
        </w:tc>
        <w:tc>
          <w:tcPr>
            <w:tcW w:w="1250" w:type="pct"/>
            <w:noWrap/>
            <w:hideMark/>
          </w:tcPr>
          <w:p w14:paraId="1E30ACEC" w14:textId="77777777" w:rsidR="00EE230D" w:rsidRPr="00A85956" w:rsidRDefault="00EE230D" w:rsidP="00A85956">
            <w:pPr>
              <w:pStyle w:val="TableBody"/>
            </w:pPr>
            <w:r w:rsidRPr="00A85956">
              <w:t>4,498</w:t>
            </w:r>
          </w:p>
        </w:tc>
        <w:tc>
          <w:tcPr>
            <w:tcW w:w="1250" w:type="pct"/>
            <w:noWrap/>
            <w:hideMark/>
          </w:tcPr>
          <w:p w14:paraId="4C6694A1" w14:textId="77777777" w:rsidR="00EE230D" w:rsidRPr="00A85956" w:rsidRDefault="00EE230D" w:rsidP="00A85956">
            <w:pPr>
              <w:pStyle w:val="TableBody"/>
            </w:pPr>
            <w:r w:rsidRPr="00A85956">
              <w:t>1,998</w:t>
            </w:r>
          </w:p>
        </w:tc>
      </w:tr>
      <w:tr w:rsidR="00EE230D" w:rsidRPr="00EE230D" w14:paraId="5F488BA2" w14:textId="77777777" w:rsidTr="002A5510">
        <w:trPr>
          <w:trHeight w:val="288"/>
        </w:trPr>
        <w:tc>
          <w:tcPr>
            <w:tcW w:w="1250" w:type="pct"/>
            <w:noWrap/>
            <w:hideMark/>
          </w:tcPr>
          <w:p w14:paraId="18D879A3" w14:textId="77777777" w:rsidR="00EE230D" w:rsidRPr="00EE230D" w:rsidRDefault="00EE230D" w:rsidP="00906ADE">
            <w:pPr>
              <w:pStyle w:val="TableBody"/>
            </w:pPr>
            <w:r w:rsidRPr="00EE230D">
              <w:t>2014-15</w:t>
            </w:r>
          </w:p>
        </w:tc>
        <w:tc>
          <w:tcPr>
            <w:tcW w:w="1250" w:type="pct"/>
            <w:noWrap/>
            <w:hideMark/>
          </w:tcPr>
          <w:p w14:paraId="43BF1FE2" w14:textId="77777777" w:rsidR="00EE230D" w:rsidRPr="00A85956" w:rsidRDefault="00EE230D" w:rsidP="00A85956">
            <w:pPr>
              <w:pStyle w:val="TableBody"/>
            </w:pPr>
            <w:r w:rsidRPr="00A85956">
              <w:t>9,010</w:t>
            </w:r>
          </w:p>
        </w:tc>
        <w:tc>
          <w:tcPr>
            <w:tcW w:w="1250" w:type="pct"/>
            <w:noWrap/>
            <w:hideMark/>
          </w:tcPr>
          <w:p w14:paraId="1636E763" w14:textId="77777777" w:rsidR="00EE230D" w:rsidRPr="00A85956" w:rsidRDefault="00EE230D" w:rsidP="00A85956">
            <w:pPr>
              <w:pStyle w:val="TableBody"/>
            </w:pPr>
            <w:r w:rsidRPr="00A85956">
              <w:t>5,408</w:t>
            </w:r>
          </w:p>
        </w:tc>
        <w:tc>
          <w:tcPr>
            <w:tcW w:w="1250" w:type="pct"/>
            <w:noWrap/>
            <w:hideMark/>
          </w:tcPr>
          <w:p w14:paraId="535782FA" w14:textId="77777777" w:rsidR="00EE230D" w:rsidRPr="00A85956" w:rsidRDefault="00EE230D" w:rsidP="00A85956">
            <w:pPr>
              <w:pStyle w:val="TableBody"/>
            </w:pPr>
            <w:r w:rsidRPr="00A85956">
              <w:t>3,602</w:t>
            </w:r>
          </w:p>
        </w:tc>
      </w:tr>
      <w:tr w:rsidR="00EE230D" w:rsidRPr="00EE230D" w14:paraId="0AF4A908" w14:textId="77777777" w:rsidTr="002A5510">
        <w:trPr>
          <w:trHeight w:val="288"/>
        </w:trPr>
        <w:tc>
          <w:tcPr>
            <w:tcW w:w="1250" w:type="pct"/>
            <w:noWrap/>
            <w:hideMark/>
          </w:tcPr>
          <w:p w14:paraId="7D21A562" w14:textId="77777777" w:rsidR="00EE230D" w:rsidRPr="00EE230D" w:rsidRDefault="00EE230D" w:rsidP="00906ADE">
            <w:pPr>
              <w:pStyle w:val="TableBody"/>
            </w:pPr>
            <w:r w:rsidRPr="00EE230D">
              <w:t>2015-16</w:t>
            </w:r>
          </w:p>
        </w:tc>
        <w:tc>
          <w:tcPr>
            <w:tcW w:w="1250" w:type="pct"/>
            <w:noWrap/>
            <w:hideMark/>
          </w:tcPr>
          <w:p w14:paraId="0ED29126" w14:textId="77777777" w:rsidR="00EE230D" w:rsidRPr="00A85956" w:rsidRDefault="00EE230D" w:rsidP="00A85956">
            <w:pPr>
              <w:pStyle w:val="TableBody"/>
            </w:pPr>
            <w:r w:rsidRPr="00A85956">
              <w:t>9,440</w:t>
            </w:r>
          </w:p>
        </w:tc>
        <w:tc>
          <w:tcPr>
            <w:tcW w:w="1250" w:type="pct"/>
            <w:noWrap/>
            <w:hideMark/>
          </w:tcPr>
          <w:p w14:paraId="3F170BB0" w14:textId="77777777" w:rsidR="00EE230D" w:rsidRPr="00A85956" w:rsidRDefault="00EE230D" w:rsidP="00A85956">
            <w:pPr>
              <w:pStyle w:val="TableBody"/>
            </w:pPr>
            <w:r w:rsidRPr="00A85956">
              <w:t>5,511</w:t>
            </w:r>
          </w:p>
        </w:tc>
        <w:tc>
          <w:tcPr>
            <w:tcW w:w="1250" w:type="pct"/>
            <w:noWrap/>
            <w:hideMark/>
          </w:tcPr>
          <w:p w14:paraId="72283135" w14:textId="77777777" w:rsidR="00EE230D" w:rsidRPr="00A85956" w:rsidRDefault="00EE230D" w:rsidP="00A85956">
            <w:pPr>
              <w:pStyle w:val="TableBody"/>
            </w:pPr>
            <w:r w:rsidRPr="00A85956">
              <w:t>3,929</w:t>
            </w:r>
          </w:p>
        </w:tc>
      </w:tr>
      <w:tr w:rsidR="00EE230D" w:rsidRPr="00EE230D" w14:paraId="0AB64B9A" w14:textId="77777777" w:rsidTr="002A5510">
        <w:trPr>
          <w:trHeight w:val="288"/>
        </w:trPr>
        <w:tc>
          <w:tcPr>
            <w:tcW w:w="1250" w:type="pct"/>
            <w:noWrap/>
            <w:hideMark/>
          </w:tcPr>
          <w:p w14:paraId="6705453C" w14:textId="77777777" w:rsidR="00EE230D" w:rsidRPr="00EE230D" w:rsidRDefault="00EE230D" w:rsidP="00906ADE">
            <w:pPr>
              <w:pStyle w:val="TableBody"/>
            </w:pPr>
            <w:r w:rsidRPr="00EE230D">
              <w:t>2016-17</w:t>
            </w:r>
          </w:p>
        </w:tc>
        <w:tc>
          <w:tcPr>
            <w:tcW w:w="1250" w:type="pct"/>
            <w:noWrap/>
            <w:hideMark/>
          </w:tcPr>
          <w:p w14:paraId="503E0AE1" w14:textId="77777777" w:rsidR="00EE230D" w:rsidRPr="00A85956" w:rsidRDefault="00EE230D" w:rsidP="00A85956">
            <w:pPr>
              <w:pStyle w:val="TableBody"/>
            </w:pPr>
            <w:r w:rsidRPr="00A85956">
              <w:t>10,059</w:t>
            </w:r>
          </w:p>
        </w:tc>
        <w:tc>
          <w:tcPr>
            <w:tcW w:w="1250" w:type="pct"/>
            <w:noWrap/>
            <w:hideMark/>
          </w:tcPr>
          <w:p w14:paraId="77342BC8" w14:textId="77777777" w:rsidR="00EE230D" w:rsidRPr="00A85956" w:rsidRDefault="00EE230D" w:rsidP="00A85956">
            <w:pPr>
              <w:pStyle w:val="TableBody"/>
            </w:pPr>
            <w:r w:rsidRPr="00A85956">
              <w:t>5,918</w:t>
            </w:r>
          </w:p>
        </w:tc>
        <w:tc>
          <w:tcPr>
            <w:tcW w:w="1250" w:type="pct"/>
            <w:noWrap/>
            <w:hideMark/>
          </w:tcPr>
          <w:p w14:paraId="278093E4" w14:textId="77777777" w:rsidR="00EE230D" w:rsidRPr="00A85956" w:rsidRDefault="00EE230D" w:rsidP="00A85956">
            <w:pPr>
              <w:pStyle w:val="TableBody"/>
            </w:pPr>
            <w:r w:rsidRPr="00A85956">
              <w:t>4,141</w:t>
            </w:r>
          </w:p>
        </w:tc>
      </w:tr>
      <w:tr w:rsidR="00EE230D" w:rsidRPr="00EE230D" w14:paraId="4D915A5B" w14:textId="77777777" w:rsidTr="002A5510">
        <w:trPr>
          <w:trHeight w:val="288"/>
        </w:trPr>
        <w:tc>
          <w:tcPr>
            <w:tcW w:w="1250" w:type="pct"/>
            <w:noWrap/>
            <w:hideMark/>
          </w:tcPr>
          <w:p w14:paraId="0E7F0826" w14:textId="77777777" w:rsidR="00EE230D" w:rsidRPr="00EE230D" w:rsidRDefault="00EE230D" w:rsidP="00906ADE">
            <w:pPr>
              <w:pStyle w:val="TableBody"/>
            </w:pPr>
            <w:r w:rsidRPr="00EE230D">
              <w:t>2017-18</w:t>
            </w:r>
          </w:p>
        </w:tc>
        <w:tc>
          <w:tcPr>
            <w:tcW w:w="1250" w:type="pct"/>
            <w:noWrap/>
            <w:hideMark/>
          </w:tcPr>
          <w:p w14:paraId="3A684BEF" w14:textId="77777777" w:rsidR="00EE230D" w:rsidRPr="00A85956" w:rsidRDefault="00EE230D" w:rsidP="00A85956">
            <w:pPr>
              <w:pStyle w:val="TableBody"/>
            </w:pPr>
            <w:r w:rsidRPr="00A85956">
              <w:t>10,781</w:t>
            </w:r>
          </w:p>
        </w:tc>
        <w:tc>
          <w:tcPr>
            <w:tcW w:w="1250" w:type="pct"/>
            <w:noWrap/>
            <w:hideMark/>
          </w:tcPr>
          <w:p w14:paraId="4E35D728" w14:textId="77777777" w:rsidR="00EE230D" w:rsidRPr="00A85956" w:rsidRDefault="00EE230D" w:rsidP="00A85956">
            <w:pPr>
              <w:pStyle w:val="TableBody"/>
            </w:pPr>
            <w:r w:rsidRPr="00A85956">
              <w:t>6,426</w:t>
            </w:r>
          </w:p>
        </w:tc>
        <w:tc>
          <w:tcPr>
            <w:tcW w:w="1250" w:type="pct"/>
            <w:noWrap/>
            <w:hideMark/>
          </w:tcPr>
          <w:p w14:paraId="028BF061" w14:textId="77777777" w:rsidR="00EE230D" w:rsidRPr="00A85956" w:rsidRDefault="00EE230D" w:rsidP="00A85956">
            <w:pPr>
              <w:pStyle w:val="TableBody"/>
            </w:pPr>
            <w:r w:rsidRPr="00A85956">
              <w:t>4,355</w:t>
            </w:r>
          </w:p>
        </w:tc>
      </w:tr>
      <w:tr w:rsidR="00EE230D" w:rsidRPr="00EE230D" w14:paraId="7EDC2497" w14:textId="77777777" w:rsidTr="002A5510">
        <w:trPr>
          <w:trHeight w:val="288"/>
        </w:trPr>
        <w:tc>
          <w:tcPr>
            <w:tcW w:w="1250" w:type="pct"/>
            <w:noWrap/>
            <w:hideMark/>
          </w:tcPr>
          <w:p w14:paraId="5C4439D7" w14:textId="77777777" w:rsidR="00EE230D" w:rsidRPr="00EE230D" w:rsidRDefault="00EE230D" w:rsidP="00906ADE">
            <w:pPr>
              <w:pStyle w:val="TableBody"/>
            </w:pPr>
            <w:r w:rsidRPr="00EE230D">
              <w:t>2018-19</w:t>
            </w:r>
          </w:p>
        </w:tc>
        <w:tc>
          <w:tcPr>
            <w:tcW w:w="1250" w:type="pct"/>
            <w:noWrap/>
            <w:hideMark/>
          </w:tcPr>
          <w:p w14:paraId="406BC359" w14:textId="77777777" w:rsidR="00EE230D" w:rsidRPr="00A85956" w:rsidRDefault="00EE230D" w:rsidP="00A85956">
            <w:pPr>
              <w:pStyle w:val="TableBody"/>
            </w:pPr>
            <w:r w:rsidRPr="00A85956">
              <w:t>12,778</w:t>
            </w:r>
          </w:p>
        </w:tc>
        <w:tc>
          <w:tcPr>
            <w:tcW w:w="1250" w:type="pct"/>
            <w:noWrap/>
            <w:hideMark/>
          </w:tcPr>
          <w:p w14:paraId="013209CC" w14:textId="77777777" w:rsidR="00EE230D" w:rsidRPr="00A85956" w:rsidRDefault="00EE230D" w:rsidP="00A85956">
            <w:pPr>
              <w:pStyle w:val="TableBody"/>
            </w:pPr>
            <w:r w:rsidRPr="00A85956">
              <w:t>7,507</w:t>
            </w:r>
          </w:p>
        </w:tc>
        <w:tc>
          <w:tcPr>
            <w:tcW w:w="1250" w:type="pct"/>
            <w:noWrap/>
            <w:hideMark/>
          </w:tcPr>
          <w:p w14:paraId="77AE9020" w14:textId="77777777" w:rsidR="00EE230D" w:rsidRPr="00A85956" w:rsidRDefault="00EE230D" w:rsidP="00A85956">
            <w:pPr>
              <w:pStyle w:val="TableBody"/>
            </w:pPr>
            <w:r w:rsidRPr="00A85956">
              <w:t>5,271</w:t>
            </w:r>
          </w:p>
        </w:tc>
      </w:tr>
      <w:tr w:rsidR="00EE230D" w:rsidRPr="00EE230D" w14:paraId="4873DB6D" w14:textId="77777777" w:rsidTr="002A5510">
        <w:trPr>
          <w:trHeight w:val="288"/>
        </w:trPr>
        <w:tc>
          <w:tcPr>
            <w:tcW w:w="1250" w:type="pct"/>
            <w:noWrap/>
            <w:hideMark/>
          </w:tcPr>
          <w:p w14:paraId="5E74C218" w14:textId="77777777" w:rsidR="00EE230D" w:rsidRPr="00EE230D" w:rsidRDefault="00EE230D" w:rsidP="00906ADE">
            <w:pPr>
              <w:pStyle w:val="TableBody"/>
            </w:pPr>
            <w:r w:rsidRPr="00EE230D">
              <w:t>2019-20</w:t>
            </w:r>
          </w:p>
        </w:tc>
        <w:tc>
          <w:tcPr>
            <w:tcW w:w="1250" w:type="pct"/>
            <w:noWrap/>
            <w:hideMark/>
          </w:tcPr>
          <w:p w14:paraId="4046FBB2" w14:textId="77777777" w:rsidR="00EE230D" w:rsidRPr="00A85956" w:rsidRDefault="00EE230D" w:rsidP="00A85956">
            <w:pPr>
              <w:pStyle w:val="TableBody"/>
            </w:pPr>
            <w:r w:rsidRPr="00A85956">
              <w:t>13,564</w:t>
            </w:r>
          </w:p>
        </w:tc>
        <w:tc>
          <w:tcPr>
            <w:tcW w:w="1250" w:type="pct"/>
            <w:noWrap/>
            <w:hideMark/>
          </w:tcPr>
          <w:p w14:paraId="7E32A17E" w14:textId="77777777" w:rsidR="00EE230D" w:rsidRPr="00A85956" w:rsidRDefault="00EE230D" w:rsidP="00A85956">
            <w:pPr>
              <w:pStyle w:val="TableBody"/>
            </w:pPr>
            <w:r w:rsidRPr="00A85956">
              <w:t>7,511</w:t>
            </w:r>
          </w:p>
        </w:tc>
        <w:tc>
          <w:tcPr>
            <w:tcW w:w="1250" w:type="pct"/>
            <w:noWrap/>
            <w:hideMark/>
          </w:tcPr>
          <w:p w14:paraId="776A6A10" w14:textId="77777777" w:rsidR="00EE230D" w:rsidRPr="00A85956" w:rsidRDefault="00EE230D" w:rsidP="00A85956">
            <w:pPr>
              <w:pStyle w:val="TableBody"/>
            </w:pPr>
            <w:r w:rsidRPr="00A85956">
              <w:t>6,053</w:t>
            </w:r>
          </w:p>
        </w:tc>
      </w:tr>
      <w:tr w:rsidR="00EE230D" w:rsidRPr="00EE230D" w14:paraId="49499FCB" w14:textId="77777777" w:rsidTr="002A5510">
        <w:trPr>
          <w:trHeight w:val="288"/>
        </w:trPr>
        <w:tc>
          <w:tcPr>
            <w:tcW w:w="1250" w:type="pct"/>
            <w:noWrap/>
            <w:hideMark/>
          </w:tcPr>
          <w:p w14:paraId="1FB5C8EE" w14:textId="77777777" w:rsidR="00EE230D" w:rsidRPr="00EE230D" w:rsidRDefault="00EE230D" w:rsidP="00906ADE">
            <w:pPr>
              <w:pStyle w:val="TableBody"/>
            </w:pPr>
            <w:r w:rsidRPr="00EE230D">
              <w:t>2020-21</w:t>
            </w:r>
          </w:p>
        </w:tc>
        <w:tc>
          <w:tcPr>
            <w:tcW w:w="1250" w:type="pct"/>
            <w:noWrap/>
            <w:hideMark/>
          </w:tcPr>
          <w:p w14:paraId="1BEA0E42" w14:textId="77777777" w:rsidR="00EE230D" w:rsidRPr="00A85956" w:rsidRDefault="00EE230D" w:rsidP="00A85956">
            <w:pPr>
              <w:pStyle w:val="TableBody"/>
            </w:pPr>
            <w:r w:rsidRPr="00A85956">
              <w:t>11,995</w:t>
            </w:r>
          </w:p>
        </w:tc>
        <w:tc>
          <w:tcPr>
            <w:tcW w:w="1250" w:type="pct"/>
            <w:noWrap/>
            <w:hideMark/>
          </w:tcPr>
          <w:p w14:paraId="7D31AB80" w14:textId="77777777" w:rsidR="00EE230D" w:rsidRPr="00A85956" w:rsidRDefault="00EE230D" w:rsidP="00A85956">
            <w:pPr>
              <w:pStyle w:val="TableBody"/>
            </w:pPr>
            <w:r w:rsidRPr="00A85956">
              <w:t>6,082</w:t>
            </w:r>
          </w:p>
        </w:tc>
        <w:tc>
          <w:tcPr>
            <w:tcW w:w="1250" w:type="pct"/>
            <w:noWrap/>
            <w:hideMark/>
          </w:tcPr>
          <w:p w14:paraId="758D502C" w14:textId="77777777" w:rsidR="00EE230D" w:rsidRPr="00A85956" w:rsidRDefault="00EE230D" w:rsidP="00A85956">
            <w:pPr>
              <w:pStyle w:val="TableBody"/>
            </w:pPr>
            <w:r w:rsidRPr="00A85956">
              <w:t>5,913</w:t>
            </w:r>
          </w:p>
        </w:tc>
      </w:tr>
      <w:tr w:rsidR="00EE230D" w:rsidRPr="00EE230D" w14:paraId="28965B2A" w14:textId="77777777" w:rsidTr="002A5510">
        <w:trPr>
          <w:trHeight w:val="288"/>
        </w:trPr>
        <w:tc>
          <w:tcPr>
            <w:tcW w:w="1250" w:type="pct"/>
            <w:noWrap/>
            <w:hideMark/>
          </w:tcPr>
          <w:p w14:paraId="288419AC" w14:textId="77777777" w:rsidR="00EE230D" w:rsidRPr="00EE230D" w:rsidRDefault="00EE230D" w:rsidP="00906ADE">
            <w:pPr>
              <w:pStyle w:val="TableBody"/>
            </w:pPr>
            <w:r w:rsidRPr="00EE230D">
              <w:t>2021-22</w:t>
            </w:r>
          </w:p>
        </w:tc>
        <w:tc>
          <w:tcPr>
            <w:tcW w:w="1250" w:type="pct"/>
            <w:noWrap/>
            <w:hideMark/>
          </w:tcPr>
          <w:p w14:paraId="6ED996AD" w14:textId="77777777" w:rsidR="00EE230D" w:rsidRPr="00A85956" w:rsidRDefault="00EE230D" w:rsidP="00A85956">
            <w:pPr>
              <w:pStyle w:val="TableBody"/>
            </w:pPr>
            <w:r w:rsidRPr="00A85956">
              <w:t>11,024</w:t>
            </w:r>
          </w:p>
        </w:tc>
        <w:tc>
          <w:tcPr>
            <w:tcW w:w="1250" w:type="pct"/>
            <w:noWrap/>
            <w:hideMark/>
          </w:tcPr>
          <w:p w14:paraId="2C7657B8" w14:textId="77777777" w:rsidR="00EE230D" w:rsidRPr="00A85956" w:rsidRDefault="00EE230D" w:rsidP="00A85956">
            <w:pPr>
              <w:pStyle w:val="TableBody"/>
            </w:pPr>
            <w:r w:rsidRPr="00A85956">
              <w:t>5,439</w:t>
            </w:r>
          </w:p>
        </w:tc>
        <w:tc>
          <w:tcPr>
            <w:tcW w:w="1250" w:type="pct"/>
            <w:noWrap/>
            <w:hideMark/>
          </w:tcPr>
          <w:p w14:paraId="531004D6" w14:textId="77777777" w:rsidR="00EE230D" w:rsidRPr="00A85956" w:rsidRDefault="00EE230D" w:rsidP="00A85956">
            <w:pPr>
              <w:pStyle w:val="TableBody"/>
            </w:pPr>
            <w:r w:rsidRPr="00A85956">
              <w:t>5,585</w:t>
            </w:r>
          </w:p>
        </w:tc>
      </w:tr>
      <w:tr w:rsidR="00EE230D" w:rsidRPr="00EE230D" w14:paraId="7B787276" w14:textId="77777777" w:rsidTr="002A5510">
        <w:trPr>
          <w:trHeight w:val="288"/>
        </w:trPr>
        <w:tc>
          <w:tcPr>
            <w:tcW w:w="1250" w:type="pct"/>
            <w:noWrap/>
            <w:hideMark/>
          </w:tcPr>
          <w:p w14:paraId="2B34106F" w14:textId="77777777" w:rsidR="00EE230D" w:rsidRPr="00EE230D" w:rsidRDefault="00EE230D" w:rsidP="00906ADE">
            <w:pPr>
              <w:pStyle w:val="TableBody"/>
            </w:pPr>
            <w:r w:rsidRPr="00EE230D">
              <w:t>2022-23</w:t>
            </w:r>
          </w:p>
        </w:tc>
        <w:tc>
          <w:tcPr>
            <w:tcW w:w="1250" w:type="pct"/>
            <w:noWrap/>
            <w:hideMark/>
          </w:tcPr>
          <w:p w14:paraId="07673251" w14:textId="77777777" w:rsidR="00EE230D" w:rsidRPr="00A85956" w:rsidRDefault="00EE230D" w:rsidP="00A85956">
            <w:pPr>
              <w:pStyle w:val="TableBody"/>
            </w:pPr>
            <w:r w:rsidRPr="00A85956">
              <w:t>10,626</w:t>
            </w:r>
          </w:p>
        </w:tc>
        <w:tc>
          <w:tcPr>
            <w:tcW w:w="1250" w:type="pct"/>
            <w:noWrap/>
            <w:hideMark/>
          </w:tcPr>
          <w:p w14:paraId="1D02058D" w14:textId="77777777" w:rsidR="00EE230D" w:rsidRPr="00A85956" w:rsidRDefault="00EE230D" w:rsidP="00A85956">
            <w:pPr>
              <w:pStyle w:val="TableBody"/>
            </w:pPr>
            <w:r w:rsidRPr="00A85956">
              <w:t>5,157</w:t>
            </w:r>
          </w:p>
        </w:tc>
        <w:tc>
          <w:tcPr>
            <w:tcW w:w="1250" w:type="pct"/>
            <w:noWrap/>
            <w:hideMark/>
          </w:tcPr>
          <w:p w14:paraId="719BA792" w14:textId="77777777" w:rsidR="00EE230D" w:rsidRPr="00A85956" w:rsidRDefault="00EE230D" w:rsidP="00A85956">
            <w:pPr>
              <w:pStyle w:val="TableBody"/>
            </w:pPr>
            <w:r w:rsidRPr="00A85956">
              <w:t>5,469</w:t>
            </w:r>
          </w:p>
        </w:tc>
      </w:tr>
      <w:tr w:rsidR="00EE230D" w:rsidRPr="00EE230D" w14:paraId="03A051FB" w14:textId="77777777" w:rsidTr="002A5510">
        <w:trPr>
          <w:trHeight w:val="288"/>
        </w:trPr>
        <w:tc>
          <w:tcPr>
            <w:tcW w:w="1250" w:type="pct"/>
            <w:noWrap/>
            <w:hideMark/>
          </w:tcPr>
          <w:p w14:paraId="56CC24C2" w14:textId="77777777" w:rsidR="00EE230D" w:rsidRPr="00EE230D" w:rsidRDefault="00EE230D" w:rsidP="00906ADE">
            <w:pPr>
              <w:pStyle w:val="TableBody"/>
            </w:pPr>
            <w:r w:rsidRPr="00EE230D">
              <w:t>2023-24</w:t>
            </w:r>
          </w:p>
        </w:tc>
        <w:tc>
          <w:tcPr>
            <w:tcW w:w="1250" w:type="pct"/>
            <w:noWrap/>
            <w:hideMark/>
          </w:tcPr>
          <w:p w14:paraId="70AB051C" w14:textId="77777777" w:rsidR="00EE230D" w:rsidRPr="00A85956" w:rsidRDefault="00EE230D" w:rsidP="00A85956">
            <w:pPr>
              <w:pStyle w:val="TableBody"/>
            </w:pPr>
            <w:r w:rsidRPr="00A85956">
              <w:t>9,139</w:t>
            </w:r>
          </w:p>
        </w:tc>
        <w:tc>
          <w:tcPr>
            <w:tcW w:w="1250" w:type="pct"/>
            <w:noWrap/>
            <w:hideMark/>
          </w:tcPr>
          <w:p w14:paraId="6BEFECD2" w14:textId="77777777" w:rsidR="00EE230D" w:rsidRPr="00A85956" w:rsidRDefault="00EE230D" w:rsidP="00A85956">
            <w:pPr>
              <w:pStyle w:val="TableBody"/>
            </w:pPr>
            <w:r w:rsidRPr="00A85956">
              <w:t>4,815</w:t>
            </w:r>
          </w:p>
        </w:tc>
        <w:tc>
          <w:tcPr>
            <w:tcW w:w="1250" w:type="pct"/>
            <w:noWrap/>
            <w:hideMark/>
          </w:tcPr>
          <w:p w14:paraId="6E5D129F" w14:textId="77777777" w:rsidR="00EE230D" w:rsidRPr="00A85956" w:rsidRDefault="00EE230D" w:rsidP="00A85956">
            <w:pPr>
              <w:pStyle w:val="TableBody"/>
            </w:pPr>
            <w:r w:rsidRPr="00A85956">
              <w:t>4,324</w:t>
            </w:r>
          </w:p>
        </w:tc>
      </w:tr>
    </w:tbl>
    <w:p w14:paraId="5B4B5E7F" w14:textId="77777777" w:rsidR="00A0456C" w:rsidRPr="008C1137" w:rsidRDefault="00A0456C" w:rsidP="00D4532A">
      <w:r w:rsidRPr="000C258A">
        <w:rPr>
          <w:rStyle w:val="Strong"/>
        </w:rPr>
        <w:t>Source</w:t>
      </w:r>
      <w:r w:rsidRPr="008C1137">
        <w:t>: Corrections Victoria,</w:t>
      </w:r>
      <w:r w:rsidRPr="008C1137">
        <w:rPr>
          <w:rStyle w:val="Italic"/>
        </w:rPr>
        <w:t xml:space="preserve"> Monthly Time Series Prison and Community Corrections Data </w:t>
      </w:r>
      <w:r w:rsidRPr="008C1137">
        <w:t>(corrections.vic.gov.au, 2024) Table 3</w:t>
      </w:r>
    </w:p>
    <w:p w14:paraId="0F514EEE" w14:textId="77777777" w:rsidR="00A4454A" w:rsidRPr="008C1137" w:rsidRDefault="00A4454A" w:rsidP="00210207">
      <w:pPr>
        <w:pStyle w:val="Numbered"/>
      </w:pPr>
      <w:r w:rsidRPr="008C1137">
        <w:t>The volume of prisoners through the system each year increased substantially: prisoner receptions increased by 79% (from 4,839 prisoners to 8,648), and prisoner discharges increased by 97% (from 4,628 prisoners to 9,139). Most of this growth occurred between 2013–14 and 2018–19, largely driven by an increase in unsentenced prisoners. Subsequently though, with the onset of COVID-19, the volume of prisoners through the system decreased markedly.</w:t>
      </w:r>
    </w:p>
    <w:p w14:paraId="3D4DB643" w14:textId="77777777" w:rsidR="00A4454A" w:rsidRPr="008C1137" w:rsidRDefault="00A4454A" w:rsidP="00210207">
      <w:pPr>
        <w:pStyle w:val="Numbered"/>
      </w:pPr>
      <w:r w:rsidRPr="008C1137">
        <w:t xml:space="preserve">The flow of unsentenced prisoners highlights the change in the nature of Victoria’s prison population over the last two decades. Unsentenced prisoners accounted for 85% of all prisoner receptions in 2023–24, compared to just over half (54%) in 2004–05. Conversely, whereas about 1 in 2 people were entering prison as </w:t>
      </w:r>
      <w:r w:rsidRPr="003B3217">
        <w:rPr>
          <w:rStyle w:val="Italic"/>
        </w:rPr>
        <w:t>sentenced</w:t>
      </w:r>
      <w:r w:rsidRPr="008C1137">
        <w:t xml:space="preserve"> prisoners 20 years ago (46%), that proportion has now dropped to about 1 in 7 (15%). </w:t>
      </w:r>
    </w:p>
    <w:p w14:paraId="6955EBD9" w14:textId="77777777" w:rsidR="00A4454A" w:rsidRPr="008C1137" w:rsidRDefault="00A4454A" w:rsidP="00210207">
      <w:pPr>
        <w:pStyle w:val="Numbered"/>
      </w:pPr>
      <w:r w:rsidRPr="008C1137">
        <w:t xml:space="preserve">Similarly, in 2004–05, almost one-quarter (24%) of people discharged from prison were not </w:t>
      </w:r>
      <w:r w:rsidRPr="003B3217">
        <w:rPr>
          <w:rStyle w:val="Italic"/>
        </w:rPr>
        <w:t>sentenced</w:t>
      </w:r>
      <w:r w:rsidRPr="008C1137">
        <w:t xml:space="preserve"> during their time in custody (exiting on a time served prison sentence, receiving a </w:t>
      </w:r>
      <w:r w:rsidRPr="008C1137">
        <w:lastRenderedPageBreak/>
        <w:t>non-custodial sentence, being bailed, having the charges withdrawn or being found not guilty). Since 2020–21, that proportion doubled so that about half of all prisoner discharges were of people who were not sentenced during their time in custody (47% in 2023–24). This correlates with an increase in the number of time served prison sentences (see at [3.48]).</w:t>
      </w:r>
    </w:p>
    <w:p w14:paraId="2045D6ED" w14:textId="77777777" w:rsidR="00A4454A" w:rsidRPr="008C1137" w:rsidRDefault="00A4454A" w:rsidP="0002476E">
      <w:pPr>
        <w:pStyle w:val="Heading2"/>
      </w:pPr>
      <w:r w:rsidRPr="008C1137">
        <w:t>Trends in prisoner receptions and discharges</w:t>
      </w:r>
    </w:p>
    <w:p w14:paraId="3252F593" w14:textId="2AC5F09C" w:rsidR="00A4454A" w:rsidRPr="008C1137" w:rsidRDefault="00A4454A" w:rsidP="00BE4EDC">
      <w:pPr>
        <w:pStyle w:val="Numbered"/>
      </w:pPr>
      <w:r w:rsidRPr="008C1137">
        <w:t xml:space="preserve">Figure 60 shows the net flow of prisoners each month in the 20 years to 30 June 2024 to contextualise changes in the volume of prisoners through the system. Where a data point is </w:t>
      </w:r>
      <w:r w:rsidRPr="003B3217">
        <w:rPr>
          <w:rStyle w:val="Italic"/>
        </w:rPr>
        <w:t>above</w:t>
      </w:r>
      <w:r w:rsidRPr="008C1137">
        <w:t xml:space="preserve"> zero, there were more prisoner receptions that month than prisoner discharges, and conversely, where a data point falls </w:t>
      </w:r>
      <w:r w:rsidRPr="003B3217">
        <w:rPr>
          <w:rStyle w:val="Italic"/>
        </w:rPr>
        <w:t>below</w:t>
      </w:r>
      <w:r w:rsidRPr="008C1137">
        <w:t xml:space="preserve"> zero, there were more prisoner discharges that month than prisoner receptions. Holistically, there appears to have been significant fluctuation in the net flow of prisoners through the system during the 20 years, but when isolated to three discrete periods, some more distinct trends emerge:</w:t>
      </w:r>
    </w:p>
    <w:p w14:paraId="33A3DA13" w14:textId="77777777" w:rsidR="00A4454A" w:rsidRPr="008C1137" w:rsidRDefault="00A4454A" w:rsidP="008C1137">
      <w:pPr>
        <w:pStyle w:val="Bullets"/>
      </w:pPr>
      <w:r w:rsidRPr="008C1137">
        <w:t>from 2004–05 to 2010–11, there was relative stability in monthly prisoner receptions and discharges, with high prisoner discharges in December of each year and high prisoner receptions in the subsequent months (consistent with an increase in remand discharges during the holiday period and subsequent spike in receptions in the following months)</w:t>
      </w:r>
    </w:p>
    <w:p w14:paraId="2FF1E44B" w14:textId="77777777" w:rsidR="00A4454A" w:rsidRPr="008C1137" w:rsidRDefault="00A4454A" w:rsidP="008C1137">
      <w:pPr>
        <w:pStyle w:val="Bullets"/>
      </w:pPr>
      <w:r w:rsidRPr="008C1137">
        <w:t xml:space="preserve">then, from 2011–12 to 2018–19, there were significant changes in the flow of prisoners, with substantially more months in which prisoner receptions significantly exceeded prisoner discharges (and relatively few months where discharges exceeded receptions). The higher proportion of prisoner receptions is likely due to significant changes to the bail and remand landscape during this period, and they </w:t>
      </w:r>
      <w:r w:rsidRPr="008C1137">
        <w:lastRenderedPageBreak/>
        <w:t>correlate with pronounced growth in the number of custodial sentences imposed</w:t>
      </w:r>
    </w:p>
    <w:p w14:paraId="6DCFDF78" w14:textId="77777777" w:rsidR="00A4454A" w:rsidRPr="008C1137" w:rsidRDefault="00A4454A" w:rsidP="008C1137">
      <w:pPr>
        <w:pStyle w:val="Bullets"/>
      </w:pPr>
      <w:r w:rsidRPr="008C1137">
        <w:t xml:space="preserve">finally, from 2019–20 to 2023–24, there was significant unpredictability in the net flow of prisoners, particularly from the onset of COVID-19. With the exceptions of September 2020 and January 2023, most months saw either a relative stability or discharges significantly exceeding receptions. In April 2020, a month after COVID-19 social isolation restrictions began, there were almost 500 more prisoner discharges than prisoner receptions. </w:t>
      </w:r>
    </w:p>
    <w:p w14:paraId="4E043D8D" w14:textId="77777777" w:rsidR="00922664" w:rsidRPr="008C1137" w:rsidRDefault="00922664" w:rsidP="00BE4EDC">
      <w:pPr>
        <w:pStyle w:val="Caption"/>
      </w:pPr>
      <w:r w:rsidRPr="00157502">
        <w:t>Figure 60</w:t>
      </w:r>
      <w:r w:rsidRPr="008C1137">
        <w:t>: Net flow of prisoners through the system per month, 2004–05 to 2023–24</w:t>
      </w:r>
    </w:p>
    <w:tbl>
      <w:tblPr>
        <w:tblStyle w:val="Table"/>
        <w:tblW w:w="5000" w:type="pct"/>
        <w:tblLook w:val="04A0" w:firstRow="1" w:lastRow="0" w:firstColumn="1" w:lastColumn="0" w:noHBand="0" w:noVBand="1"/>
      </w:tblPr>
      <w:tblGrid>
        <w:gridCol w:w="2821"/>
        <w:gridCol w:w="2822"/>
        <w:gridCol w:w="3373"/>
      </w:tblGrid>
      <w:tr w:rsidR="00F56D0E" w:rsidRPr="00F56D0E" w14:paraId="06F147B3" w14:textId="77777777" w:rsidTr="00DC7A50">
        <w:trPr>
          <w:trHeight w:val="288"/>
          <w:tblHeader/>
        </w:trPr>
        <w:tc>
          <w:tcPr>
            <w:tcW w:w="1666" w:type="pct"/>
            <w:noWrap/>
            <w:hideMark/>
          </w:tcPr>
          <w:p w14:paraId="5C416C62" w14:textId="77777777" w:rsidR="00F56D0E" w:rsidRPr="00F56D0E" w:rsidRDefault="00F56D0E" w:rsidP="00A12B7D">
            <w:pPr>
              <w:pStyle w:val="TableHeading"/>
            </w:pPr>
            <w:r w:rsidRPr="00F56D0E">
              <w:t>Date</w:t>
            </w:r>
          </w:p>
        </w:tc>
        <w:tc>
          <w:tcPr>
            <w:tcW w:w="1666" w:type="pct"/>
            <w:noWrap/>
            <w:hideMark/>
          </w:tcPr>
          <w:p w14:paraId="54E7D314" w14:textId="77777777" w:rsidR="00F56D0E" w:rsidRPr="00F56D0E" w:rsidRDefault="00F56D0E" w:rsidP="00A12B7D">
            <w:pPr>
              <w:pStyle w:val="TableHeading"/>
            </w:pPr>
            <w:r w:rsidRPr="00F56D0E">
              <w:t>Total discharges</w:t>
            </w:r>
          </w:p>
        </w:tc>
        <w:tc>
          <w:tcPr>
            <w:tcW w:w="1667" w:type="pct"/>
            <w:noWrap/>
            <w:hideMark/>
          </w:tcPr>
          <w:p w14:paraId="5C997A2F" w14:textId="77777777" w:rsidR="00F56D0E" w:rsidRPr="00F56D0E" w:rsidRDefault="00F56D0E" w:rsidP="00A12B7D">
            <w:pPr>
              <w:pStyle w:val="TableHeading"/>
            </w:pPr>
            <w:r w:rsidRPr="00F56D0E">
              <w:t>Monthly prisoner receptions</w:t>
            </w:r>
          </w:p>
        </w:tc>
      </w:tr>
      <w:tr w:rsidR="00F56D0E" w:rsidRPr="00F56D0E" w14:paraId="67599C43" w14:textId="77777777" w:rsidTr="00DC7A50">
        <w:trPr>
          <w:trHeight w:val="288"/>
        </w:trPr>
        <w:tc>
          <w:tcPr>
            <w:tcW w:w="1666" w:type="pct"/>
            <w:noWrap/>
            <w:hideMark/>
          </w:tcPr>
          <w:p w14:paraId="715863B5" w14:textId="77777777" w:rsidR="00F56D0E" w:rsidRPr="005F1725" w:rsidRDefault="00F56D0E" w:rsidP="005F1725">
            <w:pPr>
              <w:pStyle w:val="TableBody"/>
            </w:pPr>
            <w:r w:rsidRPr="005F1725">
              <w:t>Jul-04</w:t>
            </w:r>
          </w:p>
        </w:tc>
        <w:tc>
          <w:tcPr>
            <w:tcW w:w="1666" w:type="pct"/>
            <w:noWrap/>
            <w:hideMark/>
          </w:tcPr>
          <w:p w14:paraId="66F6141B" w14:textId="77777777" w:rsidR="00F56D0E" w:rsidRPr="00D34F42" w:rsidRDefault="00F56D0E" w:rsidP="00D34F42">
            <w:pPr>
              <w:pStyle w:val="TableBody"/>
            </w:pPr>
            <w:r w:rsidRPr="00D34F42">
              <w:t>395</w:t>
            </w:r>
          </w:p>
        </w:tc>
        <w:tc>
          <w:tcPr>
            <w:tcW w:w="1667" w:type="pct"/>
            <w:noWrap/>
            <w:hideMark/>
          </w:tcPr>
          <w:p w14:paraId="096E4BAB" w14:textId="77777777" w:rsidR="00F56D0E" w:rsidRPr="00D34F42" w:rsidRDefault="00F56D0E" w:rsidP="00D34F42">
            <w:pPr>
              <w:pStyle w:val="TableBody"/>
            </w:pPr>
            <w:r w:rsidRPr="00D34F42">
              <w:t>439</w:t>
            </w:r>
          </w:p>
        </w:tc>
      </w:tr>
      <w:tr w:rsidR="00F56D0E" w:rsidRPr="00F56D0E" w14:paraId="5922D2F3" w14:textId="77777777" w:rsidTr="00DC7A50">
        <w:trPr>
          <w:trHeight w:val="288"/>
        </w:trPr>
        <w:tc>
          <w:tcPr>
            <w:tcW w:w="1666" w:type="pct"/>
            <w:noWrap/>
            <w:hideMark/>
          </w:tcPr>
          <w:p w14:paraId="73CC9891" w14:textId="77777777" w:rsidR="00F56D0E" w:rsidRPr="005F1725" w:rsidRDefault="00F56D0E" w:rsidP="005F1725">
            <w:pPr>
              <w:pStyle w:val="TableBody"/>
            </w:pPr>
            <w:r w:rsidRPr="005F1725">
              <w:t>Aug-04</w:t>
            </w:r>
          </w:p>
        </w:tc>
        <w:tc>
          <w:tcPr>
            <w:tcW w:w="1666" w:type="pct"/>
            <w:noWrap/>
            <w:hideMark/>
          </w:tcPr>
          <w:p w14:paraId="0B05F7E7" w14:textId="77777777" w:rsidR="00F56D0E" w:rsidRPr="00D34F42" w:rsidRDefault="00F56D0E" w:rsidP="00D34F42">
            <w:pPr>
              <w:pStyle w:val="TableBody"/>
            </w:pPr>
            <w:r w:rsidRPr="00D34F42">
              <w:t>438</w:t>
            </w:r>
          </w:p>
        </w:tc>
        <w:tc>
          <w:tcPr>
            <w:tcW w:w="1667" w:type="pct"/>
            <w:noWrap/>
            <w:hideMark/>
          </w:tcPr>
          <w:p w14:paraId="7F040AE4" w14:textId="77777777" w:rsidR="00F56D0E" w:rsidRPr="00D34F42" w:rsidRDefault="00F56D0E" w:rsidP="00D34F42">
            <w:pPr>
              <w:pStyle w:val="TableBody"/>
            </w:pPr>
            <w:r w:rsidRPr="00D34F42">
              <w:t>431</w:t>
            </w:r>
          </w:p>
        </w:tc>
      </w:tr>
      <w:tr w:rsidR="00F56D0E" w:rsidRPr="00F56D0E" w14:paraId="5D7700C9" w14:textId="77777777" w:rsidTr="00DC7A50">
        <w:trPr>
          <w:trHeight w:val="288"/>
        </w:trPr>
        <w:tc>
          <w:tcPr>
            <w:tcW w:w="1666" w:type="pct"/>
            <w:noWrap/>
            <w:hideMark/>
          </w:tcPr>
          <w:p w14:paraId="28039383" w14:textId="77777777" w:rsidR="00F56D0E" w:rsidRPr="005F1725" w:rsidRDefault="00F56D0E" w:rsidP="005F1725">
            <w:pPr>
              <w:pStyle w:val="TableBody"/>
            </w:pPr>
            <w:r w:rsidRPr="005F1725">
              <w:t>Sep-04</w:t>
            </w:r>
          </w:p>
        </w:tc>
        <w:tc>
          <w:tcPr>
            <w:tcW w:w="1666" w:type="pct"/>
            <w:noWrap/>
            <w:hideMark/>
          </w:tcPr>
          <w:p w14:paraId="2C3EDD43" w14:textId="77777777" w:rsidR="00F56D0E" w:rsidRPr="00D34F42" w:rsidRDefault="00F56D0E" w:rsidP="00D34F42">
            <w:pPr>
              <w:pStyle w:val="TableBody"/>
            </w:pPr>
            <w:r w:rsidRPr="00D34F42">
              <w:t>394</w:t>
            </w:r>
          </w:p>
        </w:tc>
        <w:tc>
          <w:tcPr>
            <w:tcW w:w="1667" w:type="pct"/>
            <w:noWrap/>
            <w:hideMark/>
          </w:tcPr>
          <w:p w14:paraId="02BB108F" w14:textId="77777777" w:rsidR="00F56D0E" w:rsidRPr="00D34F42" w:rsidRDefault="00F56D0E" w:rsidP="00D34F42">
            <w:pPr>
              <w:pStyle w:val="TableBody"/>
            </w:pPr>
            <w:r w:rsidRPr="00D34F42">
              <w:t>405</w:t>
            </w:r>
          </w:p>
        </w:tc>
      </w:tr>
      <w:tr w:rsidR="00F56D0E" w:rsidRPr="00F56D0E" w14:paraId="72EFB6C3" w14:textId="77777777" w:rsidTr="00DC7A50">
        <w:trPr>
          <w:trHeight w:val="288"/>
        </w:trPr>
        <w:tc>
          <w:tcPr>
            <w:tcW w:w="1666" w:type="pct"/>
            <w:noWrap/>
            <w:hideMark/>
          </w:tcPr>
          <w:p w14:paraId="3965F9C3" w14:textId="77777777" w:rsidR="00F56D0E" w:rsidRPr="005F1725" w:rsidRDefault="00F56D0E" w:rsidP="005F1725">
            <w:pPr>
              <w:pStyle w:val="TableBody"/>
            </w:pPr>
            <w:r w:rsidRPr="005F1725">
              <w:t>Oct-04</w:t>
            </w:r>
          </w:p>
        </w:tc>
        <w:tc>
          <w:tcPr>
            <w:tcW w:w="1666" w:type="pct"/>
            <w:noWrap/>
            <w:hideMark/>
          </w:tcPr>
          <w:p w14:paraId="182B770C" w14:textId="77777777" w:rsidR="00F56D0E" w:rsidRPr="00D34F42" w:rsidRDefault="00F56D0E" w:rsidP="00D34F42">
            <w:pPr>
              <w:pStyle w:val="TableBody"/>
            </w:pPr>
            <w:r w:rsidRPr="00D34F42">
              <w:t>380</w:t>
            </w:r>
          </w:p>
        </w:tc>
        <w:tc>
          <w:tcPr>
            <w:tcW w:w="1667" w:type="pct"/>
            <w:noWrap/>
            <w:hideMark/>
          </w:tcPr>
          <w:p w14:paraId="5682CC98" w14:textId="77777777" w:rsidR="00F56D0E" w:rsidRPr="00D34F42" w:rsidRDefault="00F56D0E" w:rsidP="00D34F42">
            <w:pPr>
              <w:pStyle w:val="TableBody"/>
            </w:pPr>
            <w:r w:rsidRPr="00D34F42">
              <w:t>369</w:t>
            </w:r>
          </w:p>
        </w:tc>
      </w:tr>
      <w:tr w:rsidR="00F56D0E" w:rsidRPr="00F56D0E" w14:paraId="2C47B99A" w14:textId="77777777" w:rsidTr="00DC7A50">
        <w:trPr>
          <w:trHeight w:val="288"/>
        </w:trPr>
        <w:tc>
          <w:tcPr>
            <w:tcW w:w="1666" w:type="pct"/>
            <w:noWrap/>
            <w:hideMark/>
          </w:tcPr>
          <w:p w14:paraId="714344FB" w14:textId="77777777" w:rsidR="00F56D0E" w:rsidRPr="005F1725" w:rsidRDefault="00F56D0E" w:rsidP="005F1725">
            <w:pPr>
              <w:pStyle w:val="TableBody"/>
            </w:pPr>
            <w:r w:rsidRPr="005F1725">
              <w:t>Nov-04</w:t>
            </w:r>
          </w:p>
        </w:tc>
        <w:tc>
          <w:tcPr>
            <w:tcW w:w="1666" w:type="pct"/>
            <w:noWrap/>
            <w:hideMark/>
          </w:tcPr>
          <w:p w14:paraId="3CBA51FC" w14:textId="77777777" w:rsidR="00F56D0E" w:rsidRPr="00D34F42" w:rsidRDefault="00F56D0E" w:rsidP="00D34F42">
            <w:pPr>
              <w:pStyle w:val="TableBody"/>
            </w:pPr>
            <w:r w:rsidRPr="00D34F42">
              <w:t>379</w:t>
            </w:r>
          </w:p>
        </w:tc>
        <w:tc>
          <w:tcPr>
            <w:tcW w:w="1667" w:type="pct"/>
            <w:noWrap/>
            <w:hideMark/>
          </w:tcPr>
          <w:p w14:paraId="52E813AD" w14:textId="77777777" w:rsidR="00F56D0E" w:rsidRPr="00D34F42" w:rsidRDefault="00F56D0E" w:rsidP="00D34F42">
            <w:pPr>
              <w:pStyle w:val="TableBody"/>
            </w:pPr>
            <w:r w:rsidRPr="00D34F42">
              <w:t>368</w:t>
            </w:r>
          </w:p>
        </w:tc>
      </w:tr>
      <w:tr w:rsidR="00F56D0E" w:rsidRPr="00F56D0E" w14:paraId="49A0AF0E" w14:textId="77777777" w:rsidTr="00DC7A50">
        <w:trPr>
          <w:trHeight w:val="288"/>
        </w:trPr>
        <w:tc>
          <w:tcPr>
            <w:tcW w:w="1666" w:type="pct"/>
            <w:noWrap/>
            <w:hideMark/>
          </w:tcPr>
          <w:p w14:paraId="56A8160C" w14:textId="77777777" w:rsidR="00F56D0E" w:rsidRPr="005F1725" w:rsidRDefault="00F56D0E" w:rsidP="005F1725">
            <w:pPr>
              <w:pStyle w:val="TableBody"/>
            </w:pPr>
            <w:r w:rsidRPr="005F1725">
              <w:t>Dec-04</w:t>
            </w:r>
          </w:p>
        </w:tc>
        <w:tc>
          <w:tcPr>
            <w:tcW w:w="1666" w:type="pct"/>
            <w:noWrap/>
            <w:hideMark/>
          </w:tcPr>
          <w:p w14:paraId="0962A0AE" w14:textId="77777777" w:rsidR="00F56D0E" w:rsidRPr="00D34F42" w:rsidRDefault="00F56D0E" w:rsidP="00D34F42">
            <w:pPr>
              <w:pStyle w:val="TableBody"/>
            </w:pPr>
            <w:r w:rsidRPr="00D34F42">
              <w:t>442</w:t>
            </w:r>
          </w:p>
        </w:tc>
        <w:tc>
          <w:tcPr>
            <w:tcW w:w="1667" w:type="pct"/>
            <w:noWrap/>
            <w:hideMark/>
          </w:tcPr>
          <w:p w14:paraId="27BAF048" w14:textId="77777777" w:rsidR="00F56D0E" w:rsidRPr="00D34F42" w:rsidRDefault="00F56D0E" w:rsidP="00D34F42">
            <w:pPr>
              <w:pStyle w:val="TableBody"/>
            </w:pPr>
            <w:r w:rsidRPr="00D34F42">
              <w:t>444</w:t>
            </w:r>
          </w:p>
        </w:tc>
      </w:tr>
      <w:tr w:rsidR="00F56D0E" w:rsidRPr="00F56D0E" w14:paraId="158E39F8" w14:textId="77777777" w:rsidTr="00DC7A50">
        <w:trPr>
          <w:trHeight w:val="288"/>
        </w:trPr>
        <w:tc>
          <w:tcPr>
            <w:tcW w:w="1666" w:type="pct"/>
            <w:noWrap/>
            <w:hideMark/>
          </w:tcPr>
          <w:p w14:paraId="34688F11" w14:textId="77777777" w:rsidR="00F56D0E" w:rsidRPr="005F1725" w:rsidRDefault="00F56D0E" w:rsidP="005F1725">
            <w:pPr>
              <w:pStyle w:val="TableBody"/>
            </w:pPr>
            <w:r w:rsidRPr="005F1725">
              <w:t>Jan-05</w:t>
            </w:r>
          </w:p>
        </w:tc>
        <w:tc>
          <w:tcPr>
            <w:tcW w:w="1666" w:type="pct"/>
            <w:noWrap/>
            <w:hideMark/>
          </w:tcPr>
          <w:p w14:paraId="2A4556FE" w14:textId="77777777" w:rsidR="00F56D0E" w:rsidRPr="00D34F42" w:rsidRDefault="00F56D0E" w:rsidP="00D34F42">
            <w:pPr>
              <w:pStyle w:val="TableBody"/>
            </w:pPr>
            <w:r w:rsidRPr="00D34F42">
              <w:t>339</w:t>
            </w:r>
          </w:p>
        </w:tc>
        <w:tc>
          <w:tcPr>
            <w:tcW w:w="1667" w:type="pct"/>
            <w:noWrap/>
            <w:hideMark/>
          </w:tcPr>
          <w:p w14:paraId="4127239E" w14:textId="77777777" w:rsidR="00F56D0E" w:rsidRPr="00D34F42" w:rsidRDefault="00F56D0E" w:rsidP="00D34F42">
            <w:pPr>
              <w:pStyle w:val="TableBody"/>
            </w:pPr>
            <w:r w:rsidRPr="00D34F42">
              <w:t>324</w:t>
            </w:r>
          </w:p>
        </w:tc>
      </w:tr>
      <w:tr w:rsidR="00F56D0E" w:rsidRPr="00F56D0E" w14:paraId="18CFB578" w14:textId="77777777" w:rsidTr="00DC7A50">
        <w:trPr>
          <w:trHeight w:val="288"/>
        </w:trPr>
        <w:tc>
          <w:tcPr>
            <w:tcW w:w="1666" w:type="pct"/>
            <w:noWrap/>
            <w:hideMark/>
          </w:tcPr>
          <w:p w14:paraId="0C52A335" w14:textId="77777777" w:rsidR="00F56D0E" w:rsidRPr="005F1725" w:rsidRDefault="00F56D0E" w:rsidP="005F1725">
            <w:pPr>
              <w:pStyle w:val="TableBody"/>
            </w:pPr>
            <w:r w:rsidRPr="005F1725">
              <w:t>Feb-05</w:t>
            </w:r>
          </w:p>
        </w:tc>
        <w:tc>
          <w:tcPr>
            <w:tcW w:w="1666" w:type="pct"/>
            <w:noWrap/>
            <w:hideMark/>
          </w:tcPr>
          <w:p w14:paraId="594BE000" w14:textId="77777777" w:rsidR="00F56D0E" w:rsidRPr="00D34F42" w:rsidRDefault="00F56D0E" w:rsidP="00D34F42">
            <w:pPr>
              <w:pStyle w:val="TableBody"/>
            </w:pPr>
            <w:r w:rsidRPr="00D34F42">
              <w:t>405</w:t>
            </w:r>
          </w:p>
        </w:tc>
        <w:tc>
          <w:tcPr>
            <w:tcW w:w="1667" w:type="pct"/>
            <w:noWrap/>
            <w:hideMark/>
          </w:tcPr>
          <w:p w14:paraId="4EDD3F3C" w14:textId="77777777" w:rsidR="00F56D0E" w:rsidRPr="00D34F42" w:rsidRDefault="00F56D0E" w:rsidP="00D34F42">
            <w:pPr>
              <w:pStyle w:val="TableBody"/>
            </w:pPr>
            <w:r w:rsidRPr="00D34F42">
              <w:t>376</w:t>
            </w:r>
          </w:p>
        </w:tc>
      </w:tr>
      <w:tr w:rsidR="00F56D0E" w:rsidRPr="00F56D0E" w14:paraId="1A893650" w14:textId="77777777" w:rsidTr="00DC7A50">
        <w:trPr>
          <w:trHeight w:val="288"/>
        </w:trPr>
        <w:tc>
          <w:tcPr>
            <w:tcW w:w="1666" w:type="pct"/>
            <w:noWrap/>
            <w:hideMark/>
          </w:tcPr>
          <w:p w14:paraId="737179CF" w14:textId="77777777" w:rsidR="00F56D0E" w:rsidRPr="005F1725" w:rsidRDefault="00F56D0E" w:rsidP="005F1725">
            <w:pPr>
              <w:pStyle w:val="TableBody"/>
            </w:pPr>
            <w:r w:rsidRPr="005F1725">
              <w:t>Mar-05</w:t>
            </w:r>
          </w:p>
        </w:tc>
        <w:tc>
          <w:tcPr>
            <w:tcW w:w="1666" w:type="pct"/>
            <w:noWrap/>
            <w:hideMark/>
          </w:tcPr>
          <w:p w14:paraId="635AE366" w14:textId="77777777" w:rsidR="00F56D0E" w:rsidRPr="00D34F42" w:rsidRDefault="00F56D0E" w:rsidP="00D34F42">
            <w:pPr>
              <w:pStyle w:val="TableBody"/>
            </w:pPr>
            <w:r w:rsidRPr="00D34F42">
              <w:t>362</w:t>
            </w:r>
          </w:p>
        </w:tc>
        <w:tc>
          <w:tcPr>
            <w:tcW w:w="1667" w:type="pct"/>
            <w:noWrap/>
            <w:hideMark/>
          </w:tcPr>
          <w:p w14:paraId="30D29ACB" w14:textId="77777777" w:rsidR="00F56D0E" w:rsidRPr="00D34F42" w:rsidRDefault="00F56D0E" w:rsidP="00D34F42">
            <w:pPr>
              <w:pStyle w:val="TableBody"/>
            </w:pPr>
            <w:r w:rsidRPr="00D34F42">
              <w:t>408</w:t>
            </w:r>
          </w:p>
        </w:tc>
      </w:tr>
      <w:tr w:rsidR="00F56D0E" w:rsidRPr="00F56D0E" w14:paraId="5CC9BCE2" w14:textId="77777777" w:rsidTr="00DC7A50">
        <w:trPr>
          <w:trHeight w:val="288"/>
        </w:trPr>
        <w:tc>
          <w:tcPr>
            <w:tcW w:w="1666" w:type="pct"/>
            <w:noWrap/>
            <w:hideMark/>
          </w:tcPr>
          <w:p w14:paraId="1CF5695D" w14:textId="77777777" w:rsidR="00F56D0E" w:rsidRPr="005F1725" w:rsidRDefault="00F56D0E" w:rsidP="005F1725">
            <w:pPr>
              <w:pStyle w:val="TableBody"/>
            </w:pPr>
            <w:r w:rsidRPr="005F1725">
              <w:t>Apr-05</w:t>
            </w:r>
          </w:p>
        </w:tc>
        <w:tc>
          <w:tcPr>
            <w:tcW w:w="1666" w:type="pct"/>
            <w:noWrap/>
            <w:hideMark/>
          </w:tcPr>
          <w:p w14:paraId="0DD7E782" w14:textId="77777777" w:rsidR="00F56D0E" w:rsidRPr="00D34F42" w:rsidRDefault="00F56D0E" w:rsidP="00D34F42">
            <w:pPr>
              <w:pStyle w:val="TableBody"/>
            </w:pPr>
            <w:r w:rsidRPr="00D34F42">
              <w:t>360</w:t>
            </w:r>
          </w:p>
        </w:tc>
        <w:tc>
          <w:tcPr>
            <w:tcW w:w="1667" w:type="pct"/>
            <w:noWrap/>
            <w:hideMark/>
          </w:tcPr>
          <w:p w14:paraId="2ED92E16" w14:textId="77777777" w:rsidR="00F56D0E" w:rsidRPr="00D34F42" w:rsidRDefault="00F56D0E" w:rsidP="00D34F42">
            <w:pPr>
              <w:pStyle w:val="TableBody"/>
            </w:pPr>
            <w:r w:rsidRPr="00D34F42">
              <w:t>391</w:t>
            </w:r>
          </w:p>
        </w:tc>
      </w:tr>
      <w:tr w:rsidR="00F56D0E" w:rsidRPr="00F56D0E" w14:paraId="44380746" w14:textId="77777777" w:rsidTr="00DC7A50">
        <w:trPr>
          <w:trHeight w:val="288"/>
        </w:trPr>
        <w:tc>
          <w:tcPr>
            <w:tcW w:w="1666" w:type="pct"/>
            <w:noWrap/>
            <w:hideMark/>
          </w:tcPr>
          <w:p w14:paraId="42602176" w14:textId="77777777" w:rsidR="00F56D0E" w:rsidRPr="005F1725" w:rsidRDefault="00F56D0E" w:rsidP="005F1725">
            <w:pPr>
              <w:pStyle w:val="TableBody"/>
            </w:pPr>
            <w:r w:rsidRPr="005F1725">
              <w:t>May-05</w:t>
            </w:r>
          </w:p>
        </w:tc>
        <w:tc>
          <w:tcPr>
            <w:tcW w:w="1666" w:type="pct"/>
            <w:noWrap/>
            <w:hideMark/>
          </w:tcPr>
          <w:p w14:paraId="7CF09344" w14:textId="77777777" w:rsidR="00F56D0E" w:rsidRPr="00D34F42" w:rsidRDefault="00F56D0E" w:rsidP="00D34F42">
            <w:pPr>
              <w:pStyle w:val="TableBody"/>
            </w:pPr>
            <w:r w:rsidRPr="00D34F42">
              <w:t>356</w:t>
            </w:r>
          </w:p>
        </w:tc>
        <w:tc>
          <w:tcPr>
            <w:tcW w:w="1667" w:type="pct"/>
            <w:noWrap/>
            <w:hideMark/>
          </w:tcPr>
          <w:p w14:paraId="344E8B05" w14:textId="77777777" w:rsidR="00F56D0E" w:rsidRPr="00D34F42" w:rsidRDefault="00F56D0E" w:rsidP="00D34F42">
            <w:pPr>
              <w:pStyle w:val="TableBody"/>
            </w:pPr>
            <w:r w:rsidRPr="00D34F42">
              <w:t>450</w:t>
            </w:r>
          </w:p>
        </w:tc>
      </w:tr>
      <w:tr w:rsidR="00F56D0E" w:rsidRPr="00F56D0E" w14:paraId="0B48DA40" w14:textId="77777777" w:rsidTr="00DC7A50">
        <w:trPr>
          <w:trHeight w:val="288"/>
        </w:trPr>
        <w:tc>
          <w:tcPr>
            <w:tcW w:w="1666" w:type="pct"/>
            <w:noWrap/>
            <w:hideMark/>
          </w:tcPr>
          <w:p w14:paraId="347BD4B5" w14:textId="77777777" w:rsidR="00F56D0E" w:rsidRPr="005F1725" w:rsidRDefault="00F56D0E" w:rsidP="005F1725">
            <w:pPr>
              <w:pStyle w:val="TableBody"/>
            </w:pPr>
            <w:r w:rsidRPr="005F1725">
              <w:t>Jun-05</w:t>
            </w:r>
          </w:p>
        </w:tc>
        <w:tc>
          <w:tcPr>
            <w:tcW w:w="1666" w:type="pct"/>
            <w:noWrap/>
            <w:hideMark/>
          </w:tcPr>
          <w:p w14:paraId="0D9BFA26" w14:textId="77777777" w:rsidR="00F56D0E" w:rsidRPr="00D34F42" w:rsidRDefault="00F56D0E" w:rsidP="00D34F42">
            <w:pPr>
              <w:pStyle w:val="TableBody"/>
            </w:pPr>
            <w:r w:rsidRPr="00D34F42">
              <w:t>378</w:t>
            </w:r>
          </w:p>
        </w:tc>
        <w:tc>
          <w:tcPr>
            <w:tcW w:w="1667" w:type="pct"/>
            <w:noWrap/>
            <w:hideMark/>
          </w:tcPr>
          <w:p w14:paraId="33D847D7" w14:textId="77777777" w:rsidR="00F56D0E" w:rsidRPr="00D34F42" w:rsidRDefault="00F56D0E" w:rsidP="00D34F42">
            <w:pPr>
              <w:pStyle w:val="TableBody"/>
            </w:pPr>
            <w:r w:rsidRPr="00D34F42">
              <w:t>434</w:t>
            </w:r>
          </w:p>
        </w:tc>
      </w:tr>
      <w:tr w:rsidR="00F56D0E" w:rsidRPr="00F56D0E" w14:paraId="0057C4FD" w14:textId="77777777" w:rsidTr="00DC7A50">
        <w:trPr>
          <w:trHeight w:val="288"/>
        </w:trPr>
        <w:tc>
          <w:tcPr>
            <w:tcW w:w="1666" w:type="pct"/>
            <w:noWrap/>
            <w:hideMark/>
          </w:tcPr>
          <w:p w14:paraId="04E9863F" w14:textId="77777777" w:rsidR="00F56D0E" w:rsidRPr="005F1725" w:rsidRDefault="00F56D0E" w:rsidP="005F1725">
            <w:pPr>
              <w:pStyle w:val="TableBody"/>
            </w:pPr>
            <w:r w:rsidRPr="005F1725">
              <w:t>Jul-05</w:t>
            </w:r>
          </w:p>
        </w:tc>
        <w:tc>
          <w:tcPr>
            <w:tcW w:w="1666" w:type="pct"/>
            <w:noWrap/>
            <w:hideMark/>
          </w:tcPr>
          <w:p w14:paraId="0DCFCCD2" w14:textId="77777777" w:rsidR="00F56D0E" w:rsidRPr="00D34F42" w:rsidRDefault="00F56D0E" w:rsidP="00D34F42">
            <w:pPr>
              <w:pStyle w:val="TableBody"/>
            </w:pPr>
            <w:r w:rsidRPr="00D34F42">
              <w:t>383</w:t>
            </w:r>
          </w:p>
        </w:tc>
        <w:tc>
          <w:tcPr>
            <w:tcW w:w="1667" w:type="pct"/>
            <w:noWrap/>
            <w:hideMark/>
          </w:tcPr>
          <w:p w14:paraId="77F15506" w14:textId="77777777" w:rsidR="00F56D0E" w:rsidRPr="00D34F42" w:rsidRDefault="00F56D0E" w:rsidP="00D34F42">
            <w:pPr>
              <w:pStyle w:val="TableBody"/>
            </w:pPr>
            <w:r w:rsidRPr="00D34F42">
              <w:t>390</w:t>
            </w:r>
          </w:p>
        </w:tc>
      </w:tr>
      <w:tr w:rsidR="00F56D0E" w:rsidRPr="00F56D0E" w14:paraId="37CFCF45" w14:textId="77777777" w:rsidTr="00DC7A50">
        <w:trPr>
          <w:trHeight w:val="288"/>
        </w:trPr>
        <w:tc>
          <w:tcPr>
            <w:tcW w:w="1666" w:type="pct"/>
            <w:noWrap/>
            <w:hideMark/>
          </w:tcPr>
          <w:p w14:paraId="422CD07D" w14:textId="77777777" w:rsidR="00F56D0E" w:rsidRPr="005F1725" w:rsidRDefault="00F56D0E" w:rsidP="005F1725">
            <w:pPr>
              <w:pStyle w:val="TableBody"/>
            </w:pPr>
            <w:r w:rsidRPr="005F1725">
              <w:t>Aug-05</w:t>
            </w:r>
          </w:p>
        </w:tc>
        <w:tc>
          <w:tcPr>
            <w:tcW w:w="1666" w:type="pct"/>
            <w:noWrap/>
            <w:hideMark/>
          </w:tcPr>
          <w:p w14:paraId="4C471631" w14:textId="77777777" w:rsidR="00F56D0E" w:rsidRPr="00D34F42" w:rsidRDefault="00F56D0E" w:rsidP="00D34F42">
            <w:pPr>
              <w:pStyle w:val="TableBody"/>
            </w:pPr>
            <w:r w:rsidRPr="00D34F42">
              <w:t>458</w:t>
            </w:r>
          </w:p>
        </w:tc>
        <w:tc>
          <w:tcPr>
            <w:tcW w:w="1667" w:type="pct"/>
            <w:noWrap/>
            <w:hideMark/>
          </w:tcPr>
          <w:p w14:paraId="5E2B224D" w14:textId="77777777" w:rsidR="00F56D0E" w:rsidRPr="00D34F42" w:rsidRDefault="00F56D0E" w:rsidP="00D34F42">
            <w:pPr>
              <w:pStyle w:val="TableBody"/>
            </w:pPr>
            <w:r w:rsidRPr="00D34F42">
              <w:t>433</w:t>
            </w:r>
          </w:p>
        </w:tc>
      </w:tr>
      <w:tr w:rsidR="00F56D0E" w:rsidRPr="00F56D0E" w14:paraId="70B0FA7C" w14:textId="77777777" w:rsidTr="00DC7A50">
        <w:trPr>
          <w:trHeight w:val="288"/>
        </w:trPr>
        <w:tc>
          <w:tcPr>
            <w:tcW w:w="1666" w:type="pct"/>
            <w:noWrap/>
            <w:hideMark/>
          </w:tcPr>
          <w:p w14:paraId="3A4F681A" w14:textId="77777777" w:rsidR="00F56D0E" w:rsidRPr="005F1725" w:rsidRDefault="00F56D0E" w:rsidP="005F1725">
            <w:pPr>
              <w:pStyle w:val="TableBody"/>
            </w:pPr>
            <w:r w:rsidRPr="005F1725">
              <w:t>Sep-05</w:t>
            </w:r>
          </w:p>
        </w:tc>
        <w:tc>
          <w:tcPr>
            <w:tcW w:w="1666" w:type="pct"/>
            <w:noWrap/>
            <w:hideMark/>
          </w:tcPr>
          <w:p w14:paraId="135985B7" w14:textId="77777777" w:rsidR="00F56D0E" w:rsidRPr="00D34F42" w:rsidRDefault="00F56D0E" w:rsidP="00D34F42">
            <w:pPr>
              <w:pStyle w:val="TableBody"/>
            </w:pPr>
            <w:r w:rsidRPr="00D34F42">
              <w:t>376</w:t>
            </w:r>
          </w:p>
        </w:tc>
        <w:tc>
          <w:tcPr>
            <w:tcW w:w="1667" w:type="pct"/>
            <w:noWrap/>
            <w:hideMark/>
          </w:tcPr>
          <w:p w14:paraId="6C6B6FE8" w14:textId="77777777" w:rsidR="00F56D0E" w:rsidRPr="00D34F42" w:rsidRDefault="00F56D0E" w:rsidP="00D34F42">
            <w:pPr>
              <w:pStyle w:val="TableBody"/>
            </w:pPr>
            <w:r w:rsidRPr="00D34F42">
              <w:t>395</w:t>
            </w:r>
          </w:p>
        </w:tc>
      </w:tr>
      <w:tr w:rsidR="00F56D0E" w:rsidRPr="00F56D0E" w14:paraId="17FC3506" w14:textId="77777777" w:rsidTr="00DC7A50">
        <w:trPr>
          <w:trHeight w:val="288"/>
        </w:trPr>
        <w:tc>
          <w:tcPr>
            <w:tcW w:w="1666" w:type="pct"/>
            <w:noWrap/>
            <w:hideMark/>
          </w:tcPr>
          <w:p w14:paraId="508653C4" w14:textId="77777777" w:rsidR="00F56D0E" w:rsidRPr="005F1725" w:rsidRDefault="00F56D0E" w:rsidP="005F1725">
            <w:pPr>
              <w:pStyle w:val="TableBody"/>
            </w:pPr>
            <w:r w:rsidRPr="005F1725">
              <w:t>Oct-05</w:t>
            </w:r>
          </w:p>
        </w:tc>
        <w:tc>
          <w:tcPr>
            <w:tcW w:w="1666" w:type="pct"/>
            <w:noWrap/>
            <w:hideMark/>
          </w:tcPr>
          <w:p w14:paraId="4C48759F" w14:textId="77777777" w:rsidR="00F56D0E" w:rsidRPr="00D34F42" w:rsidRDefault="00F56D0E" w:rsidP="00D34F42">
            <w:pPr>
              <w:pStyle w:val="TableBody"/>
            </w:pPr>
            <w:r w:rsidRPr="00D34F42">
              <w:t>367</w:t>
            </w:r>
          </w:p>
        </w:tc>
        <w:tc>
          <w:tcPr>
            <w:tcW w:w="1667" w:type="pct"/>
            <w:noWrap/>
            <w:hideMark/>
          </w:tcPr>
          <w:p w14:paraId="12D5326D" w14:textId="77777777" w:rsidR="00F56D0E" w:rsidRPr="00D34F42" w:rsidRDefault="00F56D0E" w:rsidP="00D34F42">
            <w:pPr>
              <w:pStyle w:val="TableBody"/>
            </w:pPr>
            <w:r w:rsidRPr="00D34F42">
              <w:t>392</w:t>
            </w:r>
          </w:p>
        </w:tc>
      </w:tr>
      <w:tr w:rsidR="00F56D0E" w:rsidRPr="00F56D0E" w14:paraId="0DFC85CF" w14:textId="77777777" w:rsidTr="00DC7A50">
        <w:trPr>
          <w:trHeight w:val="288"/>
        </w:trPr>
        <w:tc>
          <w:tcPr>
            <w:tcW w:w="1666" w:type="pct"/>
            <w:noWrap/>
            <w:hideMark/>
          </w:tcPr>
          <w:p w14:paraId="418AEE36" w14:textId="77777777" w:rsidR="00F56D0E" w:rsidRPr="005F1725" w:rsidRDefault="00F56D0E" w:rsidP="005F1725">
            <w:pPr>
              <w:pStyle w:val="TableBody"/>
            </w:pPr>
            <w:r w:rsidRPr="005F1725">
              <w:t>Nov-05</w:t>
            </w:r>
          </w:p>
        </w:tc>
        <w:tc>
          <w:tcPr>
            <w:tcW w:w="1666" w:type="pct"/>
            <w:noWrap/>
            <w:hideMark/>
          </w:tcPr>
          <w:p w14:paraId="09E16EF4" w14:textId="77777777" w:rsidR="00F56D0E" w:rsidRPr="00D34F42" w:rsidRDefault="00F56D0E" w:rsidP="00D34F42">
            <w:pPr>
              <w:pStyle w:val="TableBody"/>
            </w:pPr>
            <w:r w:rsidRPr="00D34F42">
              <w:t>420</w:t>
            </w:r>
          </w:p>
        </w:tc>
        <w:tc>
          <w:tcPr>
            <w:tcW w:w="1667" w:type="pct"/>
            <w:noWrap/>
            <w:hideMark/>
          </w:tcPr>
          <w:p w14:paraId="286A383F" w14:textId="77777777" w:rsidR="00F56D0E" w:rsidRPr="00D34F42" w:rsidRDefault="00F56D0E" w:rsidP="00D34F42">
            <w:pPr>
              <w:pStyle w:val="TableBody"/>
            </w:pPr>
            <w:r w:rsidRPr="00D34F42">
              <w:t>376</w:t>
            </w:r>
          </w:p>
        </w:tc>
      </w:tr>
      <w:tr w:rsidR="00F56D0E" w:rsidRPr="00F56D0E" w14:paraId="56C9421E" w14:textId="77777777" w:rsidTr="00DC7A50">
        <w:trPr>
          <w:trHeight w:val="288"/>
        </w:trPr>
        <w:tc>
          <w:tcPr>
            <w:tcW w:w="1666" w:type="pct"/>
            <w:noWrap/>
            <w:hideMark/>
          </w:tcPr>
          <w:p w14:paraId="2BA5FD2A" w14:textId="77777777" w:rsidR="00F56D0E" w:rsidRPr="005F1725" w:rsidRDefault="00F56D0E" w:rsidP="005F1725">
            <w:pPr>
              <w:pStyle w:val="TableBody"/>
            </w:pPr>
            <w:r w:rsidRPr="005F1725">
              <w:t>Dec-05</w:t>
            </w:r>
          </w:p>
        </w:tc>
        <w:tc>
          <w:tcPr>
            <w:tcW w:w="1666" w:type="pct"/>
            <w:noWrap/>
            <w:hideMark/>
          </w:tcPr>
          <w:p w14:paraId="19EDF91F" w14:textId="77777777" w:rsidR="00F56D0E" w:rsidRPr="00D34F42" w:rsidRDefault="00F56D0E" w:rsidP="00D34F42">
            <w:pPr>
              <w:pStyle w:val="TableBody"/>
            </w:pPr>
            <w:r w:rsidRPr="00D34F42">
              <w:t>469</w:t>
            </w:r>
          </w:p>
        </w:tc>
        <w:tc>
          <w:tcPr>
            <w:tcW w:w="1667" w:type="pct"/>
            <w:noWrap/>
            <w:hideMark/>
          </w:tcPr>
          <w:p w14:paraId="597ACAF7" w14:textId="77777777" w:rsidR="00F56D0E" w:rsidRPr="00D34F42" w:rsidRDefault="00F56D0E" w:rsidP="00D34F42">
            <w:pPr>
              <w:pStyle w:val="TableBody"/>
            </w:pPr>
            <w:r w:rsidRPr="00D34F42">
              <w:t>375</w:t>
            </w:r>
          </w:p>
        </w:tc>
      </w:tr>
      <w:tr w:rsidR="00F56D0E" w:rsidRPr="00F56D0E" w14:paraId="3FD1A484" w14:textId="77777777" w:rsidTr="00DC7A50">
        <w:trPr>
          <w:trHeight w:val="288"/>
        </w:trPr>
        <w:tc>
          <w:tcPr>
            <w:tcW w:w="1666" w:type="pct"/>
            <w:noWrap/>
            <w:hideMark/>
          </w:tcPr>
          <w:p w14:paraId="01FA5151" w14:textId="77777777" w:rsidR="00F56D0E" w:rsidRPr="005F1725" w:rsidRDefault="00F56D0E" w:rsidP="005F1725">
            <w:pPr>
              <w:pStyle w:val="TableBody"/>
            </w:pPr>
            <w:r w:rsidRPr="005F1725">
              <w:t>Jan-06</w:t>
            </w:r>
          </w:p>
        </w:tc>
        <w:tc>
          <w:tcPr>
            <w:tcW w:w="1666" w:type="pct"/>
            <w:noWrap/>
            <w:hideMark/>
          </w:tcPr>
          <w:p w14:paraId="7B0E50C9" w14:textId="77777777" w:rsidR="00F56D0E" w:rsidRPr="00D34F42" w:rsidRDefault="00F56D0E" w:rsidP="00D34F42">
            <w:pPr>
              <w:pStyle w:val="TableBody"/>
            </w:pPr>
            <w:r w:rsidRPr="00D34F42">
              <w:t>289</w:t>
            </w:r>
          </w:p>
        </w:tc>
        <w:tc>
          <w:tcPr>
            <w:tcW w:w="1667" w:type="pct"/>
            <w:noWrap/>
            <w:hideMark/>
          </w:tcPr>
          <w:p w14:paraId="6F3E3058" w14:textId="77777777" w:rsidR="00F56D0E" w:rsidRPr="00D34F42" w:rsidRDefault="00F56D0E" w:rsidP="00D34F42">
            <w:pPr>
              <w:pStyle w:val="TableBody"/>
            </w:pPr>
            <w:r w:rsidRPr="00D34F42">
              <w:t>326</w:t>
            </w:r>
          </w:p>
        </w:tc>
      </w:tr>
      <w:tr w:rsidR="00F56D0E" w:rsidRPr="00F56D0E" w14:paraId="5126E239" w14:textId="77777777" w:rsidTr="00DC7A50">
        <w:trPr>
          <w:trHeight w:val="288"/>
        </w:trPr>
        <w:tc>
          <w:tcPr>
            <w:tcW w:w="1666" w:type="pct"/>
            <w:noWrap/>
            <w:hideMark/>
          </w:tcPr>
          <w:p w14:paraId="68A1423A" w14:textId="77777777" w:rsidR="00F56D0E" w:rsidRPr="005F1725" w:rsidRDefault="00F56D0E" w:rsidP="005F1725">
            <w:pPr>
              <w:pStyle w:val="TableBody"/>
            </w:pPr>
            <w:r w:rsidRPr="005F1725">
              <w:t>Feb-06</w:t>
            </w:r>
          </w:p>
        </w:tc>
        <w:tc>
          <w:tcPr>
            <w:tcW w:w="1666" w:type="pct"/>
            <w:noWrap/>
            <w:hideMark/>
          </w:tcPr>
          <w:p w14:paraId="0D76A8F4" w14:textId="77777777" w:rsidR="00F56D0E" w:rsidRPr="00D34F42" w:rsidRDefault="00F56D0E" w:rsidP="00D34F42">
            <w:pPr>
              <w:pStyle w:val="TableBody"/>
            </w:pPr>
            <w:r w:rsidRPr="00D34F42">
              <w:t>334</w:t>
            </w:r>
          </w:p>
        </w:tc>
        <w:tc>
          <w:tcPr>
            <w:tcW w:w="1667" w:type="pct"/>
            <w:noWrap/>
            <w:hideMark/>
          </w:tcPr>
          <w:p w14:paraId="1C3C521D" w14:textId="77777777" w:rsidR="00F56D0E" w:rsidRPr="00D34F42" w:rsidRDefault="00F56D0E" w:rsidP="00D34F42">
            <w:pPr>
              <w:pStyle w:val="TableBody"/>
            </w:pPr>
            <w:r w:rsidRPr="00D34F42">
              <w:t>419</w:t>
            </w:r>
          </w:p>
        </w:tc>
      </w:tr>
      <w:tr w:rsidR="00F56D0E" w:rsidRPr="00F56D0E" w14:paraId="436D5D4B" w14:textId="77777777" w:rsidTr="00DC7A50">
        <w:trPr>
          <w:trHeight w:val="288"/>
        </w:trPr>
        <w:tc>
          <w:tcPr>
            <w:tcW w:w="1666" w:type="pct"/>
            <w:noWrap/>
            <w:hideMark/>
          </w:tcPr>
          <w:p w14:paraId="5BC18DAE" w14:textId="77777777" w:rsidR="00F56D0E" w:rsidRPr="005F1725" w:rsidRDefault="00F56D0E" w:rsidP="005F1725">
            <w:pPr>
              <w:pStyle w:val="TableBody"/>
            </w:pPr>
            <w:r w:rsidRPr="005F1725">
              <w:t>Mar-06</w:t>
            </w:r>
          </w:p>
        </w:tc>
        <w:tc>
          <w:tcPr>
            <w:tcW w:w="1666" w:type="pct"/>
            <w:noWrap/>
            <w:hideMark/>
          </w:tcPr>
          <w:p w14:paraId="2B653869" w14:textId="77777777" w:rsidR="00F56D0E" w:rsidRPr="00D34F42" w:rsidRDefault="00F56D0E" w:rsidP="00D34F42">
            <w:pPr>
              <w:pStyle w:val="TableBody"/>
            </w:pPr>
            <w:r w:rsidRPr="00D34F42">
              <w:t>361</w:t>
            </w:r>
          </w:p>
        </w:tc>
        <w:tc>
          <w:tcPr>
            <w:tcW w:w="1667" w:type="pct"/>
            <w:noWrap/>
            <w:hideMark/>
          </w:tcPr>
          <w:p w14:paraId="6531D2B5" w14:textId="77777777" w:rsidR="00F56D0E" w:rsidRPr="00D34F42" w:rsidRDefault="00F56D0E" w:rsidP="00D34F42">
            <w:pPr>
              <w:pStyle w:val="TableBody"/>
            </w:pPr>
            <w:r w:rsidRPr="00D34F42">
              <w:t>407</w:t>
            </w:r>
          </w:p>
        </w:tc>
      </w:tr>
      <w:tr w:rsidR="00F56D0E" w:rsidRPr="00F56D0E" w14:paraId="033B355C" w14:textId="77777777" w:rsidTr="00DC7A50">
        <w:trPr>
          <w:trHeight w:val="288"/>
        </w:trPr>
        <w:tc>
          <w:tcPr>
            <w:tcW w:w="1666" w:type="pct"/>
            <w:noWrap/>
            <w:hideMark/>
          </w:tcPr>
          <w:p w14:paraId="55A0E388" w14:textId="77777777" w:rsidR="00F56D0E" w:rsidRPr="005F1725" w:rsidRDefault="00F56D0E" w:rsidP="005F1725">
            <w:pPr>
              <w:pStyle w:val="TableBody"/>
            </w:pPr>
            <w:r w:rsidRPr="005F1725">
              <w:t>Apr-06</w:t>
            </w:r>
          </w:p>
        </w:tc>
        <w:tc>
          <w:tcPr>
            <w:tcW w:w="1666" w:type="pct"/>
            <w:noWrap/>
            <w:hideMark/>
          </w:tcPr>
          <w:p w14:paraId="1845B7B8" w14:textId="77777777" w:rsidR="00F56D0E" w:rsidRPr="00D34F42" w:rsidRDefault="00F56D0E" w:rsidP="00D34F42">
            <w:pPr>
              <w:pStyle w:val="TableBody"/>
            </w:pPr>
            <w:r w:rsidRPr="00D34F42">
              <w:t>331</w:t>
            </w:r>
          </w:p>
        </w:tc>
        <w:tc>
          <w:tcPr>
            <w:tcW w:w="1667" w:type="pct"/>
            <w:noWrap/>
            <w:hideMark/>
          </w:tcPr>
          <w:p w14:paraId="45A5C31E" w14:textId="77777777" w:rsidR="00F56D0E" w:rsidRPr="00D34F42" w:rsidRDefault="00F56D0E" w:rsidP="00D34F42">
            <w:pPr>
              <w:pStyle w:val="TableBody"/>
            </w:pPr>
            <w:r w:rsidRPr="00D34F42">
              <w:t>349</w:t>
            </w:r>
          </w:p>
        </w:tc>
      </w:tr>
      <w:tr w:rsidR="00F56D0E" w:rsidRPr="00F56D0E" w14:paraId="168CE3F9" w14:textId="77777777" w:rsidTr="00DC7A50">
        <w:trPr>
          <w:trHeight w:val="288"/>
        </w:trPr>
        <w:tc>
          <w:tcPr>
            <w:tcW w:w="1666" w:type="pct"/>
            <w:noWrap/>
            <w:hideMark/>
          </w:tcPr>
          <w:p w14:paraId="117ACDA3" w14:textId="77777777" w:rsidR="00F56D0E" w:rsidRPr="005F1725" w:rsidRDefault="00F56D0E" w:rsidP="005F1725">
            <w:pPr>
              <w:pStyle w:val="TableBody"/>
            </w:pPr>
            <w:r w:rsidRPr="005F1725">
              <w:t>May-06</w:t>
            </w:r>
          </w:p>
        </w:tc>
        <w:tc>
          <w:tcPr>
            <w:tcW w:w="1666" w:type="pct"/>
            <w:noWrap/>
            <w:hideMark/>
          </w:tcPr>
          <w:p w14:paraId="2F2F9712" w14:textId="77777777" w:rsidR="00F56D0E" w:rsidRPr="00D34F42" w:rsidRDefault="00F56D0E" w:rsidP="00D34F42">
            <w:pPr>
              <w:pStyle w:val="TableBody"/>
            </w:pPr>
            <w:r w:rsidRPr="00D34F42">
              <w:t>371</w:t>
            </w:r>
          </w:p>
        </w:tc>
        <w:tc>
          <w:tcPr>
            <w:tcW w:w="1667" w:type="pct"/>
            <w:noWrap/>
            <w:hideMark/>
          </w:tcPr>
          <w:p w14:paraId="4FC36880" w14:textId="77777777" w:rsidR="00F56D0E" w:rsidRPr="00D34F42" w:rsidRDefault="00F56D0E" w:rsidP="00D34F42">
            <w:pPr>
              <w:pStyle w:val="TableBody"/>
            </w:pPr>
            <w:r w:rsidRPr="00D34F42">
              <w:t>434</w:t>
            </w:r>
          </w:p>
        </w:tc>
      </w:tr>
      <w:tr w:rsidR="00F56D0E" w:rsidRPr="00F56D0E" w14:paraId="5819D167" w14:textId="77777777" w:rsidTr="00DC7A50">
        <w:trPr>
          <w:trHeight w:val="288"/>
        </w:trPr>
        <w:tc>
          <w:tcPr>
            <w:tcW w:w="1666" w:type="pct"/>
            <w:noWrap/>
            <w:hideMark/>
          </w:tcPr>
          <w:p w14:paraId="36128965" w14:textId="77777777" w:rsidR="00F56D0E" w:rsidRPr="005F1725" w:rsidRDefault="00F56D0E" w:rsidP="005F1725">
            <w:pPr>
              <w:pStyle w:val="TableBody"/>
            </w:pPr>
            <w:r w:rsidRPr="005F1725">
              <w:t>Jun-06</w:t>
            </w:r>
          </w:p>
        </w:tc>
        <w:tc>
          <w:tcPr>
            <w:tcW w:w="1666" w:type="pct"/>
            <w:noWrap/>
            <w:hideMark/>
          </w:tcPr>
          <w:p w14:paraId="002DBB8A" w14:textId="77777777" w:rsidR="00F56D0E" w:rsidRPr="00D34F42" w:rsidRDefault="00F56D0E" w:rsidP="00D34F42">
            <w:pPr>
              <w:pStyle w:val="TableBody"/>
            </w:pPr>
            <w:r w:rsidRPr="00D34F42">
              <w:t>368</w:t>
            </w:r>
          </w:p>
        </w:tc>
        <w:tc>
          <w:tcPr>
            <w:tcW w:w="1667" w:type="pct"/>
            <w:noWrap/>
            <w:hideMark/>
          </w:tcPr>
          <w:p w14:paraId="75805A6C" w14:textId="77777777" w:rsidR="00F56D0E" w:rsidRPr="00D34F42" w:rsidRDefault="00F56D0E" w:rsidP="00D34F42">
            <w:pPr>
              <w:pStyle w:val="TableBody"/>
            </w:pPr>
            <w:r w:rsidRPr="00D34F42">
              <w:t>568</w:t>
            </w:r>
          </w:p>
        </w:tc>
      </w:tr>
      <w:tr w:rsidR="00F56D0E" w:rsidRPr="00F56D0E" w14:paraId="4F3DD94E" w14:textId="77777777" w:rsidTr="00DC7A50">
        <w:trPr>
          <w:trHeight w:val="288"/>
        </w:trPr>
        <w:tc>
          <w:tcPr>
            <w:tcW w:w="1666" w:type="pct"/>
            <w:noWrap/>
            <w:hideMark/>
          </w:tcPr>
          <w:p w14:paraId="7183417E" w14:textId="77777777" w:rsidR="00F56D0E" w:rsidRPr="005F1725" w:rsidRDefault="00F56D0E" w:rsidP="005F1725">
            <w:pPr>
              <w:pStyle w:val="TableBody"/>
            </w:pPr>
            <w:r w:rsidRPr="005F1725">
              <w:t>Jul-06</w:t>
            </w:r>
          </w:p>
        </w:tc>
        <w:tc>
          <w:tcPr>
            <w:tcW w:w="1666" w:type="pct"/>
            <w:noWrap/>
            <w:hideMark/>
          </w:tcPr>
          <w:p w14:paraId="53748040" w14:textId="77777777" w:rsidR="00F56D0E" w:rsidRPr="00D34F42" w:rsidRDefault="00F56D0E" w:rsidP="00D34F42">
            <w:pPr>
              <w:pStyle w:val="TableBody"/>
            </w:pPr>
            <w:r w:rsidRPr="00D34F42">
              <w:t>374</w:t>
            </w:r>
          </w:p>
        </w:tc>
        <w:tc>
          <w:tcPr>
            <w:tcW w:w="1667" w:type="pct"/>
            <w:noWrap/>
            <w:hideMark/>
          </w:tcPr>
          <w:p w14:paraId="3768EC4B" w14:textId="77777777" w:rsidR="00F56D0E" w:rsidRPr="00D34F42" w:rsidRDefault="00F56D0E" w:rsidP="00D34F42">
            <w:pPr>
              <w:pStyle w:val="TableBody"/>
            </w:pPr>
            <w:r w:rsidRPr="00D34F42">
              <w:t>419</w:t>
            </w:r>
          </w:p>
        </w:tc>
      </w:tr>
      <w:tr w:rsidR="00F56D0E" w:rsidRPr="00F56D0E" w14:paraId="55A15149" w14:textId="77777777" w:rsidTr="00DC7A50">
        <w:trPr>
          <w:trHeight w:val="288"/>
        </w:trPr>
        <w:tc>
          <w:tcPr>
            <w:tcW w:w="1666" w:type="pct"/>
            <w:noWrap/>
            <w:hideMark/>
          </w:tcPr>
          <w:p w14:paraId="12C659EF" w14:textId="77777777" w:rsidR="00F56D0E" w:rsidRPr="005F1725" w:rsidRDefault="00F56D0E" w:rsidP="005F1725">
            <w:pPr>
              <w:pStyle w:val="TableBody"/>
            </w:pPr>
            <w:r w:rsidRPr="005F1725">
              <w:t>Aug-06</w:t>
            </w:r>
          </w:p>
        </w:tc>
        <w:tc>
          <w:tcPr>
            <w:tcW w:w="1666" w:type="pct"/>
            <w:noWrap/>
            <w:hideMark/>
          </w:tcPr>
          <w:p w14:paraId="5E74DC12" w14:textId="77777777" w:rsidR="00F56D0E" w:rsidRPr="00D34F42" w:rsidRDefault="00F56D0E" w:rsidP="00D34F42">
            <w:pPr>
              <w:pStyle w:val="TableBody"/>
            </w:pPr>
            <w:r w:rsidRPr="00D34F42">
              <w:t>424</w:t>
            </w:r>
          </w:p>
        </w:tc>
        <w:tc>
          <w:tcPr>
            <w:tcW w:w="1667" w:type="pct"/>
            <w:noWrap/>
            <w:hideMark/>
          </w:tcPr>
          <w:p w14:paraId="442B8BDC" w14:textId="77777777" w:rsidR="00F56D0E" w:rsidRPr="00D34F42" w:rsidRDefault="00F56D0E" w:rsidP="00D34F42">
            <w:pPr>
              <w:pStyle w:val="TableBody"/>
            </w:pPr>
            <w:r w:rsidRPr="00D34F42">
              <w:t>497</w:t>
            </w:r>
          </w:p>
        </w:tc>
      </w:tr>
      <w:tr w:rsidR="00F56D0E" w:rsidRPr="00F56D0E" w14:paraId="60CB967A" w14:textId="77777777" w:rsidTr="00DC7A50">
        <w:trPr>
          <w:trHeight w:val="288"/>
        </w:trPr>
        <w:tc>
          <w:tcPr>
            <w:tcW w:w="1666" w:type="pct"/>
            <w:noWrap/>
            <w:hideMark/>
          </w:tcPr>
          <w:p w14:paraId="28B8399C" w14:textId="77777777" w:rsidR="00F56D0E" w:rsidRPr="005F1725" w:rsidRDefault="00F56D0E" w:rsidP="005F1725">
            <w:pPr>
              <w:pStyle w:val="TableBody"/>
            </w:pPr>
            <w:r w:rsidRPr="005F1725">
              <w:t>Sep-06</w:t>
            </w:r>
          </w:p>
        </w:tc>
        <w:tc>
          <w:tcPr>
            <w:tcW w:w="1666" w:type="pct"/>
            <w:noWrap/>
            <w:hideMark/>
          </w:tcPr>
          <w:p w14:paraId="3E86D237" w14:textId="77777777" w:rsidR="00F56D0E" w:rsidRPr="00D34F42" w:rsidRDefault="00F56D0E" w:rsidP="00D34F42">
            <w:pPr>
              <w:pStyle w:val="TableBody"/>
            </w:pPr>
            <w:r w:rsidRPr="00D34F42">
              <w:t>401</w:t>
            </w:r>
          </w:p>
        </w:tc>
        <w:tc>
          <w:tcPr>
            <w:tcW w:w="1667" w:type="pct"/>
            <w:noWrap/>
            <w:hideMark/>
          </w:tcPr>
          <w:p w14:paraId="553B58D4" w14:textId="77777777" w:rsidR="00F56D0E" w:rsidRPr="00D34F42" w:rsidRDefault="00F56D0E" w:rsidP="00D34F42">
            <w:pPr>
              <w:pStyle w:val="TableBody"/>
            </w:pPr>
            <w:r w:rsidRPr="00D34F42">
              <w:t>431</w:t>
            </w:r>
          </w:p>
        </w:tc>
      </w:tr>
      <w:tr w:rsidR="00F56D0E" w:rsidRPr="00F56D0E" w14:paraId="3FF85FA5" w14:textId="77777777" w:rsidTr="00DC7A50">
        <w:trPr>
          <w:trHeight w:val="288"/>
        </w:trPr>
        <w:tc>
          <w:tcPr>
            <w:tcW w:w="1666" w:type="pct"/>
            <w:noWrap/>
            <w:hideMark/>
          </w:tcPr>
          <w:p w14:paraId="7D58C1E0" w14:textId="77777777" w:rsidR="00F56D0E" w:rsidRPr="005F1725" w:rsidRDefault="00F56D0E" w:rsidP="005F1725">
            <w:pPr>
              <w:pStyle w:val="TableBody"/>
            </w:pPr>
            <w:r w:rsidRPr="005F1725">
              <w:t>Oct-06</w:t>
            </w:r>
          </w:p>
        </w:tc>
        <w:tc>
          <w:tcPr>
            <w:tcW w:w="1666" w:type="pct"/>
            <w:noWrap/>
            <w:hideMark/>
          </w:tcPr>
          <w:p w14:paraId="51129C5E" w14:textId="77777777" w:rsidR="00F56D0E" w:rsidRPr="00D34F42" w:rsidRDefault="00F56D0E" w:rsidP="00D34F42">
            <w:pPr>
              <w:pStyle w:val="TableBody"/>
            </w:pPr>
            <w:r w:rsidRPr="00D34F42">
              <w:t>416</w:t>
            </w:r>
          </w:p>
        </w:tc>
        <w:tc>
          <w:tcPr>
            <w:tcW w:w="1667" w:type="pct"/>
            <w:noWrap/>
            <w:hideMark/>
          </w:tcPr>
          <w:p w14:paraId="5205B4DD" w14:textId="77777777" w:rsidR="00F56D0E" w:rsidRPr="00D34F42" w:rsidRDefault="00F56D0E" w:rsidP="00D34F42">
            <w:pPr>
              <w:pStyle w:val="TableBody"/>
            </w:pPr>
            <w:r w:rsidRPr="00D34F42">
              <w:t>454</w:t>
            </w:r>
          </w:p>
        </w:tc>
      </w:tr>
      <w:tr w:rsidR="00F56D0E" w:rsidRPr="00F56D0E" w14:paraId="12AFEF2B" w14:textId="77777777" w:rsidTr="00DC7A50">
        <w:trPr>
          <w:trHeight w:val="288"/>
        </w:trPr>
        <w:tc>
          <w:tcPr>
            <w:tcW w:w="1666" w:type="pct"/>
            <w:noWrap/>
            <w:hideMark/>
          </w:tcPr>
          <w:p w14:paraId="367A2338" w14:textId="77777777" w:rsidR="00F56D0E" w:rsidRPr="005F1725" w:rsidRDefault="00F56D0E" w:rsidP="005F1725">
            <w:pPr>
              <w:pStyle w:val="TableBody"/>
            </w:pPr>
            <w:r w:rsidRPr="005F1725">
              <w:lastRenderedPageBreak/>
              <w:t>Nov-06</w:t>
            </w:r>
          </w:p>
        </w:tc>
        <w:tc>
          <w:tcPr>
            <w:tcW w:w="1666" w:type="pct"/>
            <w:noWrap/>
            <w:hideMark/>
          </w:tcPr>
          <w:p w14:paraId="06A5F2DD" w14:textId="77777777" w:rsidR="00F56D0E" w:rsidRPr="00D34F42" w:rsidRDefault="00F56D0E" w:rsidP="00D34F42">
            <w:pPr>
              <w:pStyle w:val="TableBody"/>
            </w:pPr>
            <w:r w:rsidRPr="00D34F42">
              <w:t>437</w:t>
            </w:r>
          </w:p>
        </w:tc>
        <w:tc>
          <w:tcPr>
            <w:tcW w:w="1667" w:type="pct"/>
            <w:noWrap/>
            <w:hideMark/>
          </w:tcPr>
          <w:p w14:paraId="2762C1C2" w14:textId="77777777" w:rsidR="00F56D0E" w:rsidRPr="00D34F42" w:rsidRDefault="00F56D0E" w:rsidP="00D34F42">
            <w:pPr>
              <w:pStyle w:val="TableBody"/>
            </w:pPr>
            <w:r w:rsidRPr="00D34F42">
              <w:t>416</w:t>
            </w:r>
          </w:p>
        </w:tc>
      </w:tr>
      <w:tr w:rsidR="00F56D0E" w:rsidRPr="00F56D0E" w14:paraId="1725FC0E" w14:textId="77777777" w:rsidTr="00DC7A50">
        <w:trPr>
          <w:trHeight w:val="288"/>
        </w:trPr>
        <w:tc>
          <w:tcPr>
            <w:tcW w:w="1666" w:type="pct"/>
            <w:noWrap/>
            <w:hideMark/>
          </w:tcPr>
          <w:p w14:paraId="0277073D" w14:textId="77777777" w:rsidR="00F56D0E" w:rsidRPr="005F1725" w:rsidRDefault="00F56D0E" w:rsidP="005F1725">
            <w:pPr>
              <w:pStyle w:val="TableBody"/>
            </w:pPr>
            <w:r w:rsidRPr="005F1725">
              <w:t>Dec-06</w:t>
            </w:r>
          </w:p>
        </w:tc>
        <w:tc>
          <w:tcPr>
            <w:tcW w:w="1666" w:type="pct"/>
            <w:noWrap/>
            <w:hideMark/>
          </w:tcPr>
          <w:p w14:paraId="2B5D4EA2" w14:textId="77777777" w:rsidR="00F56D0E" w:rsidRPr="00D34F42" w:rsidRDefault="00F56D0E" w:rsidP="00D34F42">
            <w:pPr>
              <w:pStyle w:val="TableBody"/>
            </w:pPr>
            <w:r w:rsidRPr="00D34F42">
              <w:t>459</w:t>
            </w:r>
          </w:p>
        </w:tc>
        <w:tc>
          <w:tcPr>
            <w:tcW w:w="1667" w:type="pct"/>
            <w:noWrap/>
            <w:hideMark/>
          </w:tcPr>
          <w:p w14:paraId="359E5B6C" w14:textId="77777777" w:rsidR="00F56D0E" w:rsidRPr="00D34F42" w:rsidRDefault="00F56D0E" w:rsidP="00D34F42">
            <w:pPr>
              <w:pStyle w:val="TableBody"/>
            </w:pPr>
            <w:r w:rsidRPr="00D34F42">
              <w:t>359</w:t>
            </w:r>
          </w:p>
        </w:tc>
      </w:tr>
      <w:tr w:rsidR="00F56D0E" w:rsidRPr="00F56D0E" w14:paraId="7F02F734" w14:textId="77777777" w:rsidTr="00DC7A50">
        <w:trPr>
          <w:trHeight w:val="288"/>
        </w:trPr>
        <w:tc>
          <w:tcPr>
            <w:tcW w:w="1666" w:type="pct"/>
            <w:noWrap/>
            <w:hideMark/>
          </w:tcPr>
          <w:p w14:paraId="274352F2" w14:textId="77777777" w:rsidR="00F56D0E" w:rsidRPr="005F1725" w:rsidRDefault="00F56D0E" w:rsidP="005F1725">
            <w:pPr>
              <w:pStyle w:val="TableBody"/>
            </w:pPr>
            <w:r w:rsidRPr="005F1725">
              <w:t>Jan-07</w:t>
            </w:r>
          </w:p>
        </w:tc>
        <w:tc>
          <w:tcPr>
            <w:tcW w:w="1666" w:type="pct"/>
            <w:noWrap/>
            <w:hideMark/>
          </w:tcPr>
          <w:p w14:paraId="5CD1C7AF" w14:textId="77777777" w:rsidR="00F56D0E" w:rsidRPr="00D34F42" w:rsidRDefault="00F56D0E" w:rsidP="00D34F42">
            <w:pPr>
              <w:pStyle w:val="TableBody"/>
            </w:pPr>
            <w:r w:rsidRPr="00D34F42">
              <w:t>332</w:t>
            </w:r>
          </w:p>
        </w:tc>
        <w:tc>
          <w:tcPr>
            <w:tcW w:w="1667" w:type="pct"/>
            <w:noWrap/>
            <w:hideMark/>
          </w:tcPr>
          <w:p w14:paraId="76E66022" w14:textId="77777777" w:rsidR="00F56D0E" w:rsidRPr="00D34F42" w:rsidRDefault="00F56D0E" w:rsidP="00D34F42">
            <w:pPr>
              <w:pStyle w:val="TableBody"/>
            </w:pPr>
            <w:r w:rsidRPr="00D34F42">
              <w:t>410</w:t>
            </w:r>
          </w:p>
        </w:tc>
      </w:tr>
      <w:tr w:rsidR="00F56D0E" w:rsidRPr="00F56D0E" w14:paraId="26C5F215" w14:textId="77777777" w:rsidTr="00DC7A50">
        <w:trPr>
          <w:trHeight w:val="288"/>
        </w:trPr>
        <w:tc>
          <w:tcPr>
            <w:tcW w:w="1666" w:type="pct"/>
            <w:noWrap/>
            <w:hideMark/>
          </w:tcPr>
          <w:p w14:paraId="2FD273A9" w14:textId="77777777" w:rsidR="00F56D0E" w:rsidRPr="005F1725" w:rsidRDefault="00F56D0E" w:rsidP="005F1725">
            <w:pPr>
              <w:pStyle w:val="TableBody"/>
            </w:pPr>
            <w:r w:rsidRPr="005F1725">
              <w:t>Feb-07</w:t>
            </w:r>
          </w:p>
        </w:tc>
        <w:tc>
          <w:tcPr>
            <w:tcW w:w="1666" w:type="pct"/>
            <w:noWrap/>
            <w:hideMark/>
          </w:tcPr>
          <w:p w14:paraId="37ABF848" w14:textId="77777777" w:rsidR="00F56D0E" w:rsidRPr="00D34F42" w:rsidRDefault="00F56D0E" w:rsidP="00D34F42">
            <w:pPr>
              <w:pStyle w:val="TableBody"/>
            </w:pPr>
            <w:r w:rsidRPr="00D34F42">
              <w:t>411</w:t>
            </w:r>
          </w:p>
        </w:tc>
        <w:tc>
          <w:tcPr>
            <w:tcW w:w="1667" w:type="pct"/>
            <w:noWrap/>
            <w:hideMark/>
          </w:tcPr>
          <w:p w14:paraId="5B60AC7C" w14:textId="77777777" w:rsidR="00F56D0E" w:rsidRPr="00D34F42" w:rsidRDefault="00F56D0E" w:rsidP="00D34F42">
            <w:pPr>
              <w:pStyle w:val="TableBody"/>
            </w:pPr>
            <w:r w:rsidRPr="00D34F42">
              <w:t>460</w:t>
            </w:r>
          </w:p>
        </w:tc>
      </w:tr>
      <w:tr w:rsidR="00F56D0E" w:rsidRPr="00F56D0E" w14:paraId="7B9B2A71" w14:textId="77777777" w:rsidTr="00DC7A50">
        <w:trPr>
          <w:trHeight w:val="288"/>
        </w:trPr>
        <w:tc>
          <w:tcPr>
            <w:tcW w:w="1666" w:type="pct"/>
            <w:noWrap/>
            <w:hideMark/>
          </w:tcPr>
          <w:p w14:paraId="12E4CBB9" w14:textId="77777777" w:rsidR="00F56D0E" w:rsidRPr="005F1725" w:rsidRDefault="00F56D0E" w:rsidP="005F1725">
            <w:pPr>
              <w:pStyle w:val="TableBody"/>
            </w:pPr>
            <w:r w:rsidRPr="005F1725">
              <w:t>Mar-07</w:t>
            </w:r>
          </w:p>
        </w:tc>
        <w:tc>
          <w:tcPr>
            <w:tcW w:w="1666" w:type="pct"/>
            <w:noWrap/>
            <w:hideMark/>
          </w:tcPr>
          <w:p w14:paraId="6E68459B" w14:textId="77777777" w:rsidR="00F56D0E" w:rsidRPr="00D34F42" w:rsidRDefault="00F56D0E" w:rsidP="00D34F42">
            <w:pPr>
              <w:pStyle w:val="TableBody"/>
            </w:pPr>
            <w:r w:rsidRPr="00D34F42">
              <w:t>428</w:t>
            </w:r>
          </w:p>
        </w:tc>
        <w:tc>
          <w:tcPr>
            <w:tcW w:w="1667" w:type="pct"/>
            <w:noWrap/>
            <w:hideMark/>
          </w:tcPr>
          <w:p w14:paraId="31433D80" w14:textId="77777777" w:rsidR="00F56D0E" w:rsidRPr="00D34F42" w:rsidRDefault="00F56D0E" w:rsidP="00D34F42">
            <w:pPr>
              <w:pStyle w:val="TableBody"/>
            </w:pPr>
            <w:r w:rsidRPr="00D34F42">
              <w:t>455</w:t>
            </w:r>
          </w:p>
        </w:tc>
      </w:tr>
      <w:tr w:rsidR="00F56D0E" w:rsidRPr="00F56D0E" w14:paraId="7401058E" w14:textId="77777777" w:rsidTr="00DC7A50">
        <w:trPr>
          <w:trHeight w:val="288"/>
        </w:trPr>
        <w:tc>
          <w:tcPr>
            <w:tcW w:w="1666" w:type="pct"/>
            <w:noWrap/>
            <w:hideMark/>
          </w:tcPr>
          <w:p w14:paraId="0AB8342E" w14:textId="77777777" w:rsidR="00F56D0E" w:rsidRPr="005F1725" w:rsidRDefault="00F56D0E" w:rsidP="005F1725">
            <w:pPr>
              <w:pStyle w:val="TableBody"/>
            </w:pPr>
            <w:r w:rsidRPr="005F1725">
              <w:t>Apr-07</w:t>
            </w:r>
          </w:p>
        </w:tc>
        <w:tc>
          <w:tcPr>
            <w:tcW w:w="1666" w:type="pct"/>
            <w:noWrap/>
            <w:hideMark/>
          </w:tcPr>
          <w:p w14:paraId="57B67764" w14:textId="77777777" w:rsidR="00F56D0E" w:rsidRPr="00D34F42" w:rsidRDefault="00F56D0E" w:rsidP="00D34F42">
            <w:pPr>
              <w:pStyle w:val="TableBody"/>
            </w:pPr>
            <w:r w:rsidRPr="00D34F42">
              <w:t>425</w:t>
            </w:r>
          </w:p>
        </w:tc>
        <w:tc>
          <w:tcPr>
            <w:tcW w:w="1667" w:type="pct"/>
            <w:noWrap/>
            <w:hideMark/>
          </w:tcPr>
          <w:p w14:paraId="0E0F1764" w14:textId="77777777" w:rsidR="00F56D0E" w:rsidRPr="00D34F42" w:rsidRDefault="00F56D0E" w:rsidP="00D34F42">
            <w:pPr>
              <w:pStyle w:val="TableBody"/>
            </w:pPr>
            <w:r w:rsidRPr="00D34F42">
              <w:t>454</w:t>
            </w:r>
          </w:p>
        </w:tc>
      </w:tr>
      <w:tr w:rsidR="00F56D0E" w:rsidRPr="00F56D0E" w14:paraId="014C1F0D" w14:textId="77777777" w:rsidTr="00DC7A50">
        <w:trPr>
          <w:trHeight w:val="288"/>
        </w:trPr>
        <w:tc>
          <w:tcPr>
            <w:tcW w:w="1666" w:type="pct"/>
            <w:noWrap/>
            <w:hideMark/>
          </w:tcPr>
          <w:p w14:paraId="663F1B8F" w14:textId="77777777" w:rsidR="00F56D0E" w:rsidRPr="005F1725" w:rsidRDefault="00F56D0E" w:rsidP="005F1725">
            <w:pPr>
              <w:pStyle w:val="TableBody"/>
            </w:pPr>
            <w:r w:rsidRPr="005F1725">
              <w:t>May-07</w:t>
            </w:r>
          </w:p>
        </w:tc>
        <w:tc>
          <w:tcPr>
            <w:tcW w:w="1666" w:type="pct"/>
            <w:noWrap/>
            <w:hideMark/>
          </w:tcPr>
          <w:p w14:paraId="1E112A46" w14:textId="77777777" w:rsidR="00F56D0E" w:rsidRPr="00D34F42" w:rsidRDefault="00F56D0E" w:rsidP="00D34F42">
            <w:pPr>
              <w:pStyle w:val="TableBody"/>
            </w:pPr>
            <w:r w:rsidRPr="00D34F42">
              <w:t>463</w:t>
            </w:r>
          </w:p>
        </w:tc>
        <w:tc>
          <w:tcPr>
            <w:tcW w:w="1667" w:type="pct"/>
            <w:noWrap/>
            <w:hideMark/>
          </w:tcPr>
          <w:p w14:paraId="138F736F" w14:textId="77777777" w:rsidR="00F56D0E" w:rsidRPr="00D34F42" w:rsidRDefault="00F56D0E" w:rsidP="00D34F42">
            <w:pPr>
              <w:pStyle w:val="TableBody"/>
            </w:pPr>
            <w:r w:rsidRPr="00D34F42">
              <w:t>517</w:t>
            </w:r>
          </w:p>
        </w:tc>
      </w:tr>
      <w:tr w:rsidR="00F56D0E" w:rsidRPr="00F56D0E" w14:paraId="4FBF566B" w14:textId="77777777" w:rsidTr="00DC7A50">
        <w:trPr>
          <w:trHeight w:val="288"/>
        </w:trPr>
        <w:tc>
          <w:tcPr>
            <w:tcW w:w="1666" w:type="pct"/>
            <w:noWrap/>
            <w:hideMark/>
          </w:tcPr>
          <w:p w14:paraId="604FF243" w14:textId="77777777" w:rsidR="00F56D0E" w:rsidRPr="005F1725" w:rsidRDefault="00F56D0E" w:rsidP="005F1725">
            <w:pPr>
              <w:pStyle w:val="TableBody"/>
            </w:pPr>
            <w:r w:rsidRPr="005F1725">
              <w:t>Jun-07</w:t>
            </w:r>
          </w:p>
        </w:tc>
        <w:tc>
          <w:tcPr>
            <w:tcW w:w="1666" w:type="pct"/>
            <w:noWrap/>
            <w:hideMark/>
          </w:tcPr>
          <w:p w14:paraId="760DEB8D" w14:textId="77777777" w:rsidR="00F56D0E" w:rsidRPr="00D34F42" w:rsidRDefault="00F56D0E" w:rsidP="00D34F42">
            <w:pPr>
              <w:pStyle w:val="TableBody"/>
            </w:pPr>
            <w:r w:rsidRPr="00D34F42">
              <w:t>417</w:t>
            </w:r>
          </w:p>
        </w:tc>
        <w:tc>
          <w:tcPr>
            <w:tcW w:w="1667" w:type="pct"/>
            <w:noWrap/>
            <w:hideMark/>
          </w:tcPr>
          <w:p w14:paraId="0F126528" w14:textId="77777777" w:rsidR="00F56D0E" w:rsidRPr="00D34F42" w:rsidRDefault="00F56D0E" w:rsidP="00D34F42">
            <w:pPr>
              <w:pStyle w:val="TableBody"/>
            </w:pPr>
            <w:r w:rsidRPr="00D34F42">
              <w:t>452</w:t>
            </w:r>
          </w:p>
        </w:tc>
      </w:tr>
      <w:tr w:rsidR="00F56D0E" w:rsidRPr="00F56D0E" w14:paraId="741F7B35" w14:textId="77777777" w:rsidTr="00DC7A50">
        <w:trPr>
          <w:trHeight w:val="288"/>
        </w:trPr>
        <w:tc>
          <w:tcPr>
            <w:tcW w:w="1666" w:type="pct"/>
            <w:noWrap/>
            <w:hideMark/>
          </w:tcPr>
          <w:p w14:paraId="7A632B1F" w14:textId="77777777" w:rsidR="00F56D0E" w:rsidRPr="005F1725" w:rsidRDefault="00F56D0E" w:rsidP="005F1725">
            <w:pPr>
              <w:pStyle w:val="TableBody"/>
            </w:pPr>
            <w:r w:rsidRPr="005F1725">
              <w:t>Jul-07</w:t>
            </w:r>
          </w:p>
        </w:tc>
        <w:tc>
          <w:tcPr>
            <w:tcW w:w="1666" w:type="pct"/>
            <w:noWrap/>
            <w:hideMark/>
          </w:tcPr>
          <w:p w14:paraId="497A45D0" w14:textId="77777777" w:rsidR="00F56D0E" w:rsidRPr="00D34F42" w:rsidRDefault="00F56D0E" w:rsidP="00D34F42">
            <w:pPr>
              <w:pStyle w:val="TableBody"/>
            </w:pPr>
            <w:r w:rsidRPr="00D34F42">
              <w:t>441</w:t>
            </w:r>
          </w:p>
        </w:tc>
        <w:tc>
          <w:tcPr>
            <w:tcW w:w="1667" w:type="pct"/>
            <w:noWrap/>
            <w:hideMark/>
          </w:tcPr>
          <w:p w14:paraId="72D518A6" w14:textId="77777777" w:rsidR="00F56D0E" w:rsidRPr="00D34F42" w:rsidRDefault="00F56D0E" w:rsidP="00D34F42">
            <w:pPr>
              <w:pStyle w:val="TableBody"/>
            </w:pPr>
            <w:r w:rsidRPr="00D34F42">
              <w:t>422</w:t>
            </w:r>
          </w:p>
        </w:tc>
      </w:tr>
      <w:tr w:rsidR="00F56D0E" w:rsidRPr="00F56D0E" w14:paraId="745C7750" w14:textId="77777777" w:rsidTr="00DC7A50">
        <w:trPr>
          <w:trHeight w:val="288"/>
        </w:trPr>
        <w:tc>
          <w:tcPr>
            <w:tcW w:w="1666" w:type="pct"/>
            <w:noWrap/>
            <w:hideMark/>
          </w:tcPr>
          <w:p w14:paraId="76C69776" w14:textId="77777777" w:rsidR="00F56D0E" w:rsidRPr="005F1725" w:rsidRDefault="00F56D0E" w:rsidP="005F1725">
            <w:pPr>
              <w:pStyle w:val="TableBody"/>
            </w:pPr>
            <w:r w:rsidRPr="005F1725">
              <w:t>Aug-07</w:t>
            </w:r>
          </w:p>
        </w:tc>
        <w:tc>
          <w:tcPr>
            <w:tcW w:w="1666" w:type="pct"/>
            <w:noWrap/>
            <w:hideMark/>
          </w:tcPr>
          <w:p w14:paraId="3BAD89C5" w14:textId="77777777" w:rsidR="00F56D0E" w:rsidRPr="00D34F42" w:rsidRDefault="00F56D0E" w:rsidP="00D34F42">
            <w:pPr>
              <w:pStyle w:val="TableBody"/>
            </w:pPr>
            <w:r w:rsidRPr="00D34F42">
              <w:t>446</w:t>
            </w:r>
          </w:p>
        </w:tc>
        <w:tc>
          <w:tcPr>
            <w:tcW w:w="1667" w:type="pct"/>
            <w:noWrap/>
            <w:hideMark/>
          </w:tcPr>
          <w:p w14:paraId="0B8B26CF" w14:textId="77777777" w:rsidR="00F56D0E" w:rsidRPr="00D34F42" w:rsidRDefault="00F56D0E" w:rsidP="00D34F42">
            <w:pPr>
              <w:pStyle w:val="TableBody"/>
            </w:pPr>
            <w:r w:rsidRPr="00D34F42">
              <w:t>489</w:t>
            </w:r>
          </w:p>
        </w:tc>
      </w:tr>
      <w:tr w:rsidR="00F56D0E" w:rsidRPr="00F56D0E" w14:paraId="5DA7D02E" w14:textId="77777777" w:rsidTr="00DC7A50">
        <w:trPr>
          <w:trHeight w:val="288"/>
        </w:trPr>
        <w:tc>
          <w:tcPr>
            <w:tcW w:w="1666" w:type="pct"/>
            <w:noWrap/>
            <w:hideMark/>
          </w:tcPr>
          <w:p w14:paraId="1A5A2709" w14:textId="77777777" w:rsidR="00F56D0E" w:rsidRPr="005F1725" w:rsidRDefault="00F56D0E" w:rsidP="005F1725">
            <w:pPr>
              <w:pStyle w:val="TableBody"/>
            </w:pPr>
            <w:r w:rsidRPr="005F1725">
              <w:t>Sep-07</w:t>
            </w:r>
          </w:p>
        </w:tc>
        <w:tc>
          <w:tcPr>
            <w:tcW w:w="1666" w:type="pct"/>
            <w:noWrap/>
            <w:hideMark/>
          </w:tcPr>
          <w:p w14:paraId="0F983833" w14:textId="77777777" w:rsidR="00F56D0E" w:rsidRPr="00D34F42" w:rsidRDefault="00F56D0E" w:rsidP="00D34F42">
            <w:pPr>
              <w:pStyle w:val="TableBody"/>
            </w:pPr>
            <w:r w:rsidRPr="00D34F42">
              <w:t>414</w:t>
            </w:r>
          </w:p>
        </w:tc>
        <w:tc>
          <w:tcPr>
            <w:tcW w:w="1667" w:type="pct"/>
            <w:noWrap/>
            <w:hideMark/>
          </w:tcPr>
          <w:p w14:paraId="5DB0AB48" w14:textId="77777777" w:rsidR="00F56D0E" w:rsidRPr="00D34F42" w:rsidRDefault="00F56D0E" w:rsidP="00D34F42">
            <w:pPr>
              <w:pStyle w:val="TableBody"/>
            </w:pPr>
            <w:r w:rsidRPr="00D34F42">
              <w:t>461</w:t>
            </w:r>
          </w:p>
        </w:tc>
      </w:tr>
      <w:tr w:rsidR="00F56D0E" w:rsidRPr="00F56D0E" w14:paraId="6BB32AD3" w14:textId="77777777" w:rsidTr="00DC7A50">
        <w:trPr>
          <w:trHeight w:val="288"/>
        </w:trPr>
        <w:tc>
          <w:tcPr>
            <w:tcW w:w="1666" w:type="pct"/>
            <w:noWrap/>
            <w:hideMark/>
          </w:tcPr>
          <w:p w14:paraId="09EA6B8D" w14:textId="77777777" w:rsidR="00F56D0E" w:rsidRPr="005F1725" w:rsidRDefault="00F56D0E" w:rsidP="005F1725">
            <w:pPr>
              <w:pStyle w:val="TableBody"/>
            </w:pPr>
            <w:r w:rsidRPr="005F1725">
              <w:t>Oct-07</w:t>
            </w:r>
          </w:p>
        </w:tc>
        <w:tc>
          <w:tcPr>
            <w:tcW w:w="1666" w:type="pct"/>
            <w:noWrap/>
            <w:hideMark/>
          </w:tcPr>
          <w:p w14:paraId="012CB6D9" w14:textId="77777777" w:rsidR="00F56D0E" w:rsidRPr="00D34F42" w:rsidRDefault="00F56D0E" w:rsidP="00D34F42">
            <w:pPr>
              <w:pStyle w:val="TableBody"/>
            </w:pPr>
            <w:r w:rsidRPr="00D34F42">
              <w:t>432</w:t>
            </w:r>
          </w:p>
        </w:tc>
        <w:tc>
          <w:tcPr>
            <w:tcW w:w="1667" w:type="pct"/>
            <w:noWrap/>
            <w:hideMark/>
          </w:tcPr>
          <w:p w14:paraId="2B6F6645" w14:textId="77777777" w:rsidR="00F56D0E" w:rsidRPr="00D34F42" w:rsidRDefault="00F56D0E" w:rsidP="00D34F42">
            <w:pPr>
              <w:pStyle w:val="TableBody"/>
            </w:pPr>
            <w:r w:rsidRPr="00D34F42">
              <w:t>459</w:t>
            </w:r>
          </w:p>
        </w:tc>
      </w:tr>
      <w:tr w:rsidR="00F56D0E" w:rsidRPr="00F56D0E" w14:paraId="3DFDD749" w14:textId="77777777" w:rsidTr="00DC7A50">
        <w:trPr>
          <w:trHeight w:val="288"/>
        </w:trPr>
        <w:tc>
          <w:tcPr>
            <w:tcW w:w="1666" w:type="pct"/>
            <w:noWrap/>
            <w:hideMark/>
          </w:tcPr>
          <w:p w14:paraId="537ECA1D" w14:textId="77777777" w:rsidR="00F56D0E" w:rsidRPr="005F1725" w:rsidRDefault="00F56D0E" w:rsidP="005F1725">
            <w:pPr>
              <w:pStyle w:val="TableBody"/>
            </w:pPr>
            <w:r w:rsidRPr="005F1725">
              <w:t>Nov-07</w:t>
            </w:r>
          </w:p>
        </w:tc>
        <w:tc>
          <w:tcPr>
            <w:tcW w:w="1666" w:type="pct"/>
            <w:noWrap/>
            <w:hideMark/>
          </w:tcPr>
          <w:p w14:paraId="421C9A85" w14:textId="77777777" w:rsidR="00F56D0E" w:rsidRPr="00D34F42" w:rsidRDefault="00F56D0E" w:rsidP="00D34F42">
            <w:pPr>
              <w:pStyle w:val="TableBody"/>
            </w:pPr>
            <w:r w:rsidRPr="00D34F42">
              <w:t>480</w:t>
            </w:r>
          </w:p>
        </w:tc>
        <w:tc>
          <w:tcPr>
            <w:tcW w:w="1667" w:type="pct"/>
            <w:noWrap/>
            <w:hideMark/>
          </w:tcPr>
          <w:p w14:paraId="5E60ADF1" w14:textId="77777777" w:rsidR="00F56D0E" w:rsidRPr="00D34F42" w:rsidRDefault="00F56D0E" w:rsidP="00D34F42">
            <w:pPr>
              <w:pStyle w:val="TableBody"/>
            </w:pPr>
            <w:r w:rsidRPr="00D34F42">
              <w:t>460</w:t>
            </w:r>
          </w:p>
        </w:tc>
      </w:tr>
      <w:tr w:rsidR="00F56D0E" w:rsidRPr="00F56D0E" w14:paraId="5BB11249" w14:textId="77777777" w:rsidTr="00DC7A50">
        <w:trPr>
          <w:trHeight w:val="288"/>
        </w:trPr>
        <w:tc>
          <w:tcPr>
            <w:tcW w:w="1666" w:type="pct"/>
            <w:noWrap/>
            <w:hideMark/>
          </w:tcPr>
          <w:p w14:paraId="4E38D21A" w14:textId="77777777" w:rsidR="00F56D0E" w:rsidRPr="005F1725" w:rsidRDefault="00F56D0E" w:rsidP="005F1725">
            <w:pPr>
              <w:pStyle w:val="TableBody"/>
            </w:pPr>
            <w:r w:rsidRPr="005F1725">
              <w:t>Dec-07</w:t>
            </w:r>
          </w:p>
        </w:tc>
        <w:tc>
          <w:tcPr>
            <w:tcW w:w="1666" w:type="pct"/>
            <w:noWrap/>
            <w:hideMark/>
          </w:tcPr>
          <w:p w14:paraId="74E10D54" w14:textId="77777777" w:rsidR="00F56D0E" w:rsidRPr="00D34F42" w:rsidRDefault="00F56D0E" w:rsidP="00D34F42">
            <w:pPr>
              <w:pStyle w:val="TableBody"/>
            </w:pPr>
            <w:r w:rsidRPr="00D34F42">
              <w:t>505</w:t>
            </w:r>
          </w:p>
        </w:tc>
        <w:tc>
          <w:tcPr>
            <w:tcW w:w="1667" w:type="pct"/>
            <w:noWrap/>
            <w:hideMark/>
          </w:tcPr>
          <w:p w14:paraId="78C94034" w14:textId="77777777" w:rsidR="00F56D0E" w:rsidRPr="00D34F42" w:rsidRDefault="00F56D0E" w:rsidP="00D34F42">
            <w:pPr>
              <w:pStyle w:val="TableBody"/>
            </w:pPr>
            <w:r w:rsidRPr="00D34F42">
              <w:t>371</w:t>
            </w:r>
          </w:p>
        </w:tc>
      </w:tr>
      <w:tr w:rsidR="00F56D0E" w:rsidRPr="00F56D0E" w14:paraId="65F218EA" w14:textId="77777777" w:rsidTr="00DC7A50">
        <w:trPr>
          <w:trHeight w:val="288"/>
        </w:trPr>
        <w:tc>
          <w:tcPr>
            <w:tcW w:w="1666" w:type="pct"/>
            <w:noWrap/>
            <w:hideMark/>
          </w:tcPr>
          <w:p w14:paraId="33175D0D" w14:textId="77777777" w:rsidR="00F56D0E" w:rsidRPr="005F1725" w:rsidRDefault="00F56D0E" w:rsidP="005F1725">
            <w:pPr>
              <w:pStyle w:val="TableBody"/>
            </w:pPr>
            <w:r w:rsidRPr="005F1725">
              <w:t>Jan-08</w:t>
            </w:r>
          </w:p>
        </w:tc>
        <w:tc>
          <w:tcPr>
            <w:tcW w:w="1666" w:type="pct"/>
            <w:noWrap/>
            <w:hideMark/>
          </w:tcPr>
          <w:p w14:paraId="22599018" w14:textId="77777777" w:rsidR="00F56D0E" w:rsidRPr="00D34F42" w:rsidRDefault="00F56D0E" w:rsidP="00D34F42">
            <w:pPr>
              <w:pStyle w:val="TableBody"/>
            </w:pPr>
            <w:r w:rsidRPr="00D34F42">
              <w:t>391</w:t>
            </w:r>
          </w:p>
        </w:tc>
        <w:tc>
          <w:tcPr>
            <w:tcW w:w="1667" w:type="pct"/>
            <w:noWrap/>
            <w:hideMark/>
          </w:tcPr>
          <w:p w14:paraId="60F9B06C" w14:textId="77777777" w:rsidR="00F56D0E" w:rsidRPr="00D34F42" w:rsidRDefault="00F56D0E" w:rsidP="00D34F42">
            <w:pPr>
              <w:pStyle w:val="TableBody"/>
            </w:pPr>
            <w:r w:rsidRPr="00D34F42">
              <w:t>414</w:t>
            </w:r>
          </w:p>
        </w:tc>
      </w:tr>
      <w:tr w:rsidR="00F56D0E" w:rsidRPr="00F56D0E" w14:paraId="2AFCD809" w14:textId="77777777" w:rsidTr="00DC7A50">
        <w:trPr>
          <w:trHeight w:val="288"/>
        </w:trPr>
        <w:tc>
          <w:tcPr>
            <w:tcW w:w="1666" w:type="pct"/>
            <w:noWrap/>
            <w:hideMark/>
          </w:tcPr>
          <w:p w14:paraId="13B2C89D" w14:textId="77777777" w:rsidR="00F56D0E" w:rsidRPr="005F1725" w:rsidRDefault="00F56D0E" w:rsidP="005F1725">
            <w:pPr>
              <w:pStyle w:val="TableBody"/>
            </w:pPr>
            <w:r w:rsidRPr="005F1725">
              <w:t>Feb-08</w:t>
            </w:r>
          </w:p>
        </w:tc>
        <w:tc>
          <w:tcPr>
            <w:tcW w:w="1666" w:type="pct"/>
            <w:noWrap/>
            <w:hideMark/>
          </w:tcPr>
          <w:p w14:paraId="4CC6EF53" w14:textId="77777777" w:rsidR="00F56D0E" w:rsidRPr="00D34F42" w:rsidRDefault="00F56D0E" w:rsidP="00D34F42">
            <w:pPr>
              <w:pStyle w:val="TableBody"/>
            </w:pPr>
            <w:r w:rsidRPr="00D34F42">
              <w:t>423</w:t>
            </w:r>
          </w:p>
        </w:tc>
        <w:tc>
          <w:tcPr>
            <w:tcW w:w="1667" w:type="pct"/>
            <w:noWrap/>
            <w:hideMark/>
          </w:tcPr>
          <w:p w14:paraId="06D81727" w14:textId="77777777" w:rsidR="00F56D0E" w:rsidRPr="00D34F42" w:rsidRDefault="00F56D0E" w:rsidP="00D34F42">
            <w:pPr>
              <w:pStyle w:val="TableBody"/>
            </w:pPr>
            <w:r w:rsidRPr="00D34F42">
              <w:t>478</w:t>
            </w:r>
          </w:p>
        </w:tc>
      </w:tr>
      <w:tr w:rsidR="00F56D0E" w:rsidRPr="00F56D0E" w14:paraId="0C34F174" w14:textId="77777777" w:rsidTr="00DC7A50">
        <w:trPr>
          <w:trHeight w:val="288"/>
        </w:trPr>
        <w:tc>
          <w:tcPr>
            <w:tcW w:w="1666" w:type="pct"/>
            <w:noWrap/>
            <w:hideMark/>
          </w:tcPr>
          <w:p w14:paraId="40F892D5" w14:textId="77777777" w:rsidR="00F56D0E" w:rsidRPr="005F1725" w:rsidRDefault="00F56D0E" w:rsidP="005F1725">
            <w:pPr>
              <w:pStyle w:val="TableBody"/>
            </w:pPr>
            <w:r w:rsidRPr="005F1725">
              <w:t>Mar-08</w:t>
            </w:r>
          </w:p>
        </w:tc>
        <w:tc>
          <w:tcPr>
            <w:tcW w:w="1666" w:type="pct"/>
            <w:noWrap/>
            <w:hideMark/>
          </w:tcPr>
          <w:p w14:paraId="1B25CCBF" w14:textId="77777777" w:rsidR="00F56D0E" w:rsidRPr="00D34F42" w:rsidRDefault="00F56D0E" w:rsidP="00D34F42">
            <w:pPr>
              <w:pStyle w:val="TableBody"/>
            </w:pPr>
            <w:r w:rsidRPr="00D34F42">
              <w:t>411</w:t>
            </w:r>
          </w:p>
        </w:tc>
        <w:tc>
          <w:tcPr>
            <w:tcW w:w="1667" w:type="pct"/>
            <w:noWrap/>
            <w:hideMark/>
          </w:tcPr>
          <w:p w14:paraId="142C8D49" w14:textId="77777777" w:rsidR="00F56D0E" w:rsidRPr="00D34F42" w:rsidRDefault="00F56D0E" w:rsidP="00D34F42">
            <w:pPr>
              <w:pStyle w:val="TableBody"/>
            </w:pPr>
            <w:r w:rsidRPr="00D34F42">
              <w:t>427</w:t>
            </w:r>
          </w:p>
        </w:tc>
      </w:tr>
      <w:tr w:rsidR="00F56D0E" w:rsidRPr="00F56D0E" w14:paraId="754CFF9D" w14:textId="77777777" w:rsidTr="00DC7A50">
        <w:trPr>
          <w:trHeight w:val="288"/>
        </w:trPr>
        <w:tc>
          <w:tcPr>
            <w:tcW w:w="1666" w:type="pct"/>
            <w:noWrap/>
            <w:hideMark/>
          </w:tcPr>
          <w:p w14:paraId="661FB100" w14:textId="77777777" w:rsidR="00F56D0E" w:rsidRPr="005F1725" w:rsidRDefault="00F56D0E" w:rsidP="005F1725">
            <w:pPr>
              <w:pStyle w:val="TableBody"/>
            </w:pPr>
            <w:r w:rsidRPr="005F1725">
              <w:t>Apr-08</w:t>
            </w:r>
          </w:p>
        </w:tc>
        <w:tc>
          <w:tcPr>
            <w:tcW w:w="1666" w:type="pct"/>
            <w:noWrap/>
            <w:hideMark/>
          </w:tcPr>
          <w:p w14:paraId="68D6403D" w14:textId="77777777" w:rsidR="00F56D0E" w:rsidRPr="00D34F42" w:rsidRDefault="00F56D0E" w:rsidP="00D34F42">
            <w:pPr>
              <w:pStyle w:val="TableBody"/>
            </w:pPr>
            <w:r w:rsidRPr="00D34F42">
              <w:t>470</w:t>
            </w:r>
          </w:p>
        </w:tc>
        <w:tc>
          <w:tcPr>
            <w:tcW w:w="1667" w:type="pct"/>
            <w:noWrap/>
            <w:hideMark/>
          </w:tcPr>
          <w:p w14:paraId="7E6B4BEF" w14:textId="77777777" w:rsidR="00F56D0E" w:rsidRPr="00D34F42" w:rsidRDefault="00F56D0E" w:rsidP="00D34F42">
            <w:pPr>
              <w:pStyle w:val="TableBody"/>
            </w:pPr>
            <w:r w:rsidRPr="00D34F42">
              <w:t>475</w:t>
            </w:r>
          </w:p>
        </w:tc>
      </w:tr>
      <w:tr w:rsidR="00F56D0E" w:rsidRPr="00F56D0E" w14:paraId="54BF617E" w14:textId="77777777" w:rsidTr="00DC7A50">
        <w:trPr>
          <w:trHeight w:val="288"/>
        </w:trPr>
        <w:tc>
          <w:tcPr>
            <w:tcW w:w="1666" w:type="pct"/>
            <w:noWrap/>
            <w:hideMark/>
          </w:tcPr>
          <w:p w14:paraId="25F72A8A" w14:textId="77777777" w:rsidR="00F56D0E" w:rsidRPr="005F1725" w:rsidRDefault="00F56D0E" w:rsidP="005F1725">
            <w:pPr>
              <w:pStyle w:val="TableBody"/>
            </w:pPr>
            <w:r w:rsidRPr="005F1725">
              <w:t>May-08</w:t>
            </w:r>
          </w:p>
        </w:tc>
        <w:tc>
          <w:tcPr>
            <w:tcW w:w="1666" w:type="pct"/>
            <w:noWrap/>
            <w:hideMark/>
          </w:tcPr>
          <w:p w14:paraId="1627B764" w14:textId="77777777" w:rsidR="00F56D0E" w:rsidRPr="00D34F42" w:rsidRDefault="00F56D0E" w:rsidP="00D34F42">
            <w:pPr>
              <w:pStyle w:val="TableBody"/>
            </w:pPr>
            <w:r w:rsidRPr="00D34F42">
              <w:t>427</w:t>
            </w:r>
          </w:p>
        </w:tc>
        <w:tc>
          <w:tcPr>
            <w:tcW w:w="1667" w:type="pct"/>
            <w:noWrap/>
            <w:hideMark/>
          </w:tcPr>
          <w:p w14:paraId="0CB34735" w14:textId="77777777" w:rsidR="00F56D0E" w:rsidRPr="00D34F42" w:rsidRDefault="00F56D0E" w:rsidP="00D34F42">
            <w:pPr>
              <w:pStyle w:val="TableBody"/>
            </w:pPr>
            <w:r w:rsidRPr="00D34F42">
              <w:t>455</w:t>
            </w:r>
          </w:p>
        </w:tc>
      </w:tr>
      <w:tr w:rsidR="00F56D0E" w:rsidRPr="00F56D0E" w14:paraId="4812EB42" w14:textId="77777777" w:rsidTr="00DC7A50">
        <w:trPr>
          <w:trHeight w:val="288"/>
        </w:trPr>
        <w:tc>
          <w:tcPr>
            <w:tcW w:w="1666" w:type="pct"/>
            <w:noWrap/>
            <w:hideMark/>
          </w:tcPr>
          <w:p w14:paraId="4D0C032D" w14:textId="77777777" w:rsidR="00F56D0E" w:rsidRPr="005F1725" w:rsidRDefault="00F56D0E" w:rsidP="005F1725">
            <w:pPr>
              <w:pStyle w:val="TableBody"/>
            </w:pPr>
            <w:r w:rsidRPr="005F1725">
              <w:t>Jun-08</w:t>
            </w:r>
          </w:p>
        </w:tc>
        <w:tc>
          <w:tcPr>
            <w:tcW w:w="1666" w:type="pct"/>
            <w:noWrap/>
            <w:hideMark/>
          </w:tcPr>
          <w:p w14:paraId="60E2BE78" w14:textId="77777777" w:rsidR="00F56D0E" w:rsidRPr="00D34F42" w:rsidRDefault="00F56D0E" w:rsidP="00D34F42">
            <w:pPr>
              <w:pStyle w:val="TableBody"/>
            </w:pPr>
            <w:r w:rsidRPr="00D34F42">
              <w:t>418</w:t>
            </w:r>
          </w:p>
        </w:tc>
        <w:tc>
          <w:tcPr>
            <w:tcW w:w="1667" w:type="pct"/>
            <w:noWrap/>
            <w:hideMark/>
          </w:tcPr>
          <w:p w14:paraId="75B1FBB9" w14:textId="77777777" w:rsidR="00F56D0E" w:rsidRPr="00D34F42" w:rsidRDefault="00F56D0E" w:rsidP="00D34F42">
            <w:pPr>
              <w:pStyle w:val="TableBody"/>
            </w:pPr>
            <w:r w:rsidRPr="00D34F42">
              <w:t>451</w:t>
            </w:r>
          </w:p>
        </w:tc>
      </w:tr>
      <w:tr w:rsidR="00F56D0E" w:rsidRPr="00F56D0E" w14:paraId="2C1293A6" w14:textId="77777777" w:rsidTr="00DC7A50">
        <w:trPr>
          <w:trHeight w:val="288"/>
        </w:trPr>
        <w:tc>
          <w:tcPr>
            <w:tcW w:w="1666" w:type="pct"/>
            <w:noWrap/>
            <w:hideMark/>
          </w:tcPr>
          <w:p w14:paraId="18D810FB" w14:textId="77777777" w:rsidR="00F56D0E" w:rsidRPr="005F1725" w:rsidRDefault="00F56D0E" w:rsidP="005F1725">
            <w:pPr>
              <w:pStyle w:val="TableBody"/>
            </w:pPr>
            <w:r w:rsidRPr="005F1725">
              <w:t>Jul-08</w:t>
            </w:r>
          </w:p>
        </w:tc>
        <w:tc>
          <w:tcPr>
            <w:tcW w:w="1666" w:type="pct"/>
            <w:noWrap/>
            <w:hideMark/>
          </w:tcPr>
          <w:p w14:paraId="34102408" w14:textId="77777777" w:rsidR="00F56D0E" w:rsidRPr="00D34F42" w:rsidRDefault="00F56D0E" w:rsidP="00D34F42">
            <w:pPr>
              <w:pStyle w:val="TableBody"/>
            </w:pPr>
            <w:r w:rsidRPr="00D34F42">
              <w:t>425</w:t>
            </w:r>
          </w:p>
        </w:tc>
        <w:tc>
          <w:tcPr>
            <w:tcW w:w="1667" w:type="pct"/>
            <w:noWrap/>
            <w:hideMark/>
          </w:tcPr>
          <w:p w14:paraId="6A431F3F" w14:textId="77777777" w:rsidR="00F56D0E" w:rsidRPr="00D34F42" w:rsidRDefault="00F56D0E" w:rsidP="00D34F42">
            <w:pPr>
              <w:pStyle w:val="TableBody"/>
            </w:pPr>
            <w:r w:rsidRPr="00D34F42">
              <w:t>518</w:t>
            </w:r>
          </w:p>
        </w:tc>
      </w:tr>
      <w:tr w:rsidR="00F56D0E" w:rsidRPr="00F56D0E" w14:paraId="22624FB4" w14:textId="77777777" w:rsidTr="00DC7A50">
        <w:trPr>
          <w:trHeight w:val="288"/>
        </w:trPr>
        <w:tc>
          <w:tcPr>
            <w:tcW w:w="1666" w:type="pct"/>
            <w:noWrap/>
            <w:hideMark/>
          </w:tcPr>
          <w:p w14:paraId="5FB70006" w14:textId="77777777" w:rsidR="00F56D0E" w:rsidRPr="005F1725" w:rsidRDefault="00F56D0E" w:rsidP="005F1725">
            <w:pPr>
              <w:pStyle w:val="TableBody"/>
            </w:pPr>
            <w:r w:rsidRPr="005F1725">
              <w:t>Aug-08</w:t>
            </w:r>
          </w:p>
        </w:tc>
        <w:tc>
          <w:tcPr>
            <w:tcW w:w="1666" w:type="pct"/>
            <w:noWrap/>
            <w:hideMark/>
          </w:tcPr>
          <w:p w14:paraId="0A88D347" w14:textId="77777777" w:rsidR="00F56D0E" w:rsidRPr="00D34F42" w:rsidRDefault="00F56D0E" w:rsidP="00D34F42">
            <w:pPr>
              <w:pStyle w:val="TableBody"/>
            </w:pPr>
            <w:r w:rsidRPr="00D34F42">
              <w:t>451</w:t>
            </w:r>
          </w:p>
        </w:tc>
        <w:tc>
          <w:tcPr>
            <w:tcW w:w="1667" w:type="pct"/>
            <w:noWrap/>
            <w:hideMark/>
          </w:tcPr>
          <w:p w14:paraId="3E1E1040" w14:textId="77777777" w:rsidR="00F56D0E" w:rsidRPr="00D34F42" w:rsidRDefault="00F56D0E" w:rsidP="00D34F42">
            <w:pPr>
              <w:pStyle w:val="TableBody"/>
            </w:pPr>
            <w:r w:rsidRPr="00D34F42">
              <w:t>478</w:t>
            </w:r>
          </w:p>
        </w:tc>
      </w:tr>
      <w:tr w:rsidR="00F56D0E" w:rsidRPr="00F56D0E" w14:paraId="1D9FC06F" w14:textId="77777777" w:rsidTr="00DC7A50">
        <w:trPr>
          <w:trHeight w:val="288"/>
        </w:trPr>
        <w:tc>
          <w:tcPr>
            <w:tcW w:w="1666" w:type="pct"/>
            <w:noWrap/>
            <w:hideMark/>
          </w:tcPr>
          <w:p w14:paraId="309867CF" w14:textId="77777777" w:rsidR="00F56D0E" w:rsidRPr="005F1725" w:rsidRDefault="00F56D0E" w:rsidP="005F1725">
            <w:pPr>
              <w:pStyle w:val="TableBody"/>
            </w:pPr>
            <w:r w:rsidRPr="005F1725">
              <w:t>Sep-08</w:t>
            </w:r>
          </w:p>
        </w:tc>
        <w:tc>
          <w:tcPr>
            <w:tcW w:w="1666" w:type="pct"/>
            <w:noWrap/>
            <w:hideMark/>
          </w:tcPr>
          <w:p w14:paraId="61D34B9C" w14:textId="77777777" w:rsidR="00F56D0E" w:rsidRPr="00D34F42" w:rsidRDefault="00F56D0E" w:rsidP="00D34F42">
            <w:pPr>
              <w:pStyle w:val="TableBody"/>
            </w:pPr>
            <w:r w:rsidRPr="00D34F42">
              <w:t>476</w:t>
            </w:r>
          </w:p>
        </w:tc>
        <w:tc>
          <w:tcPr>
            <w:tcW w:w="1667" w:type="pct"/>
            <w:noWrap/>
            <w:hideMark/>
          </w:tcPr>
          <w:p w14:paraId="02089098" w14:textId="77777777" w:rsidR="00F56D0E" w:rsidRPr="00D34F42" w:rsidRDefault="00F56D0E" w:rsidP="00D34F42">
            <w:pPr>
              <w:pStyle w:val="TableBody"/>
            </w:pPr>
            <w:r w:rsidRPr="00D34F42">
              <w:t>501</w:t>
            </w:r>
          </w:p>
        </w:tc>
      </w:tr>
      <w:tr w:rsidR="00F56D0E" w:rsidRPr="00F56D0E" w14:paraId="2BF422E7" w14:textId="77777777" w:rsidTr="00DC7A50">
        <w:trPr>
          <w:trHeight w:val="288"/>
        </w:trPr>
        <w:tc>
          <w:tcPr>
            <w:tcW w:w="1666" w:type="pct"/>
            <w:noWrap/>
            <w:hideMark/>
          </w:tcPr>
          <w:p w14:paraId="14A6120F" w14:textId="77777777" w:rsidR="00F56D0E" w:rsidRPr="005F1725" w:rsidRDefault="00F56D0E" w:rsidP="005F1725">
            <w:pPr>
              <w:pStyle w:val="TableBody"/>
            </w:pPr>
            <w:r w:rsidRPr="005F1725">
              <w:t>Oct-08</w:t>
            </w:r>
          </w:p>
        </w:tc>
        <w:tc>
          <w:tcPr>
            <w:tcW w:w="1666" w:type="pct"/>
            <w:noWrap/>
            <w:hideMark/>
          </w:tcPr>
          <w:p w14:paraId="420F889D" w14:textId="77777777" w:rsidR="00F56D0E" w:rsidRPr="00D34F42" w:rsidRDefault="00F56D0E" w:rsidP="00D34F42">
            <w:pPr>
              <w:pStyle w:val="TableBody"/>
            </w:pPr>
            <w:r w:rsidRPr="00D34F42">
              <w:t>438</w:t>
            </w:r>
          </w:p>
        </w:tc>
        <w:tc>
          <w:tcPr>
            <w:tcW w:w="1667" w:type="pct"/>
            <w:noWrap/>
            <w:hideMark/>
          </w:tcPr>
          <w:p w14:paraId="68F8CD98" w14:textId="77777777" w:rsidR="00F56D0E" w:rsidRPr="00D34F42" w:rsidRDefault="00F56D0E" w:rsidP="00D34F42">
            <w:pPr>
              <w:pStyle w:val="TableBody"/>
            </w:pPr>
            <w:r w:rsidRPr="00D34F42">
              <w:t>490</w:t>
            </w:r>
          </w:p>
        </w:tc>
      </w:tr>
      <w:tr w:rsidR="00F56D0E" w:rsidRPr="00F56D0E" w14:paraId="789CE37B" w14:textId="77777777" w:rsidTr="00DC7A50">
        <w:trPr>
          <w:trHeight w:val="288"/>
        </w:trPr>
        <w:tc>
          <w:tcPr>
            <w:tcW w:w="1666" w:type="pct"/>
            <w:noWrap/>
            <w:hideMark/>
          </w:tcPr>
          <w:p w14:paraId="4FEBB3DC" w14:textId="77777777" w:rsidR="00F56D0E" w:rsidRPr="005F1725" w:rsidRDefault="00F56D0E" w:rsidP="005F1725">
            <w:pPr>
              <w:pStyle w:val="TableBody"/>
            </w:pPr>
            <w:r w:rsidRPr="005F1725">
              <w:t>Nov-08</w:t>
            </w:r>
          </w:p>
        </w:tc>
        <w:tc>
          <w:tcPr>
            <w:tcW w:w="1666" w:type="pct"/>
            <w:noWrap/>
            <w:hideMark/>
          </w:tcPr>
          <w:p w14:paraId="205FE4C0" w14:textId="77777777" w:rsidR="00F56D0E" w:rsidRPr="00D34F42" w:rsidRDefault="00F56D0E" w:rsidP="00D34F42">
            <w:pPr>
              <w:pStyle w:val="TableBody"/>
            </w:pPr>
            <w:r w:rsidRPr="00D34F42">
              <w:t>491</w:t>
            </w:r>
          </w:p>
        </w:tc>
        <w:tc>
          <w:tcPr>
            <w:tcW w:w="1667" w:type="pct"/>
            <w:noWrap/>
            <w:hideMark/>
          </w:tcPr>
          <w:p w14:paraId="19D76DD2" w14:textId="77777777" w:rsidR="00F56D0E" w:rsidRPr="00D34F42" w:rsidRDefault="00F56D0E" w:rsidP="00D34F42">
            <w:pPr>
              <w:pStyle w:val="TableBody"/>
            </w:pPr>
            <w:r w:rsidRPr="00D34F42">
              <w:t>435</w:t>
            </w:r>
          </w:p>
        </w:tc>
      </w:tr>
      <w:tr w:rsidR="00F56D0E" w:rsidRPr="00F56D0E" w14:paraId="2394BC01" w14:textId="77777777" w:rsidTr="00DC7A50">
        <w:trPr>
          <w:trHeight w:val="288"/>
        </w:trPr>
        <w:tc>
          <w:tcPr>
            <w:tcW w:w="1666" w:type="pct"/>
            <w:noWrap/>
            <w:hideMark/>
          </w:tcPr>
          <w:p w14:paraId="35CFEFDA" w14:textId="77777777" w:rsidR="00F56D0E" w:rsidRPr="005F1725" w:rsidRDefault="00F56D0E" w:rsidP="005F1725">
            <w:pPr>
              <w:pStyle w:val="TableBody"/>
            </w:pPr>
            <w:r w:rsidRPr="005F1725">
              <w:t>Dec-08</w:t>
            </w:r>
          </w:p>
        </w:tc>
        <w:tc>
          <w:tcPr>
            <w:tcW w:w="1666" w:type="pct"/>
            <w:noWrap/>
            <w:hideMark/>
          </w:tcPr>
          <w:p w14:paraId="053155F1" w14:textId="77777777" w:rsidR="00F56D0E" w:rsidRPr="00D34F42" w:rsidRDefault="00F56D0E" w:rsidP="00D34F42">
            <w:pPr>
              <w:pStyle w:val="TableBody"/>
            </w:pPr>
            <w:r w:rsidRPr="00D34F42">
              <w:t>550</w:t>
            </w:r>
          </w:p>
        </w:tc>
        <w:tc>
          <w:tcPr>
            <w:tcW w:w="1667" w:type="pct"/>
            <w:noWrap/>
            <w:hideMark/>
          </w:tcPr>
          <w:p w14:paraId="50BAA690" w14:textId="77777777" w:rsidR="00F56D0E" w:rsidRPr="00D34F42" w:rsidRDefault="00F56D0E" w:rsidP="00D34F42">
            <w:pPr>
              <w:pStyle w:val="TableBody"/>
            </w:pPr>
            <w:r w:rsidRPr="00D34F42">
              <w:t>454</w:t>
            </w:r>
          </w:p>
        </w:tc>
      </w:tr>
      <w:tr w:rsidR="00F56D0E" w:rsidRPr="00F56D0E" w14:paraId="3793ECCD" w14:textId="77777777" w:rsidTr="00DC7A50">
        <w:trPr>
          <w:trHeight w:val="288"/>
        </w:trPr>
        <w:tc>
          <w:tcPr>
            <w:tcW w:w="1666" w:type="pct"/>
            <w:noWrap/>
            <w:hideMark/>
          </w:tcPr>
          <w:p w14:paraId="1BFD361A" w14:textId="77777777" w:rsidR="00F56D0E" w:rsidRPr="005F1725" w:rsidRDefault="00F56D0E" w:rsidP="005F1725">
            <w:pPr>
              <w:pStyle w:val="TableBody"/>
            </w:pPr>
            <w:r w:rsidRPr="005F1725">
              <w:t>Jan-09</w:t>
            </w:r>
          </w:p>
        </w:tc>
        <w:tc>
          <w:tcPr>
            <w:tcW w:w="1666" w:type="pct"/>
            <w:noWrap/>
            <w:hideMark/>
          </w:tcPr>
          <w:p w14:paraId="5C113EB6" w14:textId="77777777" w:rsidR="00F56D0E" w:rsidRPr="00D34F42" w:rsidRDefault="00F56D0E" w:rsidP="00D34F42">
            <w:pPr>
              <w:pStyle w:val="TableBody"/>
            </w:pPr>
            <w:r w:rsidRPr="00D34F42">
              <w:t>396</w:t>
            </w:r>
          </w:p>
        </w:tc>
        <w:tc>
          <w:tcPr>
            <w:tcW w:w="1667" w:type="pct"/>
            <w:noWrap/>
            <w:hideMark/>
          </w:tcPr>
          <w:p w14:paraId="1C9FBFF5" w14:textId="77777777" w:rsidR="00F56D0E" w:rsidRPr="00D34F42" w:rsidRDefault="00F56D0E" w:rsidP="00D34F42">
            <w:pPr>
              <w:pStyle w:val="TableBody"/>
            </w:pPr>
            <w:r w:rsidRPr="00D34F42">
              <w:t>322</w:t>
            </w:r>
          </w:p>
        </w:tc>
      </w:tr>
      <w:tr w:rsidR="00F56D0E" w:rsidRPr="00F56D0E" w14:paraId="3F2B355B" w14:textId="77777777" w:rsidTr="00DC7A50">
        <w:trPr>
          <w:trHeight w:val="288"/>
        </w:trPr>
        <w:tc>
          <w:tcPr>
            <w:tcW w:w="1666" w:type="pct"/>
            <w:noWrap/>
            <w:hideMark/>
          </w:tcPr>
          <w:p w14:paraId="40F0434C" w14:textId="77777777" w:rsidR="00F56D0E" w:rsidRPr="005F1725" w:rsidRDefault="00F56D0E" w:rsidP="005F1725">
            <w:pPr>
              <w:pStyle w:val="TableBody"/>
            </w:pPr>
            <w:r w:rsidRPr="005F1725">
              <w:t>Feb-09</w:t>
            </w:r>
          </w:p>
        </w:tc>
        <w:tc>
          <w:tcPr>
            <w:tcW w:w="1666" w:type="pct"/>
            <w:noWrap/>
            <w:hideMark/>
          </w:tcPr>
          <w:p w14:paraId="5C5297BE" w14:textId="77777777" w:rsidR="00F56D0E" w:rsidRPr="00D34F42" w:rsidRDefault="00F56D0E" w:rsidP="00D34F42">
            <w:pPr>
              <w:pStyle w:val="TableBody"/>
            </w:pPr>
            <w:r w:rsidRPr="00D34F42">
              <w:t>389</w:t>
            </w:r>
          </w:p>
        </w:tc>
        <w:tc>
          <w:tcPr>
            <w:tcW w:w="1667" w:type="pct"/>
            <w:noWrap/>
            <w:hideMark/>
          </w:tcPr>
          <w:p w14:paraId="67944BC2" w14:textId="77777777" w:rsidR="00F56D0E" w:rsidRPr="00D34F42" w:rsidRDefault="00F56D0E" w:rsidP="00D34F42">
            <w:pPr>
              <w:pStyle w:val="TableBody"/>
            </w:pPr>
            <w:r w:rsidRPr="00D34F42">
              <w:t>476</w:t>
            </w:r>
          </w:p>
        </w:tc>
      </w:tr>
      <w:tr w:rsidR="00F56D0E" w:rsidRPr="00F56D0E" w14:paraId="33D3DE38" w14:textId="77777777" w:rsidTr="00DC7A50">
        <w:trPr>
          <w:trHeight w:val="288"/>
        </w:trPr>
        <w:tc>
          <w:tcPr>
            <w:tcW w:w="1666" w:type="pct"/>
            <w:noWrap/>
            <w:hideMark/>
          </w:tcPr>
          <w:p w14:paraId="77AAC2C4" w14:textId="77777777" w:rsidR="00F56D0E" w:rsidRPr="005F1725" w:rsidRDefault="00F56D0E" w:rsidP="005F1725">
            <w:pPr>
              <w:pStyle w:val="TableBody"/>
            </w:pPr>
            <w:r w:rsidRPr="005F1725">
              <w:t>Mar-09</w:t>
            </w:r>
          </w:p>
        </w:tc>
        <w:tc>
          <w:tcPr>
            <w:tcW w:w="1666" w:type="pct"/>
            <w:noWrap/>
            <w:hideMark/>
          </w:tcPr>
          <w:p w14:paraId="6CFEC9D1" w14:textId="77777777" w:rsidR="00F56D0E" w:rsidRPr="00D34F42" w:rsidRDefault="00F56D0E" w:rsidP="00D34F42">
            <w:pPr>
              <w:pStyle w:val="TableBody"/>
            </w:pPr>
            <w:r w:rsidRPr="00D34F42">
              <w:t>466</w:t>
            </w:r>
          </w:p>
        </w:tc>
        <w:tc>
          <w:tcPr>
            <w:tcW w:w="1667" w:type="pct"/>
            <w:noWrap/>
            <w:hideMark/>
          </w:tcPr>
          <w:p w14:paraId="0591576F" w14:textId="77777777" w:rsidR="00F56D0E" w:rsidRPr="00D34F42" w:rsidRDefault="00F56D0E" w:rsidP="00D34F42">
            <w:pPr>
              <w:pStyle w:val="TableBody"/>
            </w:pPr>
            <w:r w:rsidRPr="00D34F42">
              <w:t>490</w:t>
            </w:r>
          </w:p>
        </w:tc>
      </w:tr>
      <w:tr w:rsidR="00F56D0E" w:rsidRPr="00F56D0E" w14:paraId="028DBD8E" w14:textId="77777777" w:rsidTr="00DC7A50">
        <w:trPr>
          <w:trHeight w:val="288"/>
        </w:trPr>
        <w:tc>
          <w:tcPr>
            <w:tcW w:w="1666" w:type="pct"/>
            <w:noWrap/>
            <w:hideMark/>
          </w:tcPr>
          <w:p w14:paraId="6200DA37" w14:textId="77777777" w:rsidR="00F56D0E" w:rsidRPr="005F1725" w:rsidRDefault="00F56D0E" w:rsidP="005F1725">
            <w:pPr>
              <w:pStyle w:val="TableBody"/>
            </w:pPr>
            <w:r w:rsidRPr="005F1725">
              <w:t>Apr-09</w:t>
            </w:r>
          </w:p>
        </w:tc>
        <w:tc>
          <w:tcPr>
            <w:tcW w:w="1666" w:type="pct"/>
            <w:noWrap/>
            <w:hideMark/>
          </w:tcPr>
          <w:p w14:paraId="55C061F2" w14:textId="77777777" w:rsidR="00F56D0E" w:rsidRPr="00D34F42" w:rsidRDefault="00F56D0E" w:rsidP="00D34F42">
            <w:pPr>
              <w:pStyle w:val="TableBody"/>
            </w:pPr>
            <w:r w:rsidRPr="00D34F42">
              <w:t>475</w:t>
            </w:r>
          </w:p>
        </w:tc>
        <w:tc>
          <w:tcPr>
            <w:tcW w:w="1667" w:type="pct"/>
            <w:noWrap/>
            <w:hideMark/>
          </w:tcPr>
          <w:p w14:paraId="507A6551" w14:textId="77777777" w:rsidR="00F56D0E" w:rsidRPr="00D34F42" w:rsidRDefault="00F56D0E" w:rsidP="00D34F42">
            <w:pPr>
              <w:pStyle w:val="TableBody"/>
            </w:pPr>
            <w:r w:rsidRPr="00D34F42">
              <w:t>525</w:t>
            </w:r>
          </w:p>
        </w:tc>
      </w:tr>
      <w:tr w:rsidR="00F56D0E" w:rsidRPr="00F56D0E" w14:paraId="4D3B07C9" w14:textId="77777777" w:rsidTr="00DC7A50">
        <w:trPr>
          <w:trHeight w:val="288"/>
        </w:trPr>
        <w:tc>
          <w:tcPr>
            <w:tcW w:w="1666" w:type="pct"/>
            <w:noWrap/>
            <w:hideMark/>
          </w:tcPr>
          <w:p w14:paraId="12AD9DFF" w14:textId="77777777" w:rsidR="00F56D0E" w:rsidRPr="005F1725" w:rsidRDefault="00F56D0E" w:rsidP="005F1725">
            <w:pPr>
              <w:pStyle w:val="TableBody"/>
            </w:pPr>
            <w:r w:rsidRPr="005F1725">
              <w:t>May-09</w:t>
            </w:r>
          </w:p>
        </w:tc>
        <w:tc>
          <w:tcPr>
            <w:tcW w:w="1666" w:type="pct"/>
            <w:noWrap/>
            <w:hideMark/>
          </w:tcPr>
          <w:p w14:paraId="2992F5F7" w14:textId="77777777" w:rsidR="00F56D0E" w:rsidRPr="00D34F42" w:rsidRDefault="00F56D0E" w:rsidP="00D34F42">
            <w:pPr>
              <w:pStyle w:val="TableBody"/>
            </w:pPr>
            <w:r w:rsidRPr="00D34F42">
              <w:t>457</w:t>
            </w:r>
          </w:p>
        </w:tc>
        <w:tc>
          <w:tcPr>
            <w:tcW w:w="1667" w:type="pct"/>
            <w:noWrap/>
            <w:hideMark/>
          </w:tcPr>
          <w:p w14:paraId="05F2C34D" w14:textId="77777777" w:rsidR="00F56D0E" w:rsidRPr="00D34F42" w:rsidRDefault="00F56D0E" w:rsidP="00D34F42">
            <w:pPr>
              <w:pStyle w:val="TableBody"/>
            </w:pPr>
            <w:r w:rsidRPr="00D34F42">
              <w:t>482</w:t>
            </w:r>
          </w:p>
        </w:tc>
      </w:tr>
      <w:tr w:rsidR="00F56D0E" w:rsidRPr="00F56D0E" w14:paraId="227C183A" w14:textId="77777777" w:rsidTr="00DC7A50">
        <w:trPr>
          <w:trHeight w:val="288"/>
        </w:trPr>
        <w:tc>
          <w:tcPr>
            <w:tcW w:w="1666" w:type="pct"/>
            <w:noWrap/>
            <w:hideMark/>
          </w:tcPr>
          <w:p w14:paraId="6CA6874E" w14:textId="77777777" w:rsidR="00F56D0E" w:rsidRPr="005F1725" w:rsidRDefault="00F56D0E" w:rsidP="005F1725">
            <w:pPr>
              <w:pStyle w:val="TableBody"/>
            </w:pPr>
            <w:r w:rsidRPr="005F1725">
              <w:t>Jun-09</w:t>
            </w:r>
          </w:p>
        </w:tc>
        <w:tc>
          <w:tcPr>
            <w:tcW w:w="1666" w:type="pct"/>
            <w:noWrap/>
            <w:hideMark/>
          </w:tcPr>
          <w:p w14:paraId="4BA19AA5" w14:textId="77777777" w:rsidR="00F56D0E" w:rsidRPr="00D34F42" w:rsidRDefault="00F56D0E" w:rsidP="00D34F42">
            <w:pPr>
              <w:pStyle w:val="TableBody"/>
            </w:pPr>
            <w:r w:rsidRPr="00D34F42">
              <w:t>444</w:t>
            </w:r>
          </w:p>
        </w:tc>
        <w:tc>
          <w:tcPr>
            <w:tcW w:w="1667" w:type="pct"/>
            <w:noWrap/>
            <w:hideMark/>
          </w:tcPr>
          <w:p w14:paraId="11B68795" w14:textId="77777777" w:rsidR="00F56D0E" w:rsidRPr="00D34F42" w:rsidRDefault="00F56D0E" w:rsidP="00D34F42">
            <w:pPr>
              <w:pStyle w:val="TableBody"/>
            </w:pPr>
            <w:r w:rsidRPr="00D34F42">
              <w:t>456</w:t>
            </w:r>
          </w:p>
        </w:tc>
      </w:tr>
      <w:tr w:rsidR="00F56D0E" w:rsidRPr="00F56D0E" w14:paraId="4D1AF4EA" w14:textId="77777777" w:rsidTr="00DC7A50">
        <w:trPr>
          <w:trHeight w:val="288"/>
        </w:trPr>
        <w:tc>
          <w:tcPr>
            <w:tcW w:w="1666" w:type="pct"/>
            <w:noWrap/>
            <w:hideMark/>
          </w:tcPr>
          <w:p w14:paraId="0DBA2C49" w14:textId="77777777" w:rsidR="00F56D0E" w:rsidRPr="005F1725" w:rsidRDefault="00F56D0E" w:rsidP="005F1725">
            <w:pPr>
              <w:pStyle w:val="TableBody"/>
            </w:pPr>
            <w:r w:rsidRPr="005F1725">
              <w:t>Jul-09</w:t>
            </w:r>
          </w:p>
        </w:tc>
        <w:tc>
          <w:tcPr>
            <w:tcW w:w="1666" w:type="pct"/>
            <w:noWrap/>
            <w:hideMark/>
          </w:tcPr>
          <w:p w14:paraId="3A419D60" w14:textId="77777777" w:rsidR="00F56D0E" w:rsidRPr="00D34F42" w:rsidRDefault="00F56D0E" w:rsidP="00D34F42">
            <w:pPr>
              <w:pStyle w:val="TableBody"/>
            </w:pPr>
            <w:r w:rsidRPr="00D34F42">
              <w:t>436</w:t>
            </w:r>
          </w:p>
        </w:tc>
        <w:tc>
          <w:tcPr>
            <w:tcW w:w="1667" w:type="pct"/>
            <w:noWrap/>
            <w:hideMark/>
          </w:tcPr>
          <w:p w14:paraId="023F2FD7" w14:textId="77777777" w:rsidR="00F56D0E" w:rsidRPr="00D34F42" w:rsidRDefault="00F56D0E" w:rsidP="00D34F42">
            <w:pPr>
              <w:pStyle w:val="TableBody"/>
            </w:pPr>
            <w:r w:rsidRPr="00D34F42">
              <w:t>488</w:t>
            </w:r>
          </w:p>
        </w:tc>
      </w:tr>
      <w:tr w:rsidR="00F56D0E" w:rsidRPr="00F56D0E" w14:paraId="6C508F2C" w14:textId="77777777" w:rsidTr="00DC7A50">
        <w:trPr>
          <w:trHeight w:val="288"/>
        </w:trPr>
        <w:tc>
          <w:tcPr>
            <w:tcW w:w="1666" w:type="pct"/>
            <w:noWrap/>
            <w:hideMark/>
          </w:tcPr>
          <w:p w14:paraId="1E329C7D" w14:textId="77777777" w:rsidR="00F56D0E" w:rsidRPr="005F1725" w:rsidRDefault="00F56D0E" w:rsidP="005F1725">
            <w:pPr>
              <w:pStyle w:val="TableBody"/>
            </w:pPr>
            <w:r w:rsidRPr="005F1725">
              <w:t>Aug-09</w:t>
            </w:r>
          </w:p>
        </w:tc>
        <w:tc>
          <w:tcPr>
            <w:tcW w:w="1666" w:type="pct"/>
            <w:noWrap/>
            <w:hideMark/>
          </w:tcPr>
          <w:p w14:paraId="16AA2BF9" w14:textId="77777777" w:rsidR="00F56D0E" w:rsidRPr="00D34F42" w:rsidRDefault="00F56D0E" w:rsidP="00D34F42">
            <w:pPr>
              <w:pStyle w:val="TableBody"/>
            </w:pPr>
            <w:r w:rsidRPr="00D34F42">
              <w:t>458</w:t>
            </w:r>
          </w:p>
        </w:tc>
        <w:tc>
          <w:tcPr>
            <w:tcW w:w="1667" w:type="pct"/>
            <w:noWrap/>
            <w:hideMark/>
          </w:tcPr>
          <w:p w14:paraId="1965AAA7" w14:textId="77777777" w:rsidR="00F56D0E" w:rsidRPr="00D34F42" w:rsidRDefault="00F56D0E" w:rsidP="00D34F42">
            <w:pPr>
              <w:pStyle w:val="TableBody"/>
            </w:pPr>
            <w:r w:rsidRPr="00D34F42">
              <w:t>518</w:t>
            </w:r>
          </w:p>
        </w:tc>
      </w:tr>
      <w:tr w:rsidR="00F56D0E" w:rsidRPr="00F56D0E" w14:paraId="12B23BA2" w14:textId="77777777" w:rsidTr="00DC7A50">
        <w:trPr>
          <w:trHeight w:val="288"/>
        </w:trPr>
        <w:tc>
          <w:tcPr>
            <w:tcW w:w="1666" w:type="pct"/>
            <w:noWrap/>
            <w:hideMark/>
          </w:tcPr>
          <w:p w14:paraId="69918843" w14:textId="77777777" w:rsidR="00F56D0E" w:rsidRPr="005F1725" w:rsidRDefault="00F56D0E" w:rsidP="005F1725">
            <w:pPr>
              <w:pStyle w:val="TableBody"/>
            </w:pPr>
            <w:r w:rsidRPr="005F1725">
              <w:t>Sep-09</w:t>
            </w:r>
          </w:p>
        </w:tc>
        <w:tc>
          <w:tcPr>
            <w:tcW w:w="1666" w:type="pct"/>
            <w:noWrap/>
            <w:hideMark/>
          </w:tcPr>
          <w:p w14:paraId="0F256728" w14:textId="77777777" w:rsidR="00F56D0E" w:rsidRPr="00D34F42" w:rsidRDefault="00F56D0E" w:rsidP="00D34F42">
            <w:pPr>
              <w:pStyle w:val="TableBody"/>
            </w:pPr>
            <w:r w:rsidRPr="00D34F42">
              <w:t>480</w:t>
            </w:r>
          </w:p>
        </w:tc>
        <w:tc>
          <w:tcPr>
            <w:tcW w:w="1667" w:type="pct"/>
            <w:noWrap/>
            <w:hideMark/>
          </w:tcPr>
          <w:p w14:paraId="28F323D4" w14:textId="77777777" w:rsidR="00F56D0E" w:rsidRPr="00D34F42" w:rsidRDefault="00F56D0E" w:rsidP="00D34F42">
            <w:pPr>
              <w:pStyle w:val="TableBody"/>
            </w:pPr>
            <w:r w:rsidRPr="00D34F42">
              <w:t>514</w:t>
            </w:r>
          </w:p>
        </w:tc>
      </w:tr>
      <w:tr w:rsidR="00F56D0E" w:rsidRPr="00F56D0E" w14:paraId="45711058" w14:textId="77777777" w:rsidTr="00DC7A50">
        <w:trPr>
          <w:trHeight w:val="288"/>
        </w:trPr>
        <w:tc>
          <w:tcPr>
            <w:tcW w:w="1666" w:type="pct"/>
            <w:noWrap/>
            <w:hideMark/>
          </w:tcPr>
          <w:p w14:paraId="5AA6717E" w14:textId="77777777" w:rsidR="00F56D0E" w:rsidRPr="005F1725" w:rsidRDefault="00F56D0E" w:rsidP="005F1725">
            <w:pPr>
              <w:pStyle w:val="TableBody"/>
            </w:pPr>
            <w:r w:rsidRPr="005F1725">
              <w:t>Oct-09</w:t>
            </w:r>
          </w:p>
        </w:tc>
        <w:tc>
          <w:tcPr>
            <w:tcW w:w="1666" w:type="pct"/>
            <w:noWrap/>
            <w:hideMark/>
          </w:tcPr>
          <w:p w14:paraId="3E5CDF17" w14:textId="77777777" w:rsidR="00F56D0E" w:rsidRPr="00D34F42" w:rsidRDefault="00F56D0E" w:rsidP="00D34F42">
            <w:pPr>
              <w:pStyle w:val="TableBody"/>
            </w:pPr>
            <w:r w:rsidRPr="00D34F42">
              <w:t>464</w:t>
            </w:r>
          </w:p>
        </w:tc>
        <w:tc>
          <w:tcPr>
            <w:tcW w:w="1667" w:type="pct"/>
            <w:noWrap/>
            <w:hideMark/>
          </w:tcPr>
          <w:p w14:paraId="0BE759EA" w14:textId="77777777" w:rsidR="00F56D0E" w:rsidRPr="00D34F42" w:rsidRDefault="00F56D0E" w:rsidP="00D34F42">
            <w:pPr>
              <w:pStyle w:val="TableBody"/>
            </w:pPr>
            <w:r w:rsidRPr="00D34F42">
              <w:t>512</w:t>
            </w:r>
          </w:p>
        </w:tc>
      </w:tr>
      <w:tr w:rsidR="00F56D0E" w:rsidRPr="00F56D0E" w14:paraId="37C45DEA" w14:textId="77777777" w:rsidTr="00DC7A50">
        <w:trPr>
          <w:trHeight w:val="288"/>
        </w:trPr>
        <w:tc>
          <w:tcPr>
            <w:tcW w:w="1666" w:type="pct"/>
            <w:noWrap/>
            <w:hideMark/>
          </w:tcPr>
          <w:p w14:paraId="1D8CCB80" w14:textId="77777777" w:rsidR="00F56D0E" w:rsidRPr="005F1725" w:rsidRDefault="00F56D0E" w:rsidP="005F1725">
            <w:pPr>
              <w:pStyle w:val="TableBody"/>
            </w:pPr>
            <w:r w:rsidRPr="005F1725">
              <w:t>Nov-09</w:t>
            </w:r>
          </w:p>
        </w:tc>
        <w:tc>
          <w:tcPr>
            <w:tcW w:w="1666" w:type="pct"/>
            <w:noWrap/>
            <w:hideMark/>
          </w:tcPr>
          <w:p w14:paraId="3D67A493" w14:textId="77777777" w:rsidR="00F56D0E" w:rsidRPr="00D34F42" w:rsidRDefault="00F56D0E" w:rsidP="00D34F42">
            <w:pPr>
              <w:pStyle w:val="TableBody"/>
            </w:pPr>
            <w:r w:rsidRPr="00D34F42">
              <w:t>455</w:t>
            </w:r>
          </w:p>
        </w:tc>
        <w:tc>
          <w:tcPr>
            <w:tcW w:w="1667" w:type="pct"/>
            <w:noWrap/>
            <w:hideMark/>
          </w:tcPr>
          <w:p w14:paraId="4C216249" w14:textId="77777777" w:rsidR="00F56D0E" w:rsidRPr="00D34F42" w:rsidRDefault="00F56D0E" w:rsidP="00D34F42">
            <w:pPr>
              <w:pStyle w:val="TableBody"/>
            </w:pPr>
            <w:r w:rsidRPr="00D34F42">
              <w:t>495</w:t>
            </w:r>
          </w:p>
        </w:tc>
      </w:tr>
      <w:tr w:rsidR="00F56D0E" w:rsidRPr="00F56D0E" w14:paraId="4B82FF13" w14:textId="77777777" w:rsidTr="00DC7A50">
        <w:trPr>
          <w:trHeight w:val="288"/>
        </w:trPr>
        <w:tc>
          <w:tcPr>
            <w:tcW w:w="1666" w:type="pct"/>
            <w:noWrap/>
            <w:hideMark/>
          </w:tcPr>
          <w:p w14:paraId="0353BA38" w14:textId="77777777" w:rsidR="00F56D0E" w:rsidRPr="005F1725" w:rsidRDefault="00F56D0E" w:rsidP="005F1725">
            <w:pPr>
              <w:pStyle w:val="TableBody"/>
            </w:pPr>
            <w:r w:rsidRPr="005F1725">
              <w:t>Dec-09</w:t>
            </w:r>
          </w:p>
        </w:tc>
        <w:tc>
          <w:tcPr>
            <w:tcW w:w="1666" w:type="pct"/>
            <w:noWrap/>
            <w:hideMark/>
          </w:tcPr>
          <w:p w14:paraId="3E1BB283" w14:textId="77777777" w:rsidR="00F56D0E" w:rsidRPr="00D34F42" w:rsidRDefault="00F56D0E" w:rsidP="00D34F42">
            <w:pPr>
              <w:pStyle w:val="TableBody"/>
            </w:pPr>
            <w:r w:rsidRPr="00D34F42">
              <w:t>562</w:t>
            </w:r>
          </w:p>
        </w:tc>
        <w:tc>
          <w:tcPr>
            <w:tcW w:w="1667" w:type="pct"/>
            <w:noWrap/>
            <w:hideMark/>
          </w:tcPr>
          <w:p w14:paraId="479C1FF6" w14:textId="77777777" w:rsidR="00F56D0E" w:rsidRPr="00D34F42" w:rsidRDefault="00F56D0E" w:rsidP="00D34F42">
            <w:pPr>
              <w:pStyle w:val="TableBody"/>
            </w:pPr>
            <w:r w:rsidRPr="00D34F42">
              <w:t>487</w:t>
            </w:r>
          </w:p>
        </w:tc>
      </w:tr>
      <w:tr w:rsidR="00F56D0E" w:rsidRPr="00F56D0E" w14:paraId="00EA55B3" w14:textId="77777777" w:rsidTr="00DC7A50">
        <w:trPr>
          <w:trHeight w:val="288"/>
        </w:trPr>
        <w:tc>
          <w:tcPr>
            <w:tcW w:w="1666" w:type="pct"/>
            <w:noWrap/>
            <w:hideMark/>
          </w:tcPr>
          <w:p w14:paraId="7B806C84" w14:textId="77777777" w:rsidR="00F56D0E" w:rsidRPr="005F1725" w:rsidRDefault="00F56D0E" w:rsidP="005F1725">
            <w:pPr>
              <w:pStyle w:val="TableBody"/>
            </w:pPr>
            <w:r w:rsidRPr="005F1725">
              <w:t>Jan-10</w:t>
            </w:r>
          </w:p>
        </w:tc>
        <w:tc>
          <w:tcPr>
            <w:tcW w:w="1666" w:type="pct"/>
            <w:noWrap/>
            <w:hideMark/>
          </w:tcPr>
          <w:p w14:paraId="08D00462" w14:textId="77777777" w:rsidR="00F56D0E" w:rsidRPr="00D34F42" w:rsidRDefault="00F56D0E" w:rsidP="00D34F42">
            <w:pPr>
              <w:pStyle w:val="TableBody"/>
            </w:pPr>
            <w:r w:rsidRPr="00D34F42">
              <w:t>415</w:t>
            </w:r>
          </w:p>
        </w:tc>
        <w:tc>
          <w:tcPr>
            <w:tcW w:w="1667" w:type="pct"/>
            <w:noWrap/>
            <w:hideMark/>
          </w:tcPr>
          <w:p w14:paraId="2F44E3F7" w14:textId="77777777" w:rsidR="00F56D0E" w:rsidRPr="00D34F42" w:rsidRDefault="00F56D0E" w:rsidP="00D34F42">
            <w:pPr>
              <w:pStyle w:val="TableBody"/>
            </w:pPr>
            <w:r w:rsidRPr="00D34F42">
              <w:t>401</w:t>
            </w:r>
          </w:p>
        </w:tc>
      </w:tr>
      <w:tr w:rsidR="00F56D0E" w:rsidRPr="00F56D0E" w14:paraId="180E82A5" w14:textId="77777777" w:rsidTr="00DC7A50">
        <w:trPr>
          <w:trHeight w:val="288"/>
        </w:trPr>
        <w:tc>
          <w:tcPr>
            <w:tcW w:w="1666" w:type="pct"/>
            <w:noWrap/>
            <w:hideMark/>
          </w:tcPr>
          <w:p w14:paraId="38E654C6" w14:textId="77777777" w:rsidR="00F56D0E" w:rsidRPr="005F1725" w:rsidRDefault="00F56D0E" w:rsidP="005F1725">
            <w:pPr>
              <w:pStyle w:val="TableBody"/>
            </w:pPr>
            <w:r w:rsidRPr="005F1725">
              <w:t>Feb-10</w:t>
            </w:r>
          </w:p>
        </w:tc>
        <w:tc>
          <w:tcPr>
            <w:tcW w:w="1666" w:type="pct"/>
            <w:noWrap/>
            <w:hideMark/>
          </w:tcPr>
          <w:p w14:paraId="774EF1DD" w14:textId="77777777" w:rsidR="00F56D0E" w:rsidRPr="00D34F42" w:rsidRDefault="00F56D0E" w:rsidP="00D34F42">
            <w:pPr>
              <w:pStyle w:val="TableBody"/>
            </w:pPr>
            <w:r w:rsidRPr="00D34F42">
              <w:t>406</w:t>
            </w:r>
          </w:p>
        </w:tc>
        <w:tc>
          <w:tcPr>
            <w:tcW w:w="1667" w:type="pct"/>
            <w:noWrap/>
            <w:hideMark/>
          </w:tcPr>
          <w:p w14:paraId="2AA1B0F5" w14:textId="77777777" w:rsidR="00F56D0E" w:rsidRPr="00D34F42" w:rsidRDefault="00F56D0E" w:rsidP="00D34F42">
            <w:pPr>
              <w:pStyle w:val="TableBody"/>
            </w:pPr>
            <w:r w:rsidRPr="00D34F42">
              <w:t>484</w:t>
            </w:r>
          </w:p>
        </w:tc>
      </w:tr>
      <w:tr w:rsidR="00F56D0E" w:rsidRPr="00F56D0E" w14:paraId="001977C6" w14:textId="77777777" w:rsidTr="00DC7A50">
        <w:trPr>
          <w:trHeight w:val="288"/>
        </w:trPr>
        <w:tc>
          <w:tcPr>
            <w:tcW w:w="1666" w:type="pct"/>
            <w:noWrap/>
            <w:hideMark/>
          </w:tcPr>
          <w:p w14:paraId="7FB6AD09" w14:textId="77777777" w:rsidR="00F56D0E" w:rsidRPr="005F1725" w:rsidRDefault="00F56D0E" w:rsidP="005F1725">
            <w:pPr>
              <w:pStyle w:val="TableBody"/>
            </w:pPr>
            <w:r w:rsidRPr="005F1725">
              <w:t>Mar-10</w:t>
            </w:r>
          </w:p>
        </w:tc>
        <w:tc>
          <w:tcPr>
            <w:tcW w:w="1666" w:type="pct"/>
            <w:noWrap/>
            <w:hideMark/>
          </w:tcPr>
          <w:p w14:paraId="1E191BD9" w14:textId="77777777" w:rsidR="00F56D0E" w:rsidRPr="00D34F42" w:rsidRDefault="00F56D0E" w:rsidP="00D34F42">
            <w:pPr>
              <w:pStyle w:val="TableBody"/>
            </w:pPr>
            <w:r w:rsidRPr="00D34F42">
              <w:t>489</w:t>
            </w:r>
          </w:p>
        </w:tc>
        <w:tc>
          <w:tcPr>
            <w:tcW w:w="1667" w:type="pct"/>
            <w:noWrap/>
            <w:hideMark/>
          </w:tcPr>
          <w:p w14:paraId="444E04C3" w14:textId="77777777" w:rsidR="00F56D0E" w:rsidRPr="00D34F42" w:rsidRDefault="00F56D0E" w:rsidP="00D34F42">
            <w:pPr>
              <w:pStyle w:val="TableBody"/>
            </w:pPr>
            <w:r w:rsidRPr="00D34F42">
              <w:t>589</w:t>
            </w:r>
          </w:p>
        </w:tc>
      </w:tr>
      <w:tr w:rsidR="00F56D0E" w:rsidRPr="00F56D0E" w14:paraId="5224C29A" w14:textId="77777777" w:rsidTr="00DC7A50">
        <w:trPr>
          <w:trHeight w:val="288"/>
        </w:trPr>
        <w:tc>
          <w:tcPr>
            <w:tcW w:w="1666" w:type="pct"/>
            <w:noWrap/>
            <w:hideMark/>
          </w:tcPr>
          <w:p w14:paraId="6C148C9E" w14:textId="77777777" w:rsidR="00F56D0E" w:rsidRPr="005F1725" w:rsidRDefault="00F56D0E" w:rsidP="005F1725">
            <w:pPr>
              <w:pStyle w:val="TableBody"/>
            </w:pPr>
            <w:r w:rsidRPr="005F1725">
              <w:t>Apr-10</w:t>
            </w:r>
          </w:p>
        </w:tc>
        <w:tc>
          <w:tcPr>
            <w:tcW w:w="1666" w:type="pct"/>
            <w:noWrap/>
            <w:hideMark/>
          </w:tcPr>
          <w:p w14:paraId="6B637140" w14:textId="77777777" w:rsidR="00F56D0E" w:rsidRPr="00D34F42" w:rsidRDefault="00F56D0E" w:rsidP="00D34F42">
            <w:pPr>
              <w:pStyle w:val="TableBody"/>
            </w:pPr>
            <w:r w:rsidRPr="00D34F42">
              <w:t>491</w:t>
            </w:r>
          </w:p>
        </w:tc>
        <w:tc>
          <w:tcPr>
            <w:tcW w:w="1667" w:type="pct"/>
            <w:noWrap/>
            <w:hideMark/>
          </w:tcPr>
          <w:p w14:paraId="60FC826F" w14:textId="77777777" w:rsidR="00F56D0E" w:rsidRPr="00D34F42" w:rsidRDefault="00F56D0E" w:rsidP="00D34F42">
            <w:pPr>
              <w:pStyle w:val="TableBody"/>
            </w:pPr>
            <w:r w:rsidRPr="00D34F42">
              <w:t>450</w:t>
            </w:r>
          </w:p>
        </w:tc>
      </w:tr>
      <w:tr w:rsidR="00F56D0E" w:rsidRPr="00F56D0E" w14:paraId="0C23943E" w14:textId="77777777" w:rsidTr="00DC7A50">
        <w:trPr>
          <w:trHeight w:val="288"/>
        </w:trPr>
        <w:tc>
          <w:tcPr>
            <w:tcW w:w="1666" w:type="pct"/>
            <w:noWrap/>
            <w:hideMark/>
          </w:tcPr>
          <w:p w14:paraId="674A6576" w14:textId="77777777" w:rsidR="00F56D0E" w:rsidRPr="005F1725" w:rsidRDefault="00F56D0E" w:rsidP="005F1725">
            <w:pPr>
              <w:pStyle w:val="TableBody"/>
            </w:pPr>
            <w:r w:rsidRPr="005F1725">
              <w:t>May-10</w:t>
            </w:r>
          </w:p>
        </w:tc>
        <w:tc>
          <w:tcPr>
            <w:tcW w:w="1666" w:type="pct"/>
            <w:noWrap/>
            <w:hideMark/>
          </w:tcPr>
          <w:p w14:paraId="2C233FB4" w14:textId="77777777" w:rsidR="00F56D0E" w:rsidRPr="00D34F42" w:rsidRDefault="00F56D0E" w:rsidP="00D34F42">
            <w:pPr>
              <w:pStyle w:val="TableBody"/>
            </w:pPr>
            <w:r w:rsidRPr="00D34F42">
              <w:t>506</w:t>
            </w:r>
          </w:p>
        </w:tc>
        <w:tc>
          <w:tcPr>
            <w:tcW w:w="1667" w:type="pct"/>
            <w:noWrap/>
            <w:hideMark/>
          </w:tcPr>
          <w:p w14:paraId="5F4F9C14" w14:textId="77777777" w:rsidR="00F56D0E" w:rsidRPr="00D34F42" w:rsidRDefault="00F56D0E" w:rsidP="00D34F42">
            <w:pPr>
              <w:pStyle w:val="TableBody"/>
            </w:pPr>
            <w:r w:rsidRPr="00D34F42">
              <w:t>463</w:t>
            </w:r>
          </w:p>
        </w:tc>
      </w:tr>
      <w:tr w:rsidR="00F56D0E" w:rsidRPr="00F56D0E" w14:paraId="47ABC76D" w14:textId="77777777" w:rsidTr="00DC7A50">
        <w:trPr>
          <w:trHeight w:val="288"/>
        </w:trPr>
        <w:tc>
          <w:tcPr>
            <w:tcW w:w="1666" w:type="pct"/>
            <w:noWrap/>
            <w:hideMark/>
          </w:tcPr>
          <w:p w14:paraId="4BFAD45B" w14:textId="77777777" w:rsidR="00F56D0E" w:rsidRPr="005F1725" w:rsidRDefault="00F56D0E" w:rsidP="005F1725">
            <w:pPr>
              <w:pStyle w:val="TableBody"/>
            </w:pPr>
            <w:r w:rsidRPr="005F1725">
              <w:t>Jun-10</w:t>
            </w:r>
          </w:p>
        </w:tc>
        <w:tc>
          <w:tcPr>
            <w:tcW w:w="1666" w:type="pct"/>
            <w:noWrap/>
            <w:hideMark/>
          </w:tcPr>
          <w:p w14:paraId="70B18BFC" w14:textId="77777777" w:rsidR="00F56D0E" w:rsidRPr="00D34F42" w:rsidRDefault="00F56D0E" w:rsidP="00D34F42">
            <w:pPr>
              <w:pStyle w:val="TableBody"/>
            </w:pPr>
            <w:r w:rsidRPr="00D34F42">
              <w:t>458</w:t>
            </w:r>
          </w:p>
        </w:tc>
        <w:tc>
          <w:tcPr>
            <w:tcW w:w="1667" w:type="pct"/>
            <w:noWrap/>
            <w:hideMark/>
          </w:tcPr>
          <w:p w14:paraId="66543616" w14:textId="77777777" w:rsidR="00F56D0E" w:rsidRPr="00D34F42" w:rsidRDefault="00F56D0E" w:rsidP="00D34F42">
            <w:pPr>
              <w:pStyle w:val="TableBody"/>
            </w:pPr>
            <w:r w:rsidRPr="00D34F42">
              <w:t>476</w:t>
            </w:r>
          </w:p>
        </w:tc>
      </w:tr>
      <w:tr w:rsidR="00F56D0E" w:rsidRPr="00F56D0E" w14:paraId="5AA2444E" w14:textId="77777777" w:rsidTr="00DC7A50">
        <w:trPr>
          <w:trHeight w:val="288"/>
        </w:trPr>
        <w:tc>
          <w:tcPr>
            <w:tcW w:w="1666" w:type="pct"/>
            <w:noWrap/>
            <w:hideMark/>
          </w:tcPr>
          <w:p w14:paraId="240E8DD8" w14:textId="77777777" w:rsidR="00F56D0E" w:rsidRPr="005F1725" w:rsidRDefault="00F56D0E" w:rsidP="005F1725">
            <w:pPr>
              <w:pStyle w:val="TableBody"/>
            </w:pPr>
            <w:r w:rsidRPr="005F1725">
              <w:t>Jul-10</w:t>
            </w:r>
          </w:p>
        </w:tc>
        <w:tc>
          <w:tcPr>
            <w:tcW w:w="1666" w:type="pct"/>
            <w:noWrap/>
            <w:hideMark/>
          </w:tcPr>
          <w:p w14:paraId="5D646ADD" w14:textId="77777777" w:rsidR="00F56D0E" w:rsidRPr="00D34F42" w:rsidRDefault="00F56D0E" w:rsidP="00D34F42">
            <w:pPr>
              <w:pStyle w:val="TableBody"/>
            </w:pPr>
            <w:r w:rsidRPr="00D34F42">
              <w:t>425</w:t>
            </w:r>
          </w:p>
        </w:tc>
        <w:tc>
          <w:tcPr>
            <w:tcW w:w="1667" w:type="pct"/>
            <w:noWrap/>
            <w:hideMark/>
          </w:tcPr>
          <w:p w14:paraId="7064807E" w14:textId="77777777" w:rsidR="00F56D0E" w:rsidRPr="00D34F42" w:rsidRDefault="00F56D0E" w:rsidP="00D34F42">
            <w:pPr>
              <w:pStyle w:val="TableBody"/>
            </w:pPr>
            <w:r w:rsidRPr="00D34F42">
              <w:t>472</w:t>
            </w:r>
          </w:p>
        </w:tc>
      </w:tr>
      <w:tr w:rsidR="00F56D0E" w:rsidRPr="00F56D0E" w14:paraId="63110BE1" w14:textId="77777777" w:rsidTr="00DC7A50">
        <w:trPr>
          <w:trHeight w:val="288"/>
        </w:trPr>
        <w:tc>
          <w:tcPr>
            <w:tcW w:w="1666" w:type="pct"/>
            <w:noWrap/>
            <w:hideMark/>
          </w:tcPr>
          <w:p w14:paraId="1E2338C8" w14:textId="77777777" w:rsidR="00F56D0E" w:rsidRPr="005F1725" w:rsidRDefault="00F56D0E" w:rsidP="005F1725">
            <w:pPr>
              <w:pStyle w:val="TableBody"/>
            </w:pPr>
            <w:r w:rsidRPr="005F1725">
              <w:lastRenderedPageBreak/>
              <w:t>Aug-10</w:t>
            </w:r>
          </w:p>
        </w:tc>
        <w:tc>
          <w:tcPr>
            <w:tcW w:w="1666" w:type="pct"/>
            <w:noWrap/>
            <w:hideMark/>
          </w:tcPr>
          <w:p w14:paraId="48461F55" w14:textId="77777777" w:rsidR="00F56D0E" w:rsidRPr="00D34F42" w:rsidRDefault="00F56D0E" w:rsidP="00D34F42">
            <w:pPr>
              <w:pStyle w:val="TableBody"/>
            </w:pPr>
            <w:r w:rsidRPr="00D34F42">
              <w:t>464</w:t>
            </w:r>
          </w:p>
        </w:tc>
        <w:tc>
          <w:tcPr>
            <w:tcW w:w="1667" w:type="pct"/>
            <w:noWrap/>
            <w:hideMark/>
          </w:tcPr>
          <w:p w14:paraId="452CCF14" w14:textId="77777777" w:rsidR="00F56D0E" w:rsidRPr="00D34F42" w:rsidRDefault="00F56D0E" w:rsidP="00D34F42">
            <w:pPr>
              <w:pStyle w:val="TableBody"/>
            </w:pPr>
            <w:r w:rsidRPr="00D34F42">
              <w:t>489</w:t>
            </w:r>
          </w:p>
        </w:tc>
      </w:tr>
      <w:tr w:rsidR="00F56D0E" w:rsidRPr="00F56D0E" w14:paraId="621B87B5" w14:textId="77777777" w:rsidTr="00DC7A50">
        <w:trPr>
          <w:trHeight w:val="288"/>
        </w:trPr>
        <w:tc>
          <w:tcPr>
            <w:tcW w:w="1666" w:type="pct"/>
            <w:noWrap/>
            <w:hideMark/>
          </w:tcPr>
          <w:p w14:paraId="200199DF" w14:textId="77777777" w:rsidR="00F56D0E" w:rsidRPr="005F1725" w:rsidRDefault="00F56D0E" w:rsidP="005F1725">
            <w:pPr>
              <w:pStyle w:val="TableBody"/>
            </w:pPr>
            <w:r w:rsidRPr="005F1725">
              <w:t>Sep-10</w:t>
            </w:r>
          </w:p>
        </w:tc>
        <w:tc>
          <w:tcPr>
            <w:tcW w:w="1666" w:type="pct"/>
            <w:noWrap/>
            <w:hideMark/>
          </w:tcPr>
          <w:p w14:paraId="7878BF66" w14:textId="77777777" w:rsidR="00F56D0E" w:rsidRPr="00D34F42" w:rsidRDefault="00F56D0E" w:rsidP="00D34F42">
            <w:pPr>
              <w:pStyle w:val="TableBody"/>
            </w:pPr>
            <w:r w:rsidRPr="00D34F42">
              <w:t>447</w:t>
            </w:r>
          </w:p>
        </w:tc>
        <w:tc>
          <w:tcPr>
            <w:tcW w:w="1667" w:type="pct"/>
            <w:noWrap/>
            <w:hideMark/>
          </w:tcPr>
          <w:p w14:paraId="4B539F85" w14:textId="77777777" w:rsidR="00F56D0E" w:rsidRPr="00D34F42" w:rsidRDefault="00F56D0E" w:rsidP="00D34F42">
            <w:pPr>
              <w:pStyle w:val="TableBody"/>
            </w:pPr>
            <w:r w:rsidRPr="00D34F42">
              <w:t>471</w:t>
            </w:r>
          </w:p>
        </w:tc>
      </w:tr>
      <w:tr w:rsidR="00F56D0E" w:rsidRPr="00F56D0E" w14:paraId="55E74F87" w14:textId="77777777" w:rsidTr="00DC7A50">
        <w:trPr>
          <w:trHeight w:val="288"/>
        </w:trPr>
        <w:tc>
          <w:tcPr>
            <w:tcW w:w="1666" w:type="pct"/>
            <w:noWrap/>
            <w:hideMark/>
          </w:tcPr>
          <w:p w14:paraId="55321527" w14:textId="77777777" w:rsidR="00F56D0E" w:rsidRPr="005F1725" w:rsidRDefault="00F56D0E" w:rsidP="005F1725">
            <w:pPr>
              <w:pStyle w:val="TableBody"/>
            </w:pPr>
            <w:r w:rsidRPr="005F1725">
              <w:t>Oct-10</w:t>
            </w:r>
          </w:p>
        </w:tc>
        <w:tc>
          <w:tcPr>
            <w:tcW w:w="1666" w:type="pct"/>
            <w:noWrap/>
            <w:hideMark/>
          </w:tcPr>
          <w:p w14:paraId="7D62504E" w14:textId="77777777" w:rsidR="00F56D0E" w:rsidRPr="00D34F42" w:rsidRDefault="00F56D0E" w:rsidP="00D34F42">
            <w:pPr>
              <w:pStyle w:val="TableBody"/>
            </w:pPr>
            <w:r w:rsidRPr="00D34F42">
              <w:t>475</w:t>
            </w:r>
          </w:p>
        </w:tc>
        <w:tc>
          <w:tcPr>
            <w:tcW w:w="1667" w:type="pct"/>
            <w:noWrap/>
            <w:hideMark/>
          </w:tcPr>
          <w:p w14:paraId="3FAFCA0E" w14:textId="77777777" w:rsidR="00F56D0E" w:rsidRPr="00D34F42" w:rsidRDefault="00F56D0E" w:rsidP="00D34F42">
            <w:pPr>
              <w:pStyle w:val="TableBody"/>
            </w:pPr>
            <w:r w:rsidRPr="00D34F42">
              <w:t>458</w:t>
            </w:r>
          </w:p>
        </w:tc>
      </w:tr>
      <w:tr w:rsidR="00F56D0E" w:rsidRPr="00F56D0E" w14:paraId="443F6C9E" w14:textId="77777777" w:rsidTr="00DC7A50">
        <w:trPr>
          <w:trHeight w:val="288"/>
        </w:trPr>
        <w:tc>
          <w:tcPr>
            <w:tcW w:w="1666" w:type="pct"/>
            <w:noWrap/>
            <w:hideMark/>
          </w:tcPr>
          <w:p w14:paraId="25E2E315" w14:textId="77777777" w:rsidR="00F56D0E" w:rsidRPr="005F1725" w:rsidRDefault="00F56D0E" w:rsidP="005F1725">
            <w:pPr>
              <w:pStyle w:val="TableBody"/>
            </w:pPr>
            <w:r w:rsidRPr="005F1725">
              <w:t>Nov-10</w:t>
            </w:r>
          </w:p>
        </w:tc>
        <w:tc>
          <w:tcPr>
            <w:tcW w:w="1666" w:type="pct"/>
            <w:noWrap/>
            <w:hideMark/>
          </w:tcPr>
          <w:p w14:paraId="0C2E6BD5" w14:textId="77777777" w:rsidR="00F56D0E" w:rsidRPr="00D34F42" w:rsidRDefault="00F56D0E" w:rsidP="00D34F42">
            <w:pPr>
              <w:pStyle w:val="TableBody"/>
            </w:pPr>
            <w:r w:rsidRPr="00D34F42">
              <w:t>502</w:t>
            </w:r>
          </w:p>
        </w:tc>
        <w:tc>
          <w:tcPr>
            <w:tcW w:w="1667" w:type="pct"/>
            <w:noWrap/>
            <w:hideMark/>
          </w:tcPr>
          <w:p w14:paraId="6BEB7DA1" w14:textId="77777777" w:rsidR="00F56D0E" w:rsidRPr="00D34F42" w:rsidRDefault="00F56D0E" w:rsidP="00D34F42">
            <w:pPr>
              <w:pStyle w:val="TableBody"/>
            </w:pPr>
            <w:r w:rsidRPr="00D34F42">
              <w:t>510</w:t>
            </w:r>
          </w:p>
        </w:tc>
      </w:tr>
      <w:tr w:rsidR="00F56D0E" w:rsidRPr="00F56D0E" w14:paraId="06BFD43D" w14:textId="77777777" w:rsidTr="00DC7A50">
        <w:trPr>
          <w:trHeight w:val="288"/>
        </w:trPr>
        <w:tc>
          <w:tcPr>
            <w:tcW w:w="1666" w:type="pct"/>
            <w:noWrap/>
            <w:hideMark/>
          </w:tcPr>
          <w:p w14:paraId="5036CF3A" w14:textId="77777777" w:rsidR="00F56D0E" w:rsidRPr="005F1725" w:rsidRDefault="00F56D0E" w:rsidP="005F1725">
            <w:pPr>
              <w:pStyle w:val="TableBody"/>
            </w:pPr>
            <w:r w:rsidRPr="005F1725">
              <w:t>Dec-10</w:t>
            </w:r>
          </w:p>
        </w:tc>
        <w:tc>
          <w:tcPr>
            <w:tcW w:w="1666" w:type="pct"/>
            <w:noWrap/>
            <w:hideMark/>
          </w:tcPr>
          <w:p w14:paraId="61B8B823" w14:textId="77777777" w:rsidR="00F56D0E" w:rsidRPr="00D34F42" w:rsidRDefault="00F56D0E" w:rsidP="00D34F42">
            <w:pPr>
              <w:pStyle w:val="TableBody"/>
            </w:pPr>
            <w:r w:rsidRPr="00D34F42">
              <w:t>527</w:t>
            </w:r>
          </w:p>
        </w:tc>
        <w:tc>
          <w:tcPr>
            <w:tcW w:w="1667" w:type="pct"/>
            <w:noWrap/>
            <w:hideMark/>
          </w:tcPr>
          <w:p w14:paraId="067D0F47" w14:textId="77777777" w:rsidR="00F56D0E" w:rsidRPr="00D34F42" w:rsidRDefault="00F56D0E" w:rsidP="00D34F42">
            <w:pPr>
              <w:pStyle w:val="TableBody"/>
            </w:pPr>
            <w:r w:rsidRPr="00D34F42">
              <w:t>430</w:t>
            </w:r>
          </w:p>
        </w:tc>
      </w:tr>
      <w:tr w:rsidR="00F56D0E" w:rsidRPr="00F56D0E" w14:paraId="21FA181C" w14:textId="77777777" w:rsidTr="00DC7A50">
        <w:trPr>
          <w:trHeight w:val="288"/>
        </w:trPr>
        <w:tc>
          <w:tcPr>
            <w:tcW w:w="1666" w:type="pct"/>
            <w:noWrap/>
            <w:hideMark/>
          </w:tcPr>
          <w:p w14:paraId="083DD98B" w14:textId="77777777" w:rsidR="00F56D0E" w:rsidRPr="005F1725" w:rsidRDefault="00F56D0E" w:rsidP="005F1725">
            <w:pPr>
              <w:pStyle w:val="TableBody"/>
            </w:pPr>
            <w:r w:rsidRPr="005F1725">
              <w:t>Jan-11</w:t>
            </w:r>
          </w:p>
        </w:tc>
        <w:tc>
          <w:tcPr>
            <w:tcW w:w="1666" w:type="pct"/>
            <w:noWrap/>
            <w:hideMark/>
          </w:tcPr>
          <w:p w14:paraId="47CF5182" w14:textId="77777777" w:rsidR="00F56D0E" w:rsidRPr="00D34F42" w:rsidRDefault="00F56D0E" w:rsidP="00D34F42">
            <w:pPr>
              <w:pStyle w:val="TableBody"/>
            </w:pPr>
            <w:r w:rsidRPr="00D34F42">
              <w:t>391</w:t>
            </w:r>
          </w:p>
        </w:tc>
        <w:tc>
          <w:tcPr>
            <w:tcW w:w="1667" w:type="pct"/>
            <w:noWrap/>
            <w:hideMark/>
          </w:tcPr>
          <w:p w14:paraId="7776C1EA" w14:textId="77777777" w:rsidR="00F56D0E" w:rsidRPr="00D34F42" w:rsidRDefault="00F56D0E" w:rsidP="00D34F42">
            <w:pPr>
              <w:pStyle w:val="TableBody"/>
            </w:pPr>
            <w:r w:rsidRPr="00D34F42">
              <w:t>380</w:t>
            </w:r>
          </w:p>
        </w:tc>
      </w:tr>
      <w:tr w:rsidR="00F56D0E" w:rsidRPr="00F56D0E" w14:paraId="549394EE" w14:textId="77777777" w:rsidTr="00DC7A50">
        <w:trPr>
          <w:trHeight w:val="288"/>
        </w:trPr>
        <w:tc>
          <w:tcPr>
            <w:tcW w:w="1666" w:type="pct"/>
            <w:noWrap/>
            <w:hideMark/>
          </w:tcPr>
          <w:p w14:paraId="127BA571" w14:textId="77777777" w:rsidR="00F56D0E" w:rsidRPr="005F1725" w:rsidRDefault="00F56D0E" w:rsidP="005F1725">
            <w:pPr>
              <w:pStyle w:val="TableBody"/>
            </w:pPr>
            <w:r w:rsidRPr="005F1725">
              <w:t>Feb-11</w:t>
            </w:r>
          </w:p>
        </w:tc>
        <w:tc>
          <w:tcPr>
            <w:tcW w:w="1666" w:type="pct"/>
            <w:noWrap/>
            <w:hideMark/>
          </w:tcPr>
          <w:p w14:paraId="2C86AD87" w14:textId="77777777" w:rsidR="00F56D0E" w:rsidRPr="00D34F42" w:rsidRDefault="00F56D0E" w:rsidP="00D34F42">
            <w:pPr>
              <w:pStyle w:val="TableBody"/>
            </w:pPr>
            <w:r w:rsidRPr="00D34F42">
              <w:t>422</w:t>
            </w:r>
          </w:p>
        </w:tc>
        <w:tc>
          <w:tcPr>
            <w:tcW w:w="1667" w:type="pct"/>
            <w:noWrap/>
            <w:hideMark/>
          </w:tcPr>
          <w:p w14:paraId="45BBE6D7" w14:textId="77777777" w:rsidR="00F56D0E" w:rsidRPr="00D34F42" w:rsidRDefault="00F56D0E" w:rsidP="00D34F42">
            <w:pPr>
              <w:pStyle w:val="TableBody"/>
            </w:pPr>
            <w:r w:rsidRPr="00D34F42">
              <w:t>492</w:t>
            </w:r>
          </w:p>
        </w:tc>
      </w:tr>
      <w:tr w:rsidR="00F56D0E" w:rsidRPr="00F56D0E" w14:paraId="6B189619" w14:textId="77777777" w:rsidTr="00DC7A50">
        <w:trPr>
          <w:trHeight w:val="288"/>
        </w:trPr>
        <w:tc>
          <w:tcPr>
            <w:tcW w:w="1666" w:type="pct"/>
            <w:noWrap/>
            <w:hideMark/>
          </w:tcPr>
          <w:p w14:paraId="3CC54B99" w14:textId="77777777" w:rsidR="00F56D0E" w:rsidRPr="005F1725" w:rsidRDefault="00F56D0E" w:rsidP="005F1725">
            <w:pPr>
              <w:pStyle w:val="TableBody"/>
            </w:pPr>
            <w:r w:rsidRPr="005F1725">
              <w:t>Mar-11</w:t>
            </w:r>
          </w:p>
        </w:tc>
        <w:tc>
          <w:tcPr>
            <w:tcW w:w="1666" w:type="pct"/>
            <w:noWrap/>
            <w:hideMark/>
          </w:tcPr>
          <w:p w14:paraId="77F1FDF3" w14:textId="77777777" w:rsidR="00F56D0E" w:rsidRPr="00D34F42" w:rsidRDefault="00F56D0E" w:rsidP="00D34F42">
            <w:pPr>
              <w:pStyle w:val="TableBody"/>
            </w:pPr>
            <w:r w:rsidRPr="00D34F42">
              <w:t>480</w:t>
            </w:r>
          </w:p>
        </w:tc>
        <w:tc>
          <w:tcPr>
            <w:tcW w:w="1667" w:type="pct"/>
            <w:noWrap/>
            <w:hideMark/>
          </w:tcPr>
          <w:p w14:paraId="19A85D86" w14:textId="77777777" w:rsidR="00F56D0E" w:rsidRPr="00D34F42" w:rsidRDefault="00F56D0E" w:rsidP="00D34F42">
            <w:pPr>
              <w:pStyle w:val="TableBody"/>
            </w:pPr>
            <w:r w:rsidRPr="00D34F42">
              <w:t>539</w:t>
            </w:r>
          </w:p>
        </w:tc>
      </w:tr>
      <w:tr w:rsidR="00F56D0E" w:rsidRPr="00F56D0E" w14:paraId="20416EB6" w14:textId="77777777" w:rsidTr="00DC7A50">
        <w:trPr>
          <w:trHeight w:val="288"/>
        </w:trPr>
        <w:tc>
          <w:tcPr>
            <w:tcW w:w="1666" w:type="pct"/>
            <w:noWrap/>
            <w:hideMark/>
          </w:tcPr>
          <w:p w14:paraId="294334AB" w14:textId="77777777" w:rsidR="00F56D0E" w:rsidRPr="005F1725" w:rsidRDefault="00F56D0E" w:rsidP="005F1725">
            <w:pPr>
              <w:pStyle w:val="TableBody"/>
            </w:pPr>
            <w:r w:rsidRPr="005F1725">
              <w:t>Apr-11</w:t>
            </w:r>
          </w:p>
        </w:tc>
        <w:tc>
          <w:tcPr>
            <w:tcW w:w="1666" w:type="pct"/>
            <w:noWrap/>
            <w:hideMark/>
          </w:tcPr>
          <w:p w14:paraId="12485A11" w14:textId="77777777" w:rsidR="00F56D0E" w:rsidRPr="00D34F42" w:rsidRDefault="00F56D0E" w:rsidP="00D34F42">
            <w:pPr>
              <w:pStyle w:val="TableBody"/>
            </w:pPr>
            <w:r w:rsidRPr="00D34F42">
              <w:t>459</w:t>
            </w:r>
          </w:p>
        </w:tc>
        <w:tc>
          <w:tcPr>
            <w:tcW w:w="1667" w:type="pct"/>
            <w:noWrap/>
            <w:hideMark/>
          </w:tcPr>
          <w:p w14:paraId="7CB3FEC3" w14:textId="77777777" w:rsidR="00F56D0E" w:rsidRPr="00D34F42" w:rsidRDefault="00F56D0E" w:rsidP="00D34F42">
            <w:pPr>
              <w:pStyle w:val="TableBody"/>
            </w:pPr>
            <w:r w:rsidRPr="00D34F42">
              <w:t>474</w:t>
            </w:r>
          </w:p>
        </w:tc>
      </w:tr>
      <w:tr w:rsidR="00F56D0E" w:rsidRPr="00F56D0E" w14:paraId="1D1F5D71" w14:textId="77777777" w:rsidTr="00DC7A50">
        <w:trPr>
          <w:trHeight w:val="288"/>
        </w:trPr>
        <w:tc>
          <w:tcPr>
            <w:tcW w:w="1666" w:type="pct"/>
            <w:noWrap/>
            <w:hideMark/>
          </w:tcPr>
          <w:p w14:paraId="0940F6F1" w14:textId="77777777" w:rsidR="00F56D0E" w:rsidRPr="005F1725" w:rsidRDefault="00F56D0E" w:rsidP="005F1725">
            <w:pPr>
              <w:pStyle w:val="TableBody"/>
            </w:pPr>
            <w:r w:rsidRPr="005F1725">
              <w:t>May-11</w:t>
            </w:r>
          </w:p>
        </w:tc>
        <w:tc>
          <w:tcPr>
            <w:tcW w:w="1666" w:type="pct"/>
            <w:noWrap/>
            <w:hideMark/>
          </w:tcPr>
          <w:p w14:paraId="1C4E1F38" w14:textId="77777777" w:rsidR="00F56D0E" w:rsidRPr="00D34F42" w:rsidRDefault="00F56D0E" w:rsidP="00D34F42">
            <w:pPr>
              <w:pStyle w:val="TableBody"/>
            </w:pPr>
            <w:r w:rsidRPr="00D34F42">
              <w:t>458</w:t>
            </w:r>
          </w:p>
        </w:tc>
        <w:tc>
          <w:tcPr>
            <w:tcW w:w="1667" w:type="pct"/>
            <w:noWrap/>
            <w:hideMark/>
          </w:tcPr>
          <w:p w14:paraId="7C106C80" w14:textId="77777777" w:rsidR="00F56D0E" w:rsidRPr="00D34F42" w:rsidRDefault="00F56D0E" w:rsidP="00D34F42">
            <w:pPr>
              <w:pStyle w:val="TableBody"/>
            </w:pPr>
            <w:r w:rsidRPr="00D34F42">
              <w:t>556</w:t>
            </w:r>
          </w:p>
        </w:tc>
      </w:tr>
      <w:tr w:rsidR="00F56D0E" w:rsidRPr="00F56D0E" w14:paraId="0CCC8FBF" w14:textId="77777777" w:rsidTr="00DC7A50">
        <w:trPr>
          <w:trHeight w:val="288"/>
        </w:trPr>
        <w:tc>
          <w:tcPr>
            <w:tcW w:w="1666" w:type="pct"/>
            <w:noWrap/>
            <w:hideMark/>
          </w:tcPr>
          <w:p w14:paraId="5750841A" w14:textId="77777777" w:rsidR="00F56D0E" w:rsidRPr="005F1725" w:rsidRDefault="00F56D0E" w:rsidP="005F1725">
            <w:pPr>
              <w:pStyle w:val="TableBody"/>
            </w:pPr>
            <w:r w:rsidRPr="005F1725">
              <w:t>Jun-11</w:t>
            </w:r>
          </w:p>
        </w:tc>
        <w:tc>
          <w:tcPr>
            <w:tcW w:w="1666" w:type="pct"/>
            <w:noWrap/>
            <w:hideMark/>
          </w:tcPr>
          <w:p w14:paraId="46E8C14C" w14:textId="77777777" w:rsidR="00F56D0E" w:rsidRPr="00D34F42" w:rsidRDefault="00F56D0E" w:rsidP="00D34F42">
            <w:pPr>
              <w:pStyle w:val="TableBody"/>
            </w:pPr>
            <w:r w:rsidRPr="00D34F42">
              <w:t>464</w:t>
            </w:r>
          </w:p>
        </w:tc>
        <w:tc>
          <w:tcPr>
            <w:tcW w:w="1667" w:type="pct"/>
            <w:noWrap/>
            <w:hideMark/>
          </w:tcPr>
          <w:p w14:paraId="6A4C5101" w14:textId="77777777" w:rsidR="00F56D0E" w:rsidRPr="00D34F42" w:rsidRDefault="00F56D0E" w:rsidP="00D34F42">
            <w:pPr>
              <w:pStyle w:val="TableBody"/>
            </w:pPr>
            <w:r w:rsidRPr="00D34F42">
              <w:t>503</w:t>
            </w:r>
          </w:p>
        </w:tc>
      </w:tr>
      <w:tr w:rsidR="00F56D0E" w:rsidRPr="00F56D0E" w14:paraId="634D3742" w14:textId="77777777" w:rsidTr="00DC7A50">
        <w:trPr>
          <w:trHeight w:val="288"/>
        </w:trPr>
        <w:tc>
          <w:tcPr>
            <w:tcW w:w="1666" w:type="pct"/>
            <w:noWrap/>
            <w:hideMark/>
          </w:tcPr>
          <w:p w14:paraId="1EB359F2" w14:textId="77777777" w:rsidR="00F56D0E" w:rsidRPr="005F1725" w:rsidRDefault="00F56D0E" w:rsidP="005F1725">
            <w:pPr>
              <w:pStyle w:val="TableBody"/>
            </w:pPr>
            <w:r w:rsidRPr="005F1725">
              <w:t>Jul-11</w:t>
            </w:r>
          </w:p>
        </w:tc>
        <w:tc>
          <w:tcPr>
            <w:tcW w:w="1666" w:type="pct"/>
            <w:noWrap/>
            <w:hideMark/>
          </w:tcPr>
          <w:p w14:paraId="618E5E4C" w14:textId="77777777" w:rsidR="00F56D0E" w:rsidRPr="00D34F42" w:rsidRDefault="00F56D0E" w:rsidP="00D34F42">
            <w:pPr>
              <w:pStyle w:val="TableBody"/>
            </w:pPr>
            <w:r w:rsidRPr="00D34F42">
              <w:t>472</w:t>
            </w:r>
          </w:p>
        </w:tc>
        <w:tc>
          <w:tcPr>
            <w:tcW w:w="1667" w:type="pct"/>
            <w:noWrap/>
            <w:hideMark/>
          </w:tcPr>
          <w:p w14:paraId="2DC46B18" w14:textId="77777777" w:rsidR="00F56D0E" w:rsidRPr="00D34F42" w:rsidRDefault="00F56D0E" w:rsidP="00D34F42">
            <w:pPr>
              <w:pStyle w:val="TableBody"/>
            </w:pPr>
            <w:r w:rsidRPr="00D34F42">
              <w:t>515</w:t>
            </w:r>
          </w:p>
        </w:tc>
      </w:tr>
      <w:tr w:rsidR="00F56D0E" w:rsidRPr="00F56D0E" w14:paraId="191D22EE" w14:textId="77777777" w:rsidTr="00DC7A50">
        <w:trPr>
          <w:trHeight w:val="288"/>
        </w:trPr>
        <w:tc>
          <w:tcPr>
            <w:tcW w:w="1666" w:type="pct"/>
            <w:noWrap/>
            <w:hideMark/>
          </w:tcPr>
          <w:p w14:paraId="244DBA04" w14:textId="77777777" w:rsidR="00F56D0E" w:rsidRPr="005F1725" w:rsidRDefault="00F56D0E" w:rsidP="005F1725">
            <w:pPr>
              <w:pStyle w:val="TableBody"/>
            </w:pPr>
            <w:r w:rsidRPr="005F1725">
              <w:t>Aug-11</w:t>
            </w:r>
          </w:p>
        </w:tc>
        <w:tc>
          <w:tcPr>
            <w:tcW w:w="1666" w:type="pct"/>
            <w:noWrap/>
            <w:hideMark/>
          </w:tcPr>
          <w:p w14:paraId="54E5F987" w14:textId="77777777" w:rsidR="00F56D0E" w:rsidRPr="00D34F42" w:rsidRDefault="00F56D0E" w:rsidP="00D34F42">
            <w:pPr>
              <w:pStyle w:val="TableBody"/>
            </w:pPr>
            <w:r w:rsidRPr="00D34F42">
              <w:t>528</w:t>
            </w:r>
          </w:p>
        </w:tc>
        <w:tc>
          <w:tcPr>
            <w:tcW w:w="1667" w:type="pct"/>
            <w:noWrap/>
            <w:hideMark/>
          </w:tcPr>
          <w:p w14:paraId="15A2943A" w14:textId="77777777" w:rsidR="00F56D0E" w:rsidRPr="00D34F42" w:rsidRDefault="00F56D0E" w:rsidP="00D34F42">
            <w:pPr>
              <w:pStyle w:val="TableBody"/>
            </w:pPr>
            <w:r w:rsidRPr="00D34F42">
              <w:t>547</w:t>
            </w:r>
          </w:p>
        </w:tc>
      </w:tr>
      <w:tr w:rsidR="00F56D0E" w:rsidRPr="00F56D0E" w14:paraId="62D3A451" w14:textId="77777777" w:rsidTr="00DC7A50">
        <w:trPr>
          <w:trHeight w:val="288"/>
        </w:trPr>
        <w:tc>
          <w:tcPr>
            <w:tcW w:w="1666" w:type="pct"/>
            <w:noWrap/>
            <w:hideMark/>
          </w:tcPr>
          <w:p w14:paraId="0DD1BE3C" w14:textId="77777777" w:rsidR="00F56D0E" w:rsidRPr="005F1725" w:rsidRDefault="00F56D0E" w:rsidP="005F1725">
            <w:pPr>
              <w:pStyle w:val="TableBody"/>
            </w:pPr>
            <w:r w:rsidRPr="005F1725">
              <w:t>Sep-11</w:t>
            </w:r>
          </w:p>
        </w:tc>
        <w:tc>
          <w:tcPr>
            <w:tcW w:w="1666" w:type="pct"/>
            <w:noWrap/>
            <w:hideMark/>
          </w:tcPr>
          <w:p w14:paraId="427BB8FF" w14:textId="77777777" w:rsidR="00F56D0E" w:rsidRPr="00D34F42" w:rsidRDefault="00F56D0E" w:rsidP="00D34F42">
            <w:pPr>
              <w:pStyle w:val="TableBody"/>
            </w:pPr>
            <w:r w:rsidRPr="00D34F42">
              <w:t>484</w:t>
            </w:r>
          </w:p>
        </w:tc>
        <w:tc>
          <w:tcPr>
            <w:tcW w:w="1667" w:type="pct"/>
            <w:noWrap/>
            <w:hideMark/>
          </w:tcPr>
          <w:p w14:paraId="1F74E721" w14:textId="77777777" w:rsidR="00F56D0E" w:rsidRPr="00D34F42" w:rsidRDefault="00F56D0E" w:rsidP="00D34F42">
            <w:pPr>
              <w:pStyle w:val="TableBody"/>
            </w:pPr>
            <w:r w:rsidRPr="00D34F42">
              <w:t>541</w:t>
            </w:r>
          </w:p>
        </w:tc>
      </w:tr>
      <w:tr w:rsidR="00F56D0E" w:rsidRPr="00F56D0E" w14:paraId="3D11D160" w14:textId="77777777" w:rsidTr="00DC7A50">
        <w:trPr>
          <w:trHeight w:val="288"/>
        </w:trPr>
        <w:tc>
          <w:tcPr>
            <w:tcW w:w="1666" w:type="pct"/>
            <w:noWrap/>
            <w:hideMark/>
          </w:tcPr>
          <w:p w14:paraId="6C53B4A1" w14:textId="77777777" w:rsidR="00F56D0E" w:rsidRPr="005F1725" w:rsidRDefault="00F56D0E" w:rsidP="005F1725">
            <w:pPr>
              <w:pStyle w:val="TableBody"/>
            </w:pPr>
            <w:r w:rsidRPr="005F1725">
              <w:t>Oct-11</w:t>
            </w:r>
          </w:p>
        </w:tc>
        <w:tc>
          <w:tcPr>
            <w:tcW w:w="1666" w:type="pct"/>
            <w:noWrap/>
            <w:hideMark/>
          </w:tcPr>
          <w:p w14:paraId="62457255" w14:textId="77777777" w:rsidR="00F56D0E" w:rsidRPr="00D34F42" w:rsidRDefault="00F56D0E" w:rsidP="00D34F42">
            <w:pPr>
              <w:pStyle w:val="TableBody"/>
            </w:pPr>
            <w:r w:rsidRPr="00D34F42">
              <w:t>493</w:t>
            </w:r>
          </w:p>
        </w:tc>
        <w:tc>
          <w:tcPr>
            <w:tcW w:w="1667" w:type="pct"/>
            <w:noWrap/>
            <w:hideMark/>
          </w:tcPr>
          <w:p w14:paraId="1D400BCF" w14:textId="77777777" w:rsidR="00F56D0E" w:rsidRPr="00D34F42" w:rsidRDefault="00F56D0E" w:rsidP="00D34F42">
            <w:pPr>
              <w:pStyle w:val="TableBody"/>
            </w:pPr>
            <w:r w:rsidRPr="00D34F42">
              <w:t>506</w:t>
            </w:r>
          </w:p>
        </w:tc>
      </w:tr>
      <w:tr w:rsidR="00F56D0E" w:rsidRPr="00F56D0E" w14:paraId="02526D81" w14:textId="77777777" w:rsidTr="00DC7A50">
        <w:trPr>
          <w:trHeight w:val="288"/>
        </w:trPr>
        <w:tc>
          <w:tcPr>
            <w:tcW w:w="1666" w:type="pct"/>
            <w:noWrap/>
            <w:hideMark/>
          </w:tcPr>
          <w:p w14:paraId="6F9A2D28" w14:textId="77777777" w:rsidR="00F56D0E" w:rsidRPr="005F1725" w:rsidRDefault="00F56D0E" w:rsidP="005F1725">
            <w:pPr>
              <w:pStyle w:val="TableBody"/>
            </w:pPr>
            <w:r w:rsidRPr="005F1725">
              <w:t>Nov-11</w:t>
            </w:r>
          </w:p>
        </w:tc>
        <w:tc>
          <w:tcPr>
            <w:tcW w:w="1666" w:type="pct"/>
            <w:noWrap/>
            <w:hideMark/>
          </w:tcPr>
          <w:p w14:paraId="08C35D35" w14:textId="77777777" w:rsidR="00F56D0E" w:rsidRPr="00D34F42" w:rsidRDefault="00F56D0E" w:rsidP="00D34F42">
            <w:pPr>
              <w:pStyle w:val="TableBody"/>
            </w:pPr>
            <w:r w:rsidRPr="00D34F42">
              <w:t>528</w:t>
            </w:r>
          </w:p>
        </w:tc>
        <w:tc>
          <w:tcPr>
            <w:tcW w:w="1667" w:type="pct"/>
            <w:noWrap/>
            <w:hideMark/>
          </w:tcPr>
          <w:p w14:paraId="49DB6F87" w14:textId="77777777" w:rsidR="00F56D0E" w:rsidRPr="00D34F42" w:rsidRDefault="00F56D0E" w:rsidP="00D34F42">
            <w:pPr>
              <w:pStyle w:val="TableBody"/>
            </w:pPr>
            <w:r w:rsidRPr="00D34F42">
              <w:t>537</w:t>
            </w:r>
          </w:p>
        </w:tc>
      </w:tr>
      <w:tr w:rsidR="00F56D0E" w:rsidRPr="00F56D0E" w14:paraId="3F389D2D" w14:textId="77777777" w:rsidTr="00DC7A50">
        <w:trPr>
          <w:trHeight w:val="288"/>
        </w:trPr>
        <w:tc>
          <w:tcPr>
            <w:tcW w:w="1666" w:type="pct"/>
            <w:noWrap/>
            <w:hideMark/>
          </w:tcPr>
          <w:p w14:paraId="2F3FB113" w14:textId="77777777" w:rsidR="00F56D0E" w:rsidRPr="005F1725" w:rsidRDefault="00F56D0E" w:rsidP="005F1725">
            <w:pPr>
              <w:pStyle w:val="TableBody"/>
            </w:pPr>
            <w:r w:rsidRPr="005F1725">
              <w:t>Dec-11</w:t>
            </w:r>
          </w:p>
        </w:tc>
        <w:tc>
          <w:tcPr>
            <w:tcW w:w="1666" w:type="pct"/>
            <w:noWrap/>
            <w:hideMark/>
          </w:tcPr>
          <w:p w14:paraId="3978FD1F" w14:textId="77777777" w:rsidR="00F56D0E" w:rsidRPr="00D34F42" w:rsidRDefault="00F56D0E" w:rsidP="00D34F42">
            <w:pPr>
              <w:pStyle w:val="TableBody"/>
            </w:pPr>
            <w:r w:rsidRPr="00D34F42">
              <w:t>576</w:t>
            </w:r>
          </w:p>
        </w:tc>
        <w:tc>
          <w:tcPr>
            <w:tcW w:w="1667" w:type="pct"/>
            <w:noWrap/>
            <w:hideMark/>
          </w:tcPr>
          <w:p w14:paraId="71936939" w14:textId="77777777" w:rsidR="00F56D0E" w:rsidRPr="00D34F42" w:rsidRDefault="00F56D0E" w:rsidP="00D34F42">
            <w:pPr>
              <w:pStyle w:val="TableBody"/>
            </w:pPr>
            <w:r w:rsidRPr="00D34F42">
              <w:t>499</w:t>
            </w:r>
          </w:p>
        </w:tc>
      </w:tr>
      <w:tr w:rsidR="00F56D0E" w:rsidRPr="00F56D0E" w14:paraId="603CA8F3" w14:textId="77777777" w:rsidTr="00DC7A50">
        <w:trPr>
          <w:trHeight w:val="288"/>
        </w:trPr>
        <w:tc>
          <w:tcPr>
            <w:tcW w:w="1666" w:type="pct"/>
            <w:noWrap/>
            <w:hideMark/>
          </w:tcPr>
          <w:p w14:paraId="79F2AFB8" w14:textId="77777777" w:rsidR="00F56D0E" w:rsidRPr="005F1725" w:rsidRDefault="00F56D0E" w:rsidP="005F1725">
            <w:pPr>
              <w:pStyle w:val="TableBody"/>
            </w:pPr>
            <w:r w:rsidRPr="005F1725">
              <w:t>Jan-12</w:t>
            </w:r>
          </w:p>
        </w:tc>
        <w:tc>
          <w:tcPr>
            <w:tcW w:w="1666" w:type="pct"/>
            <w:noWrap/>
            <w:hideMark/>
          </w:tcPr>
          <w:p w14:paraId="6E4C2705" w14:textId="77777777" w:rsidR="00F56D0E" w:rsidRPr="00D34F42" w:rsidRDefault="00F56D0E" w:rsidP="00D34F42">
            <w:pPr>
              <w:pStyle w:val="TableBody"/>
            </w:pPr>
            <w:r w:rsidRPr="00D34F42">
              <w:t>427</w:t>
            </w:r>
          </w:p>
        </w:tc>
        <w:tc>
          <w:tcPr>
            <w:tcW w:w="1667" w:type="pct"/>
            <w:noWrap/>
            <w:hideMark/>
          </w:tcPr>
          <w:p w14:paraId="7A81CA59" w14:textId="77777777" w:rsidR="00F56D0E" w:rsidRPr="00D34F42" w:rsidRDefault="00F56D0E" w:rsidP="00D34F42">
            <w:pPr>
              <w:pStyle w:val="TableBody"/>
            </w:pPr>
            <w:r w:rsidRPr="00D34F42">
              <w:t>418</w:t>
            </w:r>
          </w:p>
        </w:tc>
      </w:tr>
      <w:tr w:rsidR="00F56D0E" w:rsidRPr="00F56D0E" w14:paraId="6E636912" w14:textId="77777777" w:rsidTr="00DC7A50">
        <w:trPr>
          <w:trHeight w:val="288"/>
        </w:trPr>
        <w:tc>
          <w:tcPr>
            <w:tcW w:w="1666" w:type="pct"/>
            <w:noWrap/>
            <w:hideMark/>
          </w:tcPr>
          <w:p w14:paraId="122A4C6B" w14:textId="77777777" w:rsidR="00F56D0E" w:rsidRPr="005F1725" w:rsidRDefault="00F56D0E" w:rsidP="005F1725">
            <w:pPr>
              <w:pStyle w:val="TableBody"/>
            </w:pPr>
            <w:r w:rsidRPr="005F1725">
              <w:t>Feb-12</w:t>
            </w:r>
          </w:p>
        </w:tc>
        <w:tc>
          <w:tcPr>
            <w:tcW w:w="1666" w:type="pct"/>
            <w:noWrap/>
            <w:hideMark/>
          </w:tcPr>
          <w:p w14:paraId="7BC26C0D" w14:textId="77777777" w:rsidR="00F56D0E" w:rsidRPr="00D34F42" w:rsidRDefault="00F56D0E" w:rsidP="00D34F42">
            <w:pPr>
              <w:pStyle w:val="TableBody"/>
            </w:pPr>
            <w:r w:rsidRPr="00D34F42">
              <w:t>480</w:t>
            </w:r>
          </w:p>
        </w:tc>
        <w:tc>
          <w:tcPr>
            <w:tcW w:w="1667" w:type="pct"/>
            <w:noWrap/>
            <w:hideMark/>
          </w:tcPr>
          <w:p w14:paraId="6CB81DFD" w14:textId="77777777" w:rsidR="00F56D0E" w:rsidRPr="00D34F42" w:rsidRDefault="00F56D0E" w:rsidP="00D34F42">
            <w:pPr>
              <w:pStyle w:val="TableBody"/>
            </w:pPr>
            <w:r w:rsidRPr="00D34F42">
              <w:t>579</w:t>
            </w:r>
          </w:p>
        </w:tc>
      </w:tr>
      <w:tr w:rsidR="00F56D0E" w:rsidRPr="00F56D0E" w14:paraId="665AD2E4" w14:textId="77777777" w:rsidTr="00DC7A50">
        <w:trPr>
          <w:trHeight w:val="288"/>
        </w:trPr>
        <w:tc>
          <w:tcPr>
            <w:tcW w:w="1666" w:type="pct"/>
            <w:noWrap/>
            <w:hideMark/>
          </w:tcPr>
          <w:p w14:paraId="76C2C29C" w14:textId="77777777" w:rsidR="00F56D0E" w:rsidRPr="005F1725" w:rsidRDefault="00F56D0E" w:rsidP="005F1725">
            <w:pPr>
              <w:pStyle w:val="TableBody"/>
            </w:pPr>
            <w:r w:rsidRPr="005F1725">
              <w:t>Mar-12</w:t>
            </w:r>
          </w:p>
        </w:tc>
        <w:tc>
          <w:tcPr>
            <w:tcW w:w="1666" w:type="pct"/>
            <w:noWrap/>
            <w:hideMark/>
          </w:tcPr>
          <w:p w14:paraId="28B0CA3E" w14:textId="77777777" w:rsidR="00F56D0E" w:rsidRPr="00D34F42" w:rsidRDefault="00F56D0E" w:rsidP="00D34F42">
            <w:pPr>
              <w:pStyle w:val="TableBody"/>
            </w:pPr>
            <w:r w:rsidRPr="00D34F42">
              <w:t>498</w:t>
            </w:r>
          </w:p>
        </w:tc>
        <w:tc>
          <w:tcPr>
            <w:tcW w:w="1667" w:type="pct"/>
            <w:noWrap/>
            <w:hideMark/>
          </w:tcPr>
          <w:p w14:paraId="214B71D6" w14:textId="77777777" w:rsidR="00F56D0E" w:rsidRPr="00D34F42" w:rsidRDefault="00F56D0E" w:rsidP="00D34F42">
            <w:pPr>
              <w:pStyle w:val="TableBody"/>
            </w:pPr>
            <w:r w:rsidRPr="00D34F42">
              <w:t>586</w:t>
            </w:r>
          </w:p>
        </w:tc>
      </w:tr>
      <w:tr w:rsidR="00F56D0E" w:rsidRPr="00F56D0E" w14:paraId="19B608BD" w14:textId="77777777" w:rsidTr="00DC7A50">
        <w:trPr>
          <w:trHeight w:val="288"/>
        </w:trPr>
        <w:tc>
          <w:tcPr>
            <w:tcW w:w="1666" w:type="pct"/>
            <w:noWrap/>
            <w:hideMark/>
          </w:tcPr>
          <w:p w14:paraId="45595EDA" w14:textId="77777777" w:rsidR="00F56D0E" w:rsidRPr="005F1725" w:rsidRDefault="00F56D0E" w:rsidP="005F1725">
            <w:pPr>
              <w:pStyle w:val="TableBody"/>
            </w:pPr>
            <w:r w:rsidRPr="005F1725">
              <w:t>Apr-12</w:t>
            </w:r>
          </w:p>
        </w:tc>
        <w:tc>
          <w:tcPr>
            <w:tcW w:w="1666" w:type="pct"/>
            <w:noWrap/>
            <w:hideMark/>
          </w:tcPr>
          <w:p w14:paraId="1098ABDD" w14:textId="77777777" w:rsidR="00F56D0E" w:rsidRPr="00D34F42" w:rsidRDefault="00F56D0E" w:rsidP="00D34F42">
            <w:pPr>
              <w:pStyle w:val="TableBody"/>
            </w:pPr>
            <w:r w:rsidRPr="00D34F42">
              <w:t>494</w:t>
            </w:r>
          </w:p>
        </w:tc>
        <w:tc>
          <w:tcPr>
            <w:tcW w:w="1667" w:type="pct"/>
            <w:noWrap/>
            <w:hideMark/>
          </w:tcPr>
          <w:p w14:paraId="4C05E885" w14:textId="77777777" w:rsidR="00F56D0E" w:rsidRPr="00D34F42" w:rsidRDefault="00F56D0E" w:rsidP="00D34F42">
            <w:pPr>
              <w:pStyle w:val="TableBody"/>
            </w:pPr>
            <w:r w:rsidRPr="00D34F42">
              <w:t>478</w:t>
            </w:r>
          </w:p>
        </w:tc>
      </w:tr>
      <w:tr w:rsidR="00F56D0E" w:rsidRPr="00F56D0E" w14:paraId="274A0D91" w14:textId="77777777" w:rsidTr="00DC7A50">
        <w:trPr>
          <w:trHeight w:val="288"/>
        </w:trPr>
        <w:tc>
          <w:tcPr>
            <w:tcW w:w="1666" w:type="pct"/>
            <w:noWrap/>
            <w:hideMark/>
          </w:tcPr>
          <w:p w14:paraId="777A0D01" w14:textId="77777777" w:rsidR="00F56D0E" w:rsidRPr="005F1725" w:rsidRDefault="00F56D0E" w:rsidP="005F1725">
            <w:pPr>
              <w:pStyle w:val="TableBody"/>
            </w:pPr>
            <w:r w:rsidRPr="005F1725">
              <w:t>May-12</w:t>
            </w:r>
          </w:p>
        </w:tc>
        <w:tc>
          <w:tcPr>
            <w:tcW w:w="1666" w:type="pct"/>
            <w:noWrap/>
            <w:hideMark/>
          </w:tcPr>
          <w:p w14:paraId="2051D11B" w14:textId="77777777" w:rsidR="00F56D0E" w:rsidRPr="00D34F42" w:rsidRDefault="00F56D0E" w:rsidP="00D34F42">
            <w:pPr>
              <w:pStyle w:val="TableBody"/>
            </w:pPr>
            <w:r w:rsidRPr="00D34F42">
              <w:t>624</w:t>
            </w:r>
          </w:p>
        </w:tc>
        <w:tc>
          <w:tcPr>
            <w:tcW w:w="1667" w:type="pct"/>
            <w:noWrap/>
            <w:hideMark/>
          </w:tcPr>
          <w:p w14:paraId="7DCFC874" w14:textId="77777777" w:rsidR="00F56D0E" w:rsidRPr="00D34F42" w:rsidRDefault="00F56D0E" w:rsidP="00D34F42">
            <w:pPr>
              <w:pStyle w:val="TableBody"/>
            </w:pPr>
            <w:r w:rsidRPr="00D34F42">
              <w:t>574</w:t>
            </w:r>
          </w:p>
        </w:tc>
      </w:tr>
      <w:tr w:rsidR="00F56D0E" w:rsidRPr="00F56D0E" w14:paraId="588CF5D0" w14:textId="77777777" w:rsidTr="00DC7A50">
        <w:trPr>
          <w:trHeight w:val="288"/>
        </w:trPr>
        <w:tc>
          <w:tcPr>
            <w:tcW w:w="1666" w:type="pct"/>
            <w:noWrap/>
            <w:hideMark/>
          </w:tcPr>
          <w:p w14:paraId="5EF73E3A" w14:textId="77777777" w:rsidR="00F56D0E" w:rsidRPr="005F1725" w:rsidRDefault="00F56D0E" w:rsidP="005F1725">
            <w:pPr>
              <w:pStyle w:val="TableBody"/>
            </w:pPr>
            <w:r w:rsidRPr="005F1725">
              <w:t>Jun-12</w:t>
            </w:r>
          </w:p>
        </w:tc>
        <w:tc>
          <w:tcPr>
            <w:tcW w:w="1666" w:type="pct"/>
            <w:noWrap/>
            <w:hideMark/>
          </w:tcPr>
          <w:p w14:paraId="4E1B2D02" w14:textId="77777777" w:rsidR="00F56D0E" w:rsidRPr="00D34F42" w:rsidRDefault="00F56D0E" w:rsidP="00D34F42">
            <w:pPr>
              <w:pStyle w:val="TableBody"/>
            </w:pPr>
            <w:r w:rsidRPr="00D34F42">
              <w:t>490</w:t>
            </w:r>
          </w:p>
        </w:tc>
        <w:tc>
          <w:tcPr>
            <w:tcW w:w="1667" w:type="pct"/>
            <w:noWrap/>
            <w:hideMark/>
          </w:tcPr>
          <w:p w14:paraId="039A7BD3" w14:textId="77777777" w:rsidR="00F56D0E" w:rsidRPr="00D34F42" w:rsidRDefault="00F56D0E" w:rsidP="00D34F42">
            <w:pPr>
              <w:pStyle w:val="TableBody"/>
            </w:pPr>
            <w:r w:rsidRPr="00D34F42">
              <w:t>516</w:t>
            </w:r>
          </w:p>
        </w:tc>
      </w:tr>
      <w:tr w:rsidR="00F56D0E" w:rsidRPr="00F56D0E" w14:paraId="0AA778ED" w14:textId="77777777" w:rsidTr="00DC7A50">
        <w:trPr>
          <w:trHeight w:val="288"/>
        </w:trPr>
        <w:tc>
          <w:tcPr>
            <w:tcW w:w="1666" w:type="pct"/>
            <w:noWrap/>
            <w:hideMark/>
          </w:tcPr>
          <w:p w14:paraId="32BF1431" w14:textId="77777777" w:rsidR="00F56D0E" w:rsidRPr="005F1725" w:rsidRDefault="00F56D0E" w:rsidP="005F1725">
            <w:pPr>
              <w:pStyle w:val="TableBody"/>
            </w:pPr>
            <w:r w:rsidRPr="005F1725">
              <w:t>Jul-12</w:t>
            </w:r>
          </w:p>
        </w:tc>
        <w:tc>
          <w:tcPr>
            <w:tcW w:w="1666" w:type="pct"/>
            <w:noWrap/>
            <w:hideMark/>
          </w:tcPr>
          <w:p w14:paraId="6776574B" w14:textId="77777777" w:rsidR="00F56D0E" w:rsidRPr="00D34F42" w:rsidRDefault="00F56D0E" w:rsidP="00D34F42">
            <w:pPr>
              <w:pStyle w:val="TableBody"/>
            </w:pPr>
            <w:r w:rsidRPr="00D34F42">
              <w:t>483</w:t>
            </w:r>
          </w:p>
        </w:tc>
        <w:tc>
          <w:tcPr>
            <w:tcW w:w="1667" w:type="pct"/>
            <w:noWrap/>
            <w:hideMark/>
          </w:tcPr>
          <w:p w14:paraId="41FFBAA1" w14:textId="77777777" w:rsidR="00F56D0E" w:rsidRPr="00D34F42" w:rsidRDefault="00F56D0E" w:rsidP="00D34F42">
            <w:pPr>
              <w:pStyle w:val="TableBody"/>
            </w:pPr>
            <w:r w:rsidRPr="00D34F42">
              <w:t>566</w:t>
            </w:r>
          </w:p>
        </w:tc>
      </w:tr>
      <w:tr w:rsidR="00F56D0E" w:rsidRPr="00F56D0E" w14:paraId="1C59C6B5" w14:textId="77777777" w:rsidTr="00DC7A50">
        <w:trPr>
          <w:trHeight w:val="288"/>
        </w:trPr>
        <w:tc>
          <w:tcPr>
            <w:tcW w:w="1666" w:type="pct"/>
            <w:noWrap/>
            <w:hideMark/>
          </w:tcPr>
          <w:p w14:paraId="55D6C5AF" w14:textId="77777777" w:rsidR="00F56D0E" w:rsidRPr="005F1725" w:rsidRDefault="00F56D0E" w:rsidP="005F1725">
            <w:pPr>
              <w:pStyle w:val="TableBody"/>
            </w:pPr>
            <w:r w:rsidRPr="005F1725">
              <w:t>Aug-12</w:t>
            </w:r>
          </w:p>
        </w:tc>
        <w:tc>
          <w:tcPr>
            <w:tcW w:w="1666" w:type="pct"/>
            <w:noWrap/>
            <w:hideMark/>
          </w:tcPr>
          <w:p w14:paraId="2B6A9D26" w14:textId="77777777" w:rsidR="00F56D0E" w:rsidRPr="00D34F42" w:rsidRDefault="00F56D0E" w:rsidP="00D34F42">
            <w:pPr>
              <w:pStyle w:val="TableBody"/>
            </w:pPr>
            <w:r w:rsidRPr="00D34F42">
              <w:t>572</w:t>
            </w:r>
          </w:p>
        </w:tc>
        <w:tc>
          <w:tcPr>
            <w:tcW w:w="1667" w:type="pct"/>
            <w:noWrap/>
            <w:hideMark/>
          </w:tcPr>
          <w:p w14:paraId="341B74BA" w14:textId="77777777" w:rsidR="00F56D0E" w:rsidRPr="00D34F42" w:rsidRDefault="00F56D0E" w:rsidP="00D34F42">
            <w:pPr>
              <w:pStyle w:val="TableBody"/>
            </w:pPr>
            <w:r w:rsidRPr="00D34F42">
              <w:t>605</w:t>
            </w:r>
          </w:p>
        </w:tc>
      </w:tr>
      <w:tr w:rsidR="00F56D0E" w:rsidRPr="00F56D0E" w14:paraId="4F08679D" w14:textId="77777777" w:rsidTr="00DC7A50">
        <w:trPr>
          <w:trHeight w:val="288"/>
        </w:trPr>
        <w:tc>
          <w:tcPr>
            <w:tcW w:w="1666" w:type="pct"/>
            <w:noWrap/>
            <w:hideMark/>
          </w:tcPr>
          <w:p w14:paraId="3B28DE01" w14:textId="77777777" w:rsidR="00F56D0E" w:rsidRPr="005F1725" w:rsidRDefault="00F56D0E" w:rsidP="005F1725">
            <w:pPr>
              <w:pStyle w:val="TableBody"/>
            </w:pPr>
            <w:r w:rsidRPr="005F1725">
              <w:t>Sep-12</w:t>
            </w:r>
          </w:p>
        </w:tc>
        <w:tc>
          <w:tcPr>
            <w:tcW w:w="1666" w:type="pct"/>
            <w:noWrap/>
            <w:hideMark/>
          </w:tcPr>
          <w:p w14:paraId="29D99472" w14:textId="77777777" w:rsidR="00F56D0E" w:rsidRPr="00D34F42" w:rsidRDefault="00F56D0E" w:rsidP="00D34F42">
            <w:pPr>
              <w:pStyle w:val="TableBody"/>
            </w:pPr>
            <w:r w:rsidRPr="00D34F42">
              <w:t>525</w:t>
            </w:r>
          </w:p>
        </w:tc>
        <w:tc>
          <w:tcPr>
            <w:tcW w:w="1667" w:type="pct"/>
            <w:noWrap/>
            <w:hideMark/>
          </w:tcPr>
          <w:p w14:paraId="1B20A937" w14:textId="77777777" w:rsidR="00F56D0E" w:rsidRPr="00D34F42" w:rsidRDefault="00F56D0E" w:rsidP="00D34F42">
            <w:pPr>
              <w:pStyle w:val="TableBody"/>
            </w:pPr>
            <w:r w:rsidRPr="00D34F42">
              <w:t>562</w:t>
            </w:r>
          </w:p>
        </w:tc>
      </w:tr>
      <w:tr w:rsidR="00F56D0E" w:rsidRPr="00F56D0E" w14:paraId="6FEC9ECA" w14:textId="77777777" w:rsidTr="00DC7A50">
        <w:trPr>
          <w:trHeight w:val="288"/>
        </w:trPr>
        <w:tc>
          <w:tcPr>
            <w:tcW w:w="1666" w:type="pct"/>
            <w:noWrap/>
            <w:hideMark/>
          </w:tcPr>
          <w:p w14:paraId="107BDA90" w14:textId="77777777" w:rsidR="00F56D0E" w:rsidRPr="005F1725" w:rsidRDefault="00F56D0E" w:rsidP="005F1725">
            <w:pPr>
              <w:pStyle w:val="TableBody"/>
            </w:pPr>
            <w:r w:rsidRPr="005F1725">
              <w:t>Oct-12</w:t>
            </w:r>
          </w:p>
        </w:tc>
        <w:tc>
          <w:tcPr>
            <w:tcW w:w="1666" w:type="pct"/>
            <w:noWrap/>
            <w:hideMark/>
          </w:tcPr>
          <w:p w14:paraId="7A7C88B2" w14:textId="77777777" w:rsidR="00F56D0E" w:rsidRPr="00D34F42" w:rsidRDefault="00F56D0E" w:rsidP="00D34F42">
            <w:pPr>
              <w:pStyle w:val="TableBody"/>
            </w:pPr>
            <w:r w:rsidRPr="00D34F42">
              <w:t>561</w:t>
            </w:r>
          </w:p>
        </w:tc>
        <w:tc>
          <w:tcPr>
            <w:tcW w:w="1667" w:type="pct"/>
            <w:noWrap/>
            <w:hideMark/>
          </w:tcPr>
          <w:p w14:paraId="16951252" w14:textId="77777777" w:rsidR="00F56D0E" w:rsidRPr="00D34F42" w:rsidRDefault="00F56D0E" w:rsidP="00D34F42">
            <w:pPr>
              <w:pStyle w:val="TableBody"/>
            </w:pPr>
            <w:r w:rsidRPr="00D34F42">
              <w:t>598</w:t>
            </w:r>
          </w:p>
        </w:tc>
      </w:tr>
      <w:tr w:rsidR="00F56D0E" w:rsidRPr="00F56D0E" w14:paraId="36A34314" w14:textId="77777777" w:rsidTr="00DC7A50">
        <w:trPr>
          <w:trHeight w:val="288"/>
        </w:trPr>
        <w:tc>
          <w:tcPr>
            <w:tcW w:w="1666" w:type="pct"/>
            <w:noWrap/>
            <w:hideMark/>
          </w:tcPr>
          <w:p w14:paraId="6394A4C4" w14:textId="77777777" w:rsidR="00F56D0E" w:rsidRPr="005F1725" w:rsidRDefault="00F56D0E" w:rsidP="005F1725">
            <w:pPr>
              <w:pStyle w:val="TableBody"/>
            </w:pPr>
            <w:r w:rsidRPr="005F1725">
              <w:t>Nov-12</w:t>
            </w:r>
          </w:p>
        </w:tc>
        <w:tc>
          <w:tcPr>
            <w:tcW w:w="1666" w:type="pct"/>
            <w:noWrap/>
            <w:hideMark/>
          </w:tcPr>
          <w:p w14:paraId="5881D6EE" w14:textId="77777777" w:rsidR="00F56D0E" w:rsidRPr="00D34F42" w:rsidRDefault="00F56D0E" w:rsidP="00D34F42">
            <w:pPr>
              <w:pStyle w:val="TableBody"/>
            </w:pPr>
            <w:r w:rsidRPr="00D34F42">
              <w:t>596</w:t>
            </w:r>
          </w:p>
        </w:tc>
        <w:tc>
          <w:tcPr>
            <w:tcW w:w="1667" w:type="pct"/>
            <w:noWrap/>
            <w:hideMark/>
          </w:tcPr>
          <w:p w14:paraId="081F5F9A" w14:textId="77777777" w:rsidR="00F56D0E" w:rsidRPr="00D34F42" w:rsidRDefault="00F56D0E" w:rsidP="00D34F42">
            <w:pPr>
              <w:pStyle w:val="TableBody"/>
            </w:pPr>
            <w:r w:rsidRPr="00D34F42">
              <w:t>622</w:t>
            </w:r>
          </w:p>
        </w:tc>
      </w:tr>
      <w:tr w:rsidR="00F56D0E" w:rsidRPr="00F56D0E" w14:paraId="088312B6" w14:textId="77777777" w:rsidTr="00DC7A50">
        <w:trPr>
          <w:trHeight w:val="288"/>
        </w:trPr>
        <w:tc>
          <w:tcPr>
            <w:tcW w:w="1666" w:type="pct"/>
            <w:noWrap/>
            <w:hideMark/>
          </w:tcPr>
          <w:p w14:paraId="30512F95" w14:textId="77777777" w:rsidR="00F56D0E" w:rsidRPr="005F1725" w:rsidRDefault="00F56D0E" w:rsidP="005F1725">
            <w:pPr>
              <w:pStyle w:val="TableBody"/>
            </w:pPr>
            <w:r w:rsidRPr="005F1725">
              <w:t>Dec-12</w:t>
            </w:r>
          </w:p>
        </w:tc>
        <w:tc>
          <w:tcPr>
            <w:tcW w:w="1666" w:type="pct"/>
            <w:noWrap/>
            <w:hideMark/>
          </w:tcPr>
          <w:p w14:paraId="359B2E63" w14:textId="77777777" w:rsidR="00F56D0E" w:rsidRPr="00D34F42" w:rsidRDefault="00F56D0E" w:rsidP="00D34F42">
            <w:pPr>
              <w:pStyle w:val="TableBody"/>
            </w:pPr>
            <w:r w:rsidRPr="00D34F42">
              <w:t>588</w:t>
            </w:r>
          </w:p>
        </w:tc>
        <w:tc>
          <w:tcPr>
            <w:tcW w:w="1667" w:type="pct"/>
            <w:noWrap/>
            <w:hideMark/>
          </w:tcPr>
          <w:p w14:paraId="1D4F5BD7" w14:textId="77777777" w:rsidR="00F56D0E" w:rsidRPr="00D34F42" w:rsidRDefault="00F56D0E" w:rsidP="00D34F42">
            <w:pPr>
              <w:pStyle w:val="TableBody"/>
            </w:pPr>
            <w:r w:rsidRPr="00D34F42">
              <w:t>615</w:t>
            </w:r>
          </w:p>
        </w:tc>
      </w:tr>
      <w:tr w:rsidR="00F56D0E" w:rsidRPr="00F56D0E" w14:paraId="3183BA29" w14:textId="77777777" w:rsidTr="00DC7A50">
        <w:trPr>
          <w:trHeight w:val="288"/>
        </w:trPr>
        <w:tc>
          <w:tcPr>
            <w:tcW w:w="1666" w:type="pct"/>
            <w:noWrap/>
            <w:hideMark/>
          </w:tcPr>
          <w:p w14:paraId="27718E29" w14:textId="77777777" w:rsidR="00F56D0E" w:rsidRPr="005F1725" w:rsidRDefault="00F56D0E" w:rsidP="005F1725">
            <w:pPr>
              <w:pStyle w:val="TableBody"/>
            </w:pPr>
            <w:r w:rsidRPr="005F1725">
              <w:t>Jan-13</w:t>
            </w:r>
          </w:p>
        </w:tc>
        <w:tc>
          <w:tcPr>
            <w:tcW w:w="1666" w:type="pct"/>
            <w:noWrap/>
            <w:hideMark/>
          </w:tcPr>
          <w:p w14:paraId="4A677DA8" w14:textId="77777777" w:rsidR="00F56D0E" w:rsidRPr="00D34F42" w:rsidRDefault="00F56D0E" w:rsidP="00D34F42">
            <w:pPr>
              <w:pStyle w:val="TableBody"/>
            </w:pPr>
            <w:r w:rsidRPr="00D34F42">
              <w:t>497</w:t>
            </w:r>
          </w:p>
        </w:tc>
        <w:tc>
          <w:tcPr>
            <w:tcW w:w="1667" w:type="pct"/>
            <w:noWrap/>
            <w:hideMark/>
          </w:tcPr>
          <w:p w14:paraId="7F4C69CC" w14:textId="77777777" w:rsidR="00F56D0E" w:rsidRPr="00D34F42" w:rsidRDefault="00F56D0E" w:rsidP="00D34F42">
            <w:pPr>
              <w:pStyle w:val="TableBody"/>
            </w:pPr>
            <w:r w:rsidRPr="00D34F42">
              <w:t>575</w:t>
            </w:r>
          </w:p>
        </w:tc>
      </w:tr>
      <w:tr w:rsidR="00F56D0E" w:rsidRPr="00F56D0E" w14:paraId="1CCA6F3D" w14:textId="77777777" w:rsidTr="00DC7A50">
        <w:trPr>
          <w:trHeight w:val="288"/>
        </w:trPr>
        <w:tc>
          <w:tcPr>
            <w:tcW w:w="1666" w:type="pct"/>
            <w:noWrap/>
            <w:hideMark/>
          </w:tcPr>
          <w:p w14:paraId="258984E6" w14:textId="77777777" w:rsidR="00F56D0E" w:rsidRPr="005F1725" w:rsidRDefault="00F56D0E" w:rsidP="005F1725">
            <w:pPr>
              <w:pStyle w:val="TableBody"/>
            </w:pPr>
            <w:r w:rsidRPr="005F1725">
              <w:t>Feb-13</w:t>
            </w:r>
          </w:p>
        </w:tc>
        <w:tc>
          <w:tcPr>
            <w:tcW w:w="1666" w:type="pct"/>
            <w:noWrap/>
            <w:hideMark/>
          </w:tcPr>
          <w:p w14:paraId="27BC2267" w14:textId="77777777" w:rsidR="00F56D0E" w:rsidRPr="00D34F42" w:rsidRDefault="00F56D0E" w:rsidP="00D34F42">
            <w:pPr>
              <w:pStyle w:val="TableBody"/>
            </w:pPr>
            <w:r w:rsidRPr="00D34F42">
              <w:t>543</w:t>
            </w:r>
          </w:p>
        </w:tc>
        <w:tc>
          <w:tcPr>
            <w:tcW w:w="1667" w:type="pct"/>
            <w:noWrap/>
            <w:hideMark/>
          </w:tcPr>
          <w:p w14:paraId="7780A1C1" w14:textId="77777777" w:rsidR="00F56D0E" w:rsidRPr="00D34F42" w:rsidRDefault="00F56D0E" w:rsidP="00D34F42">
            <w:pPr>
              <w:pStyle w:val="TableBody"/>
            </w:pPr>
            <w:r w:rsidRPr="00D34F42">
              <w:t>604</w:t>
            </w:r>
          </w:p>
        </w:tc>
      </w:tr>
      <w:tr w:rsidR="00F56D0E" w:rsidRPr="00F56D0E" w14:paraId="0ECEF763" w14:textId="77777777" w:rsidTr="00DC7A50">
        <w:trPr>
          <w:trHeight w:val="288"/>
        </w:trPr>
        <w:tc>
          <w:tcPr>
            <w:tcW w:w="1666" w:type="pct"/>
            <w:noWrap/>
            <w:hideMark/>
          </w:tcPr>
          <w:p w14:paraId="1D1A3008" w14:textId="77777777" w:rsidR="00F56D0E" w:rsidRPr="005F1725" w:rsidRDefault="00F56D0E" w:rsidP="005F1725">
            <w:pPr>
              <w:pStyle w:val="TableBody"/>
            </w:pPr>
            <w:r w:rsidRPr="005F1725">
              <w:t>Mar-13</w:t>
            </w:r>
          </w:p>
        </w:tc>
        <w:tc>
          <w:tcPr>
            <w:tcW w:w="1666" w:type="pct"/>
            <w:noWrap/>
            <w:hideMark/>
          </w:tcPr>
          <w:p w14:paraId="10B17794" w14:textId="77777777" w:rsidR="00F56D0E" w:rsidRPr="00D34F42" w:rsidRDefault="00F56D0E" w:rsidP="00D34F42">
            <w:pPr>
              <w:pStyle w:val="TableBody"/>
            </w:pPr>
            <w:r w:rsidRPr="00D34F42">
              <w:t>580</w:t>
            </w:r>
          </w:p>
        </w:tc>
        <w:tc>
          <w:tcPr>
            <w:tcW w:w="1667" w:type="pct"/>
            <w:noWrap/>
            <w:hideMark/>
          </w:tcPr>
          <w:p w14:paraId="034525FC" w14:textId="77777777" w:rsidR="00F56D0E" w:rsidRPr="00D34F42" w:rsidRDefault="00F56D0E" w:rsidP="00D34F42">
            <w:pPr>
              <w:pStyle w:val="TableBody"/>
            </w:pPr>
            <w:r w:rsidRPr="00D34F42">
              <w:t>604</w:t>
            </w:r>
          </w:p>
        </w:tc>
      </w:tr>
      <w:tr w:rsidR="00F56D0E" w:rsidRPr="00F56D0E" w14:paraId="179798AD" w14:textId="77777777" w:rsidTr="00DC7A50">
        <w:trPr>
          <w:trHeight w:val="288"/>
        </w:trPr>
        <w:tc>
          <w:tcPr>
            <w:tcW w:w="1666" w:type="pct"/>
            <w:noWrap/>
            <w:hideMark/>
          </w:tcPr>
          <w:p w14:paraId="34F54558" w14:textId="77777777" w:rsidR="00F56D0E" w:rsidRPr="005F1725" w:rsidRDefault="00F56D0E" w:rsidP="005F1725">
            <w:pPr>
              <w:pStyle w:val="TableBody"/>
            </w:pPr>
            <w:r w:rsidRPr="005F1725">
              <w:t>Apr-13</w:t>
            </w:r>
          </w:p>
        </w:tc>
        <w:tc>
          <w:tcPr>
            <w:tcW w:w="1666" w:type="pct"/>
            <w:noWrap/>
            <w:hideMark/>
          </w:tcPr>
          <w:p w14:paraId="40720A2D" w14:textId="77777777" w:rsidR="00F56D0E" w:rsidRPr="00D34F42" w:rsidRDefault="00F56D0E" w:rsidP="00D34F42">
            <w:pPr>
              <w:pStyle w:val="TableBody"/>
            </w:pPr>
            <w:r w:rsidRPr="00D34F42">
              <w:t>544</w:t>
            </w:r>
          </w:p>
        </w:tc>
        <w:tc>
          <w:tcPr>
            <w:tcW w:w="1667" w:type="pct"/>
            <w:noWrap/>
            <w:hideMark/>
          </w:tcPr>
          <w:p w14:paraId="71FD2594" w14:textId="77777777" w:rsidR="00F56D0E" w:rsidRPr="00D34F42" w:rsidRDefault="00F56D0E" w:rsidP="00D34F42">
            <w:pPr>
              <w:pStyle w:val="TableBody"/>
            </w:pPr>
            <w:r w:rsidRPr="00D34F42">
              <w:t>583</w:t>
            </w:r>
          </w:p>
        </w:tc>
      </w:tr>
      <w:tr w:rsidR="00F56D0E" w:rsidRPr="00F56D0E" w14:paraId="5598845F" w14:textId="77777777" w:rsidTr="00DC7A50">
        <w:trPr>
          <w:trHeight w:val="288"/>
        </w:trPr>
        <w:tc>
          <w:tcPr>
            <w:tcW w:w="1666" w:type="pct"/>
            <w:noWrap/>
            <w:hideMark/>
          </w:tcPr>
          <w:p w14:paraId="2DC8ECB5" w14:textId="77777777" w:rsidR="00F56D0E" w:rsidRPr="005F1725" w:rsidRDefault="00F56D0E" w:rsidP="005F1725">
            <w:pPr>
              <w:pStyle w:val="TableBody"/>
            </w:pPr>
            <w:r w:rsidRPr="005F1725">
              <w:t>May-13</w:t>
            </w:r>
          </w:p>
        </w:tc>
        <w:tc>
          <w:tcPr>
            <w:tcW w:w="1666" w:type="pct"/>
            <w:noWrap/>
            <w:hideMark/>
          </w:tcPr>
          <w:p w14:paraId="102D96A7" w14:textId="77777777" w:rsidR="00F56D0E" w:rsidRPr="00D34F42" w:rsidRDefault="00F56D0E" w:rsidP="00D34F42">
            <w:pPr>
              <w:pStyle w:val="TableBody"/>
            </w:pPr>
            <w:r w:rsidRPr="00D34F42">
              <w:t>618</w:t>
            </w:r>
          </w:p>
        </w:tc>
        <w:tc>
          <w:tcPr>
            <w:tcW w:w="1667" w:type="pct"/>
            <w:noWrap/>
            <w:hideMark/>
          </w:tcPr>
          <w:p w14:paraId="3FF92F4D" w14:textId="77777777" w:rsidR="00F56D0E" w:rsidRPr="00D34F42" w:rsidRDefault="00F56D0E" w:rsidP="00D34F42">
            <w:pPr>
              <w:pStyle w:val="TableBody"/>
            </w:pPr>
            <w:r w:rsidRPr="00D34F42">
              <w:t>656</w:t>
            </w:r>
          </w:p>
        </w:tc>
      </w:tr>
      <w:tr w:rsidR="00F56D0E" w:rsidRPr="00F56D0E" w14:paraId="4B53444C" w14:textId="77777777" w:rsidTr="00DC7A50">
        <w:trPr>
          <w:trHeight w:val="288"/>
        </w:trPr>
        <w:tc>
          <w:tcPr>
            <w:tcW w:w="1666" w:type="pct"/>
            <w:noWrap/>
            <w:hideMark/>
          </w:tcPr>
          <w:p w14:paraId="571B23D3" w14:textId="77777777" w:rsidR="00F56D0E" w:rsidRPr="005F1725" w:rsidRDefault="00F56D0E" w:rsidP="005F1725">
            <w:pPr>
              <w:pStyle w:val="TableBody"/>
            </w:pPr>
            <w:r w:rsidRPr="005F1725">
              <w:t>Jun-13</w:t>
            </w:r>
          </w:p>
        </w:tc>
        <w:tc>
          <w:tcPr>
            <w:tcW w:w="1666" w:type="pct"/>
            <w:noWrap/>
            <w:hideMark/>
          </w:tcPr>
          <w:p w14:paraId="473A4465" w14:textId="77777777" w:rsidR="00F56D0E" w:rsidRPr="00D34F42" w:rsidRDefault="00F56D0E" w:rsidP="00D34F42">
            <w:pPr>
              <w:pStyle w:val="TableBody"/>
            </w:pPr>
            <w:r w:rsidRPr="00D34F42">
              <w:t>501</w:t>
            </w:r>
          </w:p>
        </w:tc>
        <w:tc>
          <w:tcPr>
            <w:tcW w:w="1667" w:type="pct"/>
            <w:noWrap/>
            <w:hideMark/>
          </w:tcPr>
          <w:p w14:paraId="215EC25E" w14:textId="77777777" w:rsidR="00F56D0E" w:rsidRPr="00D34F42" w:rsidRDefault="00F56D0E" w:rsidP="00D34F42">
            <w:pPr>
              <w:pStyle w:val="TableBody"/>
            </w:pPr>
            <w:r w:rsidRPr="00D34F42">
              <w:t>527</w:t>
            </w:r>
          </w:p>
        </w:tc>
      </w:tr>
      <w:tr w:rsidR="00F56D0E" w:rsidRPr="00F56D0E" w14:paraId="1F2B76A5" w14:textId="77777777" w:rsidTr="00DC7A50">
        <w:trPr>
          <w:trHeight w:val="288"/>
        </w:trPr>
        <w:tc>
          <w:tcPr>
            <w:tcW w:w="1666" w:type="pct"/>
            <w:noWrap/>
            <w:hideMark/>
          </w:tcPr>
          <w:p w14:paraId="547001A2" w14:textId="77777777" w:rsidR="00F56D0E" w:rsidRPr="005F1725" w:rsidRDefault="00F56D0E" w:rsidP="005F1725">
            <w:pPr>
              <w:pStyle w:val="TableBody"/>
            </w:pPr>
            <w:r w:rsidRPr="005F1725">
              <w:t>Jul-13</w:t>
            </w:r>
          </w:p>
        </w:tc>
        <w:tc>
          <w:tcPr>
            <w:tcW w:w="1666" w:type="pct"/>
            <w:noWrap/>
            <w:hideMark/>
          </w:tcPr>
          <w:p w14:paraId="67FB7E83" w14:textId="77777777" w:rsidR="00F56D0E" w:rsidRPr="00D34F42" w:rsidRDefault="00F56D0E" w:rsidP="00D34F42">
            <w:pPr>
              <w:pStyle w:val="TableBody"/>
            </w:pPr>
            <w:r w:rsidRPr="00D34F42">
              <w:t>505</w:t>
            </w:r>
          </w:p>
        </w:tc>
        <w:tc>
          <w:tcPr>
            <w:tcW w:w="1667" w:type="pct"/>
            <w:noWrap/>
            <w:hideMark/>
          </w:tcPr>
          <w:p w14:paraId="36315F8D" w14:textId="77777777" w:rsidR="00F56D0E" w:rsidRPr="00D34F42" w:rsidRDefault="00F56D0E" w:rsidP="00D34F42">
            <w:pPr>
              <w:pStyle w:val="TableBody"/>
            </w:pPr>
            <w:r w:rsidRPr="00D34F42">
              <w:t>634</w:t>
            </w:r>
          </w:p>
        </w:tc>
      </w:tr>
      <w:tr w:rsidR="00F56D0E" w:rsidRPr="00F56D0E" w14:paraId="4C5B603B" w14:textId="77777777" w:rsidTr="00DC7A50">
        <w:trPr>
          <w:trHeight w:val="288"/>
        </w:trPr>
        <w:tc>
          <w:tcPr>
            <w:tcW w:w="1666" w:type="pct"/>
            <w:noWrap/>
            <w:hideMark/>
          </w:tcPr>
          <w:p w14:paraId="61736A49" w14:textId="77777777" w:rsidR="00F56D0E" w:rsidRPr="005F1725" w:rsidRDefault="00F56D0E" w:rsidP="005F1725">
            <w:pPr>
              <w:pStyle w:val="TableBody"/>
            </w:pPr>
            <w:r w:rsidRPr="005F1725">
              <w:t>Aug-13</w:t>
            </w:r>
          </w:p>
        </w:tc>
        <w:tc>
          <w:tcPr>
            <w:tcW w:w="1666" w:type="pct"/>
            <w:noWrap/>
            <w:hideMark/>
          </w:tcPr>
          <w:p w14:paraId="23C16443" w14:textId="77777777" w:rsidR="00F56D0E" w:rsidRPr="00D34F42" w:rsidRDefault="00F56D0E" w:rsidP="00D34F42">
            <w:pPr>
              <w:pStyle w:val="TableBody"/>
            </w:pPr>
            <w:r w:rsidRPr="00D34F42">
              <w:t>545</w:t>
            </w:r>
          </w:p>
        </w:tc>
        <w:tc>
          <w:tcPr>
            <w:tcW w:w="1667" w:type="pct"/>
            <w:noWrap/>
            <w:hideMark/>
          </w:tcPr>
          <w:p w14:paraId="4D302DD7" w14:textId="77777777" w:rsidR="00F56D0E" w:rsidRPr="00D34F42" w:rsidRDefault="00F56D0E" w:rsidP="00D34F42">
            <w:pPr>
              <w:pStyle w:val="TableBody"/>
            </w:pPr>
            <w:r w:rsidRPr="00D34F42">
              <w:t>664</w:t>
            </w:r>
          </w:p>
        </w:tc>
      </w:tr>
      <w:tr w:rsidR="00F56D0E" w:rsidRPr="00F56D0E" w14:paraId="1265AE81" w14:textId="77777777" w:rsidTr="00DC7A50">
        <w:trPr>
          <w:trHeight w:val="288"/>
        </w:trPr>
        <w:tc>
          <w:tcPr>
            <w:tcW w:w="1666" w:type="pct"/>
            <w:noWrap/>
            <w:hideMark/>
          </w:tcPr>
          <w:p w14:paraId="68878A14" w14:textId="77777777" w:rsidR="00F56D0E" w:rsidRPr="005F1725" w:rsidRDefault="00F56D0E" w:rsidP="005F1725">
            <w:pPr>
              <w:pStyle w:val="TableBody"/>
            </w:pPr>
            <w:r w:rsidRPr="005F1725">
              <w:t>Sep-13</w:t>
            </w:r>
          </w:p>
        </w:tc>
        <w:tc>
          <w:tcPr>
            <w:tcW w:w="1666" w:type="pct"/>
            <w:noWrap/>
            <w:hideMark/>
          </w:tcPr>
          <w:p w14:paraId="32C90885" w14:textId="77777777" w:rsidR="00F56D0E" w:rsidRPr="00D34F42" w:rsidRDefault="00F56D0E" w:rsidP="00D34F42">
            <w:pPr>
              <w:pStyle w:val="TableBody"/>
            </w:pPr>
            <w:r w:rsidRPr="00D34F42">
              <w:t>495</w:t>
            </w:r>
          </w:p>
        </w:tc>
        <w:tc>
          <w:tcPr>
            <w:tcW w:w="1667" w:type="pct"/>
            <w:noWrap/>
            <w:hideMark/>
          </w:tcPr>
          <w:p w14:paraId="65589554" w14:textId="77777777" w:rsidR="00F56D0E" w:rsidRPr="00D34F42" w:rsidRDefault="00F56D0E" w:rsidP="00D34F42">
            <w:pPr>
              <w:pStyle w:val="TableBody"/>
            </w:pPr>
            <w:r w:rsidRPr="00D34F42">
              <w:t>591</w:t>
            </w:r>
          </w:p>
        </w:tc>
      </w:tr>
      <w:tr w:rsidR="00F56D0E" w:rsidRPr="00F56D0E" w14:paraId="7602D987" w14:textId="77777777" w:rsidTr="00DC7A50">
        <w:trPr>
          <w:trHeight w:val="288"/>
        </w:trPr>
        <w:tc>
          <w:tcPr>
            <w:tcW w:w="1666" w:type="pct"/>
            <w:noWrap/>
            <w:hideMark/>
          </w:tcPr>
          <w:p w14:paraId="61E44F6C" w14:textId="77777777" w:rsidR="00F56D0E" w:rsidRPr="005F1725" w:rsidRDefault="00F56D0E" w:rsidP="005F1725">
            <w:pPr>
              <w:pStyle w:val="TableBody"/>
            </w:pPr>
            <w:r w:rsidRPr="005F1725">
              <w:t>Oct-13</w:t>
            </w:r>
          </w:p>
        </w:tc>
        <w:tc>
          <w:tcPr>
            <w:tcW w:w="1666" w:type="pct"/>
            <w:noWrap/>
            <w:hideMark/>
          </w:tcPr>
          <w:p w14:paraId="0EC7C3CB" w14:textId="77777777" w:rsidR="00F56D0E" w:rsidRPr="00D34F42" w:rsidRDefault="00F56D0E" w:rsidP="00D34F42">
            <w:pPr>
              <w:pStyle w:val="TableBody"/>
            </w:pPr>
            <w:r w:rsidRPr="00D34F42">
              <w:t>498</w:t>
            </w:r>
          </w:p>
        </w:tc>
        <w:tc>
          <w:tcPr>
            <w:tcW w:w="1667" w:type="pct"/>
            <w:noWrap/>
            <w:hideMark/>
          </w:tcPr>
          <w:p w14:paraId="20AF0941" w14:textId="77777777" w:rsidR="00F56D0E" w:rsidRPr="00D34F42" w:rsidRDefault="00F56D0E" w:rsidP="00D34F42">
            <w:pPr>
              <w:pStyle w:val="TableBody"/>
            </w:pPr>
            <w:r w:rsidRPr="00D34F42">
              <w:t>574</w:t>
            </w:r>
          </w:p>
        </w:tc>
      </w:tr>
      <w:tr w:rsidR="00F56D0E" w:rsidRPr="00F56D0E" w14:paraId="33A28FE7" w14:textId="77777777" w:rsidTr="00DC7A50">
        <w:trPr>
          <w:trHeight w:val="288"/>
        </w:trPr>
        <w:tc>
          <w:tcPr>
            <w:tcW w:w="1666" w:type="pct"/>
            <w:noWrap/>
            <w:hideMark/>
          </w:tcPr>
          <w:p w14:paraId="666004DB" w14:textId="77777777" w:rsidR="00F56D0E" w:rsidRPr="005F1725" w:rsidRDefault="00F56D0E" w:rsidP="005F1725">
            <w:pPr>
              <w:pStyle w:val="TableBody"/>
            </w:pPr>
            <w:r w:rsidRPr="005F1725">
              <w:t>Nov-13</w:t>
            </w:r>
          </w:p>
        </w:tc>
        <w:tc>
          <w:tcPr>
            <w:tcW w:w="1666" w:type="pct"/>
            <w:noWrap/>
            <w:hideMark/>
          </w:tcPr>
          <w:p w14:paraId="0CA7264B" w14:textId="77777777" w:rsidR="00F56D0E" w:rsidRPr="00D34F42" w:rsidRDefault="00F56D0E" w:rsidP="00D34F42">
            <w:pPr>
              <w:pStyle w:val="TableBody"/>
            </w:pPr>
            <w:r w:rsidRPr="00D34F42">
              <w:t>489</w:t>
            </w:r>
          </w:p>
        </w:tc>
        <w:tc>
          <w:tcPr>
            <w:tcW w:w="1667" w:type="pct"/>
            <w:noWrap/>
            <w:hideMark/>
          </w:tcPr>
          <w:p w14:paraId="0374D1D5" w14:textId="77777777" w:rsidR="00F56D0E" w:rsidRPr="00D34F42" w:rsidRDefault="00F56D0E" w:rsidP="00D34F42">
            <w:pPr>
              <w:pStyle w:val="TableBody"/>
            </w:pPr>
            <w:r w:rsidRPr="00D34F42">
              <w:t>560</w:t>
            </w:r>
          </w:p>
        </w:tc>
      </w:tr>
      <w:tr w:rsidR="00F56D0E" w:rsidRPr="00F56D0E" w14:paraId="051DE74B" w14:textId="77777777" w:rsidTr="00DC7A50">
        <w:trPr>
          <w:trHeight w:val="288"/>
        </w:trPr>
        <w:tc>
          <w:tcPr>
            <w:tcW w:w="1666" w:type="pct"/>
            <w:noWrap/>
            <w:hideMark/>
          </w:tcPr>
          <w:p w14:paraId="7E775B3E" w14:textId="77777777" w:rsidR="00F56D0E" w:rsidRPr="005F1725" w:rsidRDefault="00F56D0E" w:rsidP="005F1725">
            <w:pPr>
              <w:pStyle w:val="TableBody"/>
            </w:pPr>
            <w:r w:rsidRPr="005F1725">
              <w:t>Dec-13</w:t>
            </w:r>
          </w:p>
        </w:tc>
        <w:tc>
          <w:tcPr>
            <w:tcW w:w="1666" w:type="pct"/>
            <w:noWrap/>
            <w:hideMark/>
          </w:tcPr>
          <w:p w14:paraId="43F460EB" w14:textId="77777777" w:rsidR="00F56D0E" w:rsidRPr="00D34F42" w:rsidRDefault="00F56D0E" w:rsidP="00D34F42">
            <w:pPr>
              <w:pStyle w:val="TableBody"/>
            </w:pPr>
            <w:r w:rsidRPr="00D34F42">
              <w:t>585</w:t>
            </w:r>
          </w:p>
        </w:tc>
        <w:tc>
          <w:tcPr>
            <w:tcW w:w="1667" w:type="pct"/>
            <w:noWrap/>
            <w:hideMark/>
          </w:tcPr>
          <w:p w14:paraId="1136F9E8" w14:textId="77777777" w:rsidR="00F56D0E" w:rsidRPr="00D34F42" w:rsidRDefault="00F56D0E" w:rsidP="00D34F42">
            <w:pPr>
              <w:pStyle w:val="TableBody"/>
            </w:pPr>
            <w:r w:rsidRPr="00D34F42">
              <w:t>599</w:t>
            </w:r>
          </w:p>
        </w:tc>
      </w:tr>
      <w:tr w:rsidR="00F56D0E" w:rsidRPr="00F56D0E" w14:paraId="1D673D39" w14:textId="77777777" w:rsidTr="00DC7A50">
        <w:trPr>
          <w:trHeight w:val="288"/>
        </w:trPr>
        <w:tc>
          <w:tcPr>
            <w:tcW w:w="1666" w:type="pct"/>
            <w:noWrap/>
            <w:hideMark/>
          </w:tcPr>
          <w:p w14:paraId="673EC996" w14:textId="77777777" w:rsidR="00F56D0E" w:rsidRPr="005F1725" w:rsidRDefault="00F56D0E" w:rsidP="005F1725">
            <w:pPr>
              <w:pStyle w:val="TableBody"/>
            </w:pPr>
            <w:r w:rsidRPr="005F1725">
              <w:t>Jan-14</w:t>
            </w:r>
          </w:p>
        </w:tc>
        <w:tc>
          <w:tcPr>
            <w:tcW w:w="1666" w:type="pct"/>
            <w:noWrap/>
            <w:hideMark/>
          </w:tcPr>
          <w:p w14:paraId="6EC8792C" w14:textId="77777777" w:rsidR="00F56D0E" w:rsidRPr="00D34F42" w:rsidRDefault="00F56D0E" w:rsidP="00D34F42">
            <w:pPr>
              <w:pStyle w:val="TableBody"/>
            </w:pPr>
            <w:r w:rsidRPr="00D34F42">
              <w:t>489</w:t>
            </w:r>
          </w:p>
        </w:tc>
        <w:tc>
          <w:tcPr>
            <w:tcW w:w="1667" w:type="pct"/>
            <w:noWrap/>
            <w:hideMark/>
          </w:tcPr>
          <w:p w14:paraId="1BDD8C97" w14:textId="77777777" w:rsidR="00F56D0E" w:rsidRPr="00D34F42" w:rsidRDefault="00F56D0E" w:rsidP="00D34F42">
            <w:pPr>
              <w:pStyle w:val="TableBody"/>
            </w:pPr>
            <w:r w:rsidRPr="00D34F42">
              <w:t>523</w:t>
            </w:r>
          </w:p>
        </w:tc>
      </w:tr>
      <w:tr w:rsidR="00F56D0E" w:rsidRPr="00F56D0E" w14:paraId="4735AA8F" w14:textId="77777777" w:rsidTr="00DC7A50">
        <w:trPr>
          <w:trHeight w:val="288"/>
        </w:trPr>
        <w:tc>
          <w:tcPr>
            <w:tcW w:w="1666" w:type="pct"/>
            <w:noWrap/>
            <w:hideMark/>
          </w:tcPr>
          <w:p w14:paraId="1CA4684F" w14:textId="77777777" w:rsidR="00F56D0E" w:rsidRPr="005F1725" w:rsidRDefault="00F56D0E" w:rsidP="005F1725">
            <w:pPr>
              <w:pStyle w:val="TableBody"/>
            </w:pPr>
            <w:r w:rsidRPr="005F1725">
              <w:t>Feb-14</w:t>
            </w:r>
          </w:p>
        </w:tc>
        <w:tc>
          <w:tcPr>
            <w:tcW w:w="1666" w:type="pct"/>
            <w:noWrap/>
            <w:hideMark/>
          </w:tcPr>
          <w:p w14:paraId="6A4265CE" w14:textId="77777777" w:rsidR="00F56D0E" w:rsidRPr="00D34F42" w:rsidRDefault="00F56D0E" w:rsidP="00D34F42">
            <w:pPr>
              <w:pStyle w:val="TableBody"/>
            </w:pPr>
            <w:r w:rsidRPr="00D34F42">
              <w:t>473</w:t>
            </w:r>
          </w:p>
        </w:tc>
        <w:tc>
          <w:tcPr>
            <w:tcW w:w="1667" w:type="pct"/>
            <w:noWrap/>
            <w:hideMark/>
          </w:tcPr>
          <w:p w14:paraId="10487824" w14:textId="77777777" w:rsidR="00F56D0E" w:rsidRPr="00D34F42" w:rsidRDefault="00F56D0E" w:rsidP="00D34F42">
            <w:pPr>
              <w:pStyle w:val="TableBody"/>
            </w:pPr>
            <w:r w:rsidRPr="00D34F42">
              <w:t>535</w:t>
            </w:r>
          </w:p>
        </w:tc>
      </w:tr>
      <w:tr w:rsidR="00F56D0E" w:rsidRPr="00F56D0E" w14:paraId="73B2270D" w14:textId="77777777" w:rsidTr="00DC7A50">
        <w:trPr>
          <w:trHeight w:val="288"/>
        </w:trPr>
        <w:tc>
          <w:tcPr>
            <w:tcW w:w="1666" w:type="pct"/>
            <w:noWrap/>
            <w:hideMark/>
          </w:tcPr>
          <w:p w14:paraId="70DD139A" w14:textId="77777777" w:rsidR="00F56D0E" w:rsidRPr="005F1725" w:rsidRDefault="00F56D0E" w:rsidP="005F1725">
            <w:pPr>
              <w:pStyle w:val="TableBody"/>
            </w:pPr>
            <w:r w:rsidRPr="005F1725">
              <w:t>Mar-14</w:t>
            </w:r>
          </w:p>
        </w:tc>
        <w:tc>
          <w:tcPr>
            <w:tcW w:w="1666" w:type="pct"/>
            <w:noWrap/>
            <w:hideMark/>
          </w:tcPr>
          <w:p w14:paraId="6C45EB1C" w14:textId="77777777" w:rsidR="00F56D0E" w:rsidRPr="00D34F42" w:rsidRDefault="00F56D0E" w:rsidP="00D34F42">
            <w:pPr>
              <w:pStyle w:val="TableBody"/>
            </w:pPr>
            <w:r w:rsidRPr="00D34F42">
              <w:t>567</w:t>
            </w:r>
          </w:p>
        </w:tc>
        <w:tc>
          <w:tcPr>
            <w:tcW w:w="1667" w:type="pct"/>
            <w:noWrap/>
            <w:hideMark/>
          </w:tcPr>
          <w:p w14:paraId="51598E3A" w14:textId="77777777" w:rsidR="00F56D0E" w:rsidRPr="00D34F42" w:rsidRDefault="00F56D0E" w:rsidP="00D34F42">
            <w:pPr>
              <w:pStyle w:val="TableBody"/>
            </w:pPr>
            <w:r w:rsidRPr="00D34F42">
              <w:t>593</w:t>
            </w:r>
          </w:p>
        </w:tc>
      </w:tr>
      <w:tr w:rsidR="00F56D0E" w:rsidRPr="00F56D0E" w14:paraId="4923E82E" w14:textId="77777777" w:rsidTr="00DC7A50">
        <w:trPr>
          <w:trHeight w:val="288"/>
        </w:trPr>
        <w:tc>
          <w:tcPr>
            <w:tcW w:w="1666" w:type="pct"/>
            <w:noWrap/>
            <w:hideMark/>
          </w:tcPr>
          <w:p w14:paraId="149111B7" w14:textId="77777777" w:rsidR="00F56D0E" w:rsidRPr="005F1725" w:rsidRDefault="00F56D0E" w:rsidP="005F1725">
            <w:pPr>
              <w:pStyle w:val="TableBody"/>
            </w:pPr>
            <w:r w:rsidRPr="005F1725">
              <w:t>Apr-14</w:t>
            </w:r>
          </w:p>
        </w:tc>
        <w:tc>
          <w:tcPr>
            <w:tcW w:w="1666" w:type="pct"/>
            <w:noWrap/>
            <w:hideMark/>
          </w:tcPr>
          <w:p w14:paraId="1C6153DA" w14:textId="77777777" w:rsidR="00F56D0E" w:rsidRPr="00D34F42" w:rsidRDefault="00F56D0E" w:rsidP="00D34F42">
            <w:pPr>
              <w:pStyle w:val="TableBody"/>
            </w:pPr>
            <w:r w:rsidRPr="00D34F42">
              <w:t>582</w:t>
            </w:r>
          </w:p>
        </w:tc>
        <w:tc>
          <w:tcPr>
            <w:tcW w:w="1667" w:type="pct"/>
            <w:noWrap/>
            <w:hideMark/>
          </w:tcPr>
          <w:p w14:paraId="5CDA98C7" w14:textId="77777777" w:rsidR="00F56D0E" w:rsidRPr="00D34F42" w:rsidRDefault="00F56D0E" w:rsidP="00D34F42">
            <w:pPr>
              <w:pStyle w:val="TableBody"/>
            </w:pPr>
            <w:r w:rsidRPr="00D34F42">
              <w:t>637</w:t>
            </w:r>
          </w:p>
        </w:tc>
      </w:tr>
      <w:tr w:rsidR="00F56D0E" w:rsidRPr="00F56D0E" w14:paraId="7298B5D8" w14:textId="77777777" w:rsidTr="00DC7A50">
        <w:trPr>
          <w:trHeight w:val="288"/>
        </w:trPr>
        <w:tc>
          <w:tcPr>
            <w:tcW w:w="1666" w:type="pct"/>
            <w:noWrap/>
            <w:hideMark/>
          </w:tcPr>
          <w:p w14:paraId="018EF70B" w14:textId="77777777" w:rsidR="00F56D0E" w:rsidRPr="005F1725" w:rsidRDefault="00F56D0E" w:rsidP="005F1725">
            <w:pPr>
              <w:pStyle w:val="TableBody"/>
            </w:pPr>
            <w:r w:rsidRPr="005F1725">
              <w:lastRenderedPageBreak/>
              <w:t>May-14</w:t>
            </w:r>
          </w:p>
        </w:tc>
        <w:tc>
          <w:tcPr>
            <w:tcW w:w="1666" w:type="pct"/>
            <w:noWrap/>
            <w:hideMark/>
          </w:tcPr>
          <w:p w14:paraId="64A81BAA" w14:textId="77777777" w:rsidR="00F56D0E" w:rsidRPr="00D34F42" w:rsidRDefault="00F56D0E" w:rsidP="00D34F42">
            <w:pPr>
              <w:pStyle w:val="TableBody"/>
            </w:pPr>
            <w:r w:rsidRPr="00D34F42">
              <w:t>613</w:t>
            </w:r>
          </w:p>
        </w:tc>
        <w:tc>
          <w:tcPr>
            <w:tcW w:w="1667" w:type="pct"/>
            <w:noWrap/>
            <w:hideMark/>
          </w:tcPr>
          <w:p w14:paraId="203A2B38" w14:textId="77777777" w:rsidR="00F56D0E" w:rsidRPr="00D34F42" w:rsidRDefault="00F56D0E" w:rsidP="00D34F42">
            <w:pPr>
              <w:pStyle w:val="TableBody"/>
            </w:pPr>
            <w:r w:rsidRPr="00D34F42">
              <w:t>711</w:t>
            </w:r>
          </w:p>
        </w:tc>
      </w:tr>
      <w:tr w:rsidR="00F56D0E" w:rsidRPr="00F56D0E" w14:paraId="2BEB883D" w14:textId="77777777" w:rsidTr="00DC7A50">
        <w:trPr>
          <w:trHeight w:val="288"/>
        </w:trPr>
        <w:tc>
          <w:tcPr>
            <w:tcW w:w="1666" w:type="pct"/>
            <w:noWrap/>
            <w:hideMark/>
          </w:tcPr>
          <w:p w14:paraId="678509A4" w14:textId="77777777" w:rsidR="00F56D0E" w:rsidRPr="005F1725" w:rsidRDefault="00F56D0E" w:rsidP="005F1725">
            <w:pPr>
              <w:pStyle w:val="TableBody"/>
            </w:pPr>
            <w:r w:rsidRPr="005F1725">
              <w:t>Jun-14</w:t>
            </w:r>
          </w:p>
        </w:tc>
        <w:tc>
          <w:tcPr>
            <w:tcW w:w="1666" w:type="pct"/>
            <w:noWrap/>
            <w:hideMark/>
          </w:tcPr>
          <w:p w14:paraId="75CFC140" w14:textId="77777777" w:rsidR="00F56D0E" w:rsidRPr="00D34F42" w:rsidRDefault="00F56D0E" w:rsidP="00D34F42">
            <w:pPr>
              <w:pStyle w:val="TableBody"/>
            </w:pPr>
            <w:r w:rsidRPr="00D34F42">
              <w:t>655</w:t>
            </w:r>
          </w:p>
        </w:tc>
        <w:tc>
          <w:tcPr>
            <w:tcW w:w="1667" w:type="pct"/>
            <w:noWrap/>
            <w:hideMark/>
          </w:tcPr>
          <w:p w14:paraId="3E35AAF0" w14:textId="77777777" w:rsidR="00F56D0E" w:rsidRPr="00D34F42" w:rsidRDefault="00F56D0E" w:rsidP="00D34F42">
            <w:pPr>
              <w:pStyle w:val="TableBody"/>
            </w:pPr>
            <w:r w:rsidRPr="00D34F42">
              <w:t>671</w:t>
            </w:r>
          </w:p>
        </w:tc>
      </w:tr>
      <w:tr w:rsidR="00F56D0E" w:rsidRPr="00F56D0E" w14:paraId="15B60348" w14:textId="77777777" w:rsidTr="00DC7A50">
        <w:trPr>
          <w:trHeight w:val="288"/>
        </w:trPr>
        <w:tc>
          <w:tcPr>
            <w:tcW w:w="1666" w:type="pct"/>
            <w:noWrap/>
            <w:hideMark/>
          </w:tcPr>
          <w:p w14:paraId="05D657D7" w14:textId="77777777" w:rsidR="00F56D0E" w:rsidRPr="005F1725" w:rsidRDefault="00F56D0E" w:rsidP="005F1725">
            <w:pPr>
              <w:pStyle w:val="TableBody"/>
            </w:pPr>
            <w:r w:rsidRPr="005F1725">
              <w:t>Jul-14</w:t>
            </w:r>
          </w:p>
        </w:tc>
        <w:tc>
          <w:tcPr>
            <w:tcW w:w="1666" w:type="pct"/>
            <w:noWrap/>
            <w:hideMark/>
          </w:tcPr>
          <w:p w14:paraId="0AF4981E" w14:textId="77777777" w:rsidR="00F56D0E" w:rsidRPr="00D34F42" w:rsidRDefault="00F56D0E" w:rsidP="00D34F42">
            <w:pPr>
              <w:pStyle w:val="TableBody"/>
            </w:pPr>
            <w:r w:rsidRPr="00D34F42">
              <w:t>623</w:t>
            </w:r>
          </w:p>
        </w:tc>
        <w:tc>
          <w:tcPr>
            <w:tcW w:w="1667" w:type="pct"/>
            <w:noWrap/>
            <w:hideMark/>
          </w:tcPr>
          <w:p w14:paraId="647C7589" w14:textId="77777777" w:rsidR="00F56D0E" w:rsidRPr="00D34F42" w:rsidRDefault="00F56D0E" w:rsidP="00D34F42">
            <w:pPr>
              <w:pStyle w:val="TableBody"/>
            </w:pPr>
            <w:r w:rsidRPr="00D34F42">
              <w:t>737</w:t>
            </w:r>
          </w:p>
        </w:tc>
      </w:tr>
      <w:tr w:rsidR="00F56D0E" w:rsidRPr="00F56D0E" w14:paraId="136DF7F2" w14:textId="77777777" w:rsidTr="00DC7A50">
        <w:trPr>
          <w:trHeight w:val="288"/>
        </w:trPr>
        <w:tc>
          <w:tcPr>
            <w:tcW w:w="1666" w:type="pct"/>
            <w:noWrap/>
            <w:hideMark/>
          </w:tcPr>
          <w:p w14:paraId="02A893F6" w14:textId="77777777" w:rsidR="00F56D0E" w:rsidRPr="005F1725" w:rsidRDefault="00F56D0E" w:rsidP="005F1725">
            <w:pPr>
              <w:pStyle w:val="TableBody"/>
            </w:pPr>
            <w:r w:rsidRPr="005F1725">
              <w:t>Aug-14</w:t>
            </w:r>
          </w:p>
        </w:tc>
        <w:tc>
          <w:tcPr>
            <w:tcW w:w="1666" w:type="pct"/>
            <w:noWrap/>
            <w:hideMark/>
          </w:tcPr>
          <w:p w14:paraId="1840FDB1" w14:textId="77777777" w:rsidR="00F56D0E" w:rsidRPr="00D34F42" w:rsidRDefault="00F56D0E" w:rsidP="00D34F42">
            <w:pPr>
              <w:pStyle w:val="TableBody"/>
            </w:pPr>
            <w:r w:rsidRPr="00D34F42">
              <w:t>651</w:t>
            </w:r>
          </w:p>
        </w:tc>
        <w:tc>
          <w:tcPr>
            <w:tcW w:w="1667" w:type="pct"/>
            <w:noWrap/>
            <w:hideMark/>
          </w:tcPr>
          <w:p w14:paraId="1051210F" w14:textId="77777777" w:rsidR="00F56D0E" w:rsidRPr="00D34F42" w:rsidRDefault="00F56D0E" w:rsidP="00D34F42">
            <w:pPr>
              <w:pStyle w:val="TableBody"/>
            </w:pPr>
            <w:r w:rsidRPr="00D34F42">
              <w:t>698</w:t>
            </w:r>
          </w:p>
        </w:tc>
      </w:tr>
      <w:tr w:rsidR="00F56D0E" w:rsidRPr="00F56D0E" w14:paraId="29F78EBF" w14:textId="77777777" w:rsidTr="00DC7A50">
        <w:trPr>
          <w:trHeight w:val="288"/>
        </w:trPr>
        <w:tc>
          <w:tcPr>
            <w:tcW w:w="1666" w:type="pct"/>
            <w:noWrap/>
            <w:hideMark/>
          </w:tcPr>
          <w:p w14:paraId="7CCDBAEE" w14:textId="77777777" w:rsidR="00F56D0E" w:rsidRPr="005F1725" w:rsidRDefault="00F56D0E" w:rsidP="005F1725">
            <w:pPr>
              <w:pStyle w:val="TableBody"/>
            </w:pPr>
            <w:r w:rsidRPr="005F1725">
              <w:t>Sep-14</w:t>
            </w:r>
          </w:p>
        </w:tc>
        <w:tc>
          <w:tcPr>
            <w:tcW w:w="1666" w:type="pct"/>
            <w:noWrap/>
            <w:hideMark/>
          </w:tcPr>
          <w:p w14:paraId="7B892941" w14:textId="77777777" w:rsidR="00F56D0E" w:rsidRPr="00D34F42" w:rsidRDefault="00F56D0E" w:rsidP="00D34F42">
            <w:pPr>
              <w:pStyle w:val="TableBody"/>
            </w:pPr>
            <w:r w:rsidRPr="00D34F42">
              <w:t>712</w:t>
            </w:r>
          </w:p>
        </w:tc>
        <w:tc>
          <w:tcPr>
            <w:tcW w:w="1667" w:type="pct"/>
            <w:noWrap/>
            <w:hideMark/>
          </w:tcPr>
          <w:p w14:paraId="580098ED" w14:textId="77777777" w:rsidR="00F56D0E" w:rsidRPr="00D34F42" w:rsidRDefault="00F56D0E" w:rsidP="00D34F42">
            <w:pPr>
              <w:pStyle w:val="TableBody"/>
            </w:pPr>
            <w:r w:rsidRPr="00D34F42">
              <w:t>836</w:t>
            </w:r>
          </w:p>
        </w:tc>
      </w:tr>
      <w:tr w:rsidR="00F56D0E" w:rsidRPr="00F56D0E" w14:paraId="3A788436" w14:textId="77777777" w:rsidTr="00DC7A50">
        <w:trPr>
          <w:trHeight w:val="288"/>
        </w:trPr>
        <w:tc>
          <w:tcPr>
            <w:tcW w:w="1666" w:type="pct"/>
            <w:noWrap/>
            <w:hideMark/>
          </w:tcPr>
          <w:p w14:paraId="192BF647" w14:textId="77777777" w:rsidR="00F56D0E" w:rsidRPr="005F1725" w:rsidRDefault="00F56D0E" w:rsidP="005F1725">
            <w:pPr>
              <w:pStyle w:val="TableBody"/>
            </w:pPr>
            <w:r w:rsidRPr="005F1725">
              <w:t>Oct-14</w:t>
            </w:r>
          </w:p>
        </w:tc>
        <w:tc>
          <w:tcPr>
            <w:tcW w:w="1666" w:type="pct"/>
            <w:noWrap/>
            <w:hideMark/>
          </w:tcPr>
          <w:p w14:paraId="4693C0CF" w14:textId="77777777" w:rsidR="00F56D0E" w:rsidRPr="00D34F42" w:rsidRDefault="00F56D0E" w:rsidP="00D34F42">
            <w:pPr>
              <w:pStyle w:val="TableBody"/>
            </w:pPr>
            <w:r w:rsidRPr="00D34F42">
              <w:t>761</w:t>
            </w:r>
          </w:p>
        </w:tc>
        <w:tc>
          <w:tcPr>
            <w:tcW w:w="1667" w:type="pct"/>
            <w:noWrap/>
            <w:hideMark/>
          </w:tcPr>
          <w:p w14:paraId="2D5895D3" w14:textId="77777777" w:rsidR="00F56D0E" w:rsidRPr="00D34F42" w:rsidRDefault="00F56D0E" w:rsidP="00D34F42">
            <w:pPr>
              <w:pStyle w:val="TableBody"/>
            </w:pPr>
            <w:r w:rsidRPr="00D34F42">
              <w:t>801</w:t>
            </w:r>
          </w:p>
        </w:tc>
      </w:tr>
      <w:tr w:rsidR="00F56D0E" w:rsidRPr="00F56D0E" w14:paraId="46DC63C5" w14:textId="77777777" w:rsidTr="00DC7A50">
        <w:trPr>
          <w:trHeight w:val="288"/>
        </w:trPr>
        <w:tc>
          <w:tcPr>
            <w:tcW w:w="1666" w:type="pct"/>
            <w:noWrap/>
            <w:hideMark/>
          </w:tcPr>
          <w:p w14:paraId="3C74ED2D" w14:textId="77777777" w:rsidR="00F56D0E" w:rsidRPr="005F1725" w:rsidRDefault="00F56D0E" w:rsidP="005F1725">
            <w:pPr>
              <w:pStyle w:val="TableBody"/>
            </w:pPr>
            <w:r w:rsidRPr="005F1725">
              <w:t>Nov-14</w:t>
            </w:r>
          </w:p>
        </w:tc>
        <w:tc>
          <w:tcPr>
            <w:tcW w:w="1666" w:type="pct"/>
            <w:noWrap/>
            <w:hideMark/>
          </w:tcPr>
          <w:p w14:paraId="6CBB9DDA" w14:textId="77777777" w:rsidR="00F56D0E" w:rsidRPr="00D34F42" w:rsidRDefault="00F56D0E" w:rsidP="00D34F42">
            <w:pPr>
              <w:pStyle w:val="TableBody"/>
            </w:pPr>
            <w:r w:rsidRPr="00D34F42">
              <w:t>684</w:t>
            </w:r>
          </w:p>
        </w:tc>
        <w:tc>
          <w:tcPr>
            <w:tcW w:w="1667" w:type="pct"/>
            <w:noWrap/>
            <w:hideMark/>
          </w:tcPr>
          <w:p w14:paraId="74A3B179" w14:textId="77777777" w:rsidR="00F56D0E" w:rsidRPr="00D34F42" w:rsidRDefault="00F56D0E" w:rsidP="00D34F42">
            <w:pPr>
              <w:pStyle w:val="TableBody"/>
            </w:pPr>
            <w:r w:rsidRPr="00D34F42">
              <w:t>730</w:t>
            </w:r>
          </w:p>
        </w:tc>
      </w:tr>
      <w:tr w:rsidR="00F56D0E" w:rsidRPr="00F56D0E" w14:paraId="1070FE5D" w14:textId="77777777" w:rsidTr="00DC7A50">
        <w:trPr>
          <w:trHeight w:val="288"/>
        </w:trPr>
        <w:tc>
          <w:tcPr>
            <w:tcW w:w="1666" w:type="pct"/>
            <w:noWrap/>
            <w:hideMark/>
          </w:tcPr>
          <w:p w14:paraId="0FEC5D4D" w14:textId="77777777" w:rsidR="00F56D0E" w:rsidRPr="005F1725" w:rsidRDefault="00F56D0E" w:rsidP="005F1725">
            <w:pPr>
              <w:pStyle w:val="TableBody"/>
            </w:pPr>
            <w:r w:rsidRPr="005F1725">
              <w:t>Dec-14</w:t>
            </w:r>
          </w:p>
        </w:tc>
        <w:tc>
          <w:tcPr>
            <w:tcW w:w="1666" w:type="pct"/>
            <w:noWrap/>
            <w:hideMark/>
          </w:tcPr>
          <w:p w14:paraId="79C4198D" w14:textId="77777777" w:rsidR="00F56D0E" w:rsidRPr="00D34F42" w:rsidRDefault="00F56D0E" w:rsidP="00D34F42">
            <w:pPr>
              <w:pStyle w:val="TableBody"/>
            </w:pPr>
            <w:r w:rsidRPr="00D34F42">
              <w:t>792</w:t>
            </w:r>
          </w:p>
        </w:tc>
        <w:tc>
          <w:tcPr>
            <w:tcW w:w="1667" w:type="pct"/>
            <w:noWrap/>
            <w:hideMark/>
          </w:tcPr>
          <w:p w14:paraId="73153A78" w14:textId="77777777" w:rsidR="00F56D0E" w:rsidRPr="00D34F42" w:rsidRDefault="00F56D0E" w:rsidP="00D34F42">
            <w:pPr>
              <w:pStyle w:val="TableBody"/>
            </w:pPr>
            <w:r w:rsidRPr="00D34F42">
              <w:t>790</w:t>
            </w:r>
          </w:p>
        </w:tc>
      </w:tr>
      <w:tr w:rsidR="00F56D0E" w:rsidRPr="00F56D0E" w14:paraId="768CA86E" w14:textId="77777777" w:rsidTr="00DC7A50">
        <w:trPr>
          <w:trHeight w:val="288"/>
        </w:trPr>
        <w:tc>
          <w:tcPr>
            <w:tcW w:w="1666" w:type="pct"/>
            <w:noWrap/>
            <w:hideMark/>
          </w:tcPr>
          <w:p w14:paraId="59DAF77F" w14:textId="77777777" w:rsidR="00F56D0E" w:rsidRPr="005F1725" w:rsidRDefault="00F56D0E" w:rsidP="005F1725">
            <w:pPr>
              <w:pStyle w:val="TableBody"/>
            </w:pPr>
            <w:r w:rsidRPr="005F1725">
              <w:t>Jan-15</w:t>
            </w:r>
          </w:p>
        </w:tc>
        <w:tc>
          <w:tcPr>
            <w:tcW w:w="1666" w:type="pct"/>
            <w:noWrap/>
            <w:hideMark/>
          </w:tcPr>
          <w:p w14:paraId="4055A871" w14:textId="77777777" w:rsidR="00F56D0E" w:rsidRPr="00D34F42" w:rsidRDefault="00F56D0E" w:rsidP="00D34F42">
            <w:pPr>
              <w:pStyle w:val="TableBody"/>
            </w:pPr>
            <w:r w:rsidRPr="00D34F42">
              <w:t>694</w:t>
            </w:r>
          </w:p>
        </w:tc>
        <w:tc>
          <w:tcPr>
            <w:tcW w:w="1667" w:type="pct"/>
            <w:noWrap/>
            <w:hideMark/>
          </w:tcPr>
          <w:p w14:paraId="312BC0B5" w14:textId="77777777" w:rsidR="00F56D0E" w:rsidRPr="00D34F42" w:rsidRDefault="00F56D0E" w:rsidP="00D34F42">
            <w:pPr>
              <w:pStyle w:val="TableBody"/>
            </w:pPr>
            <w:r w:rsidRPr="00D34F42">
              <w:t>740</w:t>
            </w:r>
          </w:p>
        </w:tc>
      </w:tr>
      <w:tr w:rsidR="00F56D0E" w:rsidRPr="00F56D0E" w14:paraId="4749BE2F" w14:textId="77777777" w:rsidTr="00DC7A50">
        <w:trPr>
          <w:trHeight w:val="288"/>
        </w:trPr>
        <w:tc>
          <w:tcPr>
            <w:tcW w:w="1666" w:type="pct"/>
            <w:noWrap/>
            <w:hideMark/>
          </w:tcPr>
          <w:p w14:paraId="0D268B82" w14:textId="77777777" w:rsidR="00F56D0E" w:rsidRPr="005F1725" w:rsidRDefault="00F56D0E" w:rsidP="005F1725">
            <w:pPr>
              <w:pStyle w:val="TableBody"/>
            </w:pPr>
            <w:r w:rsidRPr="005F1725">
              <w:t>Feb-15</w:t>
            </w:r>
          </w:p>
        </w:tc>
        <w:tc>
          <w:tcPr>
            <w:tcW w:w="1666" w:type="pct"/>
            <w:noWrap/>
            <w:hideMark/>
          </w:tcPr>
          <w:p w14:paraId="1AC2C455" w14:textId="77777777" w:rsidR="00F56D0E" w:rsidRPr="00D34F42" w:rsidRDefault="00F56D0E" w:rsidP="00D34F42">
            <w:pPr>
              <w:pStyle w:val="TableBody"/>
            </w:pPr>
            <w:r w:rsidRPr="00D34F42">
              <w:t>800</w:t>
            </w:r>
          </w:p>
        </w:tc>
        <w:tc>
          <w:tcPr>
            <w:tcW w:w="1667" w:type="pct"/>
            <w:noWrap/>
            <w:hideMark/>
          </w:tcPr>
          <w:p w14:paraId="3CF2BD02" w14:textId="77777777" w:rsidR="00F56D0E" w:rsidRPr="00D34F42" w:rsidRDefault="00F56D0E" w:rsidP="00D34F42">
            <w:pPr>
              <w:pStyle w:val="TableBody"/>
            </w:pPr>
            <w:r w:rsidRPr="00D34F42">
              <w:t>756</w:t>
            </w:r>
          </w:p>
        </w:tc>
      </w:tr>
      <w:tr w:rsidR="00F56D0E" w:rsidRPr="00F56D0E" w14:paraId="56F9CD57" w14:textId="77777777" w:rsidTr="00DC7A50">
        <w:trPr>
          <w:trHeight w:val="288"/>
        </w:trPr>
        <w:tc>
          <w:tcPr>
            <w:tcW w:w="1666" w:type="pct"/>
            <w:noWrap/>
            <w:hideMark/>
          </w:tcPr>
          <w:p w14:paraId="7311DD59" w14:textId="77777777" w:rsidR="00F56D0E" w:rsidRPr="005F1725" w:rsidRDefault="00F56D0E" w:rsidP="005F1725">
            <w:pPr>
              <w:pStyle w:val="TableBody"/>
            </w:pPr>
            <w:r w:rsidRPr="005F1725">
              <w:t>Mar-15</w:t>
            </w:r>
          </w:p>
        </w:tc>
        <w:tc>
          <w:tcPr>
            <w:tcW w:w="1666" w:type="pct"/>
            <w:noWrap/>
            <w:hideMark/>
          </w:tcPr>
          <w:p w14:paraId="0F659C17" w14:textId="77777777" w:rsidR="00F56D0E" w:rsidRPr="00D34F42" w:rsidRDefault="00F56D0E" w:rsidP="00D34F42">
            <w:pPr>
              <w:pStyle w:val="TableBody"/>
            </w:pPr>
            <w:r w:rsidRPr="00D34F42">
              <w:t>835</w:t>
            </w:r>
          </w:p>
        </w:tc>
        <w:tc>
          <w:tcPr>
            <w:tcW w:w="1667" w:type="pct"/>
            <w:noWrap/>
            <w:hideMark/>
          </w:tcPr>
          <w:p w14:paraId="4821E277" w14:textId="77777777" w:rsidR="00F56D0E" w:rsidRPr="00D34F42" w:rsidRDefault="00F56D0E" w:rsidP="00D34F42">
            <w:pPr>
              <w:pStyle w:val="TableBody"/>
            </w:pPr>
            <w:r w:rsidRPr="00D34F42">
              <w:t>768</w:t>
            </w:r>
          </w:p>
        </w:tc>
      </w:tr>
      <w:tr w:rsidR="00F56D0E" w:rsidRPr="00F56D0E" w14:paraId="7737A87F" w14:textId="77777777" w:rsidTr="00DC7A50">
        <w:trPr>
          <w:trHeight w:val="288"/>
        </w:trPr>
        <w:tc>
          <w:tcPr>
            <w:tcW w:w="1666" w:type="pct"/>
            <w:noWrap/>
            <w:hideMark/>
          </w:tcPr>
          <w:p w14:paraId="484761D7" w14:textId="77777777" w:rsidR="00F56D0E" w:rsidRPr="005F1725" w:rsidRDefault="00F56D0E" w:rsidP="005F1725">
            <w:pPr>
              <w:pStyle w:val="TableBody"/>
            </w:pPr>
            <w:r w:rsidRPr="005F1725">
              <w:t>Apr-15</w:t>
            </w:r>
          </w:p>
        </w:tc>
        <w:tc>
          <w:tcPr>
            <w:tcW w:w="1666" w:type="pct"/>
            <w:noWrap/>
            <w:hideMark/>
          </w:tcPr>
          <w:p w14:paraId="758149C6" w14:textId="77777777" w:rsidR="00F56D0E" w:rsidRPr="00D34F42" w:rsidRDefault="00F56D0E" w:rsidP="00D34F42">
            <w:pPr>
              <w:pStyle w:val="TableBody"/>
            </w:pPr>
            <w:r w:rsidRPr="00D34F42">
              <w:t>852</w:t>
            </w:r>
          </w:p>
        </w:tc>
        <w:tc>
          <w:tcPr>
            <w:tcW w:w="1667" w:type="pct"/>
            <w:noWrap/>
            <w:hideMark/>
          </w:tcPr>
          <w:p w14:paraId="7BF81482" w14:textId="77777777" w:rsidR="00F56D0E" w:rsidRPr="00D34F42" w:rsidRDefault="00F56D0E" w:rsidP="00D34F42">
            <w:pPr>
              <w:pStyle w:val="TableBody"/>
            </w:pPr>
            <w:r w:rsidRPr="00D34F42">
              <w:t>745</w:t>
            </w:r>
          </w:p>
        </w:tc>
      </w:tr>
      <w:tr w:rsidR="00F56D0E" w:rsidRPr="00F56D0E" w14:paraId="5CEE24AF" w14:textId="77777777" w:rsidTr="00DC7A50">
        <w:trPr>
          <w:trHeight w:val="288"/>
        </w:trPr>
        <w:tc>
          <w:tcPr>
            <w:tcW w:w="1666" w:type="pct"/>
            <w:noWrap/>
            <w:hideMark/>
          </w:tcPr>
          <w:p w14:paraId="2D481848" w14:textId="77777777" w:rsidR="00F56D0E" w:rsidRPr="005F1725" w:rsidRDefault="00F56D0E" w:rsidP="005F1725">
            <w:pPr>
              <w:pStyle w:val="TableBody"/>
            </w:pPr>
            <w:r w:rsidRPr="005F1725">
              <w:t>May-15</w:t>
            </w:r>
          </w:p>
        </w:tc>
        <w:tc>
          <w:tcPr>
            <w:tcW w:w="1666" w:type="pct"/>
            <w:noWrap/>
            <w:hideMark/>
          </w:tcPr>
          <w:p w14:paraId="41D85DA5" w14:textId="77777777" w:rsidR="00F56D0E" w:rsidRPr="00D34F42" w:rsidRDefault="00F56D0E" w:rsidP="00D34F42">
            <w:pPr>
              <w:pStyle w:val="TableBody"/>
            </w:pPr>
            <w:r w:rsidRPr="00D34F42">
              <w:t>823</w:t>
            </w:r>
          </w:p>
        </w:tc>
        <w:tc>
          <w:tcPr>
            <w:tcW w:w="1667" w:type="pct"/>
            <w:noWrap/>
            <w:hideMark/>
          </w:tcPr>
          <w:p w14:paraId="248D5477" w14:textId="77777777" w:rsidR="00F56D0E" w:rsidRPr="00D34F42" w:rsidRDefault="00F56D0E" w:rsidP="00D34F42">
            <w:pPr>
              <w:pStyle w:val="TableBody"/>
            </w:pPr>
            <w:r w:rsidRPr="00D34F42">
              <w:t>767</w:t>
            </w:r>
          </w:p>
        </w:tc>
      </w:tr>
      <w:tr w:rsidR="00F56D0E" w:rsidRPr="00F56D0E" w14:paraId="77F6B78B" w14:textId="77777777" w:rsidTr="00DC7A50">
        <w:trPr>
          <w:trHeight w:val="288"/>
        </w:trPr>
        <w:tc>
          <w:tcPr>
            <w:tcW w:w="1666" w:type="pct"/>
            <w:noWrap/>
            <w:hideMark/>
          </w:tcPr>
          <w:p w14:paraId="3702240B" w14:textId="77777777" w:rsidR="00F56D0E" w:rsidRPr="005F1725" w:rsidRDefault="00F56D0E" w:rsidP="005F1725">
            <w:pPr>
              <w:pStyle w:val="TableBody"/>
            </w:pPr>
            <w:r w:rsidRPr="005F1725">
              <w:t>Jun-15</w:t>
            </w:r>
          </w:p>
        </w:tc>
        <w:tc>
          <w:tcPr>
            <w:tcW w:w="1666" w:type="pct"/>
            <w:noWrap/>
            <w:hideMark/>
          </w:tcPr>
          <w:p w14:paraId="682D84FF" w14:textId="77777777" w:rsidR="00F56D0E" w:rsidRPr="00D34F42" w:rsidRDefault="00F56D0E" w:rsidP="00D34F42">
            <w:pPr>
              <w:pStyle w:val="TableBody"/>
            </w:pPr>
            <w:r w:rsidRPr="00D34F42">
              <w:t>783</w:t>
            </w:r>
          </w:p>
        </w:tc>
        <w:tc>
          <w:tcPr>
            <w:tcW w:w="1667" w:type="pct"/>
            <w:noWrap/>
            <w:hideMark/>
          </w:tcPr>
          <w:p w14:paraId="35542406" w14:textId="77777777" w:rsidR="00F56D0E" w:rsidRPr="00D34F42" w:rsidRDefault="00F56D0E" w:rsidP="00D34F42">
            <w:pPr>
              <w:pStyle w:val="TableBody"/>
            </w:pPr>
            <w:r w:rsidRPr="00D34F42">
              <w:t>787</w:t>
            </w:r>
          </w:p>
        </w:tc>
      </w:tr>
      <w:tr w:rsidR="00F56D0E" w:rsidRPr="00F56D0E" w14:paraId="61128D57" w14:textId="77777777" w:rsidTr="00DC7A50">
        <w:trPr>
          <w:trHeight w:val="288"/>
        </w:trPr>
        <w:tc>
          <w:tcPr>
            <w:tcW w:w="1666" w:type="pct"/>
            <w:noWrap/>
            <w:hideMark/>
          </w:tcPr>
          <w:p w14:paraId="4EEC46A2" w14:textId="77777777" w:rsidR="00F56D0E" w:rsidRPr="005F1725" w:rsidRDefault="00F56D0E" w:rsidP="005F1725">
            <w:pPr>
              <w:pStyle w:val="TableBody"/>
            </w:pPr>
            <w:r w:rsidRPr="005F1725">
              <w:t>Jul-15</w:t>
            </w:r>
          </w:p>
        </w:tc>
        <w:tc>
          <w:tcPr>
            <w:tcW w:w="1666" w:type="pct"/>
            <w:noWrap/>
            <w:hideMark/>
          </w:tcPr>
          <w:p w14:paraId="595E877F" w14:textId="77777777" w:rsidR="00F56D0E" w:rsidRPr="00D34F42" w:rsidRDefault="00F56D0E" w:rsidP="00D34F42">
            <w:pPr>
              <w:pStyle w:val="TableBody"/>
            </w:pPr>
            <w:r w:rsidRPr="00D34F42">
              <w:t>768</w:t>
            </w:r>
          </w:p>
        </w:tc>
        <w:tc>
          <w:tcPr>
            <w:tcW w:w="1667" w:type="pct"/>
            <w:noWrap/>
            <w:hideMark/>
          </w:tcPr>
          <w:p w14:paraId="1A80FA64" w14:textId="77777777" w:rsidR="00F56D0E" w:rsidRPr="00D34F42" w:rsidRDefault="00F56D0E" w:rsidP="00D34F42">
            <w:pPr>
              <w:pStyle w:val="TableBody"/>
            </w:pPr>
            <w:r w:rsidRPr="00D34F42">
              <w:t>631</w:t>
            </w:r>
          </w:p>
        </w:tc>
      </w:tr>
      <w:tr w:rsidR="00F56D0E" w:rsidRPr="00F56D0E" w14:paraId="402BB8DA" w14:textId="77777777" w:rsidTr="00DC7A50">
        <w:trPr>
          <w:trHeight w:val="288"/>
        </w:trPr>
        <w:tc>
          <w:tcPr>
            <w:tcW w:w="1666" w:type="pct"/>
            <w:noWrap/>
            <w:hideMark/>
          </w:tcPr>
          <w:p w14:paraId="1FC53998" w14:textId="77777777" w:rsidR="00F56D0E" w:rsidRPr="005F1725" w:rsidRDefault="00F56D0E" w:rsidP="005F1725">
            <w:pPr>
              <w:pStyle w:val="TableBody"/>
            </w:pPr>
            <w:r w:rsidRPr="005F1725">
              <w:t>Aug-15</w:t>
            </w:r>
          </w:p>
        </w:tc>
        <w:tc>
          <w:tcPr>
            <w:tcW w:w="1666" w:type="pct"/>
            <w:noWrap/>
            <w:hideMark/>
          </w:tcPr>
          <w:p w14:paraId="6C3F40C7" w14:textId="77777777" w:rsidR="00F56D0E" w:rsidRPr="00D34F42" w:rsidRDefault="00F56D0E" w:rsidP="00D34F42">
            <w:pPr>
              <w:pStyle w:val="TableBody"/>
            </w:pPr>
            <w:r w:rsidRPr="00D34F42">
              <w:t>781</w:t>
            </w:r>
          </w:p>
        </w:tc>
        <w:tc>
          <w:tcPr>
            <w:tcW w:w="1667" w:type="pct"/>
            <w:noWrap/>
            <w:hideMark/>
          </w:tcPr>
          <w:p w14:paraId="51A4F3D9" w14:textId="77777777" w:rsidR="00F56D0E" w:rsidRPr="00D34F42" w:rsidRDefault="00F56D0E" w:rsidP="00D34F42">
            <w:pPr>
              <w:pStyle w:val="TableBody"/>
            </w:pPr>
            <w:r w:rsidRPr="00D34F42">
              <w:t>757</w:t>
            </w:r>
          </w:p>
        </w:tc>
      </w:tr>
      <w:tr w:rsidR="00F56D0E" w:rsidRPr="00F56D0E" w14:paraId="5FF62295" w14:textId="77777777" w:rsidTr="00DC7A50">
        <w:trPr>
          <w:trHeight w:val="288"/>
        </w:trPr>
        <w:tc>
          <w:tcPr>
            <w:tcW w:w="1666" w:type="pct"/>
            <w:noWrap/>
            <w:hideMark/>
          </w:tcPr>
          <w:p w14:paraId="685F680C" w14:textId="77777777" w:rsidR="00F56D0E" w:rsidRPr="005F1725" w:rsidRDefault="00F56D0E" w:rsidP="005F1725">
            <w:pPr>
              <w:pStyle w:val="TableBody"/>
            </w:pPr>
            <w:r w:rsidRPr="005F1725">
              <w:t>Sep-15</w:t>
            </w:r>
          </w:p>
        </w:tc>
        <w:tc>
          <w:tcPr>
            <w:tcW w:w="1666" w:type="pct"/>
            <w:noWrap/>
            <w:hideMark/>
          </w:tcPr>
          <w:p w14:paraId="2F2780EF" w14:textId="77777777" w:rsidR="00F56D0E" w:rsidRPr="00D34F42" w:rsidRDefault="00F56D0E" w:rsidP="00D34F42">
            <w:pPr>
              <w:pStyle w:val="TableBody"/>
            </w:pPr>
            <w:r w:rsidRPr="00D34F42">
              <w:t>695</w:t>
            </w:r>
          </w:p>
        </w:tc>
        <w:tc>
          <w:tcPr>
            <w:tcW w:w="1667" w:type="pct"/>
            <w:noWrap/>
            <w:hideMark/>
          </w:tcPr>
          <w:p w14:paraId="198A0BDF" w14:textId="77777777" w:rsidR="00F56D0E" w:rsidRPr="00D34F42" w:rsidRDefault="00F56D0E" w:rsidP="00D34F42">
            <w:pPr>
              <w:pStyle w:val="TableBody"/>
            </w:pPr>
            <w:r w:rsidRPr="00D34F42">
              <w:t>863</w:t>
            </w:r>
          </w:p>
        </w:tc>
      </w:tr>
      <w:tr w:rsidR="00F56D0E" w:rsidRPr="00F56D0E" w14:paraId="66F8ED57" w14:textId="77777777" w:rsidTr="00DC7A50">
        <w:trPr>
          <w:trHeight w:val="288"/>
        </w:trPr>
        <w:tc>
          <w:tcPr>
            <w:tcW w:w="1666" w:type="pct"/>
            <w:noWrap/>
            <w:hideMark/>
          </w:tcPr>
          <w:p w14:paraId="00998D4B" w14:textId="77777777" w:rsidR="00F56D0E" w:rsidRPr="005F1725" w:rsidRDefault="00F56D0E" w:rsidP="005F1725">
            <w:pPr>
              <w:pStyle w:val="TableBody"/>
            </w:pPr>
            <w:r w:rsidRPr="005F1725">
              <w:t>Oct-15</w:t>
            </w:r>
          </w:p>
        </w:tc>
        <w:tc>
          <w:tcPr>
            <w:tcW w:w="1666" w:type="pct"/>
            <w:noWrap/>
            <w:hideMark/>
          </w:tcPr>
          <w:p w14:paraId="1DCE1D96" w14:textId="77777777" w:rsidR="00F56D0E" w:rsidRPr="00D34F42" w:rsidRDefault="00F56D0E" w:rsidP="00D34F42">
            <w:pPr>
              <w:pStyle w:val="TableBody"/>
            </w:pPr>
            <w:r w:rsidRPr="00D34F42">
              <w:t>767</w:t>
            </w:r>
          </w:p>
        </w:tc>
        <w:tc>
          <w:tcPr>
            <w:tcW w:w="1667" w:type="pct"/>
            <w:noWrap/>
            <w:hideMark/>
          </w:tcPr>
          <w:p w14:paraId="0751C4D6" w14:textId="77777777" w:rsidR="00F56D0E" w:rsidRPr="00D34F42" w:rsidRDefault="00F56D0E" w:rsidP="00D34F42">
            <w:pPr>
              <w:pStyle w:val="TableBody"/>
            </w:pPr>
            <w:r w:rsidRPr="00D34F42">
              <w:t>907</w:t>
            </w:r>
          </w:p>
        </w:tc>
      </w:tr>
      <w:tr w:rsidR="00F56D0E" w:rsidRPr="00F56D0E" w14:paraId="0F2A803B" w14:textId="77777777" w:rsidTr="00DC7A50">
        <w:trPr>
          <w:trHeight w:val="288"/>
        </w:trPr>
        <w:tc>
          <w:tcPr>
            <w:tcW w:w="1666" w:type="pct"/>
            <w:noWrap/>
            <w:hideMark/>
          </w:tcPr>
          <w:p w14:paraId="76B60F83" w14:textId="77777777" w:rsidR="00F56D0E" w:rsidRPr="005F1725" w:rsidRDefault="00F56D0E" w:rsidP="005F1725">
            <w:pPr>
              <w:pStyle w:val="TableBody"/>
            </w:pPr>
            <w:r w:rsidRPr="005F1725">
              <w:t>Nov-15</w:t>
            </w:r>
          </w:p>
        </w:tc>
        <w:tc>
          <w:tcPr>
            <w:tcW w:w="1666" w:type="pct"/>
            <w:noWrap/>
            <w:hideMark/>
          </w:tcPr>
          <w:p w14:paraId="417E0223" w14:textId="77777777" w:rsidR="00F56D0E" w:rsidRPr="00D34F42" w:rsidRDefault="00F56D0E" w:rsidP="00D34F42">
            <w:pPr>
              <w:pStyle w:val="TableBody"/>
            </w:pPr>
            <w:r w:rsidRPr="00D34F42">
              <w:t>742</w:t>
            </w:r>
          </w:p>
        </w:tc>
        <w:tc>
          <w:tcPr>
            <w:tcW w:w="1667" w:type="pct"/>
            <w:noWrap/>
            <w:hideMark/>
          </w:tcPr>
          <w:p w14:paraId="1A24C1C6" w14:textId="77777777" w:rsidR="00F56D0E" w:rsidRPr="00D34F42" w:rsidRDefault="00F56D0E" w:rsidP="00D34F42">
            <w:pPr>
              <w:pStyle w:val="TableBody"/>
            </w:pPr>
            <w:r w:rsidRPr="00D34F42">
              <w:t>774</w:t>
            </w:r>
          </w:p>
        </w:tc>
      </w:tr>
      <w:tr w:rsidR="00F56D0E" w:rsidRPr="00F56D0E" w14:paraId="6D1C9F7F" w14:textId="77777777" w:rsidTr="00DC7A50">
        <w:trPr>
          <w:trHeight w:val="288"/>
        </w:trPr>
        <w:tc>
          <w:tcPr>
            <w:tcW w:w="1666" w:type="pct"/>
            <w:noWrap/>
            <w:hideMark/>
          </w:tcPr>
          <w:p w14:paraId="6C860CDB" w14:textId="77777777" w:rsidR="00F56D0E" w:rsidRPr="005F1725" w:rsidRDefault="00F56D0E" w:rsidP="005F1725">
            <w:pPr>
              <w:pStyle w:val="TableBody"/>
            </w:pPr>
            <w:r w:rsidRPr="005F1725">
              <w:t>Dec-15</w:t>
            </w:r>
          </w:p>
        </w:tc>
        <w:tc>
          <w:tcPr>
            <w:tcW w:w="1666" w:type="pct"/>
            <w:noWrap/>
            <w:hideMark/>
          </w:tcPr>
          <w:p w14:paraId="6DA81AF4" w14:textId="77777777" w:rsidR="00F56D0E" w:rsidRPr="00D34F42" w:rsidRDefault="00F56D0E" w:rsidP="00D34F42">
            <w:pPr>
              <w:pStyle w:val="TableBody"/>
            </w:pPr>
            <w:r w:rsidRPr="00D34F42">
              <w:t>824</w:t>
            </w:r>
          </w:p>
        </w:tc>
        <w:tc>
          <w:tcPr>
            <w:tcW w:w="1667" w:type="pct"/>
            <w:noWrap/>
            <w:hideMark/>
          </w:tcPr>
          <w:p w14:paraId="651EE3F8" w14:textId="77777777" w:rsidR="00F56D0E" w:rsidRPr="00D34F42" w:rsidRDefault="00F56D0E" w:rsidP="00D34F42">
            <w:pPr>
              <w:pStyle w:val="TableBody"/>
            </w:pPr>
            <w:r w:rsidRPr="00D34F42">
              <w:t>861</w:t>
            </w:r>
          </w:p>
        </w:tc>
      </w:tr>
      <w:tr w:rsidR="00F56D0E" w:rsidRPr="00F56D0E" w14:paraId="6695148A" w14:textId="77777777" w:rsidTr="00DC7A50">
        <w:trPr>
          <w:trHeight w:val="288"/>
        </w:trPr>
        <w:tc>
          <w:tcPr>
            <w:tcW w:w="1666" w:type="pct"/>
            <w:noWrap/>
            <w:hideMark/>
          </w:tcPr>
          <w:p w14:paraId="7E1FB562" w14:textId="77777777" w:rsidR="00F56D0E" w:rsidRPr="005F1725" w:rsidRDefault="00F56D0E" w:rsidP="005F1725">
            <w:pPr>
              <w:pStyle w:val="TableBody"/>
            </w:pPr>
            <w:r w:rsidRPr="005F1725">
              <w:t>Jan-16</w:t>
            </w:r>
          </w:p>
        </w:tc>
        <w:tc>
          <w:tcPr>
            <w:tcW w:w="1666" w:type="pct"/>
            <w:noWrap/>
            <w:hideMark/>
          </w:tcPr>
          <w:p w14:paraId="217E6052" w14:textId="77777777" w:rsidR="00F56D0E" w:rsidRPr="00D34F42" w:rsidRDefault="00F56D0E" w:rsidP="00D34F42">
            <w:pPr>
              <w:pStyle w:val="TableBody"/>
            </w:pPr>
            <w:r w:rsidRPr="00D34F42">
              <w:t>706</w:t>
            </w:r>
          </w:p>
        </w:tc>
        <w:tc>
          <w:tcPr>
            <w:tcW w:w="1667" w:type="pct"/>
            <w:noWrap/>
            <w:hideMark/>
          </w:tcPr>
          <w:p w14:paraId="0841FD0A" w14:textId="77777777" w:rsidR="00F56D0E" w:rsidRPr="00D34F42" w:rsidRDefault="00F56D0E" w:rsidP="00D34F42">
            <w:pPr>
              <w:pStyle w:val="TableBody"/>
            </w:pPr>
            <w:r w:rsidRPr="00D34F42">
              <w:t>703</w:t>
            </w:r>
          </w:p>
        </w:tc>
      </w:tr>
      <w:tr w:rsidR="00F56D0E" w:rsidRPr="00F56D0E" w14:paraId="726A9BBF" w14:textId="77777777" w:rsidTr="00DC7A50">
        <w:trPr>
          <w:trHeight w:val="288"/>
        </w:trPr>
        <w:tc>
          <w:tcPr>
            <w:tcW w:w="1666" w:type="pct"/>
            <w:noWrap/>
            <w:hideMark/>
          </w:tcPr>
          <w:p w14:paraId="0041DCE9" w14:textId="77777777" w:rsidR="00F56D0E" w:rsidRPr="005F1725" w:rsidRDefault="00F56D0E" w:rsidP="005F1725">
            <w:pPr>
              <w:pStyle w:val="TableBody"/>
            </w:pPr>
            <w:r w:rsidRPr="005F1725">
              <w:t>Feb-16</w:t>
            </w:r>
          </w:p>
        </w:tc>
        <w:tc>
          <w:tcPr>
            <w:tcW w:w="1666" w:type="pct"/>
            <w:noWrap/>
            <w:hideMark/>
          </w:tcPr>
          <w:p w14:paraId="79C483E6" w14:textId="77777777" w:rsidR="00F56D0E" w:rsidRPr="00D34F42" w:rsidRDefault="00F56D0E" w:rsidP="00D34F42">
            <w:pPr>
              <w:pStyle w:val="TableBody"/>
            </w:pPr>
            <w:r w:rsidRPr="00D34F42">
              <w:t>827</w:t>
            </w:r>
          </w:p>
        </w:tc>
        <w:tc>
          <w:tcPr>
            <w:tcW w:w="1667" w:type="pct"/>
            <w:noWrap/>
            <w:hideMark/>
          </w:tcPr>
          <w:p w14:paraId="030503AC" w14:textId="77777777" w:rsidR="00F56D0E" w:rsidRPr="00D34F42" w:rsidRDefault="00F56D0E" w:rsidP="00D34F42">
            <w:pPr>
              <w:pStyle w:val="TableBody"/>
            </w:pPr>
            <w:r w:rsidRPr="00D34F42">
              <w:t>826</w:t>
            </w:r>
          </w:p>
        </w:tc>
      </w:tr>
      <w:tr w:rsidR="00F56D0E" w:rsidRPr="00F56D0E" w14:paraId="7A9B0CDC" w14:textId="77777777" w:rsidTr="00DC7A50">
        <w:trPr>
          <w:trHeight w:val="288"/>
        </w:trPr>
        <w:tc>
          <w:tcPr>
            <w:tcW w:w="1666" w:type="pct"/>
            <w:noWrap/>
            <w:hideMark/>
          </w:tcPr>
          <w:p w14:paraId="7EE5EC6A" w14:textId="77777777" w:rsidR="00F56D0E" w:rsidRPr="005F1725" w:rsidRDefault="00F56D0E" w:rsidP="005F1725">
            <w:pPr>
              <w:pStyle w:val="TableBody"/>
            </w:pPr>
            <w:r w:rsidRPr="005F1725">
              <w:t>Mar-16</w:t>
            </w:r>
          </w:p>
        </w:tc>
        <w:tc>
          <w:tcPr>
            <w:tcW w:w="1666" w:type="pct"/>
            <w:noWrap/>
            <w:hideMark/>
          </w:tcPr>
          <w:p w14:paraId="55ABA35B" w14:textId="77777777" w:rsidR="00F56D0E" w:rsidRPr="00D34F42" w:rsidRDefault="00F56D0E" w:rsidP="00D34F42">
            <w:pPr>
              <w:pStyle w:val="TableBody"/>
            </w:pPr>
            <w:r w:rsidRPr="00D34F42">
              <w:t>837</w:t>
            </w:r>
          </w:p>
        </w:tc>
        <w:tc>
          <w:tcPr>
            <w:tcW w:w="1667" w:type="pct"/>
            <w:noWrap/>
            <w:hideMark/>
          </w:tcPr>
          <w:p w14:paraId="34A6B5D9" w14:textId="77777777" w:rsidR="00F56D0E" w:rsidRPr="00D34F42" w:rsidRDefault="00F56D0E" w:rsidP="00D34F42">
            <w:pPr>
              <w:pStyle w:val="TableBody"/>
            </w:pPr>
            <w:r w:rsidRPr="00D34F42">
              <w:t>883</w:t>
            </w:r>
          </w:p>
        </w:tc>
      </w:tr>
      <w:tr w:rsidR="00F56D0E" w:rsidRPr="00F56D0E" w14:paraId="7CCA9E8A" w14:textId="77777777" w:rsidTr="00DC7A50">
        <w:trPr>
          <w:trHeight w:val="288"/>
        </w:trPr>
        <w:tc>
          <w:tcPr>
            <w:tcW w:w="1666" w:type="pct"/>
            <w:noWrap/>
            <w:hideMark/>
          </w:tcPr>
          <w:p w14:paraId="29495B9E" w14:textId="77777777" w:rsidR="00F56D0E" w:rsidRPr="005F1725" w:rsidRDefault="00F56D0E" w:rsidP="005F1725">
            <w:pPr>
              <w:pStyle w:val="TableBody"/>
            </w:pPr>
            <w:r w:rsidRPr="005F1725">
              <w:t>Apr-16</w:t>
            </w:r>
          </w:p>
        </w:tc>
        <w:tc>
          <w:tcPr>
            <w:tcW w:w="1666" w:type="pct"/>
            <w:noWrap/>
            <w:hideMark/>
          </w:tcPr>
          <w:p w14:paraId="7E4C9470" w14:textId="77777777" w:rsidR="00F56D0E" w:rsidRPr="00D34F42" w:rsidRDefault="00F56D0E" w:rsidP="00D34F42">
            <w:pPr>
              <w:pStyle w:val="TableBody"/>
            </w:pPr>
            <w:r w:rsidRPr="00D34F42">
              <w:t>805</w:t>
            </w:r>
          </w:p>
        </w:tc>
        <w:tc>
          <w:tcPr>
            <w:tcW w:w="1667" w:type="pct"/>
            <w:noWrap/>
            <w:hideMark/>
          </w:tcPr>
          <w:p w14:paraId="5AE776EF" w14:textId="77777777" w:rsidR="00F56D0E" w:rsidRPr="00D34F42" w:rsidRDefault="00F56D0E" w:rsidP="00D34F42">
            <w:pPr>
              <w:pStyle w:val="TableBody"/>
            </w:pPr>
            <w:r w:rsidRPr="00D34F42">
              <w:t>820</w:t>
            </w:r>
          </w:p>
        </w:tc>
      </w:tr>
      <w:tr w:rsidR="00F56D0E" w:rsidRPr="00F56D0E" w14:paraId="44ECC304" w14:textId="77777777" w:rsidTr="00DC7A50">
        <w:trPr>
          <w:trHeight w:val="288"/>
        </w:trPr>
        <w:tc>
          <w:tcPr>
            <w:tcW w:w="1666" w:type="pct"/>
            <w:noWrap/>
            <w:hideMark/>
          </w:tcPr>
          <w:p w14:paraId="04310DAC" w14:textId="77777777" w:rsidR="00F56D0E" w:rsidRPr="005F1725" w:rsidRDefault="00F56D0E" w:rsidP="005F1725">
            <w:pPr>
              <w:pStyle w:val="TableBody"/>
            </w:pPr>
            <w:r w:rsidRPr="005F1725">
              <w:t>May-16</w:t>
            </w:r>
          </w:p>
        </w:tc>
        <w:tc>
          <w:tcPr>
            <w:tcW w:w="1666" w:type="pct"/>
            <w:noWrap/>
            <w:hideMark/>
          </w:tcPr>
          <w:p w14:paraId="68E62492" w14:textId="77777777" w:rsidR="00F56D0E" w:rsidRPr="00D34F42" w:rsidRDefault="00F56D0E" w:rsidP="00D34F42">
            <w:pPr>
              <w:pStyle w:val="TableBody"/>
            </w:pPr>
            <w:r w:rsidRPr="00D34F42">
              <w:t>835</w:t>
            </w:r>
          </w:p>
        </w:tc>
        <w:tc>
          <w:tcPr>
            <w:tcW w:w="1667" w:type="pct"/>
            <w:noWrap/>
            <w:hideMark/>
          </w:tcPr>
          <w:p w14:paraId="6015F1DE" w14:textId="77777777" w:rsidR="00F56D0E" w:rsidRPr="00D34F42" w:rsidRDefault="00F56D0E" w:rsidP="00D34F42">
            <w:pPr>
              <w:pStyle w:val="TableBody"/>
            </w:pPr>
            <w:r w:rsidRPr="00D34F42">
              <w:t>905</w:t>
            </w:r>
          </w:p>
        </w:tc>
      </w:tr>
      <w:tr w:rsidR="00F56D0E" w:rsidRPr="00F56D0E" w14:paraId="25F3C49D" w14:textId="77777777" w:rsidTr="00DC7A50">
        <w:trPr>
          <w:trHeight w:val="288"/>
        </w:trPr>
        <w:tc>
          <w:tcPr>
            <w:tcW w:w="1666" w:type="pct"/>
            <w:noWrap/>
            <w:hideMark/>
          </w:tcPr>
          <w:p w14:paraId="4A024379" w14:textId="77777777" w:rsidR="00F56D0E" w:rsidRPr="005F1725" w:rsidRDefault="00F56D0E" w:rsidP="005F1725">
            <w:pPr>
              <w:pStyle w:val="TableBody"/>
            </w:pPr>
            <w:r w:rsidRPr="005F1725">
              <w:t>Jun-16</w:t>
            </w:r>
          </w:p>
        </w:tc>
        <w:tc>
          <w:tcPr>
            <w:tcW w:w="1666" w:type="pct"/>
            <w:noWrap/>
            <w:hideMark/>
          </w:tcPr>
          <w:p w14:paraId="53E35CB0" w14:textId="77777777" w:rsidR="00F56D0E" w:rsidRPr="00D34F42" w:rsidRDefault="00F56D0E" w:rsidP="00D34F42">
            <w:pPr>
              <w:pStyle w:val="TableBody"/>
            </w:pPr>
            <w:r w:rsidRPr="00D34F42">
              <w:t>853</w:t>
            </w:r>
          </w:p>
        </w:tc>
        <w:tc>
          <w:tcPr>
            <w:tcW w:w="1667" w:type="pct"/>
            <w:noWrap/>
            <w:hideMark/>
          </w:tcPr>
          <w:p w14:paraId="54679CB6" w14:textId="77777777" w:rsidR="00F56D0E" w:rsidRPr="00D34F42" w:rsidRDefault="00F56D0E" w:rsidP="00D34F42">
            <w:pPr>
              <w:pStyle w:val="TableBody"/>
            </w:pPr>
            <w:r w:rsidRPr="00D34F42">
              <w:t>878</w:t>
            </w:r>
          </w:p>
        </w:tc>
      </w:tr>
      <w:tr w:rsidR="00F56D0E" w:rsidRPr="00F56D0E" w14:paraId="1AFAF28F" w14:textId="77777777" w:rsidTr="00DC7A50">
        <w:trPr>
          <w:trHeight w:val="288"/>
        </w:trPr>
        <w:tc>
          <w:tcPr>
            <w:tcW w:w="1666" w:type="pct"/>
            <w:noWrap/>
            <w:hideMark/>
          </w:tcPr>
          <w:p w14:paraId="13CA945A" w14:textId="77777777" w:rsidR="00F56D0E" w:rsidRPr="005F1725" w:rsidRDefault="00F56D0E" w:rsidP="005F1725">
            <w:pPr>
              <w:pStyle w:val="TableBody"/>
            </w:pPr>
            <w:r w:rsidRPr="005F1725">
              <w:t>Jul-16</w:t>
            </w:r>
          </w:p>
        </w:tc>
        <w:tc>
          <w:tcPr>
            <w:tcW w:w="1666" w:type="pct"/>
            <w:noWrap/>
            <w:hideMark/>
          </w:tcPr>
          <w:p w14:paraId="5DAA07F3" w14:textId="77777777" w:rsidR="00F56D0E" w:rsidRPr="00D34F42" w:rsidRDefault="00F56D0E" w:rsidP="00D34F42">
            <w:pPr>
              <w:pStyle w:val="TableBody"/>
            </w:pPr>
            <w:r w:rsidRPr="00D34F42">
              <w:t>796</w:t>
            </w:r>
          </w:p>
        </w:tc>
        <w:tc>
          <w:tcPr>
            <w:tcW w:w="1667" w:type="pct"/>
            <w:noWrap/>
            <w:hideMark/>
          </w:tcPr>
          <w:p w14:paraId="5EFFEB83" w14:textId="77777777" w:rsidR="00F56D0E" w:rsidRPr="00D34F42" w:rsidRDefault="00F56D0E" w:rsidP="00D34F42">
            <w:pPr>
              <w:pStyle w:val="TableBody"/>
            </w:pPr>
            <w:r w:rsidRPr="00D34F42">
              <w:t>841</w:t>
            </w:r>
          </w:p>
        </w:tc>
      </w:tr>
      <w:tr w:rsidR="00F56D0E" w:rsidRPr="00F56D0E" w14:paraId="4011C952" w14:textId="77777777" w:rsidTr="00DC7A50">
        <w:trPr>
          <w:trHeight w:val="288"/>
        </w:trPr>
        <w:tc>
          <w:tcPr>
            <w:tcW w:w="1666" w:type="pct"/>
            <w:noWrap/>
            <w:hideMark/>
          </w:tcPr>
          <w:p w14:paraId="283815FE" w14:textId="77777777" w:rsidR="00F56D0E" w:rsidRPr="005F1725" w:rsidRDefault="00F56D0E" w:rsidP="005F1725">
            <w:pPr>
              <w:pStyle w:val="TableBody"/>
            </w:pPr>
            <w:r w:rsidRPr="005F1725">
              <w:t>Aug-16</w:t>
            </w:r>
          </w:p>
        </w:tc>
        <w:tc>
          <w:tcPr>
            <w:tcW w:w="1666" w:type="pct"/>
            <w:noWrap/>
            <w:hideMark/>
          </w:tcPr>
          <w:p w14:paraId="0AB0740A" w14:textId="77777777" w:rsidR="00F56D0E" w:rsidRPr="00D34F42" w:rsidRDefault="00F56D0E" w:rsidP="00D34F42">
            <w:pPr>
              <w:pStyle w:val="TableBody"/>
            </w:pPr>
            <w:r w:rsidRPr="00D34F42">
              <w:t>835</w:t>
            </w:r>
          </w:p>
        </w:tc>
        <w:tc>
          <w:tcPr>
            <w:tcW w:w="1667" w:type="pct"/>
            <w:noWrap/>
            <w:hideMark/>
          </w:tcPr>
          <w:p w14:paraId="2E60510A" w14:textId="77777777" w:rsidR="00F56D0E" w:rsidRPr="00D34F42" w:rsidRDefault="00F56D0E" w:rsidP="00D34F42">
            <w:pPr>
              <w:pStyle w:val="TableBody"/>
            </w:pPr>
            <w:r w:rsidRPr="00D34F42">
              <w:t>942</w:t>
            </w:r>
          </w:p>
        </w:tc>
      </w:tr>
      <w:tr w:rsidR="00F56D0E" w:rsidRPr="00F56D0E" w14:paraId="7531FE80" w14:textId="77777777" w:rsidTr="00DC7A50">
        <w:trPr>
          <w:trHeight w:val="288"/>
        </w:trPr>
        <w:tc>
          <w:tcPr>
            <w:tcW w:w="1666" w:type="pct"/>
            <w:noWrap/>
            <w:hideMark/>
          </w:tcPr>
          <w:p w14:paraId="05651CB8" w14:textId="77777777" w:rsidR="00F56D0E" w:rsidRPr="005F1725" w:rsidRDefault="00F56D0E" w:rsidP="005F1725">
            <w:pPr>
              <w:pStyle w:val="TableBody"/>
            </w:pPr>
            <w:r w:rsidRPr="005F1725">
              <w:t>Sep-16</w:t>
            </w:r>
          </w:p>
        </w:tc>
        <w:tc>
          <w:tcPr>
            <w:tcW w:w="1666" w:type="pct"/>
            <w:noWrap/>
            <w:hideMark/>
          </w:tcPr>
          <w:p w14:paraId="130B6EBA" w14:textId="77777777" w:rsidR="00F56D0E" w:rsidRPr="00D34F42" w:rsidRDefault="00F56D0E" w:rsidP="00D34F42">
            <w:pPr>
              <w:pStyle w:val="TableBody"/>
            </w:pPr>
            <w:r w:rsidRPr="00D34F42">
              <w:t>886</w:t>
            </w:r>
          </w:p>
        </w:tc>
        <w:tc>
          <w:tcPr>
            <w:tcW w:w="1667" w:type="pct"/>
            <w:noWrap/>
            <w:hideMark/>
          </w:tcPr>
          <w:p w14:paraId="38A38BAB" w14:textId="77777777" w:rsidR="00F56D0E" w:rsidRPr="00D34F42" w:rsidRDefault="00F56D0E" w:rsidP="00D34F42">
            <w:pPr>
              <w:pStyle w:val="TableBody"/>
            </w:pPr>
            <w:r w:rsidRPr="00D34F42">
              <w:t>899</w:t>
            </w:r>
          </w:p>
        </w:tc>
      </w:tr>
      <w:tr w:rsidR="00F56D0E" w:rsidRPr="00F56D0E" w14:paraId="7D89CAD6" w14:textId="77777777" w:rsidTr="00DC7A50">
        <w:trPr>
          <w:trHeight w:val="288"/>
        </w:trPr>
        <w:tc>
          <w:tcPr>
            <w:tcW w:w="1666" w:type="pct"/>
            <w:noWrap/>
            <w:hideMark/>
          </w:tcPr>
          <w:p w14:paraId="19FD7D79" w14:textId="77777777" w:rsidR="00F56D0E" w:rsidRPr="005F1725" w:rsidRDefault="00F56D0E" w:rsidP="005F1725">
            <w:pPr>
              <w:pStyle w:val="TableBody"/>
            </w:pPr>
            <w:r w:rsidRPr="005F1725">
              <w:t>Oct-16</w:t>
            </w:r>
          </w:p>
        </w:tc>
        <w:tc>
          <w:tcPr>
            <w:tcW w:w="1666" w:type="pct"/>
            <w:noWrap/>
            <w:hideMark/>
          </w:tcPr>
          <w:p w14:paraId="2CC33FEF" w14:textId="77777777" w:rsidR="00F56D0E" w:rsidRPr="00D34F42" w:rsidRDefault="00F56D0E" w:rsidP="00D34F42">
            <w:pPr>
              <w:pStyle w:val="TableBody"/>
            </w:pPr>
            <w:r w:rsidRPr="00D34F42">
              <w:t>864</w:t>
            </w:r>
          </w:p>
        </w:tc>
        <w:tc>
          <w:tcPr>
            <w:tcW w:w="1667" w:type="pct"/>
            <w:noWrap/>
            <w:hideMark/>
          </w:tcPr>
          <w:p w14:paraId="59787769" w14:textId="77777777" w:rsidR="00F56D0E" w:rsidRPr="00D34F42" w:rsidRDefault="00F56D0E" w:rsidP="00D34F42">
            <w:pPr>
              <w:pStyle w:val="TableBody"/>
            </w:pPr>
            <w:r w:rsidRPr="00D34F42">
              <w:t>965</w:t>
            </w:r>
          </w:p>
        </w:tc>
      </w:tr>
      <w:tr w:rsidR="00F56D0E" w:rsidRPr="00F56D0E" w14:paraId="2EE8542D" w14:textId="77777777" w:rsidTr="00DC7A50">
        <w:trPr>
          <w:trHeight w:val="288"/>
        </w:trPr>
        <w:tc>
          <w:tcPr>
            <w:tcW w:w="1666" w:type="pct"/>
            <w:noWrap/>
            <w:hideMark/>
          </w:tcPr>
          <w:p w14:paraId="2A376FD3" w14:textId="77777777" w:rsidR="00F56D0E" w:rsidRPr="005F1725" w:rsidRDefault="00F56D0E" w:rsidP="005F1725">
            <w:pPr>
              <w:pStyle w:val="TableBody"/>
            </w:pPr>
            <w:r w:rsidRPr="005F1725">
              <w:t>Nov-16</w:t>
            </w:r>
          </w:p>
        </w:tc>
        <w:tc>
          <w:tcPr>
            <w:tcW w:w="1666" w:type="pct"/>
            <w:noWrap/>
            <w:hideMark/>
          </w:tcPr>
          <w:p w14:paraId="2BC9C3B3" w14:textId="77777777" w:rsidR="00F56D0E" w:rsidRPr="00D34F42" w:rsidRDefault="00F56D0E" w:rsidP="00D34F42">
            <w:pPr>
              <w:pStyle w:val="TableBody"/>
            </w:pPr>
            <w:r w:rsidRPr="00D34F42">
              <w:t>885</w:t>
            </w:r>
          </w:p>
        </w:tc>
        <w:tc>
          <w:tcPr>
            <w:tcW w:w="1667" w:type="pct"/>
            <w:noWrap/>
            <w:hideMark/>
          </w:tcPr>
          <w:p w14:paraId="76657FE4" w14:textId="77777777" w:rsidR="00F56D0E" w:rsidRPr="00D34F42" w:rsidRDefault="00F56D0E" w:rsidP="00D34F42">
            <w:pPr>
              <w:pStyle w:val="TableBody"/>
            </w:pPr>
            <w:r w:rsidRPr="00D34F42">
              <w:t>930</w:t>
            </w:r>
          </w:p>
        </w:tc>
      </w:tr>
      <w:tr w:rsidR="00F56D0E" w:rsidRPr="00F56D0E" w14:paraId="0B3287B1" w14:textId="77777777" w:rsidTr="00DC7A50">
        <w:trPr>
          <w:trHeight w:val="288"/>
        </w:trPr>
        <w:tc>
          <w:tcPr>
            <w:tcW w:w="1666" w:type="pct"/>
            <w:noWrap/>
            <w:hideMark/>
          </w:tcPr>
          <w:p w14:paraId="21F2100D" w14:textId="77777777" w:rsidR="00F56D0E" w:rsidRPr="005F1725" w:rsidRDefault="00F56D0E" w:rsidP="005F1725">
            <w:pPr>
              <w:pStyle w:val="TableBody"/>
            </w:pPr>
            <w:r w:rsidRPr="005F1725">
              <w:t>Dec-16</w:t>
            </w:r>
          </w:p>
        </w:tc>
        <w:tc>
          <w:tcPr>
            <w:tcW w:w="1666" w:type="pct"/>
            <w:noWrap/>
            <w:hideMark/>
          </w:tcPr>
          <w:p w14:paraId="5E5E840F" w14:textId="77777777" w:rsidR="00F56D0E" w:rsidRPr="00D34F42" w:rsidRDefault="00F56D0E" w:rsidP="00D34F42">
            <w:pPr>
              <w:pStyle w:val="TableBody"/>
            </w:pPr>
            <w:r w:rsidRPr="00D34F42">
              <w:t>924</w:t>
            </w:r>
          </w:p>
        </w:tc>
        <w:tc>
          <w:tcPr>
            <w:tcW w:w="1667" w:type="pct"/>
            <w:noWrap/>
            <w:hideMark/>
          </w:tcPr>
          <w:p w14:paraId="6AFD1C46" w14:textId="77777777" w:rsidR="00F56D0E" w:rsidRPr="00D34F42" w:rsidRDefault="00F56D0E" w:rsidP="00D34F42">
            <w:pPr>
              <w:pStyle w:val="TableBody"/>
            </w:pPr>
            <w:r w:rsidRPr="00D34F42">
              <w:t>936</w:t>
            </w:r>
          </w:p>
        </w:tc>
      </w:tr>
      <w:tr w:rsidR="00F56D0E" w:rsidRPr="00F56D0E" w14:paraId="282C8035" w14:textId="77777777" w:rsidTr="00DC7A50">
        <w:trPr>
          <w:trHeight w:val="288"/>
        </w:trPr>
        <w:tc>
          <w:tcPr>
            <w:tcW w:w="1666" w:type="pct"/>
            <w:noWrap/>
            <w:hideMark/>
          </w:tcPr>
          <w:p w14:paraId="2C8C5842" w14:textId="77777777" w:rsidR="00F56D0E" w:rsidRPr="005F1725" w:rsidRDefault="00F56D0E" w:rsidP="005F1725">
            <w:pPr>
              <w:pStyle w:val="TableBody"/>
            </w:pPr>
            <w:r w:rsidRPr="005F1725">
              <w:t>Jan-17</w:t>
            </w:r>
          </w:p>
        </w:tc>
        <w:tc>
          <w:tcPr>
            <w:tcW w:w="1666" w:type="pct"/>
            <w:noWrap/>
            <w:hideMark/>
          </w:tcPr>
          <w:p w14:paraId="1F22B658" w14:textId="77777777" w:rsidR="00F56D0E" w:rsidRPr="00D34F42" w:rsidRDefault="00F56D0E" w:rsidP="00D34F42">
            <w:pPr>
              <w:pStyle w:val="TableBody"/>
            </w:pPr>
            <w:r w:rsidRPr="00D34F42">
              <w:t>732</w:t>
            </w:r>
          </w:p>
        </w:tc>
        <w:tc>
          <w:tcPr>
            <w:tcW w:w="1667" w:type="pct"/>
            <w:noWrap/>
            <w:hideMark/>
          </w:tcPr>
          <w:p w14:paraId="11BA03B2" w14:textId="77777777" w:rsidR="00F56D0E" w:rsidRPr="00D34F42" w:rsidRDefault="00F56D0E" w:rsidP="00D34F42">
            <w:pPr>
              <w:pStyle w:val="TableBody"/>
            </w:pPr>
            <w:r w:rsidRPr="00D34F42">
              <w:t>789</w:t>
            </w:r>
          </w:p>
        </w:tc>
      </w:tr>
      <w:tr w:rsidR="00F56D0E" w:rsidRPr="00F56D0E" w14:paraId="4916DAD0" w14:textId="77777777" w:rsidTr="00DC7A50">
        <w:trPr>
          <w:trHeight w:val="288"/>
        </w:trPr>
        <w:tc>
          <w:tcPr>
            <w:tcW w:w="1666" w:type="pct"/>
            <w:noWrap/>
            <w:hideMark/>
          </w:tcPr>
          <w:p w14:paraId="4E3F421A" w14:textId="77777777" w:rsidR="00F56D0E" w:rsidRPr="005F1725" w:rsidRDefault="00F56D0E" w:rsidP="005F1725">
            <w:pPr>
              <w:pStyle w:val="TableBody"/>
            </w:pPr>
            <w:r w:rsidRPr="005F1725">
              <w:t>Feb-17</w:t>
            </w:r>
          </w:p>
        </w:tc>
        <w:tc>
          <w:tcPr>
            <w:tcW w:w="1666" w:type="pct"/>
            <w:noWrap/>
            <w:hideMark/>
          </w:tcPr>
          <w:p w14:paraId="6BD7B8E8" w14:textId="77777777" w:rsidR="00F56D0E" w:rsidRPr="00D34F42" w:rsidRDefault="00F56D0E" w:rsidP="00D34F42">
            <w:pPr>
              <w:pStyle w:val="TableBody"/>
            </w:pPr>
            <w:r w:rsidRPr="00D34F42">
              <w:t>830</w:t>
            </w:r>
          </w:p>
        </w:tc>
        <w:tc>
          <w:tcPr>
            <w:tcW w:w="1667" w:type="pct"/>
            <w:noWrap/>
            <w:hideMark/>
          </w:tcPr>
          <w:p w14:paraId="4DDD97D6" w14:textId="77777777" w:rsidR="00F56D0E" w:rsidRPr="00D34F42" w:rsidRDefault="00F56D0E" w:rsidP="00D34F42">
            <w:pPr>
              <w:pStyle w:val="TableBody"/>
            </w:pPr>
            <w:r w:rsidRPr="00D34F42">
              <w:t>860</w:t>
            </w:r>
          </w:p>
        </w:tc>
      </w:tr>
      <w:tr w:rsidR="00F56D0E" w:rsidRPr="00F56D0E" w14:paraId="089586FA" w14:textId="77777777" w:rsidTr="00DC7A50">
        <w:trPr>
          <w:trHeight w:val="288"/>
        </w:trPr>
        <w:tc>
          <w:tcPr>
            <w:tcW w:w="1666" w:type="pct"/>
            <w:noWrap/>
            <w:hideMark/>
          </w:tcPr>
          <w:p w14:paraId="0CD530E3" w14:textId="77777777" w:rsidR="00F56D0E" w:rsidRPr="005F1725" w:rsidRDefault="00F56D0E" w:rsidP="005F1725">
            <w:pPr>
              <w:pStyle w:val="TableBody"/>
            </w:pPr>
            <w:r w:rsidRPr="005F1725">
              <w:t>Mar-17</w:t>
            </w:r>
          </w:p>
        </w:tc>
        <w:tc>
          <w:tcPr>
            <w:tcW w:w="1666" w:type="pct"/>
            <w:noWrap/>
            <w:hideMark/>
          </w:tcPr>
          <w:p w14:paraId="69C12757" w14:textId="77777777" w:rsidR="00F56D0E" w:rsidRPr="00D34F42" w:rsidRDefault="00F56D0E" w:rsidP="00D34F42">
            <w:pPr>
              <w:pStyle w:val="TableBody"/>
            </w:pPr>
            <w:r w:rsidRPr="00D34F42">
              <w:t>821</w:t>
            </w:r>
          </w:p>
        </w:tc>
        <w:tc>
          <w:tcPr>
            <w:tcW w:w="1667" w:type="pct"/>
            <w:noWrap/>
            <w:hideMark/>
          </w:tcPr>
          <w:p w14:paraId="320F1B42" w14:textId="77777777" w:rsidR="00F56D0E" w:rsidRPr="00D34F42" w:rsidRDefault="00F56D0E" w:rsidP="00D34F42">
            <w:pPr>
              <w:pStyle w:val="TableBody"/>
            </w:pPr>
            <w:r w:rsidRPr="00D34F42">
              <w:t>905</w:t>
            </w:r>
          </w:p>
        </w:tc>
      </w:tr>
      <w:tr w:rsidR="00F56D0E" w:rsidRPr="00F56D0E" w14:paraId="63B59D6A" w14:textId="77777777" w:rsidTr="00DC7A50">
        <w:trPr>
          <w:trHeight w:val="288"/>
        </w:trPr>
        <w:tc>
          <w:tcPr>
            <w:tcW w:w="1666" w:type="pct"/>
            <w:noWrap/>
            <w:hideMark/>
          </w:tcPr>
          <w:p w14:paraId="6B67C9AF" w14:textId="77777777" w:rsidR="00F56D0E" w:rsidRPr="005F1725" w:rsidRDefault="00F56D0E" w:rsidP="005F1725">
            <w:pPr>
              <w:pStyle w:val="TableBody"/>
            </w:pPr>
            <w:r w:rsidRPr="005F1725">
              <w:t>Apr-17</w:t>
            </w:r>
          </w:p>
        </w:tc>
        <w:tc>
          <w:tcPr>
            <w:tcW w:w="1666" w:type="pct"/>
            <w:noWrap/>
            <w:hideMark/>
          </w:tcPr>
          <w:p w14:paraId="07B12681" w14:textId="77777777" w:rsidR="00F56D0E" w:rsidRPr="00D34F42" w:rsidRDefault="00F56D0E" w:rsidP="00D34F42">
            <w:pPr>
              <w:pStyle w:val="TableBody"/>
            </w:pPr>
            <w:r w:rsidRPr="00D34F42">
              <w:t>768</w:t>
            </w:r>
          </w:p>
        </w:tc>
        <w:tc>
          <w:tcPr>
            <w:tcW w:w="1667" w:type="pct"/>
            <w:noWrap/>
            <w:hideMark/>
          </w:tcPr>
          <w:p w14:paraId="321ED3F1" w14:textId="77777777" w:rsidR="00F56D0E" w:rsidRPr="00D34F42" w:rsidRDefault="00F56D0E" w:rsidP="00D34F42">
            <w:pPr>
              <w:pStyle w:val="TableBody"/>
            </w:pPr>
            <w:r w:rsidRPr="00D34F42">
              <w:t>813</w:t>
            </w:r>
          </w:p>
        </w:tc>
      </w:tr>
      <w:tr w:rsidR="00F56D0E" w:rsidRPr="00F56D0E" w14:paraId="22A9EA8B" w14:textId="77777777" w:rsidTr="00DC7A50">
        <w:trPr>
          <w:trHeight w:val="288"/>
        </w:trPr>
        <w:tc>
          <w:tcPr>
            <w:tcW w:w="1666" w:type="pct"/>
            <w:noWrap/>
            <w:hideMark/>
          </w:tcPr>
          <w:p w14:paraId="4964D5AE" w14:textId="77777777" w:rsidR="00F56D0E" w:rsidRPr="005F1725" w:rsidRDefault="00F56D0E" w:rsidP="005F1725">
            <w:pPr>
              <w:pStyle w:val="TableBody"/>
            </w:pPr>
            <w:r w:rsidRPr="005F1725">
              <w:t>May-17</w:t>
            </w:r>
          </w:p>
        </w:tc>
        <w:tc>
          <w:tcPr>
            <w:tcW w:w="1666" w:type="pct"/>
            <w:noWrap/>
            <w:hideMark/>
          </w:tcPr>
          <w:p w14:paraId="3C665CD0" w14:textId="77777777" w:rsidR="00F56D0E" w:rsidRPr="00D34F42" w:rsidRDefault="00F56D0E" w:rsidP="00D34F42">
            <w:pPr>
              <w:pStyle w:val="TableBody"/>
            </w:pPr>
            <w:r w:rsidRPr="00D34F42">
              <w:t>895</w:t>
            </w:r>
          </w:p>
        </w:tc>
        <w:tc>
          <w:tcPr>
            <w:tcW w:w="1667" w:type="pct"/>
            <w:noWrap/>
            <w:hideMark/>
          </w:tcPr>
          <w:p w14:paraId="3E0360EB" w14:textId="77777777" w:rsidR="00F56D0E" w:rsidRPr="00D34F42" w:rsidRDefault="00F56D0E" w:rsidP="00D34F42">
            <w:pPr>
              <w:pStyle w:val="TableBody"/>
            </w:pPr>
            <w:r w:rsidRPr="00D34F42">
              <w:t>964</w:t>
            </w:r>
          </w:p>
        </w:tc>
      </w:tr>
      <w:tr w:rsidR="00F56D0E" w:rsidRPr="00F56D0E" w14:paraId="50F415F1" w14:textId="77777777" w:rsidTr="00DC7A50">
        <w:trPr>
          <w:trHeight w:val="288"/>
        </w:trPr>
        <w:tc>
          <w:tcPr>
            <w:tcW w:w="1666" w:type="pct"/>
            <w:noWrap/>
            <w:hideMark/>
          </w:tcPr>
          <w:p w14:paraId="6B97A1CC" w14:textId="77777777" w:rsidR="00F56D0E" w:rsidRPr="005F1725" w:rsidRDefault="00F56D0E" w:rsidP="005F1725">
            <w:pPr>
              <w:pStyle w:val="TableBody"/>
            </w:pPr>
            <w:r w:rsidRPr="005F1725">
              <w:t>Jun-17</w:t>
            </w:r>
          </w:p>
        </w:tc>
        <w:tc>
          <w:tcPr>
            <w:tcW w:w="1666" w:type="pct"/>
            <w:noWrap/>
            <w:hideMark/>
          </w:tcPr>
          <w:p w14:paraId="3326FE01" w14:textId="77777777" w:rsidR="00F56D0E" w:rsidRPr="00D34F42" w:rsidRDefault="00F56D0E" w:rsidP="00D34F42">
            <w:pPr>
              <w:pStyle w:val="TableBody"/>
            </w:pPr>
            <w:r w:rsidRPr="00D34F42">
              <w:t>823</w:t>
            </w:r>
          </w:p>
        </w:tc>
        <w:tc>
          <w:tcPr>
            <w:tcW w:w="1667" w:type="pct"/>
            <w:noWrap/>
            <w:hideMark/>
          </w:tcPr>
          <w:p w14:paraId="79EB3F9B" w14:textId="77777777" w:rsidR="00F56D0E" w:rsidRPr="00D34F42" w:rsidRDefault="00F56D0E" w:rsidP="00D34F42">
            <w:pPr>
              <w:pStyle w:val="TableBody"/>
            </w:pPr>
            <w:r w:rsidRPr="00D34F42">
              <w:t>877</w:t>
            </w:r>
          </w:p>
        </w:tc>
      </w:tr>
      <w:tr w:rsidR="00F56D0E" w:rsidRPr="00F56D0E" w14:paraId="1283C3C9" w14:textId="77777777" w:rsidTr="00DC7A50">
        <w:trPr>
          <w:trHeight w:val="288"/>
        </w:trPr>
        <w:tc>
          <w:tcPr>
            <w:tcW w:w="1666" w:type="pct"/>
            <w:noWrap/>
            <w:hideMark/>
          </w:tcPr>
          <w:p w14:paraId="3EFAA979" w14:textId="77777777" w:rsidR="00F56D0E" w:rsidRPr="005F1725" w:rsidRDefault="00F56D0E" w:rsidP="005F1725">
            <w:pPr>
              <w:pStyle w:val="TableBody"/>
            </w:pPr>
            <w:r w:rsidRPr="005F1725">
              <w:t>Jul-17</w:t>
            </w:r>
          </w:p>
        </w:tc>
        <w:tc>
          <w:tcPr>
            <w:tcW w:w="1666" w:type="pct"/>
            <w:noWrap/>
            <w:hideMark/>
          </w:tcPr>
          <w:p w14:paraId="31446884" w14:textId="77777777" w:rsidR="00F56D0E" w:rsidRPr="00D34F42" w:rsidRDefault="00F56D0E" w:rsidP="00D34F42">
            <w:pPr>
              <w:pStyle w:val="TableBody"/>
            </w:pPr>
            <w:r w:rsidRPr="00D34F42">
              <w:t>812</w:t>
            </w:r>
          </w:p>
        </w:tc>
        <w:tc>
          <w:tcPr>
            <w:tcW w:w="1667" w:type="pct"/>
            <w:noWrap/>
            <w:hideMark/>
          </w:tcPr>
          <w:p w14:paraId="286A5676" w14:textId="77777777" w:rsidR="00F56D0E" w:rsidRPr="00D34F42" w:rsidRDefault="00F56D0E" w:rsidP="00D34F42">
            <w:pPr>
              <w:pStyle w:val="TableBody"/>
            </w:pPr>
            <w:r w:rsidRPr="00D34F42">
              <w:t>811</w:t>
            </w:r>
          </w:p>
        </w:tc>
      </w:tr>
      <w:tr w:rsidR="00F56D0E" w:rsidRPr="00F56D0E" w14:paraId="697B8C13" w14:textId="77777777" w:rsidTr="00DC7A50">
        <w:trPr>
          <w:trHeight w:val="288"/>
        </w:trPr>
        <w:tc>
          <w:tcPr>
            <w:tcW w:w="1666" w:type="pct"/>
            <w:noWrap/>
            <w:hideMark/>
          </w:tcPr>
          <w:p w14:paraId="63FAC478" w14:textId="77777777" w:rsidR="00F56D0E" w:rsidRPr="005F1725" w:rsidRDefault="00F56D0E" w:rsidP="005F1725">
            <w:pPr>
              <w:pStyle w:val="TableBody"/>
            </w:pPr>
            <w:r w:rsidRPr="005F1725">
              <w:t>Aug-17</w:t>
            </w:r>
          </w:p>
        </w:tc>
        <w:tc>
          <w:tcPr>
            <w:tcW w:w="1666" w:type="pct"/>
            <w:noWrap/>
            <w:hideMark/>
          </w:tcPr>
          <w:p w14:paraId="26501041" w14:textId="77777777" w:rsidR="00F56D0E" w:rsidRPr="00D34F42" w:rsidRDefault="00F56D0E" w:rsidP="00D34F42">
            <w:pPr>
              <w:pStyle w:val="TableBody"/>
            </w:pPr>
            <w:r w:rsidRPr="00D34F42">
              <w:t>950</w:t>
            </w:r>
          </w:p>
        </w:tc>
        <w:tc>
          <w:tcPr>
            <w:tcW w:w="1667" w:type="pct"/>
            <w:noWrap/>
            <w:hideMark/>
          </w:tcPr>
          <w:p w14:paraId="688C4D3A" w14:textId="77777777" w:rsidR="00F56D0E" w:rsidRPr="00D34F42" w:rsidRDefault="00F56D0E" w:rsidP="00D34F42">
            <w:pPr>
              <w:pStyle w:val="TableBody"/>
            </w:pPr>
            <w:r w:rsidRPr="00D34F42">
              <w:t>926</w:t>
            </w:r>
          </w:p>
        </w:tc>
      </w:tr>
      <w:tr w:rsidR="00F56D0E" w:rsidRPr="00F56D0E" w14:paraId="0C597225" w14:textId="77777777" w:rsidTr="00DC7A50">
        <w:trPr>
          <w:trHeight w:val="288"/>
        </w:trPr>
        <w:tc>
          <w:tcPr>
            <w:tcW w:w="1666" w:type="pct"/>
            <w:noWrap/>
            <w:hideMark/>
          </w:tcPr>
          <w:p w14:paraId="43B9A538" w14:textId="77777777" w:rsidR="00F56D0E" w:rsidRPr="005F1725" w:rsidRDefault="00F56D0E" w:rsidP="005F1725">
            <w:pPr>
              <w:pStyle w:val="TableBody"/>
            </w:pPr>
            <w:r w:rsidRPr="005F1725">
              <w:t>Sep-17</w:t>
            </w:r>
          </w:p>
        </w:tc>
        <w:tc>
          <w:tcPr>
            <w:tcW w:w="1666" w:type="pct"/>
            <w:noWrap/>
            <w:hideMark/>
          </w:tcPr>
          <w:p w14:paraId="440439E6" w14:textId="77777777" w:rsidR="00F56D0E" w:rsidRPr="00D34F42" w:rsidRDefault="00F56D0E" w:rsidP="00D34F42">
            <w:pPr>
              <w:pStyle w:val="TableBody"/>
            </w:pPr>
            <w:r w:rsidRPr="00D34F42">
              <w:t>832</w:t>
            </w:r>
          </w:p>
        </w:tc>
        <w:tc>
          <w:tcPr>
            <w:tcW w:w="1667" w:type="pct"/>
            <w:noWrap/>
            <w:hideMark/>
          </w:tcPr>
          <w:p w14:paraId="712DFD40" w14:textId="77777777" w:rsidR="00F56D0E" w:rsidRPr="00D34F42" w:rsidRDefault="00F56D0E" w:rsidP="00D34F42">
            <w:pPr>
              <w:pStyle w:val="TableBody"/>
            </w:pPr>
            <w:r w:rsidRPr="00D34F42">
              <w:t>894</w:t>
            </w:r>
          </w:p>
        </w:tc>
      </w:tr>
      <w:tr w:rsidR="00F56D0E" w:rsidRPr="00F56D0E" w14:paraId="6E9429FF" w14:textId="77777777" w:rsidTr="00DC7A50">
        <w:trPr>
          <w:trHeight w:val="288"/>
        </w:trPr>
        <w:tc>
          <w:tcPr>
            <w:tcW w:w="1666" w:type="pct"/>
            <w:noWrap/>
            <w:hideMark/>
          </w:tcPr>
          <w:p w14:paraId="5E7CAC83" w14:textId="77777777" w:rsidR="00F56D0E" w:rsidRPr="005F1725" w:rsidRDefault="00F56D0E" w:rsidP="005F1725">
            <w:pPr>
              <w:pStyle w:val="TableBody"/>
            </w:pPr>
            <w:r w:rsidRPr="005F1725">
              <w:t>Oct-17</w:t>
            </w:r>
          </w:p>
        </w:tc>
        <w:tc>
          <w:tcPr>
            <w:tcW w:w="1666" w:type="pct"/>
            <w:noWrap/>
            <w:hideMark/>
          </w:tcPr>
          <w:p w14:paraId="6FF30AD5" w14:textId="77777777" w:rsidR="00F56D0E" w:rsidRPr="00D34F42" w:rsidRDefault="00F56D0E" w:rsidP="00D34F42">
            <w:pPr>
              <w:pStyle w:val="TableBody"/>
            </w:pPr>
            <w:r w:rsidRPr="00D34F42">
              <w:t>898</w:t>
            </w:r>
          </w:p>
        </w:tc>
        <w:tc>
          <w:tcPr>
            <w:tcW w:w="1667" w:type="pct"/>
            <w:noWrap/>
            <w:hideMark/>
          </w:tcPr>
          <w:p w14:paraId="59F38723" w14:textId="77777777" w:rsidR="00F56D0E" w:rsidRPr="00D34F42" w:rsidRDefault="00F56D0E" w:rsidP="00D34F42">
            <w:pPr>
              <w:pStyle w:val="TableBody"/>
            </w:pPr>
            <w:r w:rsidRPr="00D34F42">
              <w:t>900</w:t>
            </w:r>
          </w:p>
        </w:tc>
      </w:tr>
      <w:tr w:rsidR="00F56D0E" w:rsidRPr="00F56D0E" w14:paraId="445BD15C" w14:textId="77777777" w:rsidTr="00DC7A50">
        <w:trPr>
          <w:trHeight w:val="288"/>
        </w:trPr>
        <w:tc>
          <w:tcPr>
            <w:tcW w:w="1666" w:type="pct"/>
            <w:noWrap/>
            <w:hideMark/>
          </w:tcPr>
          <w:p w14:paraId="451C0523" w14:textId="77777777" w:rsidR="00F56D0E" w:rsidRPr="005F1725" w:rsidRDefault="00F56D0E" w:rsidP="005F1725">
            <w:pPr>
              <w:pStyle w:val="TableBody"/>
            </w:pPr>
            <w:r w:rsidRPr="005F1725">
              <w:t>Nov-17</w:t>
            </w:r>
          </w:p>
        </w:tc>
        <w:tc>
          <w:tcPr>
            <w:tcW w:w="1666" w:type="pct"/>
            <w:noWrap/>
            <w:hideMark/>
          </w:tcPr>
          <w:p w14:paraId="5EFDDFF6" w14:textId="77777777" w:rsidR="00F56D0E" w:rsidRPr="00D34F42" w:rsidRDefault="00F56D0E" w:rsidP="00D34F42">
            <w:pPr>
              <w:pStyle w:val="TableBody"/>
            </w:pPr>
            <w:r w:rsidRPr="00D34F42">
              <w:t>901</w:t>
            </w:r>
          </w:p>
        </w:tc>
        <w:tc>
          <w:tcPr>
            <w:tcW w:w="1667" w:type="pct"/>
            <w:noWrap/>
            <w:hideMark/>
          </w:tcPr>
          <w:p w14:paraId="4C85CED0" w14:textId="77777777" w:rsidR="00F56D0E" w:rsidRPr="00D34F42" w:rsidRDefault="00F56D0E" w:rsidP="00D34F42">
            <w:pPr>
              <w:pStyle w:val="TableBody"/>
            </w:pPr>
            <w:r w:rsidRPr="00D34F42">
              <w:t>949</w:t>
            </w:r>
          </w:p>
        </w:tc>
      </w:tr>
      <w:tr w:rsidR="00F56D0E" w:rsidRPr="00F56D0E" w14:paraId="34C82358" w14:textId="77777777" w:rsidTr="00DC7A50">
        <w:trPr>
          <w:trHeight w:val="288"/>
        </w:trPr>
        <w:tc>
          <w:tcPr>
            <w:tcW w:w="1666" w:type="pct"/>
            <w:noWrap/>
            <w:hideMark/>
          </w:tcPr>
          <w:p w14:paraId="117BA16C" w14:textId="77777777" w:rsidR="00F56D0E" w:rsidRPr="005F1725" w:rsidRDefault="00F56D0E" w:rsidP="005F1725">
            <w:pPr>
              <w:pStyle w:val="TableBody"/>
            </w:pPr>
            <w:r w:rsidRPr="005F1725">
              <w:t>Dec-17</w:t>
            </w:r>
          </w:p>
        </w:tc>
        <w:tc>
          <w:tcPr>
            <w:tcW w:w="1666" w:type="pct"/>
            <w:noWrap/>
            <w:hideMark/>
          </w:tcPr>
          <w:p w14:paraId="4EEC6E65" w14:textId="77777777" w:rsidR="00F56D0E" w:rsidRPr="00D34F42" w:rsidRDefault="00F56D0E" w:rsidP="00D34F42">
            <w:pPr>
              <w:pStyle w:val="TableBody"/>
            </w:pPr>
            <w:r w:rsidRPr="00D34F42">
              <w:t>995</w:t>
            </w:r>
          </w:p>
        </w:tc>
        <w:tc>
          <w:tcPr>
            <w:tcW w:w="1667" w:type="pct"/>
            <w:noWrap/>
            <w:hideMark/>
          </w:tcPr>
          <w:p w14:paraId="5F540171" w14:textId="77777777" w:rsidR="00F56D0E" w:rsidRPr="00D34F42" w:rsidRDefault="00F56D0E" w:rsidP="00D34F42">
            <w:pPr>
              <w:pStyle w:val="TableBody"/>
            </w:pPr>
            <w:r w:rsidRPr="00D34F42">
              <w:t>871</w:t>
            </w:r>
          </w:p>
        </w:tc>
      </w:tr>
      <w:tr w:rsidR="00F56D0E" w:rsidRPr="00F56D0E" w14:paraId="6C203F29" w14:textId="77777777" w:rsidTr="00DC7A50">
        <w:trPr>
          <w:trHeight w:val="288"/>
        </w:trPr>
        <w:tc>
          <w:tcPr>
            <w:tcW w:w="1666" w:type="pct"/>
            <w:noWrap/>
            <w:hideMark/>
          </w:tcPr>
          <w:p w14:paraId="7D00B1E5" w14:textId="77777777" w:rsidR="00F56D0E" w:rsidRPr="005F1725" w:rsidRDefault="00F56D0E" w:rsidP="005F1725">
            <w:pPr>
              <w:pStyle w:val="TableBody"/>
            </w:pPr>
            <w:r w:rsidRPr="005F1725">
              <w:t>Jan-18</w:t>
            </w:r>
          </w:p>
        </w:tc>
        <w:tc>
          <w:tcPr>
            <w:tcW w:w="1666" w:type="pct"/>
            <w:noWrap/>
            <w:hideMark/>
          </w:tcPr>
          <w:p w14:paraId="1EB5909C" w14:textId="77777777" w:rsidR="00F56D0E" w:rsidRPr="00D34F42" w:rsidRDefault="00F56D0E" w:rsidP="00D34F42">
            <w:pPr>
              <w:pStyle w:val="TableBody"/>
            </w:pPr>
            <w:r w:rsidRPr="00D34F42">
              <w:t>817</w:t>
            </w:r>
          </w:p>
        </w:tc>
        <w:tc>
          <w:tcPr>
            <w:tcW w:w="1667" w:type="pct"/>
            <w:noWrap/>
            <w:hideMark/>
          </w:tcPr>
          <w:p w14:paraId="3679723C" w14:textId="77777777" w:rsidR="00F56D0E" w:rsidRPr="00D34F42" w:rsidRDefault="00F56D0E" w:rsidP="00D34F42">
            <w:pPr>
              <w:pStyle w:val="TableBody"/>
            </w:pPr>
            <w:r w:rsidRPr="00D34F42">
              <w:t>861</w:t>
            </w:r>
          </w:p>
        </w:tc>
      </w:tr>
      <w:tr w:rsidR="00F56D0E" w:rsidRPr="00F56D0E" w14:paraId="427D207C" w14:textId="77777777" w:rsidTr="00DC7A50">
        <w:trPr>
          <w:trHeight w:val="288"/>
        </w:trPr>
        <w:tc>
          <w:tcPr>
            <w:tcW w:w="1666" w:type="pct"/>
            <w:noWrap/>
            <w:hideMark/>
          </w:tcPr>
          <w:p w14:paraId="2C240028" w14:textId="77777777" w:rsidR="00F56D0E" w:rsidRPr="005F1725" w:rsidRDefault="00F56D0E" w:rsidP="005F1725">
            <w:pPr>
              <w:pStyle w:val="TableBody"/>
            </w:pPr>
            <w:r w:rsidRPr="005F1725">
              <w:lastRenderedPageBreak/>
              <w:t>Feb-18</w:t>
            </w:r>
          </w:p>
        </w:tc>
        <w:tc>
          <w:tcPr>
            <w:tcW w:w="1666" w:type="pct"/>
            <w:noWrap/>
            <w:hideMark/>
          </w:tcPr>
          <w:p w14:paraId="7C26C689" w14:textId="77777777" w:rsidR="00F56D0E" w:rsidRPr="00D34F42" w:rsidRDefault="00F56D0E" w:rsidP="00D34F42">
            <w:pPr>
              <w:pStyle w:val="TableBody"/>
            </w:pPr>
            <w:r w:rsidRPr="00D34F42">
              <w:t>840</w:t>
            </w:r>
          </w:p>
        </w:tc>
        <w:tc>
          <w:tcPr>
            <w:tcW w:w="1667" w:type="pct"/>
            <w:noWrap/>
            <w:hideMark/>
          </w:tcPr>
          <w:p w14:paraId="769B64F6" w14:textId="77777777" w:rsidR="00F56D0E" w:rsidRPr="00D34F42" w:rsidRDefault="00F56D0E" w:rsidP="00D34F42">
            <w:pPr>
              <w:pStyle w:val="TableBody"/>
            </w:pPr>
            <w:r w:rsidRPr="00D34F42">
              <w:t>963</w:t>
            </w:r>
          </w:p>
        </w:tc>
      </w:tr>
      <w:tr w:rsidR="00F56D0E" w:rsidRPr="00F56D0E" w14:paraId="0EC804F8" w14:textId="77777777" w:rsidTr="00DC7A50">
        <w:trPr>
          <w:trHeight w:val="288"/>
        </w:trPr>
        <w:tc>
          <w:tcPr>
            <w:tcW w:w="1666" w:type="pct"/>
            <w:noWrap/>
            <w:hideMark/>
          </w:tcPr>
          <w:p w14:paraId="55541D45" w14:textId="77777777" w:rsidR="00F56D0E" w:rsidRPr="005F1725" w:rsidRDefault="00F56D0E" w:rsidP="005F1725">
            <w:pPr>
              <w:pStyle w:val="TableBody"/>
            </w:pPr>
            <w:r w:rsidRPr="005F1725">
              <w:t>Mar-18</w:t>
            </w:r>
          </w:p>
        </w:tc>
        <w:tc>
          <w:tcPr>
            <w:tcW w:w="1666" w:type="pct"/>
            <w:noWrap/>
            <w:hideMark/>
          </w:tcPr>
          <w:p w14:paraId="16F3D34F" w14:textId="77777777" w:rsidR="00F56D0E" w:rsidRPr="00D34F42" w:rsidRDefault="00F56D0E" w:rsidP="00D34F42">
            <w:pPr>
              <w:pStyle w:val="TableBody"/>
            </w:pPr>
            <w:r w:rsidRPr="00D34F42">
              <w:t>918</w:t>
            </w:r>
          </w:p>
        </w:tc>
        <w:tc>
          <w:tcPr>
            <w:tcW w:w="1667" w:type="pct"/>
            <w:noWrap/>
            <w:hideMark/>
          </w:tcPr>
          <w:p w14:paraId="22FE3F1D" w14:textId="77777777" w:rsidR="00F56D0E" w:rsidRPr="00D34F42" w:rsidRDefault="00F56D0E" w:rsidP="00D34F42">
            <w:pPr>
              <w:pStyle w:val="TableBody"/>
            </w:pPr>
            <w:r w:rsidRPr="00D34F42">
              <w:t>1,057</w:t>
            </w:r>
          </w:p>
        </w:tc>
      </w:tr>
      <w:tr w:rsidR="00F56D0E" w:rsidRPr="00F56D0E" w14:paraId="62AF2443" w14:textId="77777777" w:rsidTr="00DC7A50">
        <w:trPr>
          <w:trHeight w:val="288"/>
        </w:trPr>
        <w:tc>
          <w:tcPr>
            <w:tcW w:w="1666" w:type="pct"/>
            <w:noWrap/>
            <w:hideMark/>
          </w:tcPr>
          <w:p w14:paraId="2A7351DF" w14:textId="77777777" w:rsidR="00F56D0E" w:rsidRPr="005F1725" w:rsidRDefault="00F56D0E" w:rsidP="005F1725">
            <w:pPr>
              <w:pStyle w:val="TableBody"/>
            </w:pPr>
            <w:r w:rsidRPr="005F1725">
              <w:t>Apr-18</w:t>
            </w:r>
          </w:p>
        </w:tc>
        <w:tc>
          <w:tcPr>
            <w:tcW w:w="1666" w:type="pct"/>
            <w:noWrap/>
            <w:hideMark/>
          </w:tcPr>
          <w:p w14:paraId="25189F32" w14:textId="77777777" w:rsidR="00F56D0E" w:rsidRPr="00D34F42" w:rsidRDefault="00F56D0E" w:rsidP="00D34F42">
            <w:pPr>
              <w:pStyle w:val="TableBody"/>
            </w:pPr>
            <w:r w:rsidRPr="00D34F42">
              <w:t>908</w:t>
            </w:r>
          </w:p>
        </w:tc>
        <w:tc>
          <w:tcPr>
            <w:tcW w:w="1667" w:type="pct"/>
            <w:noWrap/>
            <w:hideMark/>
          </w:tcPr>
          <w:p w14:paraId="3CA00A12" w14:textId="77777777" w:rsidR="00F56D0E" w:rsidRPr="00D34F42" w:rsidRDefault="00F56D0E" w:rsidP="00D34F42">
            <w:pPr>
              <w:pStyle w:val="TableBody"/>
            </w:pPr>
            <w:r w:rsidRPr="00D34F42">
              <w:t>953</w:t>
            </w:r>
          </w:p>
        </w:tc>
      </w:tr>
      <w:tr w:rsidR="00F56D0E" w:rsidRPr="00F56D0E" w14:paraId="42D65FE4" w14:textId="77777777" w:rsidTr="00DC7A50">
        <w:trPr>
          <w:trHeight w:val="288"/>
        </w:trPr>
        <w:tc>
          <w:tcPr>
            <w:tcW w:w="1666" w:type="pct"/>
            <w:noWrap/>
            <w:hideMark/>
          </w:tcPr>
          <w:p w14:paraId="740F025E" w14:textId="77777777" w:rsidR="00F56D0E" w:rsidRPr="005F1725" w:rsidRDefault="00F56D0E" w:rsidP="005F1725">
            <w:pPr>
              <w:pStyle w:val="TableBody"/>
            </w:pPr>
            <w:r w:rsidRPr="005F1725">
              <w:t>May-18</w:t>
            </w:r>
          </w:p>
        </w:tc>
        <w:tc>
          <w:tcPr>
            <w:tcW w:w="1666" w:type="pct"/>
            <w:noWrap/>
            <w:hideMark/>
          </w:tcPr>
          <w:p w14:paraId="7EDABCCA" w14:textId="77777777" w:rsidR="00F56D0E" w:rsidRPr="00D34F42" w:rsidRDefault="00F56D0E" w:rsidP="00D34F42">
            <w:pPr>
              <w:pStyle w:val="TableBody"/>
            </w:pPr>
            <w:r w:rsidRPr="00D34F42">
              <w:t>1,004</w:t>
            </w:r>
          </w:p>
        </w:tc>
        <w:tc>
          <w:tcPr>
            <w:tcW w:w="1667" w:type="pct"/>
            <w:noWrap/>
            <w:hideMark/>
          </w:tcPr>
          <w:p w14:paraId="2889A046" w14:textId="77777777" w:rsidR="00F56D0E" w:rsidRPr="00D34F42" w:rsidRDefault="00F56D0E" w:rsidP="00D34F42">
            <w:pPr>
              <w:pStyle w:val="TableBody"/>
            </w:pPr>
            <w:r w:rsidRPr="00D34F42">
              <w:t>1,068</w:t>
            </w:r>
          </w:p>
        </w:tc>
      </w:tr>
      <w:tr w:rsidR="00F56D0E" w:rsidRPr="00F56D0E" w14:paraId="6A81F5E7" w14:textId="77777777" w:rsidTr="00DC7A50">
        <w:trPr>
          <w:trHeight w:val="288"/>
        </w:trPr>
        <w:tc>
          <w:tcPr>
            <w:tcW w:w="1666" w:type="pct"/>
            <w:noWrap/>
            <w:hideMark/>
          </w:tcPr>
          <w:p w14:paraId="35298C17" w14:textId="77777777" w:rsidR="00F56D0E" w:rsidRPr="005F1725" w:rsidRDefault="00F56D0E" w:rsidP="005F1725">
            <w:pPr>
              <w:pStyle w:val="TableBody"/>
            </w:pPr>
            <w:r w:rsidRPr="005F1725">
              <w:t>Jun-18</w:t>
            </w:r>
          </w:p>
        </w:tc>
        <w:tc>
          <w:tcPr>
            <w:tcW w:w="1666" w:type="pct"/>
            <w:noWrap/>
            <w:hideMark/>
          </w:tcPr>
          <w:p w14:paraId="15F0152A" w14:textId="77777777" w:rsidR="00F56D0E" w:rsidRPr="00D34F42" w:rsidRDefault="00F56D0E" w:rsidP="00D34F42">
            <w:pPr>
              <w:pStyle w:val="TableBody"/>
            </w:pPr>
            <w:r w:rsidRPr="00D34F42">
              <w:t>906</w:t>
            </w:r>
          </w:p>
        </w:tc>
        <w:tc>
          <w:tcPr>
            <w:tcW w:w="1667" w:type="pct"/>
            <w:noWrap/>
            <w:hideMark/>
          </w:tcPr>
          <w:p w14:paraId="3668B8B0" w14:textId="77777777" w:rsidR="00F56D0E" w:rsidRPr="00D34F42" w:rsidRDefault="00F56D0E" w:rsidP="00D34F42">
            <w:pPr>
              <w:pStyle w:val="TableBody"/>
            </w:pPr>
            <w:r w:rsidRPr="00D34F42">
              <w:t>1,068</w:t>
            </w:r>
          </w:p>
        </w:tc>
      </w:tr>
      <w:tr w:rsidR="00F56D0E" w:rsidRPr="00F56D0E" w14:paraId="0C52EDE6" w14:textId="77777777" w:rsidTr="00DC7A50">
        <w:trPr>
          <w:trHeight w:val="288"/>
        </w:trPr>
        <w:tc>
          <w:tcPr>
            <w:tcW w:w="1666" w:type="pct"/>
            <w:noWrap/>
            <w:hideMark/>
          </w:tcPr>
          <w:p w14:paraId="16C38114" w14:textId="77777777" w:rsidR="00F56D0E" w:rsidRPr="005F1725" w:rsidRDefault="00F56D0E" w:rsidP="005F1725">
            <w:pPr>
              <w:pStyle w:val="TableBody"/>
            </w:pPr>
            <w:r w:rsidRPr="005F1725">
              <w:t>Jul-18</w:t>
            </w:r>
          </w:p>
        </w:tc>
        <w:tc>
          <w:tcPr>
            <w:tcW w:w="1666" w:type="pct"/>
            <w:noWrap/>
            <w:hideMark/>
          </w:tcPr>
          <w:p w14:paraId="653B8DCB" w14:textId="77777777" w:rsidR="00F56D0E" w:rsidRPr="00D34F42" w:rsidRDefault="00F56D0E" w:rsidP="00D34F42">
            <w:pPr>
              <w:pStyle w:val="TableBody"/>
            </w:pPr>
            <w:r w:rsidRPr="00D34F42">
              <w:t>866</w:t>
            </w:r>
          </w:p>
        </w:tc>
        <w:tc>
          <w:tcPr>
            <w:tcW w:w="1667" w:type="pct"/>
            <w:noWrap/>
            <w:hideMark/>
          </w:tcPr>
          <w:p w14:paraId="38BB810F" w14:textId="77777777" w:rsidR="00F56D0E" w:rsidRPr="00D34F42" w:rsidRDefault="00F56D0E" w:rsidP="00D34F42">
            <w:pPr>
              <w:pStyle w:val="TableBody"/>
            </w:pPr>
            <w:r w:rsidRPr="00D34F42">
              <w:t>1,033</w:t>
            </w:r>
          </w:p>
        </w:tc>
      </w:tr>
      <w:tr w:rsidR="00F56D0E" w:rsidRPr="00F56D0E" w14:paraId="0908EDCA" w14:textId="77777777" w:rsidTr="00DC7A50">
        <w:trPr>
          <w:trHeight w:val="288"/>
        </w:trPr>
        <w:tc>
          <w:tcPr>
            <w:tcW w:w="1666" w:type="pct"/>
            <w:noWrap/>
            <w:hideMark/>
          </w:tcPr>
          <w:p w14:paraId="647D550A" w14:textId="77777777" w:rsidR="00F56D0E" w:rsidRPr="005F1725" w:rsidRDefault="00F56D0E" w:rsidP="005F1725">
            <w:pPr>
              <w:pStyle w:val="TableBody"/>
            </w:pPr>
            <w:r w:rsidRPr="005F1725">
              <w:t>Aug-18</w:t>
            </w:r>
          </w:p>
        </w:tc>
        <w:tc>
          <w:tcPr>
            <w:tcW w:w="1666" w:type="pct"/>
            <w:noWrap/>
            <w:hideMark/>
          </w:tcPr>
          <w:p w14:paraId="37343B39" w14:textId="77777777" w:rsidR="00F56D0E" w:rsidRPr="00D34F42" w:rsidRDefault="00F56D0E" w:rsidP="00D34F42">
            <w:pPr>
              <w:pStyle w:val="TableBody"/>
            </w:pPr>
            <w:r w:rsidRPr="00D34F42">
              <w:t>1,084</w:t>
            </w:r>
          </w:p>
        </w:tc>
        <w:tc>
          <w:tcPr>
            <w:tcW w:w="1667" w:type="pct"/>
            <w:noWrap/>
            <w:hideMark/>
          </w:tcPr>
          <w:p w14:paraId="69D0C455" w14:textId="77777777" w:rsidR="00F56D0E" w:rsidRPr="00D34F42" w:rsidRDefault="00F56D0E" w:rsidP="00D34F42">
            <w:pPr>
              <w:pStyle w:val="TableBody"/>
            </w:pPr>
            <w:r w:rsidRPr="00D34F42">
              <w:t>1,144</w:t>
            </w:r>
          </w:p>
        </w:tc>
      </w:tr>
      <w:tr w:rsidR="00F56D0E" w:rsidRPr="00F56D0E" w14:paraId="1B1B8F9C" w14:textId="77777777" w:rsidTr="00DC7A50">
        <w:trPr>
          <w:trHeight w:val="288"/>
        </w:trPr>
        <w:tc>
          <w:tcPr>
            <w:tcW w:w="1666" w:type="pct"/>
            <w:noWrap/>
            <w:hideMark/>
          </w:tcPr>
          <w:p w14:paraId="369709FE" w14:textId="77777777" w:rsidR="00F56D0E" w:rsidRPr="005F1725" w:rsidRDefault="00F56D0E" w:rsidP="005F1725">
            <w:pPr>
              <w:pStyle w:val="TableBody"/>
            </w:pPr>
            <w:r w:rsidRPr="005F1725">
              <w:t>Sep-18</w:t>
            </w:r>
          </w:p>
        </w:tc>
        <w:tc>
          <w:tcPr>
            <w:tcW w:w="1666" w:type="pct"/>
            <w:noWrap/>
            <w:hideMark/>
          </w:tcPr>
          <w:p w14:paraId="5B67242C" w14:textId="77777777" w:rsidR="00F56D0E" w:rsidRPr="00D34F42" w:rsidRDefault="00F56D0E" w:rsidP="00D34F42">
            <w:pPr>
              <w:pStyle w:val="TableBody"/>
            </w:pPr>
            <w:r w:rsidRPr="00D34F42">
              <w:t>1,016</w:t>
            </w:r>
          </w:p>
        </w:tc>
        <w:tc>
          <w:tcPr>
            <w:tcW w:w="1667" w:type="pct"/>
            <w:noWrap/>
            <w:hideMark/>
          </w:tcPr>
          <w:p w14:paraId="1EE39017" w14:textId="77777777" w:rsidR="00F56D0E" w:rsidRPr="00D34F42" w:rsidRDefault="00F56D0E" w:rsidP="00D34F42">
            <w:pPr>
              <w:pStyle w:val="TableBody"/>
            </w:pPr>
            <w:r w:rsidRPr="00D34F42">
              <w:t>1,106</w:t>
            </w:r>
          </w:p>
        </w:tc>
      </w:tr>
      <w:tr w:rsidR="00F56D0E" w:rsidRPr="00F56D0E" w14:paraId="53699B87" w14:textId="77777777" w:rsidTr="00DC7A50">
        <w:trPr>
          <w:trHeight w:val="288"/>
        </w:trPr>
        <w:tc>
          <w:tcPr>
            <w:tcW w:w="1666" w:type="pct"/>
            <w:noWrap/>
            <w:hideMark/>
          </w:tcPr>
          <w:p w14:paraId="0B611191" w14:textId="77777777" w:rsidR="00F56D0E" w:rsidRPr="005F1725" w:rsidRDefault="00F56D0E" w:rsidP="005F1725">
            <w:pPr>
              <w:pStyle w:val="TableBody"/>
            </w:pPr>
            <w:r w:rsidRPr="005F1725">
              <w:t>Oct-18</w:t>
            </w:r>
          </w:p>
        </w:tc>
        <w:tc>
          <w:tcPr>
            <w:tcW w:w="1666" w:type="pct"/>
            <w:noWrap/>
            <w:hideMark/>
          </w:tcPr>
          <w:p w14:paraId="25EB9C81" w14:textId="77777777" w:rsidR="00F56D0E" w:rsidRPr="00D34F42" w:rsidRDefault="00F56D0E" w:rsidP="00D34F42">
            <w:pPr>
              <w:pStyle w:val="TableBody"/>
            </w:pPr>
            <w:r w:rsidRPr="00D34F42">
              <w:t>1,174</w:t>
            </w:r>
          </w:p>
        </w:tc>
        <w:tc>
          <w:tcPr>
            <w:tcW w:w="1667" w:type="pct"/>
            <w:noWrap/>
            <w:hideMark/>
          </w:tcPr>
          <w:p w14:paraId="5ADFB683" w14:textId="77777777" w:rsidR="00F56D0E" w:rsidRPr="00D34F42" w:rsidRDefault="00F56D0E" w:rsidP="00D34F42">
            <w:pPr>
              <w:pStyle w:val="TableBody"/>
            </w:pPr>
            <w:r w:rsidRPr="00D34F42">
              <w:t>1,245</w:t>
            </w:r>
          </w:p>
        </w:tc>
      </w:tr>
      <w:tr w:rsidR="00F56D0E" w:rsidRPr="00F56D0E" w14:paraId="249D61D6" w14:textId="77777777" w:rsidTr="00DC7A50">
        <w:trPr>
          <w:trHeight w:val="288"/>
        </w:trPr>
        <w:tc>
          <w:tcPr>
            <w:tcW w:w="1666" w:type="pct"/>
            <w:noWrap/>
            <w:hideMark/>
          </w:tcPr>
          <w:p w14:paraId="15805F04" w14:textId="77777777" w:rsidR="00F56D0E" w:rsidRPr="005F1725" w:rsidRDefault="00F56D0E" w:rsidP="005F1725">
            <w:pPr>
              <w:pStyle w:val="TableBody"/>
            </w:pPr>
            <w:r w:rsidRPr="005F1725">
              <w:t>Nov-18</w:t>
            </w:r>
          </w:p>
        </w:tc>
        <w:tc>
          <w:tcPr>
            <w:tcW w:w="1666" w:type="pct"/>
            <w:noWrap/>
            <w:hideMark/>
          </w:tcPr>
          <w:p w14:paraId="78C9CF2D" w14:textId="77777777" w:rsidR="00F56D0E" w:rsidRPr="00D34F42" w:rsidRDefault="00F56D0E" w:rsidP="00D34F42">
            <w:pPr>
              <w:pStyle w:val="TableBody"/>
            </w:pPr>
            <w:r w:rsidRPr="00D34F42">
              <w:t>1,106</w:t>
            </w:r>
          </w:p>
        </w:tc>
        <w:tc>
          <w:tcPr>
            <w:tcW w:w="1667" w:type="pct"/>
            <w:noWrap/>
            <w:hideMark/>
          </w:tcPr>
          <w:p w14:paraId="711DF06C" w14:textId="77777777" w:rsidR="00F56D0E" w:rsidRPr="00D34F42" w:rsidRDefault="00F56D0E" w:rsidP="00D34F42">
            <w:pPr>
              <w:pStyle w:val="TableBody"/>
            </w:pPr>
            <w:r w:rsidRPr="00D34F42">
              <w:t>1,108</w:t>
            </w:r>
          </w:p>
        </w:tc>
      </w:tr>
      <w:tr w:rsidR="00F56D0E" w:rsidRPr="00F56D0E" w14:paraId="539C8538" w14:textId="77777777" w:rsidTr="00DC7A50">
        <w:trPr>
          <w:trHeight w:val="288"/>
        </w:trPr>
        <w:tc>
          <w:tcPr>
            <w:tcW w:w="1666" w:type="pct"/>
            <w:noWrap/>
            <w:hideMark/>
          </w:tcPr>
          <w:p w14:paraId="44BF194C" w14:textId="77777777" w:rsidR="00F56D0E" w:rsidRPr="005F1725" w:rsidRDefault="00F56D0E" w:rsidP="005F1725">
            <w:pPr>
              <w:pStyle w:val="TableBody"/>
            </w:pPr>
            <w:r w:rsidRPr="005F1725">
              <w:t>Dec-18</w:t>
            </w:r>
          </w:p>
        </w:tc>
        <w:tc>
          <w:tcPr>
            <w:tcW w:w="1666" w:type="pct"/>
            <w:noWrap/>
            <w:hideMark/>
          </w:tcPr>
          <w:p w14:paraId="723A482E" w14:textId="77777777" w:rsidR="00F56D0E" w:rsidRPr="00D34F42" w:rsidRDefault="00F56D0E" w:rsidP="00D34F42">
            <w:pPr>
              <w:pStyle w:val="TableBody"/>
            </w:pPr>
            <w:r w:rsidRPr="00D34F42">
              <w:t>1,084</w:t>
            </w:r>
          </w:p>
        </w:tc>
        <w:tc>
          <w:tcPr>
            <w:tcW w:w="1667" w:type="pct"/>
            <w:noWrap/>
            <w:hideMark/>
          </w:tcPr>
          <w:p w14:paraId="40F0092B" w14:textId="77777777" w:rsidR="00F56D0E" w:rsidRPr="00D34F42" w:rsidRDefault="00F56D0E" w:rsidP="00D34F42">
            <w:pPr>
              <w:pStyle w:val="TableBody"/>
            </w:pPr>
            <w:r w:rsidRPr="00D34F42">
              <w:t>1,065</w:t>
            </w:r>
          </w:p>
        </w:tc>
      </w:tr>
      <w:tr w:rsidR="00F56D0E" w:rsidRPr="00F56D0E" w14:paraId="58C787AF" w14:textId="77777777" w:rsidTr="00DC7A50">
        <w:trPr>
          <w:trHeight w:val="288"/>
        </w:trPr>
        <w:tc>
          <w:tcPr>
            <w:tcW w:w="1666" w:type="pct"/>
            <w:noWrap/>
            <w:hideMark/>
          </w:tcPr>
          <w:p w14:paraId="36AFA3F0" w14:textId="77777777" w:rsidR="00F56D0E" w:rsidRPr="005F1725" w:rsidRDefault="00F56D0E" w:rsidP="005F1725">
            <w:pPr>
              <w:pStyle w:val="TableBody"/>
            </w:pPr>
            <w:r w:rsidRPr="005F1725">
              <w:t>Jan-19</w:t>
            </w:r>
          </w:p>
        </w:tc>
        <w:tc>
          <w:tcPr>
            <w:tcW w:w="1666" w:type="pct"/>
            <w:noWrap/>
            <w:hideMark/>
          </w:tcPr>
          <w:p w14:paraId="0B310BED" w14:textId="77777777" w:rsidR="00F56D0E" w:rsidRPr="00D34F42" w:rsidRDefault="00F56D0E" w:rsidP="00D34F42">
            <w:pPr>
              <w:pStyle w:val="TableBody"/>
            </w:pPr>
            <w:r w:rsidRPr="00D34F42">
              <w:t>992</w:t>
            </w:r>
          </w:p>
        </w:tc>
        <w:tc>
          <w:tcPr>
            <w:tcW w:w="1667" w:type="pct"/>
            <w:noWrap/>
            <w:hideMark/>
          </w:tcPr>
          <w:p w14:paraId="73A33F7D" w14:textId="77777777" w:rsidR="00F56D0E" w:rsidRPr="00D34F42" w:rsidRDefault="00F56D0E" w:rsidP="00D34F42">
            <w:pPr>
              <w:pStyle w:val="TableBody"/>
            </w:pPr>
            <w:r w:rsidRPr="00D34F42">
              <w:t>1,181</w:t>
            </w:r>
          </w:p>
        </w:tc>
      </w:tr>
      <w:tr w:rsidR="00F56D0E" w:rsidRPr="00F56D0E" w14:paraId="5D48D92A" w14:textId="77777777" w:rsidTr="00DC7A50">
        <w:trPr>
          <w:trHeight w:val="288"/>
        </w:trPr>
        <w:tc>
          <w:tcPr>
            <w:tcW w:w="1666" w:type="pct"/>
            <w:noWrap/>
            <w:hideMark/>
          </w:tcPr>
          <w:p w14:paraId="79AD265A" w14:textId="77777777" w:rsidR="00F56D0E" w:rsidRPr="005F1725" w:rsidRDefault="00F56D0E" w:rsidP="005F1725">
            <w:pPr>
              <w:pStyle w:val="TableBody"/>
            </w:pPr>
            <w:r w:rsidRPr="005F1725">
              <w:t>Feb-19</w:t>
            </w:r>
          </w:p>
        </w:tc>
        <w:tc>
          <w:tcPr>
            <w:tcW w:w="1666" w:type="pct"/>
            <w:noWrap/>
            <w:hideMark/>
          </w:tcPr>
          <w:p w14:paraId="02A54C7A" w14:textId="77777777" w:rsidR="00F56D0E" w:rsidRPr="00D34F42" w:rsidRDefault="00F56D0E" w:rsidP="00D34F42">
            <w:pPr>
              <w:pStyle w:val="TableBody"/>
            </w:pPr>
            <w:r w:rsidRPr="00D34F42">
              <w:t>1,005</w:t>
            </w:r>
          </w:p>
        </w:tc>
        <w:tc>
          <w:tcPr>
            <w:tcW w:w="1667" w:type="pct"/>
            <w:noWrap/>
            <w:hideMark/>
          </w:tcPr>
          <w:p w14:paraId="1A738883" w14:textId="77777777" w:rsidR="00F56D0E" w:rsidRPr="00D34F42" w:rsidRDefault="00F56D0E" w:rsidP="00D34F42">
            <w:pPr>
              <w:pStyle w:val="TableBody"/>
            </w:pPr>
            <w:r w:rsidRPr="00D34F42">
              <w:t>992</w:t>
            </w:r>
          </w:p>
        </w:tc>
      </w:tr>
      <w:tr w:rsidR="00F56D0E" w:rsidRPr="00F56D0E" w14:paraId="79882A32" w14:textId="77777777" w:rsidTr="00DC7A50">
        <w:trPr>
          <w:trHeight w:val="288"/>
        </w:trPr>
        <w:tc>
          <w:tcPr>
            <w:tcW w:w="1666" w:type="pct"/>
            <w:noWrap/>
            <w:hideMark/>
          </w:tcPr>
          <w:p w14:paraId="4EC00D5A" w14:textId="77777777" w:rsidR="00F56D0E" w:rsidRPr="005F1725" w:rsidRDefault="00F56D0E" w:rsidP="005F1725">
            <w:pPr>
              <w:pStyle w:val="TableBody"/>
            </w:pPr>
            <w:r w:rsidRPr="005F1725">
              <w:t>Mar-19</w:t>
            </w:r>
          </w:p>
        </w:tc>
        <w:tc>
          <w:tcPr>
            <w:tcW w:w="1666" w:type="pct"/>
            <w:noWrap/>
            <w:hideMark/>
          </w:tcPr>
          <w:p w14:paraId="38CD2185" w14:textId="77777777" w:rsidR="00F56D0E" w:rsidRPr="00D34F42" w:rsidRDefault="00F56D0E" w:rsidP="00D34F42">
            <w:pPr>
              <w:pStyle w:val="TableBody"/>
            </w:pPr>
            <w:r w:rsidRPr="00D34F42">
              <w:t>1,087</w:t>
            </w:r>
          </w:p>
        </w:tc>
        <w:tc>
          <w:tcPr>
            <w:tcW w:w="1667" w:type="pct"/>
            <w:noWrap/>
            <w:hideMark/>
          </w:tcPr>
          <w:p w14:paraId="308BAD68" w14:textId="77777777" w:rsidR="00F56D0E" w:rsidRPr="00D34F42" w:rsidRDefault="00F56D0E" w:rsidP="00D34F42">
            <w:pPr>
              <w:pStyle w:val="TableBody"/>
            </w:pPr>
            <w:r w:rsidRPr="00D34F42">
              <w:t>1,060</w:t>
            </w:r>
          </w:p>
        </w:tc>
      </w:tr>
      <w:tr w:rsidR="00F56D0E" w:rsidRPr="00F56D0E" w14:paraId="761CE190" w14:textId="77777777" w:rsidTr="00DC7A50">
        <w:trPr>
          <w:trHeight w:val="288"/>
        </w:trPr>
        <w:tc>
          <w:tcPr>
            <w:tcW w:w="1666" w:type="pct"/>
            <w:noWrap/>
            <w:hideMark/>
          </w:tcPr>
          <w:p w14:paraId="77C7C1F0" w14:textId="77777777" w:rsidR="00F56D0E" w:rsidRPr="005F1725" w:rsidRDefault="00F56D0E" w:rsidP="005F1725">
            <w:pPr>
              <w:pStyle w:val="TableBody"/>
            </w:pPr>
            <w:r w:rsidRPr="005F1725">
              <w:t>Apr-19</w:t>
            </w:r>
          </w:p>
        </w:tc>
        <w:tc>
          <w:tcPr>
            <w:tcW w:w="1666" w:type="pct"/>
            <w:noWrap/>
            <w:hideMark/>
          </w:tcPr>
          <w:p w14:paraId="4568051B" w14:textId="77777777" w:rsidR="00F56D0E" w:rsidRPr="00D34F42" w:rsidRDefault="00F56D0E" w:rsidP="00D34F42">
            <w:pPr>
              <w:pStyle w:val="TableBody"/>
            </w:pPr>
            <w:r w:rsidRPr="00D34F42">
              <w:t>1,068</w:t>
            </w:r>
          </w:p>
        </w:tc>
        <w:tc>
          <w:tcPr>
            <w:tcW w:w="1667" w:type="pct"/>
            <w:noWrap/>
            <w:hideMark/>
          </w:tcPr>
          <w:p w14:paraId="4298AC75" w14:textId="77777777" w:rsidR="00F56D0E" w:rsidRPr="00D34F42" w:rsidRDefault="00F56D0E" w:rsidP="00D34F42">
            <w:pPr>
              <w:pStyle w:val="TableBody"/>
            </w:pPr>
            <w:r w:rsidRPr="00D34F42">
              <w:t>1,118</w:t>
            </w:r>
          </w:p>
        </w:tc>
      </w:tr>
      <w:tr w:rsidR="00F56D0E" w:rsidRPr="00F56D0E" w14:paraId="6DA5D34C" w14:textId="77777777" w:rsidTr="00DC7A50">
        <w:trPr>
          <w:trHeight w:val="288"/>
        </w:trPr>
        <w:tc>
          <w:tcPr>
            <w:tcW w:w="1666" w:type="pct"/>
            <w:noWrap/>
            <w:hideMark/>
          </w:tcPr>
          <w:p w14:paraId="4D064214" w14:textId="77777777" w:rsidR="00F56D0E" w:rsidRPr="005F1725" w:rsidRDefault="00F56D0E" w:rsidP="005F1725">
            <w:pPr>
              <w:pStyle w:val="TableBody"/>
            </w:pPr>
            <w:r w:rsidRPr="005F1725">
              <w:t>May-19</w:t>
            </w:r>
          </w:p>
        </w:tc>
        <w:tc>
          <w:tcPr>
            <w:tcW w:w="1666" w:type="pct"/>
            <w:noWrap/>
            <w:hideMark/>
          </w:tcPr>
          <w:p w14:paraId="0421E158" w14:textId="77777777" w:rsidR="00F56D0E" w:rsidRPr="00D34F42" w:rsidRDefault="00F56D0E" w:rsidP="00D34F42">
            <w:pPr>
              <w:pStyle w:val="TableBody"/>
            </w:pPr>
            <w:r w:rsidRPr="00D34F42">
              <w:t>1,248</w:t>
            </w:r>
          </w:p>
        </w:tc>
        <w:tc>
          <w:tcPr>
            <w:tcW w:w="1667" w:type="pct"/>
            <w:noWrap/>
            <w:hideMark/>
          </w:tcPr>
          <w:p w14:paraId="22CEABE9" w14:textId="77777777" w:rsidR="00F56D0E" w:rsidRPr="00D34F42" w:rsidRDefault="00F56D0E" w:rsidP="00D34F42">
            <w:pPr>
              <w:pStyle w:val="TableBody"/>
            </w:pPr>
            <w:r w:rsidRPr="00D34F42">
              <w:t>1,145</w:t>
            </w:r>
          </w:p>
        </w:tc>
      </w:tr>
      <w:tr w:rsidR="00F56D0E" w:rsidRPr="00F56D0E" w14:paraId="75A10702" w14:textId="77777777" w:rsidTr="00DC7A50">
        <w:trPr>
          <w:trHeight w:val="288"/>
        </w:trPr>
        <w:tc>
          <w:tcPr>
            <w:tcW w:w="1666" w:type="pct"/>
            <w:noWrap/>
            <w:hideMark/>
          </w:tcPr>
          <w:p w14:paraId="0DA7F9A8" w14:textId="77777777" w:rsidR="00F56D0E" w:rsidRPr="005F1725" w:rsidRDefault="00F56D0E" w:rsidP="005F1725">
            <w:pPr>
              <w:pStyle w:val="TableBody"/>
            </w:pPr>
            <w:r w:rsidRPr="005F1725">
              <w:t>Jun-19</w:t>
            </w:r>
          </w:p>
        </w:tc>
        <w:tc>
          <w:tcPr>
            <w:tcW w:w="1666" w:type="pct"/>
            <w:noWrap/>
            <w:hideMark/>
          </w:tcPr>
          <w:p w14:paraId="00215D01" w14:textId="77777777" w:rsidR="00F56D0E" w:rsidRPr="00D34F42" w:rsidRDefault="00F56D0E" w:rsidP="00D34F42">
            <w:pPr>
              <w:pStyle w:val="TableBody"/>
            </w:pPr>
            <w:r w:rsidRPr="00D34F42">
              <w:t>1,048</w:t>
            </w:r>
          </w:p>
        </w:tc>
        <w:tc>
          <w:tcPr>
            <w:tcW w:w="1667" w:type="pct"/>
            <w:noWrap/>
            <w:hideMark/>
          </w:tcPr>
          <w:p w14:paraId="1AF9A0F8" w14:textId="77777777" w:rsidR="00F56D0E" w:rsidRPr="00D34F42" w:rsidRDefault="00F56D0E" w:rsidP="00D34F42">
            <w:pPr>
              <w:pStyle w:val="TableBody"/>
            </w:pPr>
            <w:r w:rsidRPr="00D34F42">
              <w:t>1,041</w:t>
            </w:r>
          </w:p>
        </w:tc>
      </w:tr>
      <w:tr w:rsidR="00F56D0E" w:rsidRPr="00F56D0E" w14:paraId="566F3851" w14:textId="77777777" w:rsidTr="00DC7A50">
        <w:trPr>
          <w:trHeight w:val="288"/>
        </w:trPr>
        <w:tc>
          <w:tcPr>
            <w:tcW w:w="1666" w:type="pct"/>
            <w:noWrap/>
            <w:hideMark/>
          </w:tcPr>
          <w:p w14:paraId="3D96D9CD" w14:textId="77777777" w:rsidR="00F56D0E" w:rsidRPr="005F1725" w:rsidRDefault="00F56D0E" w:rsidP="005F1725">
            <w:pPr>
              <w:pStyle w:val="TableBody"/>
            </w:pPr>
            <w:r w:rsidRPr="005F1725">
              <w:t>Jul-19</w:t>
            </w:r>
          </w:p>
        </w:tc>
        <w:tc>
          <w:tcPr>
            <w:tcW w:w="1666" w:type="pct"/>
            <w:noWrap/>
            <w:hideMark/>
          </w:tcPr>
          <w:p w14:paraId="5F2E73E6" w14:textId="77777777" w:rsidR="00F56D0E" w:rsidRPr="00D34F42" w:rsidRDefault="00F56D0E" w:rsidP="00D34F42">
            <w:pPr>
              <w:pStyle w:val="TableBody"/>
            </w:pPr>
            <w:r w:rsidRPr="00D34F42">
              <w:t>1,122</w:t>
            </w:r>
          </w:p>
        </w:tc>
        <w:tc>
          <w:tcPr>
            <w:tcW w:w="1667" w:type="pct"/>
            <w:noWrap/>
            <w:hideMark/>
          </w:tcPr>
          <w:p w14:paraId="14212403" w14:textId="77777777" w:rsidR="00F56D0E" w:rsidRPr="00D34F42" w:rsidRDefault="00F56D0E" w:rsidP="00D34F42">
            <w:pPr>
              <w:pStyle w:val="TableBody"/>
            </w:pPr>
            <w:r w:rsidRPr="00D34F42">
              <w:t>1,155</w:t>
            </w:r>
          </w:p>
        </w:tc>
      </w:tr>
      <w:tr w:rsidR="00F56D0E" w:rsidRPr="00F56D0E" w14:paraId="5D7A3928" w14:textId="77777777" w:rsidTr="00DC7A50">
        <w:trPr>
          <w:trHeight w:val="288"/>
        </w:trPr>
        <w:tc>
          <w:tcPr>
            <w:tcW w:w="1666" w:type="pct"/>
            <w:noWrap/>
            <w:hideMark/>
          </w:tcPr>
          <w:p w14:paraId="03D0623B" w14:textId="77777777" w:rsidR="00F56D0E" w:rsidRPr="005F1725" w:rsidRDefault="00F56D0E" w:rsidP="005F1725">
            <w:pPr>
              <w:pStyle w:val="TableBody"/>
            </w:pPr>
            <w:r w:rsidRPr="005F1725">
              <w:t>Aug-19</w:t>
            </w:r>
          </w:p>
        </w:tc>
        <w:tc>
          <w:tcPr>
            <w:tcW w:w="1666" w:type="pct"/>
            <w:noWrap/>
            <w:hideMark/>
          </w:tcPr>
          <w:p w14:paraId="6C552D00" w14:textId="77777777" w:rsidR="00F56D0E" w:rsidRPr="00D34F42" w:rsidRDefault="00F56D0E" w:rsidP="00D34F42">
            <w:pPr>
              <w:pStyle w:val="TableBody"/>
            </w:pPr>
            <w:r w:rsidRPr="00D34F42">
              <w:t>1,171</w:t>
            </w:r>
          </w:p>
        </w:tc>
        <w:tc>
          <w:tcPr>
            <w:tcW w:w="1667" w:type="pct"/>
            <w:noWrap/>
            <w:hideMark/>
          </w:tcPr>
          <w:p w14:paraId="1AAC425A" w14:textId="77777777" w:rsidR="00F56D0E" w:rsidRPr="00D34F42" w:rsidRDefault="00F56D0E" w:rsidP="00D34F42">
            <w:pPr>
              <w:pStyle w:val="TableBody"/>
            </w:pPr>
            <w:r w:rsidRPr="00D34F42">
              <w:t>1,152</w:t>
            </w:r>
          </w:p>
        </w:tc>
      </w:tr>
      <w:tr w:rsidR="00F56D0E" w:rsidRPr="00F56D0E" w14:paraId="4130B26B" w14:textId="77777777" w:rsidTr="00DC7A50">
        <w:trPr>
          <w:trHeight w:val="288"/>
        </w:trPr>
        <w:tc>
          <w:tcPr>
            <w:tcW w:w="1666" w:type="pct"/>
            <w:noWrap/>
            <w:hideMark/>
          </w:tcPr>
          <w:p w14:paraId="34EF91CB" w14:textId="77777777" w:rsidR="00F56D0E" w:rsidRPr="005F1725" w:rsidRDefault="00F56D0E" w:rsidP="005F1725">
            <w:pPr>
              <w:pStyle w:val="TableBody"/>
            </w:pPr>
            <w:r w:rsidRPr="005F1725">
              <w:t>Sep-19</w:t>
            </w:r>
          </w:p>
        </w:tc>
        <w:tc>
          <w:tcPr>
            <w:tcW w:w="1666" w:type="pct"/>
            <w:noWrap/>
            <w:hideMark/>
          </w:tcPr>
          <w:p w14:paraId="65B8DF8D" w14:textId="77777777" w:rsidR="00F56D0E" w:rsidRPr="00D34F42" w:rsidRDefault="00F56D0E" w:rsidP="00D34F42">
            <w:pPr>
              <w:pStyle w:val="TableBody"/>
            </w:pPr>
            <w:r w:rsidRPr="00D34F42">
              <w:t>1,081</w:t>
            </w:r>
          </w:p>
        </w:tc>
        <w:tc>
          <w:tcPr>
            <w:tcW w:w="1667" w:type="pct"/>
            <w:noWrap/>
            <w:hideMark/>
          </w:tcPr>
          <w:p w14:paraId="00651704" w14:textId="77777777" w:rsidR="00F56D0E" w:rsidRPr="00D34F42" w:rsidRDefault="00F56D0E" w:rsidP="00D34F42">
            <w:pPr>
              <w:pStyle w:val="TableBody"/>
            </w:pPr>
            <w:r w:rsidRPr="00D34F42">
              <w:t>1,028</w:t>
            </w:r>
          </w:p>
        </w:tc>
      </w:tr>
      <w:tr w:rsidR="00F56D0E" w:rsidRPr="00F56D0E" w14:paraId="06235CAC" w14:textId="77777777" w:rsidTr="00DC7A50">
        <w:trPr>
          <w:trHeight w:val="288"/>
        </w:trPr>
        <w:tc>
          <w:tcPr>
            <w:tcW w:w="1666" w:type="pct"/>
            <w:noWrap/>
            <w:hideMark/>
          </w:tcPr>
          <w:p w14:paraId="04399508" w14:textId="77777777" w:rsidR="00F56D0E" w:rsidRPr="005F1725" w:rsidRDefault="00F56D0E" w:rsidP="005F1725">
            <w:pPr>
              <w:pStyle w:val="TableBody"/>
            </w:pPr>
            <w:r w:rsidRPr="005F1725">
              <w:t>Oct-19</w:t>
            </w:r>
          </w:p>
        </w:tc>
        <w:tc>
          <w:tcPr>
            <w:tcW w:w="1666" w:type="pct"/>
            <w:noWrap/>
            <w:hideMark/>
          </w:tcPr>
          <w:p w14:paraId="301713D2" w14:textId="77777777" w:rsidR="00F56D0E" w:rsidRPr="00D34F42" w:rsidRDefault="00F56D0E" w:rsidP="00D34F42">
            <w:pPr>
              <w:pStyle w:val="TableBody"/>
            </w:pPr>
            <w:r w:rsidRPr="00D34F42">
              <w:t>1,156</w:t>
            </w:r>
          </w:p>
        </w:tc>
        <w:tc>
          <w:tcPr>
            <w:tcW w:w="1667" w:type="pct"/>
            <w:noWrap/>
            <w:hideMark/>
          </w:tcPr>
          <w:p w14:paraId="006036CF" w14:textId="77777777" w:rsidR="00F56D0E" w:rsidRPr="00D34F42" w:rsidRDefault="00F56D0E" w:rsidP="00D34F42">
            <w:pPr>
              <w:pStyle w:val="TableBody"/>
            </w:pPr>
            <w:r w:rsidRPr="00D34F42">
              <w:t>1,131</w:t>
            </w:r>
          </w:p>
        </w:tc>
      </w:tr>
      <w:tr w:rsidR="00F56D0E" w:rsidRPr="00F56D0E" w14:paraId="719303A7" w14:textId="77777777" w:rsidTr="00DC7A50">
        <w:trPr>
          <w:trHeight w:val="288"/>
        </w:trPr>
        <w:tc>
          <w:tcPr>
            <w:tcW w:w="1666" w:type="pct"/>
            <w:noWrap/>
            <w:hideMark/>
          </w:tcPr>
          <w:p w14:paraId="15A6F22E" w14:textId="77777777" w:rsidR="00F56D0E" w:rsidRPr="005F1725" w:rsidRDefault="00F56D0E" w:rsidP="005F1725">
            <w:pPr>
              <w:pStyle w:val="TableBody"/>
            </w:pPr>
            <w:r w:rsidRPr="005F1725">
              <w:t>Nov-19</w:t>
            </w:r>
          </w:p>
        </w:tc>
        <w:tc>
          <w:tcPr>
            <w:tcW w:w="1666" w:type="pct"/>
            <w:noWrap/>
            <w:hideMark/>
          </w:tcPr>
          <w:p w14:paraId="40A57955" w14:textId="77777777" w:rsidR="00F56D0E" w:rsidRPr="00D34F42" w:rsidRDefault="00F56D0E" w:rsidP="00D34F42">
            <w:pPr>
              <w:pStyle w:val="TableBody"/>
            </w:pPr>
            <w:r w:rsidRPr="00D34F42">
              <w:t>1,022</w:t>
            </w:r>
          </w:p>
        </w:tc>
        <w:tc>
          <w:tcPr>
            <w:tcW w:w="1667" w:type="pct"/>
            <w:noWrap/>
            <w:hideMark/>
          </w:tcPr>
          <w:p w14:paraId="272C8264" w14:textId="77777777" w:rsidR="00F56D0E" w:rsidRPr="00D34F42" w:rsidRDefault="00F56D0E" w:rsidP="00D34F42">
            <w:pPr>
              <w:pStyle w:val="TableBody"/>
            </w:pPr>
            <w:r w:rsidRPr="00D34F42">
              <w:t>1,083</w:t>
            </w:r>
          </w:p>
        </w:tc>
      </w:tr>
      <w:tr w:rsidR="00F56D0E" w:rsidRPr="00F56D0E" w14:paraId="431FBA12" w14:textId="77777777" w:rsidTr="00DC7A50">
        <w:trPr>
          <w:trHeight w:val="288"/>
        </w:trPr>
        <w:tc>
          <w:tcPr>
            <w:tcW w:w="1666" w:type="pct"/>
            <w:noWrap/>
            <w:hideMark/>
          </w:tcPr>
          <w:p w14:paraId="300008E4" w14:textId="77777777" w:rsidR="00F56D0E" w:rsidRPr="005F1725" w:rsidRDefault="00F56D0E" w:rsidP="005F1725">
            <w:pPr>
              <w:pStyle w:val="TableBody"/>
            </w:pPr>
            <w:r w:rsidRPr="005F1725">
              <w:t>Dec-19</w:t>
            </w:r>
          </w:p>
        </w:tc>
        <w:tc>
          <w:tcPr>
            <w:tcW w:w="1666" w:type="pct"/>
            <w:noWrap/>
            <w:hideMark/>
          </w:tcPr>
          <w:p w14:paraId="0C61E9F9" w14:textId="77777777" w:rsidR="00F56D0E" w:rsidRPr="00D34F42" w:rsidRDefault="00F56D0E" w:rsidP="00D34F42">
            <w:pPr>
              <w:pStyle w:val="TableBody"/>
            </w:pPr>
            <w:r w:rsidRPr="00D34F42">
              <w:t>1,095</w:t>
            </w:r>
          </w:p>
        </w:tc>
        <w:tc>
          <w:tcPr>
            <w:tcW w:w="1667" w:type="pct"/>
            <w:noWrap/>
            <w:hideMark/>
          </w:tcPr>
          <w:p w14:paraId="2359B273" w14:textId="77777777" w:rsidR="00F56D0E" w:rsidRPr="00D34F42" w:rsidRDefault="00F56D0E" w:rsidP="00D34F42">
            <w:pPr>
              <w:pStyle w:val="TableBody"/>
            </w:pPr>
            <w:r w:rsidRPr="00D34F42">
              <w:t>1,118</w:t>
            </w:r>
          </w:p>
        </w:tc>
      </w:tr>
      <w:tr w:rsidR="00F56D0E" w:rsidRPr="00F56D0E" w14:paraId="5B9A0F62" w14:textId="77777777" w:rsidTr="00DC7A50">
        <w:trPr>
          <w:trHeight w:val="288"/>
        </w:trPr>
        <w:tc>
          <w:tcPr>
            <w:tcW w:w="1666" w:type="pct"/>
            <w:noWrap/>
            <w:hideMark/>
          </w:tcPr>
          <w:p w14:paraId="33322BA4" w14:textId="77777777" w:rsidR="00F56D0E" w:rsidRPr="005F1725" w:rsidRDefault="00F56D0E" w:rsidP="005F1725">
            <w:pPr>
              <w:pStyle w:val="TableBody"/>
            </w:pPr>
            <w:r w:rsidRPr="005F1725">
              <w:t>Jan-20</w:t>
            </w:r>
          </w:p>
        </w:tc>
        <w:tc>
          <w:tcPr>
            <w:tcW w:w="1666" w:type="pct"/>
            <w:noWrap/>
            <w:hideMark/>
          </w:tcPr>
          <w:p w14:paraId="26C10A05" w14:textId="77777777" w:rsidR="00F56D0E" w:rsidRPr="00D34F42" w:rsidRDefault="00F56D0E" w:rsidP="00D34F42">
            <w:pPr>
              <w:pStyle w:val="TableBody"/>
            </w:pPr>
            <w:r w:rsidRPr="00D34F42">
              <w:t>1,027</w:t>
            </w:r>
          </w:p>
        </w:tc>
        <w:tc>
          <w:tcPr>
            <w:tcW w:w="1667" w:type="pct"/>
            <w:noWrap/>
            <w:hideMark/>
          </w:tcPr>
          <w:p w14:paraId="56AA3AAE" w14:textId="77777777" w:rsidR="00F56D0E" w:rsidRPr="00D34F42" w:rsidRDefault="00F56D0E" w:rsidP="00D34F42">
            <w:pPr>
              <w:pStyle w:val="TableBody"/>
            </w:pPr>
            <w:r w:rsidRPr="00D34F42">
              <w:t>1,099</w:t>
            </w:r>
          </w:p>
        </w:tc>
      </w:tr>
      <w:tr w:rsidR="00F56D0E" w:rsidRPr="00F56D0E" w14:paraId="23C329C1" w14:textId="77777777" w:rsidTr="00DC7A50">
        <w:trPr>
          <w:trHeight w:val="288"/>
        </w:trPr>
        <w:tc>
          <w:tcPr>
            <w:tcW w:w="1666" w:type="pct"/>
            <w:noWrap/>
            <w:hideMark/>
          </w:tcPr>
          <w:p w14:paraId="404D0B34" w14:textId="77777777" w:rsidR="00F56D0E" w:rsidRPr="005F1725" w:rsidRDefault="00F56D0E" w:rsidP="005F1725">
            <w:pPr>
              <w:pStyle w:val="TableBody"/>
            </w:pPr>
            <w:r w:rsidRPr="005F1725">
              <w:t>Feb-20</w:t>
            </w:r>
          </w:p>
        </w:tc>
        <w:tc>
          <w:tcPr>
            <w:tcW w:w="1666" w:type="pct"/>
            <w:noWrap/>
            <w:hideMark/>
          </w:tcPr>
          <w:p w14:paraId="66B3933E" w14:textId="77777777" w:rsidR="00F56D0E" w:rsidRPr="00D34F42" w:rsidRDefault="00F56D0E" w:rsidP="00D34F42">
            <w:pPr>
              <w:pStyle w:val="TableBody"/>
            </w:pPr>
            <w:r w:rsidRPr="00D34F42">
              <w:t>1,147</w:t>
            </w:r>
          </w:p>
        </w:tc>
        <w:tc>
          <w:tcPr>
            <w:tcW w:w="1667" w:type="pct"/>
            <w:noWrap/>
            <w:hideMark/>
          </w:tcPr>
          <w:p w14:paraId="1224AB0F" w14:textId="77777777" w:rsidR="00F56D0E" w:rsidRPr="00D34F42" w:rsidRDefault="00F56D0E" w:rsidP="00D34F42">
            <w:pPr>
              <w:pStyle w:val="TableBody"/>
            </w:pPr>
            <w:r w:rsidRPr="00D34F42">
              <w:t>1,138</w:t>
            </w:r>
          </w:p>
        </w:tc>
      </w:tr>
      <w:tr w:rsidR="00F56D0E" w:rsidRPr="00F56D0E" w14:paraId="76B7D386" w14:textId="77777777" w:rsidTr="00DC7A50">
        <w:trPr>
          <w:trHeight w:val="288"/>
        </w:trPr>
        <w:tc>
          <w:tcPr>
            <w:tcW w:w="1666" w:type="pct"/>
            <w:noWrap/>
            <w:hideMark/>
          </w:tcPr>
          <w:p w14:paraId="112599A6" w14:textId="77777777" w:rsidR="00F56D0E" w:rsidRPr="005F1725" w:rsidRDefault="00F56D0E" w:rsidP="005F1725">
            <w:pPr>
              <w:pStyle w:val="TableBody"/>
            </w:pPr>
            <w:r w:rsidRPr="005F1725">
              <w:t>Mar-20</w:t>
            </w:r>
          </w:p>
        </w:tc>
        <w:tc>
          <w:tcPr>
            <w:tcW w:w="1666" w:type="pct"/>
            <w:noWrap/>
            <w:hideMark/>
          </w:tcPr>
          <w:p w14:paraId="6A84222F" w14:textId="77777777" w:rsidR="00F56D0E" w:rsidRPr="00D34F42" w:rsidRDefault="00F56D0E" w:rsidP="00D34F42">
            <w:pPr>
              <w:pStyle w:val="TableBody"/>
            </w:pPr>
            <w:r w:rsidRPr="00D34F42">
              <w:t>1,139</w:t>
            </w:r>
          </w:p>
        </w:tc>
        <w:tc>
          <w:tcPr>
            <w:tcW w:w="1667" w:type="pct"/>
            <w:noWrap/>
            <w:hideMark/>
          </w:tcPr>
          <w:p w14:paraId="6A205DB5" w14:textId="77777777" w:rsidR="00F56D0E" w:rsidRPr="00D34F42" w:rsidRDefault="00F56D0E" w:rsidP="00D34F42">
            <w:pPr>
              <w:pStyle w:val="TableBody"/>
            </w:pPr>
            <w:r w:rsidRPr="00D34F42">
              <w:t>1,086</w:t>
            </w:r>
          </w:p>
        </w:tc>
      </w:tr>
      <w:tr w:rsidR="00F56D0E" w:rsidRPr="00F56D0E" w14:paraId="34A37630" w14:textId="77777777" w:rsidTr="00DC7A50">
        <w:trPr>
          <w:trHeight w:val="288"/>
        </w:trPr>
        <w:tc>
          <w:tcPr>
            <w:tcW w:w="1666" w:type="pct"/>
            <w:noWrap/>
            <w:hideMark/>
          </w:tcPr>
          <w:p w14:paraId="053AB5AB" w14:textId="77777777" w:rsidR="00F56D0E" w:rsidRPr="005F1725" w:rsidRDefault="00F56D0E" w:rsidP="005F1725">
            <w:pPr>
              <w:pStyle w:val="TableBody"/>
            </w:pPr>
            <w:r w:rsidRPr="005F1725">
              <w:t>Apr-20</w:t>
            </w:r>
          </w:p>
        </w:tc>
        <w:tc>
          <w:tcPr>
            <w:tcW w:w="1666" w:type="pct"/>
            <w:noWrap/>
            <w:hideMark/>
          </w:tcPr>
          <w:p w14:paraId="38580982" w14:textId="77777777" w:rsidR="00F56D0E" w:rsidRPr="00D34F42" w:rsidRDefault="00F56D0E" w:rsidP="00D34F42">
            <w:pPr>
              <w:pStyle w:val="TableBody"/>
            </w:pPr>
            <w:r w:rsidRPr="00D34F42">
              <w:t>1,301</w:t>
            </w:r>
          </w:p>
        </w:tc>
        <w:tc>
          <w:tcPr>
            <w:tcW w:w="1667" w:type="pct"/>
            <w:noWrap/>
            <w:hideMark/>
          </w:tcPr>
          <w:p w14:paraId="24719665" w14:textId="77777777" w:rsidR="00F56D0E" w:rsidRPr="00D34F42" w:rsidRDefault="00F56D0E" w:rsidP="00D34F42">
            <w:pPr>
              <w:pStyle w:val="TableBody"/>
            </w:pPr>
            <w:r w:rsidRPr="00D34F42">
              <w:t>839</w:t>
            </w:r>
          </w:p>
        </w:tc>
      </w:tr>
      <w:tr w:rsidR="00F56D0E" w:rsidRPr="00F56D0E" w14:paraId="34AA2446" w14:textId="77777777" w:rsidTr="00DC7A50">
        <w:trPr>
          <w:trHeight w:val="288"/>
        </w:trPr>
        <w:tc>
          <w:tcPr>
            <w:tcW w:w="1666" w:type="pct"/>
            <w:noWrap/>
            <w:hideMark/>
          </w:tcPr>
          <w:p w14:paraId="7DF9CC93" w14:textId="77777777" w:rsidR="00F56D0E" w:rsidRPr="005F1725" w:rsidRDefault="00F56D0E" w:rsidP="005F1725">
            <w:pPr>
              <w:pStyle w:val="TableBody"/>
            </w:pPr>
            <w:r w:rsidRPr="005F1725">
              <w:t>May-20</w:t>
            </w:r>
          </w:p>
        </w:tc>
        <w:tc>
          <w:tcPr>
            <w:tcW w:w="1666" w:type="pct"/>
            <w:noWrap/>
            <w:hideMark/>
          </w:tcPr>
          <w:p w14:paraId="732A2BFE" w14:textId="77777777" w:rsidR="00F56D0E" w:rsidRPr="00D34F42" w:rsidRDefault="00F56D0E" w:rsidP="00D34F42">
            <w:pPr>
              <w:pStyle w:val="TableBody"/>
            </w:pPr>
            <w:r w:rsidRPr="00D34F42">
              <w:t>1,203</w:t>
            </w:r>
          </w:p>
        </w:tc>
        <w:tc>
          <w:tcPr>
            <w:tcW w:w="1667" w:type="pct"/>
            <w:noWrap/>
            <w:hideMark/>
          </w:tcPr>
          <w:p w14:paraId="33E6B492" w14:textId="77777777" w:rsidR="00F56D0E" w:rsidRPr="00D34F42" w:rsidRDefault="00F56D0E" w:rsidP="00D34F42">
            <w:pPr>
              <w:pStyle w:val="TableBody"/>
            </w:pPr>
            <w:r w:rsidRPr="00D34F42">
              <w:t>943</w:t>
            </w:r>
          </w:p>
        </w:tc>
      </w:tr>
      <w:tr w:rsidR="00F56D0E" w:rsidRPr="00F56D0E" w14:paraId="53837DD4" w14:textId="77777777" w:rsidTr="00DC7A50">
        <w:trPr>
          <w:trHeight w:val="288"/>
        </w:trPr>
        <w:tc>
          <w:tcPr>
            <w:tcW w:w="1666" w:type="pct"/>
            <w:noWrap/>
            <w:hideMark/>
          </w:tcPr>
          <w:p w14:paraId="7E3E6618" w14:textId="77777777" w:rsidR="00F56D0E" w:rsidRPr="005F1725" w:rsidRDefault="00F56D0E" w:rsidP="005F1725">
            <w:pPr>
              <w:pStyle w:val="TableBody"/>
            </w:pPr>
            <w:r w:rsidRPr="005F1725">
              <w:t>Jun-20</w:t>
            </w:r>
          </w:p>
        </w:tc>
        <w:tc>
          <w:tcPr>
            <w:tcW w:w="1666" w:type="pct"/>
            <w:noWrap/>
            <w:hideMark/>
          </w:tcPr>
          <w:p w14:paraId="3ADFB0AA" w14:textId="77777777" w:rsidR="00F56D0E" w:rsidRPr="00D34F42" w:rsidRDefault="00F56D0E" w:rsidP="00D34F42">
            <w:pPr>
              <w:pStyle w:val="TableBody"/>
            </w:pPr>
            <w:r w:rsidRPr="00D34F42">
              <w:t>1,100</w:t>
            </w:r>
          </w:p>
        </w:tc>
        <w:tc>
          <w:tcPr>
            <w:tcW w:w="1667" w:type="pct"/>
            <w:noWrap/>
            <w:hideMark/>
          </w:tcPr>
          <w:p w14:paraId="32892CAC" w14:textId="77777777" w:rsidR="00F56D0E" w:rsidRPr="00D34F42" w:rsidRDefault="00F56D0E" w:rsidP="00D34F42">
            <w:pPr>
              <w:pStyle w:val="TableBody"/>
            </w:pPr>
            <w:r w:rsidRPr="00D34F42">
              <w:t>893</w:t>
            </w:r>
          </w:p>
        </w:tc>
      </w:tr>
      <w:tr w:rsidR="00F56D0E" w:rsidRPr="00F56D0E" w14:paraId="34DBAC06" w14:textId="77777777" w:rsidTr="00DC7A50">
        <w:trPr>
          <w:trHeight w:val="288"/>
        </w:trPr>
        <w:tc>
          <w:tcPr>
            <w:tcW w:w="1666" w:type="pct"/>
            <w:noWrap/>
            <w:hideMark/>
          </w:tcPr>
          <w:p w14:paraId="767F0275" w14:textId="77777777" w:rsidR="00F56D0E" w:rsidRPr="005F1725" w:rsidRDefault="00F56D0E" w:rsidP="005F1725">
            <w:pPr>
              <w:pStyle w:val="TableBody"/>
            </w:pPr>
            <w:r w:rsidRPr="005F1725">
              <w:t>Jul-20</w:t>
            </w:r>
          </w:p>
        </w:tc>
        <w:tc>
          <w:tcPr>
            <w:tcW w:w="1666" w:type="pct"/>
            <w:noWrap/>
            <w:hideMark/>
          </w:tcPr>
          <w:p w14:paraId="018E378C" w14:textId="77777777" w:rsidR="00F56D0E" w:rsidRPr="00D34F42" w:rsidRDefault="00F56D0E" w:rsidP="00D34F42">
            <w:pPr>
              <w:pStyle w:val="TableBody"/>
            </w:pPr>
            <w:r w:rsidRPr="00D34F42">
              <w:t>1,021</w:t>
            </w:r>
          </w:p>
        </w:tc>
        <w:tc>
          <w:tcPr>
            <w:tcW w:w="1667" w:type="pct"/>
            <w:noWrap/>
            <w:hideMark/>
          </w:tcPr>
          <w:p w14:paraId="47F59ED8" w14:textId="77777777" w:rsidR="00F56D0E" w:rsidRPr="00D34F42" w:rsidRDefault="00F56D0E" w:rsidP="00D34F42">
            <w:pPr>
              <w:pStyle w:val="TableBody"/>
            </w:pPr>
            <w:r w:rsidRPr="00D34F42">
              <w:t>872</w:t>
            </w:r>
          </w:p>
        </w:tc>
      </w:tr>
      <w:tr w:rsidR="00F56D0E" w:rsidRPr="00F56D0E" w14:paraId="334839BF" w14:textId="77777777" w:rsidTr="00DC7A50">
        <w:trPr>
          <w:trHeight w:val="288"/>
        </w:trPr>
        <w:tc>
          <w:tcPr>
            <w:tcW w:w="1666" w:type="pct"/>
            <w:noWrap/>
            <w:hideMark/>
          </w:tcPr>
          <w:p w14:paraId="6A63222B" w14:textId="77777777" w:rsidR="00F56D0E" w:rsidRPr="005F1725" w:rsidRDefault="00F56D0E" w:rsidP="005F1725">
            <w:pPr>
              <w:pStyle w:val="TableBody"/>
            </w:pPr>
            <w:r w:rsidRPr="005F1725">
              <w:t>Aug-20</w:t>
            </w:r>
          </w:p>
        </w:tc>
        <w:tc>
          <w:tcPr>
            <w:tcW w:w="1666" w:type="pct"/>
            <w:noWrap/>
            <w:hideMark/>
          </w:tcPr>
          <w:p w14:paraId="7822AA1A" w14:textId="77777777" w:rsidR="00F56D0E" w:rsidRPr="00D34F42" w:rsidRDefault="00F56D0E" w:rsidP="00D34F42">
            <w:pPr>
              <w:pStyle w:val="TableBody"/>
            </w:pPr>
            <w:r w:rsidRPr="00D34F42">
              <w:t>1,046</w:t>
            </w:r>
          </w:p>
        </w:tc>
        <w:tc>
          <w:tcPr>
            <w:tcW w:w="1667" w:type="pct"/>
            <w:noWrap/>
            <w:hideMark/>
          </w:tcPr>
          <w:p w14:paraId="64E4A985" w14:textId="77777777" w:rsidR="00F56D0E" w:rsidRPr="00D34F42" w:rsidRDefault="00F56D0E" w:rsidP="00D34F42">
            <w:pPr>
              <w:pStyle w:val="TableBody"/>
            </w:pPr>
            <w:r w:rsidRPr="00D34F42">
              <w:t>1,001</w:t>
            </w:r>
          </w:p>
        </w:tc>
      </w:tr>
      <w:tr w:rsidR="00F56D0E" w:rsidRPr="00F56D0E" w14:paraId="5AFC7A37" w14:textId="77777777" w:rsidTr="00DC7A50">
        <w:trPr>
          <w:trHeight w:val="288"/>
        </w:trPr>
        <w:tc>
          <w:tcPr>
            <w:tcW w:w="1666" w:type="pct"/>
            <w:noWrap/>
            <w:hideMark/>
          </w:tcPr>
          <w:p w14:paraId="74DC1379" w14:textId="77777777" w:rsidR="00F56D0E" w:rsidRPr="005F1725" w:rsidRDefault="00F56D0E" w:rsidP="005F1725">
            <w:pPr>
              <w:pStyle w:val="TableBody"/>
            </w:pPr>
            <w:r w:rsidRPr="005F1725">
              <w:t>Sep-20</w:t>
            </w:r>
          </w:p>
        </w:tc>
        <w:tc>
          <w:tcPr>
            <w:tcW w:w="1666" w:type="pct"/>
            <w:noWrap/>
            <w:hideMark/>
          </w:tcPr>
          <w:p w14:paraId="39E406EA" w14:textId="77777777" w:rsidR="00F56D0E" w:rsidRPr="00D34F42" w:rsidRDefault="00F56D0E" w:rsidP="00D34F42">
            <w:pPr>
              <w:pStyle w:val="TableBody"/>
            </w:pPr>
            <w:r w:rsidRPr="00D34F42">
              <w:t>971</w:t>
            </w:r>
          </w:p>
        </w:tc>
        <w:tc>
          <w:tcPr>
            <w:tcW w:w="1667" w:type="pct"/>
            <w:noWrap/>
            <w:hideMark/>
          </w:tcPr>
          <w:p w14:paraId="7BE9FF85" w14:textId="77777777" w:rsidR="00F56D0E" w:rsidRPr="00D34F42" w:rsidRDefault="00F56D0E" w:rsidP="00D34F42">
            <w:pPr>
              <w:pStyle w:val="TableBody"/>
            </w:pPr>
            <w:r w:rsidRPr="00D34F42">
              <w:t>1,115</w:t>
            </w:r>
          </w:p>
        </w:tc>
      </w:tr>
      <w:tr w:rsidR="00F56D0E" w:rsidRPr="00F56D0E" w14:paraId="64CDFB98" w14:textId="77777777" w:rsidTr="00DC7A50">
        <w:trPr>
          <w:trHeight w:val="288"/>
        </w:trPr>
        <w:tc>
          <w:tcPr>
            <w:tcW w:w="1666" w:type="pct"/>
            <w:noWrap/>
            <w:hideMark/>
          </w:tcPr>
          <w:p w14:paraId="22E97536" w14:textId="77777777" w:rsidR="00F56D0E" w:rsidRPr="005F1725" w:rsidRDefault="00F56D0E" w:rsidP="005F1725">
            <w:pPr>
              <w:pStyle w:val="TableBody"/>
            </w:pPr>
            <w:r w:rsidRPr="005F1725">
              <w:t>Oct-20</w:t>
            </w:r>
          </w:p>
        </w:tc>
        <w:tc>
          <w:tcPr>
            <w:tcW w:w="1666" w:type="pct"/>
            <w:noWrap/>
            <w:hideMark/>
          </w:tcPr>
          <w:p w14:paraId="71425B4D" w14:textId="77777777" w:rsidR="00F56D0E" w:rsidRPr="00D34F42" w:rsidRDefault="00F56D0E" w:rsidP="00D34F42">
            <w:pPr>
              <w:pStyle w:val="TableBody"/>
            </w:pPr>
            <w:r w:rsidRPr="00D34F42">
              <w:t>1,050</w:t>
            </w:r>
          </w:p>
        </w:tc>
        <w:tc>
          <w:tcPr>
            <w:tcW w:w="1667" w:type="pct"/>
            <w:noWrap/>
            <w:hideMark/>
          </w:tcPr>
          <w:p w14:paraId="19B58C24" w14:textId="77777777" w:rsidR="00F56D0E" w:rsidRPr="00D34F42" w:rsidRDefault="00F56D0E" w:rsidP="00D34F42">
            <w:pPr>
              <w:pStyle w:val="TableBody"/>
            </w:pPr>
            <w:r w:rsidRPr="00D34F42">
              <w:t>1,105</w:t>
            </w:r>
          </w:p>
        </w:tc>
      </w:tr>
      <w:tr w:rsidR="00F56D0E" w:rsidRPr="00F56D0E" w14:paraId="61AD2D50" w14:textId="77777777" w:rsidTr="00DC7A50">
        <w:trPr>
          <w:trHeight w:val="288"/>
        </w:trPr>
        <w:tc>
          <w:tcPr>
            <w:tcW w:w="1666" w:type="pct"/>
            <w:noWrap/>
            <w:hideMark/>
          </w:tcPr>
          <w:p w14:paraId="4D39F11A" w14:textId="77777777" w:rsidR="00F56D0E" w:rsidRPr="005F1725" w:rsidRDefault="00F56D0E" w:rsidP="005F1725">
            <w:pPr>
              <w:pStyle w:val="TableBody"/>
            </w:pPr>
            <w:r w:rsidRPr="005F1725">
              <w:t>Nov-20</w:t>
            </w:r>
          </w:p>
        </w:tc>
        <w:tc>
          <w:tcPr>
            <w:tcW w:w="1666" w:type="pct"/>
            <w:noWrap/>
            <w:hideMark/>
          </w:tcPr>
          <w:p w14:paraId="42E34817" w14:textId="77777777" w:rsidR="00F56D0E" w:rsidRPr="00D34F42" w:rsidRDefault="00F56D0E" w:rsidP="00D34F42">
            <w:pPr>
              <w:pStyle w:val="TableBody"/>
            </w:pPr>
            <w:r w:rsidRPr="00D34F42">
              <w:t>1,003</w:t>
            </w:r>
          </w:p>
        </w:tc>
        <w:tc>
          <w:tcPr>
            <w:tcW w:w="1667" w:type="pct"/>
            <w:noWrap/>
            <w:hideMark/>
          </w:tcPr>
          <w:p w14:paraId="24516570" w14:textId="77777777" w:rsidR="00F56D0E" w:rsidRPr="00D34F42" w:rsidRDefault="00F56D0E" w:rsidP="00D34F42">
            <w:pPr>
              <w:pStyle w:val="TableBody"/>
            </w:pPr>
            <w:r w:rsidRPr="00D34F42">
              <w:t>977</w:t>
            </w:r>
          </w:p>
        </w:tc>
      </w:tr>
      <w:tr w:rsidR="00F56D0E" w:rsidRPr="00F56D0E" w14:paraId="4363C2BA" w14:textId="77777777" w:rsidTr="00DC7A50">
        <w:trPr>
          <w:trHeight w:val="288"/>
        </w:trPr>
        <w:tc>
          <w:tcPr>
            <w:tcW w:w="1666" w:type="pct"/>
            <w:noWrap/>
            <w:hideMark/>
          </w:tcPr>
          <w:p w14:paraId="4BB035AC" w14:textId="77777777" w:rsidR="00F56D0E" w:rsidRPr="005F1725" w:rsidRDefault="00F56D0E" w:rsidP="005F1725">
            <w:pPr>
              <w:pStyle w:val="TableBody"/>
            </w:pPr>
            <w:r w:rsidRPr="005F1725">
              <w:t>Dec-20</w:t>
            </w:r>
          </w:p>
        </w:tc>
        <w:tc>
          <w:tcPr>
            <w:tcW w:w="1666" w:type="pct"/>
            <w:noWrap/>
            <w:hideMark/>
          </w:tcPr>
          <w:p w14:paraId="4207D8A2" w14:textId="77777777" w:rsidR="00F56D0E" w:rsidRPr="00D34F42" w:rsidRDefault="00F56D0E" w:rsidP="00D34F42">
            <w:pPr>
              <w:pStyle w:val="TableBody"/>
            </w:pPr>
            <w:r w:rsidRPr="00D34F42">
              <w:t>1,041</w:t>
            </w:r>
          </w:p>
        </w:tc>
        <w:tc>
          <w:tcPr>
            <w:tcW w:w="1667" w:type="pct"/>
            <w:noWrap/>
            <w:hideMark/>
          </w:tcPr>
          <w:p w14:paraId="420E8DD4" w14:textId="77777777" w:rsidR="00F56D0E" w:rsidRPr="00D34F42" w:rsidRDefault="00F56D0E" w:rsidP="00D34F42">
            <w:pPr>
              <w:pStyle w:val="TableBody"/>
            </w:pPr>
            <w:r w:rsidRPr="00D34F42">
              <w:t>1,021</w:t>
            </w:r>
          </w:p>
        </w:tc>
      </w:tr>
      <w:tr w:rsidR="00F56D0E" w:rsidRPr="00F56D0E" w14:paraId="7463676E" w14:textId="77777777" w:rsidTr="00DC7A50">
        <w:trPr>
          <w:trHeight w:val="288"/>
        </w:trPr>
        <w:tc>
          <w:tcPr>
            <w:tcW w:w="1666" w:type="pct"/>
            <w:noWrap/>
            <w:hideMark/>
          </w:tcPr>
          <w:p w14:paraId="653222B3" w14:textId="77777777" w:rsidR="00F56D0E" w:rsidRPr="005F1725" w:rsidRDefault="00F56D0E" w:rsidP="005F1725">
            <w:pPr>
              <w:pStyle w:val="TableBody"/>
            </w:pPr>
            <w:r w:rsidRPr="005F1725">
              <w:t>Jan-21</w:t>
            </w:r>
          </w:p>
        </w:tc>
        <w:tc>
          <w:tcPr>
            <w:tcW w:w="1666" w:type="pct"/>
            <w:noWrap/>
            <w:hideMark/>
          </w:tcPr>
          <w:p w14:paraId="4F6A11A8" w14:textId="77777777" w:rsidR="00F56D0E" w:rsidRPr="00D34F42" w:rsidRDefault="00F56D0E" w:rsidP="00D34F42">
            <w:pPr>
              <w:pStyle w:val="TableBody"/>
            </w:pPr>
            <w:r w:rsidRPr="00D34F42">
              <w:t>846</w:t>
            </w:r>
          </w:p>
        </w:tc>
        <w:tc>
          <w:tcPr>
            <w:tcW w:w="1667" w:type="pct"/>
            <w:noWrap/>
            <w:hideMark/>
          </w:tcPr>
          <w:p w14:paraId="333431B3" w14:textId="77777777" w:rsidR="00F56D0E" w:rsidRPr="00D34F42" w:rsidRDefault="00F56D0E" w:rsidP="00D34F42">
            <w:pPr>
              <w:pStyle w:val="TableBody"/>
            </w:pPr>
            <w:r w:rsidRPr="00D34F42">
              <w:t>928</w:t>
            </w:r>
          </w:p>
        </w:tc>
      </w:tr>
      <w:tr w:rsidR="00F56D0E" w:rsidRPr="00F56D0E" w14:paraId="47C42A51" w14:textId="77777777" w:rsidTr="00DC7A50">
        <w:trPr>
          <w:trHeight w:val="288"/>
        </w:trPr>
        <w:tc>
          <w:tcPr>
            <w:tcW w:w="1666" w:type="pct"/>
            <w:noWrap/>
            <w:hideMark/>
          </w:tcPr>
          <w:p w14:paraId="2483EB23" w14:textId="77777777" w:rsidR="00F56D0E" w:rsidRPr="005F1725" w:rsidRDefault="00F56D0E" w:rsidP="005F1725">
            <w:pPr>
              <w:pStyle w:val="TableBody"/>
            </w:pPr>
            <w:r w:rsidRPr="005F1725">
              <w:t>Feb-21</w:t>
            </w:r>
          </w:p>
        </w:tc>
        <w:tc>
          <w:tcPr>
            <w:tcW w:w="1666" w:type="pct"/>
            <w:noWrap/>
            <w:hideMark/>
          </w:tcPr>
          <w:p w14:paraId="73E06113" w14:textId="77777777" w:rsidR="00F56D0E" w:rsidRPr="00D34F42" w:rsidRDefault="00F56D0E" w:rsidP="00D34F42">
            <w:pPr>
              <w:pStyle w:val="TableBody"/>
            </w:pPr>
            <w:r w:rsidRPr="00D34F42">
              <w:t>1,005</w:t>
            </w:r>
          </w:p>
        </w:tc>
        <w:tc>
          <w:tcPr>
            <w:tcW w:w="1667" w:type="pct"/>
            <w:noWrap/>
            <w:hideMark/>
          </w:tcPr>
          <w:p w14:paraId="01F8FB0F" w14:textId="77777777" w:rsidR="00F56D0E" w:rsidRPr="00D34F42" w:rsidRDefault="00F56D0E" w:rsidP="00D34F42">
            <w:pPr>
              <w:pStyle w:val="TableBody"/>
            </w:pPr>
            <w:r w:rsidRPr="00D34F42">
              <w:t>1,026</w:t>
            </w:r>
          </w:p>
        </w:tc>
      </w:tr>
      <w:tr w:rsidR="00F56D0E" w:rsidRPr="00F56D0E" w14:paraId="320991F3" w14:textId="77777777" w:rsidTr="00DC7A50">
        <w:trPr>
          <w:trHeight w:val="288"/>
        </w:trPr>
        <w:tc>
          <w:tcPr>
            <w:tcW w:w="1666" w:type="pct"/>
            <w:noWrap/>
            <w:hideMark/>
          </w:tcPr>
          <w:p w14:paraId="4B984449" w14:textId="77777777" w:rsidR="00F56D0E" w:rsidRPr="005F1725" w:rsidRDefault="00F56D0E" w:rsidP="005F1725">
            <w:pPr>
              <w:pStyle w:val="TableBody"/>
            </w:pPr>
            <w:r w:rsidRPr="005F1725">
              <w:t>Mar-21</w:t>
            </w:r>
          </w:p>
        </w:tc>
        <w:tc>
          <w:tcPr>
            <w:tcW w:w="1666" w:type="pct"/>
            <w:noWrap/>
            <w:hideMark/>
          </w:tcPr>
          <w:p w14:paraId="2B8093B7" w14:textId="77777777" w:rsidR="00F56D0E" w:rsidRPr="00D34F42" w:rsidRDefault="00F56D0E" w:rsidP="00D34F42">
            <w:pPr>
              <w:pStyle w:val="TableBody"/>
            </w:pPr>
            <w:r w:rsidRPr="00D34F42">
              <w:t>1,060</w:t>
            </w:r>
          </w:p>
        </w:tc>
        <w:tc>
          <w:tcPr>
            <w:tcW w:w="1667" w:type="pct"/>
            <w:noWrap/>
            <w:hideMark/>
          </w:tcPr>
          <w:p w14:paraId="7EAF9C3B" w14:textId="77777777" w:rsidR="00F56D0E" w:rsidRPr="00D34F42" w:rsidRDefault="00F56D0E" w:rsidP="00D34F42">
            <w:pPr>
              <w:pStyle w:val="TableBody"/>
            </w:pPr>
            <w:r w:rsidRPr="00D34F42">
              <w:t>1,160</w:t>
            </w:r>
          </w:p>
        </w:tc>
      </w:tr>
      <w:tr w:rsidR="00F56D0E" w:rsidRPr="00F56D0E" w14:paraId="5488ABA8" w14:textId="77777777" w:rsidTr="00DC7A50">
        <w:trPr>
          <w:trHeight w:val="288"/>
        </w:trPr>
        <w:tc>
          <w:tcPr>
            <w:tcW w:w="1666" w:type="pct"/>
            <w:noWrap/>
            <w:hideMark/>
          </w:tcPr>
          <w:p w14:paraId="3430DD56" w14:textId="77777777" w:rsidR="00F56D0E" w:rsidRPr="005F1725" w:rsidRDefault="00F56D0E" w:rsidP="005F1725">
            <w:pPr>
              <w:pStyle w:val="TableBody"/>
            </w:pPr>
            <w:r w:rsidRPr="005F1725">
              <w:t>Apr-21</w:t>
            </w:r>
          </w:p>
        </w:tc>
        <w:tc>
          <w:tcPr>
            <w:tcW w:w="1666" w:type="pct"/>
            <w:noWrap/>
            <w:hideMark/>
          </w:tcPr>
          <w:p w14:paraId="51A7FFB6" w14:textId="77777777" w:rsidR="00F56D0E" w:rsidRPr="00D34F42" w:rsidRDefault="00F56D0E" w:rsidP="00D34F42">
            <w:pPr>
              <w:pStyle w:val="TableBody"/>
            </w:pPr>
            <w:r w:rsidRPr="00D34F42">
              <w:t>1,028</w:t>
            </w:r>
          </w:p>
        </w:tc>
        <w:tc>
          <w:tcPr>
            <w:tcW w:w="1667" w:type="pct"/>
            <w:noWrap/>
            <w:hideMark/>
          </w:tcPr>
          <w:p w14:paraId="3509D04B" w14:textId="77777777" w:rsidR="00F56D0E" w:rsidRPr="00D34F42" w:rsidRDefault="00F56D0E" w:rsidP="00D34F42">
            <w:pPr>
              <w:pStyle w:val="TableBody"/>
            </w:pPr>
            <w:r w:rsidRPr="00D34F42">
              <w:t>1,000</w:t>
            </w:r>
          </w:p>
        </w:tc>
      </w:tr>
      <w:tr w:rsidR="00F56D0E" w:rsidRPr="00F56D0E" w14:paraId="3131E33E" w14:textId="77777777" w:rsidTr="00DC7A50">
        <w:trPr>
          <w:trHeight w:val="288"/>
        </w:trPr>
        <w:tc>
          <w:tcPr>
            <w:tcW w:w="1666" w:type="pct"/>
            <w:noWrap/>
            <w:hideMark/>
          </w:tcPr>
          <w:p w14:paraId="1A2E20C7" w14:textId="77777777" w:rsidR="00F56D0E" w:rsidRPr="005F1725" w:rsidRDefault="00F56D0E" w:rsidP="005F1725">
            <w:pPr>
              <w:pStyle w:val="TableBody"/>
            </w:pPr>
            <w:r w:rsidRPr="005F1725">
              <w:t>May-21</w:t>
            </w:r>
          </w:p>
        </w:tc>
        <w:tc>
          <w:tcPr>
            <w:tcW w:w="1666" w:type="pct"/>
            <w:noWrap/>
            <w:hideMark/>
          </w:tcPr>
          <w:p w14:paraId="76AC367A" w14:textId="77777777" w:rsidR="00F56D0E" w:rsidRPr="00D34F42" w:rsidRDefault="00F56D0E" w:rsidP="00D34F42">
            <w:pPr>
              <w:pStyle w:val="TableBody"/>
            </w:pPr>
            <w:r w:rsidRPr="00D34F42">
              <w:t>941</w:t>
            </w:r>
          </w:p>
        </w:tc>
        <w:tc>
          <w:tcPr>
            <w:tcW w:w="1667" w:type="pct"/>
            <w:noWrap/>
            <w:hideMark/>
          </w:tcPr>
          <w:p w14:paraId="47B2CB66" w14:textId="77777777" w:rsidR="00F56D0E" w:rsidRPr="00D34F42" w:rsidRDefault="00F56D0E" w:rsidP="00D34F42">
            <w:pPr>
              <w:pStyle w:val="TableBody"/>
            </w:pPr>
            <w:r w:rsidRPr="00D34F42">
              <w:t>1,009</w:t>
            </w:r>
          </w:p>
        </w:tc>
      </w:tr>
      <w:tr w:rsidR="00F56D0E" w:rsidRPr="00F56D0E" w14:paraId="7A60024B" w14:textId="77777777" w:rsidTr="00DC7A50">
        <w:trPr>
          <w:trHeight w:val="288"/>
        </w:trPr>
        <w:tc>
          <w:tcPr>
            <w:tcW w:w="1666" w:type="pct"/>
            <w:noWrap/>
            <w:hideMark/>
          </w:tcPr>
          <w:p w14:paraId="61E79D89" w14:textId="77777777" w:rsidR="00F56D0E" w:rsidRPr="005F1725" w:rsidRDefault="00F56D0E" w:rsidP="005F1725">
            <w:pPr>
              <w:pStyle w:val="TableBody"/>
            </w:pPr>
            <w:r w:rsidRPr="005F1725">
              <w:t>Jun-21</w:t>
            </w:r>
          </w:p>
        </w:tc>
        <w:tc>
          <w:tcPr>
            <w:tcW w:w="1666" w:type="pct"/>
            <w:noWrap/>
            <w:hideMark/>
          </w:tcPr>
          <w:p w14:paraId="0D936CB6" w14:textId="77777777" w:rsidR="00F56D0E" w:rsidRPr="00D34F42" w:rsidRDefault="00F56D0E" w:rsidP="00D34F42">
            <w:pPr>
              <w:pStyle w:val="TableBody"/>
            </w:pPr>
            <w:r w:rsidRPr="00D34F42">
              <w:t>983</w:t>
            </w:r>
          </w:p>
        </w:tc>
        <w:tc>
          <w:tcPr>
            <w:tcW w:w="1667" w:type="pct"/>
            <w:noWrap/>
            <w:hideMark/>
          </w:tcPr>
          <w:p w14:paraId="6BBE30B8" w14:textId="77777777" w:rsidR="00F56D0E" w:rsidRPr="00D34F42" w:rsidRDefault="00F56D0E" w:rsidP="00D34F42">
            <w:pPr>
              <w:pStyle w:val="TableBody"/>
            </w:pPr>
            <w:r w:rsidRPr="00D34F42">
              <w:t>953</w:t>
            </w:r>
          </w:p>
        </w:tc>
      </w:tr>
      <w:tr w:rsidR="00F56D0E" w:rsidRPr="00F56D0E" w14:paraId="60BAEFE6" w14:textId="77777777" w:rsidTr="00DC7A50">
        <w:trPr>
          <w:trHeight w:val="288"/>
        </w:trPr>
        <w:tc>
          <w:tcPr>
            <w:tcW w:w="1666" w:type="pct"/>
            <w:noWrap/>
            <w:hideMark/>
          </w:tcPr>
          <w:p w14:paraId="5044F666" w14:textId="77777777" w:rsidR="00F56D0E" w:rsidRPr="005F1725" w:rsidRDefault="00F56D0E" w:rsidP="005F1725">
            <w:pPr>
              <w:pStyle w:val="TableBody"/>
            </w:pPr>
            <w:r w:rsidRPr="005F1725">
              <w:t>Jul-21</w:t>
            </w:r>
          </w:p>
        </w:tc>
        <w:tc>
          <w:tcPr>
            <w:tcW w:w="1666" w:type="pct"/>
            <w:noWrap/>
            <w:hideMark/>
          </w:tcPr>
          <w:p w14:paraId="00AD8A57" w14:textId="77777777" w:rsidR="00F56D0E" w:rsidRPr="00D34F42" w:rsidRDefault="00F56D0E" w:rsidP="00D34F42">
            <w:pPr>
              <w:pStyle w:val="TableBody"/>
            </w:pPr>
            <w:r w:rsidRPr="00D34F42">
              <w:t>965</w:t>
            </w:r>
          </w:p>
        </w:tc>
        <w:tc>
          <w:tcPr>
            <w:tcW w:w="1667" w:type="pct"/>
            <w:noWrap/>
            <w:hideMark/>
          </w:tcPr>
          <w:p w14:paraId="1CA0D292" w14:textId="77777777" w:rsidR="00F56D0E" w:rsidRPr="00D34F42" w:rsidRDefault="00F56D0E" w:rsidP="00D34F42">
            <w:pPr>
              <w:pStyle w:val="TableBody"/>
            </w:pPr>
            <w:r w:rsidRPr="00D34F42">
              <w:t>912</w:t>
            </w:r>
          </w:p>
        </w:tc>
      </w:tr>
      <w:tr w:rsidR="00F56D0E" w:rsidRPr="00F56D0E" w14:paraId="3FCD2440" w14:textId="77777777" w:rsidTr="00DC7A50">
        <w:trPr>
          <w:trHeight w:val="288"/>
        </w:trPr>
        <w:tc>
          <w:tcPr>
            <w:tcW w:w="1666" w:type="pct"/>
            <w:noWrap/>
            <w:hideMark/>
          </w:tcPr>
          <w:p w14:paraId="7E922D1F" w14:textId="77777777" w:rsidR="00F56D0E" w:rsidRPr="005F1725" w:rsidRDefault="00F56D0E" w:rsidP="005F1725">
            <w:pPr>
              <w:pStyle w:val="TableBody"/>
            </w:pPr>
            <w:r w:rsidRPr="005F1725">
              <w:t>Aug-21</w:t>
            </w:r>
          </w:p>
        </w:tc>
        <w:tc>
          <w:tcPr>
            <w:tcW w:w="1666" w:type="pct"/>
            <w:noWrap/>
            <w:hideMark/>
          </w:tcPr>
          <w:p w14:paraId="48D9E942" w14:textId="77777777" w:rsidR="00F56D0E" w:rsidRPr="00D34F42" w:rsidRDefault="00F56D0E" w:rsidP="00D34F42">
            <w:pPr>
              <w:pStyle w:val="TableBody"/>
            </w:pPr>
            <w:r w:rsidRPr="00D34F42">
              <w:t>1,007</w:t>
            </w:r>
          </w:p>
        </w:tc>
        <w:tc>
          <w:tcPr>
            <w:tcW w:w="1667" w:type="pct"/>
            <w:noWrap/>
            <w:hideMark/>
          </w:tcPr>
          <w:p w14:paraId="6AD67180" w14:textId="77777777" w:rsidR="00F56D0E" w:rsidRPr="00D34F42" w:rsidRDefault="00F56D0E" w:rsidP="00D34F42">
            <w:pPr>
              <w:pStyle w:val="TableBody"/>
            </w:pPr>
            <w:r w:rsidRPr="00D34F42">
              <w:t>940</w:t>
            </w:r>
          </w:p>
        </w:tc>
      </w:tr>
      <w:tr w:rsidR="00F56D0E" w:rsidRPr="00F56D0E" w14:paraId="6658C68F" w14:textId="77777777" w:rsidTr="00DC7A50">
        <w:trPr>
          <w:trHeight w:val="288"/>
        </w:trPr>
        <w:tc>
          <w:tcPr>
            <w:tcW w:w="1666" w:type="pct"/>
            <w:noWrap/>
            <w:hideMark/>
          </w:tcPr>
          <w:p w14:paraId="3BF482B1" w14:textId="77777777" w:rsidR="00F56D0E" w:rsidRPr="005F1725" w:rsidRDefault="00F56D0E" w:rsidP="005F1725">
            <w:pPr>
              <w:pStyle w:val="TableBody"/>
            </w:pPr>
            <w:r w:rsidRPr="005F1725">
              <w:t>Sep-21</w:t>
            </w:r>
          </w:p>
        </w:tc>
        <w:tc>
          <w:tcPr>
            <w:tcW w:w="1666" w:type="pct"/>
            <w:noWrap/>
            <w:hideMark/>
          </w:tcPr>
          <w:p w14:paraId="2E46992B" w14:textId="77777777" w:rsidR="00F56D0E" w:rsidRPr="00D34F42" w:rsidRDefault="00F56D0E" w:rsidP="00D34F42">
            <w:pPr>
              <w:pStyle w:val="TableBody"/>
            </w:pPr>
            <w:r w:rsidRPr="00D34F42">
              <w:t>1,009</w:t>
            </w:r>
          </w:p>
        </w:tc>
        <w:tc>
          <w:tcPr>
            <w:tcW w:w="1667" w:type="pct"/>
            <w:noWrap/>
            <w:hideMark/>
          </w:tcPr>
          <w:p w14:paraId="656ECA6E" w14:textId="77777777" w:rsidR="00F56D0E" w:rsidRPr="00D34F42" w:rsidRDefault="00F56D0E" w:rsidP="00D34F42">
            <w:pPr>
              <w:pStyle w:val="TableBody"/>
            </w:pPr>
            <w:r w:rsidRPr="00D34F42">
              <w:t>737</w:t>
            </w:r>
          </w:p>
        </w:tc>
      </w:tr>
      <w:tr w:rsidR="00F56D0E" w:rsidRPr="00F56D0E" w14:paraId="12A1537F" w14:textId="77777777" w:rsidTr="00DC7A50">
        <w:trPr>
          <w:trHeight w:val="288"/>
        </w:trPr>
        <w:tc>
          <w:tcPr>
            <w:tcW w:w="1666" w:type="pct"/>
            <w:noWrap/>
            <w:hideMark/>
          </w:tcPr>
          <w:p w14:paraId="76C64BAA" w14:textId="77777777" w:rsidR="00F56D0E" w:rsidRPr="005F1725" w:rsidRDefault="00F56D0E" w:rsidP="005F1725">
            <w:pPr>
              <w:pStyle w:val="TableBody"/>
            </w:pPr>
            <w:r w:rsidRPr="005F1725">
              <w:t>Oct-21</w:t>
            </w:r>
          </w:p>
        </w:tc>
        <w:tc>
          <w:tcPr>
            <w:tcW w:w="1666" w:type="pct"/>
            <w:noWrap/>
            <w:hideMark/>
          </w:tcPr>
          <w:p w14:paraId="3051B24B" w14:textId="77777777" w:rsidR="00F56D0E" w:rsidRPr="00D34F42" w:rsidRDefault="00F56D0E" w:rsidP="00D34F42">
            <w:pPr>
              <w:pStyle w:val="TableBody"/>
            </w:pPr>
            <w:r w:rsidRPr="00D34F42">
              <w:t>978</w:t>
            </w:r>
          </w:p>
        </w:tc>
        <w:tc>
          <w:tcPr>
            <w:tcW w:w="1667" w:type="pct"/>
            <w:noWrap/>
            <w:hideMark/>
          </w:tcPr>
          <w:p w14:paraId="4931B2B3" w14:textId="77777777" w:rsidR="00F56D0E" w:rsidRPr="00D34F42" w:rsidRDefault="00F56D0E" w:rsidP="00D34F42">
            <w:pPr>
              <w:pStyle w:val="TableBody"/>
            </w:pPr>
            <w:r w:rsidRPr="00D34F42">
              <w:t>782</w:t>
            </w:r>
          </w:p>
        </w:tc>
      </w:tr>
      <w:tr w:rsidR="00F56D0E" w:rsidRPr="00F56D0E" w14:paraId="3079B056" w14:textId="77777777" w:rsidTr="00DC7A50">
        <w:trPr>
          <w:trHeight w:val="288"/>
        </w:trPr>
        <w:tc>
          <w:tcPr>
            <w:tcW w:w="1666" w:type="pct"/>
            <w:noWrap/>
            <w:hideMark/>
          </w:tcPr>
          <w:p w14:paraId="520CFA24" w14:textId="77777777" w:rsidR="00F56D0E" w:rsidRPr="005F1725" w:rsidRDefault="00F56D0E" w:rsidP="005F1725">
            <w:pPr>
              <w:pStyle w:val="TableBody"/>
            </w:pPr>
            <w:r w:rsidRPr="005F1725">
              <w:lastRenderedPageBreak/>
              <w:t>Nov-21</w:t>
            </w:r>
          </w:p>
        </w:tc>
        <w:tc>
          <w:tcPr>
            <w:tcW w:w="1666" w:type="pct"/>
            <w:noWrap/>
            <w:hideMark/>
          </w:tcPr>
          <w:p w14:paraId="56E50A19" w14:textId="77777777" w:rsidR="00F56D0E" w:rsidRPr="00D34F42" w:rsidRDefault="00F56D0E" w:rsidP="00D34F42">
            <w:pPr>
              <w:pStyle w:val="TableBody"/>
            </w:pPr>
            <w:r w:rsidRPr="00D34F42">
              <w:t>946</w:t>
            </w:r>
          </w:p>
        </w:tc>
        <w:tc>
          <w:tcPr>
            <w:tcW w:w="1667" w:type="pct"/>
            <w:noWrap/>
            <w:hideMark/>
          </w:tcPr>
          <w:p w14:paraId="2BC144D0" w14:textId="77777777" w:rsidR="00F56D0E" w:rsidRPr="00D34F42" w:rsidRDefault="00F56D0E" w:rsidP="00D34F42">
            <w:pPr>
              <w:pStyle w:val="TableBody"/>
            </w:pPr>
            <w:r w:rsidRPr="00D34F42">
              <w:t>879</w:t>
            </w:r>
          </w:p>
        </w:tc>
      </w:tr>
      <w:tr w:rsidR="00F56D0E" w:rsidRPr="00F56D0E" w14:paraId="13A75138" w14:textId="77777777" w:rsidTr="00DC7A50">
        <w:trPr>
          <w:trHeight w:val="288"/>
        </w:trPr>
        <w:tc>
          <w:tcPr>
            <w:tcW w:w="1666" w:type="pct"/>
            <w:noWrap/>
            <w:hideMark/>
          </w:tcPr>
          <w:p w14:paraId="476EA5BD" w14:textId="77777777" w:rsidR="00F56D0E" w:rsidRPr="005F1725" w:rsidRDefault="00F56D0E" w:rsidP="005F1725">
            <w:pPr>
              <w:pStyle w:val="TableBody"/>
            </w:pPr>
            <w:r w:rsidRPr="005F1725">
              <w:t>Dec-21</w:t>
            </w:r>
          </w:p>
        </w:tc>
        <w:tc>
          <w:tcPr>
            <w:tcW w:w="1666" w:type="pct"/>
            <w:noWrap/>
            <w:hideMark/>
          </w:tcPr>
          <w:p w14:paraId="7AD91CF9" w14:textId="77777777" w:rsidR="00F56D0E" w:rsidRPr="00D34F42" w:rsidRDefault="00F56D0E" w:rsidP="00D34F42">
            <w:pPr>
              <w:pStyle w:val="TableBody"/>
            </w:pPr>
            <w:r w:rsidRPr="00D34F42">
              <w:t>877</w:t>
            </w:r>
          </w:p>
        </w:tc>
        <w:tc>
          <w:tcPr>
            <w:tcW w:w="1667" w:type="pct"/>
            <w:noWrap/>
            <w:hideMark/>
          </w:tcPr>
          <w:p w14:paraId="76396A13" w14:textId="77777777" w:rsidR="00F56D0E" w:rsidRPr="00D34F42" w:rsidRDefault="00F56D0E" w:rsidP="00D34F42">
            <w:pPr>
              <w:pStyle w:val="TableBody"/>
            </w:pPr>
            <w:r w:rsidRPr="00D34F42">
              <w:t>867</w:t>
            </w:r>
          </w:p>
        </w:tc>
      </w:tr>
      <w:tr w:rsidR="00F56D0E" w:rsidRPr="00F56D0E" w14:paraId="12DAD050" w14:textId="77777777" w:rsidTr="00DC7A50">
        <w:trPr>
          <w:trHeight w:val="288"/>
        </w:trPr>
        <w:tc>
          <w:tcPr>
            <w:tcW w:w="1666" w:type="pct"/>
            <w:noWrap/>
            <w:hideMark/>
          </w:tcPr>
          <w:p w14:paraId="14E37DA1" w14:textId="77777777" w:rsidR="00F56D0E" w:rsidRPr="005F1725" w:rsidRDefault="00F56D0E" w:rsidP="005F1725">
            <w:pPr>
              <w:pStyle w:val="TableBody"/>
            </w:pPr>
            <w:r w:rsidRPr="005F1725">
              <w:t>Jan-22</w:t>
            </w:r>
          </w:p>
        </w:tc>
        <w:tc>
          <w:tcPr>
            <w:tcW w:w="1666" w:type="pct"/>
            <w:noWrap/>
            <w:hideMark/>
          </w:tcPr>
          <w:p w14:paraId="76574A60" w14:textId="77777777" w:rsidR="00F56D0E" w:rsidRPr="00D34F42" w:rsidRDefault="00F56D0E" w:rsidP="00D34F42">
            <w:pPr>
              <w:pStyle w:val="TableBody"/>
            </w:pPr>
            <w:r w:rsidRPr="00D34F42">
              <w:t>704</w:t>
            </w:r>
          </w:p>
        </w:tc>
        <w:tc>
          <w:tcPr>
            <w:tcW w:w="1667" w:type="pct"/>
            <w:noWrap/>
            <w:hideMark/>
          </w:tcPr>
          <w:p w14:paraId="0DCD2A42" w14:textId="77777777" w:rsidR="00F56D0E" w:rsidRPr="00D34F42" w:rsidRDefault="00F56D0E" w:rsidP="00D34F42">
            <w:pPr>
              <w:pStyle w:val="TableBody"/>
            </w:pPr>
            <w:r w:rsidRPr="00D34F42">
              <w:t>800</w:t>
            </w:r>
          </w:p>
        </w:tc>
      </w:tr>
      <w:tr w:rsidR="00F56D0E" w:rsidRPr="00F56D0E" w14:paraId="3259BF41" w14:textId="77777777" w:rsidTr="00DC7A50">
        <w:trPr>
          <w:trHeight w:val="288"/>
        </w:trPr>
        <w:tc>
          <w:tcPr>
            <w:tcW w:w="1666" w:type="pct"/>
            <w:noWrap/>
            <w:hideMark/>
          </w:tcPr>
          <w:p w14:paraId="6F765896" w14:textId="77777777" w:rsidR="00F56D0E" w:rsidRPr="005F1725" w:rsidRDefault="00F56D0E" w:rsidP="005F1725">
            <w:pPr>
              <w:pStyle w:val="TableBody"/>
            </w:pPr>
            <w:r w:rsidRPr="005F1725">
              <w:t>Feb-22</w:t>
            </w:r>
          </w:p>
        </w:tc>
        <w:tc>
          <w:tcPr>
            <w:tcW w:w="1666" w:type="pct"/>
            <w:noWrap/>
            <w:hideMark/>
          </w:tcPr>
          <w:p w14:paraId="2A31764B" w14:textId="77777777" w:rsidR="00F56D0E" w:rsidRPr="00D34F42" w:rsidRDefault="00F56D0E" w:rsidP="00D34F42">
            <w:pPr>
              <w:pStyle w:val="TableBody"/>
            </w:pPr>
            <w:r w:rsidRPr="00D34F42">
              <w:t>849</w:t>
            </w:r>
          </w:p>
        </w:tc>
        <w:tc>
          <w:tcPr>
            <w:tcW w:w="1667" w:type="pct"/>
            <w:noWrap/>
            <w:hideMark/>
          </w:tcPr>
          <w:p w14:paraId="4693E234" w14:textId="77777777" w:rsidR="00F56D0E" w:rsidRPr="00D34F42" w:rsidRDefault="00F56D0E" w:rsidP="00D34F42">
            <w:pPr>
              <w:pStyle w:val="TableBody"/>
            </w:pPr>
            <w:r w:rsidRPr="00D34F42">
              <w:t>849</w:t>
            </w:r>
          </w:p>
        </w:tc>
      </w:tr>
      <w:tr w:rsidR="00F56D0E" w:rsidRPr="00F56D0E" w14:paraId="429C25F3" w14:textId="77777777" w:rsidTr="00DC7A50">
        <w:trPr>
          <w:trHeight w:val="288"/>
        </w:trPr>
        <w:tc>
          <w:tcPr>
            <w:tcW w:w="1666" w:type="pct"/>
            <w:noWrap/>
            <w:hideMark/>
          </w:tcPr>
          <w:p w14:paraId="380AFCB3" w14:textId="77777777" w:rsidR="00F56D0E" w:rsidRPr="005F1725" w:rsidRDefault="00F56D0E" w:rsidP="005F1725">
            <w:pPr>
              <w:pStyle w:val="TableBody"/>
            </w:pPr>
            <w:r w:rsidRPr="005F1725">
              <w:t>Mar-22</w:t>
            </w:r>
          </w:p>
        </w:tc>
        <w:tc>
          <w:tcPr>
            <w:tcW w:w="1666" w:type="pct"/>
            <w:noWrap/>
            <w:hideMark/>
          </w:tcPr>
          <w:p w14:paraId="188D41EF" w14:textId="77777777" w:rsidR="00F56D0E" w:rsidRPr="00D34F42" w:rsidRDefault="00F56D0E" w:rsidP="00D34F42">
            <w:pPr>
              <w:pStyle w:val="TableBody"/>
            </w:pPr>
            <w:r w:rsidRPr="00D34F42">
              <w:t>966</w:t>
            </w:r>
          </w:p>
        </w:tc>
        <w:tc>
          <w:tcPr>
            <w:tcW w:w="1667" w:type="pct"/>
            <w:noWrap/>
            <w:hideMark/>
          </w:tcPr>
          <w:p w14:paraId="7E273EAB" w14:textId="77777777" w:rsidR="00F56D0E" w:rsidRPr="00D34F42" w:rsidRDefault="00F56D0E" w:rsidP="00D34F42">
            <w:pPr>
              <w:pStyle w:val="TableBody"/>
            </w:pPr>
            <w:r w:rsidRPr="00D34F42">
              <w:t>998</w:t>
            </w:r>
          </w:p>
        </w:tc>
      </w:tr>
      <w:tr w:rsidR="00F56D0E" w:rsidRPr="00F56D0E" w14:paraId="769528D5" w14:textId="77777777" w:rsidTr="00DC7A50">
        <w:trPr>
          <w:trHeight w:val="288"/>
        </w:trPr>
        <w:tc>
          <w:tcPr>
            <w:tcW w:w="1666" w:type="pct"/>
            <w:noWrap/>
            <w:hideMark/>
          </w:tcPr>
          <w:p w14:paraId="7B68B09E" w14:textId="77777777" w:rsidR="00F56D0E" w:rsidRPr="005F1725" w:rsidRDefault="00F56D0E" w:rsidP="005F1725">
            <w:pPr>
              <w:pStyle w:val="TableBody"/>
            </w:pPr>
            <w:r w:rsidRPr="005F1725">
              <w:t>Apr-22</w:t>
            </w:r>
          </w:p>
        </w:tc>
        <w:tc>
          <w:tcPr>
            <w:tcW w:w="1666" w:type="pct"/>
            <w:noWrap/>
            <w:hideMark/>
          </w:tcPr>
          <w:p w14:paraId="7A4C9954" w14:textId="77777777" w:rsidR="00F56D0E" w:rsidRPr="00D34F42" w:rsidRDefault="00F56D0E" w:rsidP="00D34F42">
            <w:pPr>
              <w:pStyle w:val="TableBody"/>
            </w:pPr>
            <w:r w:rsidRPr="00D34F42">
              <w:t>820</w:t>
            </w:r>
          </w:p>
        </w:tc>
        <w:tc>
          <w:tcPr>
            <w:tcW w:w="1667" w:type="pct"/>
            <w:noWrap/>
            <w:hideMark/>
          </w:tcPr>
          <w:p w14:paraId="67A31623" w14:textId="77777777" w:rsidR="00F56D0E" w:rsidRPr="00D34F42" w:rsidRDefault="00F56D0E" w:rsidP="00D34F42">
            <w:pPr>
              <w:pStyle w:val="TableBody"/>
            </w:pPr>
            <w:r w:rsidRPr="00D34F42">
              <w:t>821</w:t>
            </w:r>
          </w:p>
        </w:tc>
      </w:tr>
      <w:tr w:rsidR="00F56D0E" w:rsidRPr="00F56D0E" w14:paraId="02B8F473" w14:textId="77777777" w:rsidTr="00DC7A50">
        <w:trPr>
          <w:trHeight w:val="288"/>
        </w:trPr>
        <w:tc>
          <w:tcPr>
            <w:tcW w:w="1666" w:type="pct"/>
            <w:noWrap/>
            <w:hideMark/>
          </w:tcPr>
          <w:p w14:paraId="534C77B4" w14:textId="77777777" w:rsidR="00F56D0E" w:rsidRPr="005F1725" w:rsidRDefault="00F56D0E" w:rsidP="005F1725">
            <w:pPr>
              <w:pStyle w:val="TableBody"/>
            </w:pPr>
            <w:r w:rsidRPr="005F1725">
              <w:t>May-22</w:t>
            </w:r>
          </w:p>
        </w:tc>
        <w:tc>
          <w:tcPr>
            <w:tcW w:w="1666" w:type="pct"/>
            <w:noWrap/>
            <w:hideMark/>
          </w:tcPr>
          <w:p w14:paraId="379905D7" w14:textId="77777777" w:rsidR="00F56D0E" w:rsidRPr="00D34F42" w:rsidRDefault="00F56D0E" w:rsidP="00D34F42">
            <w:pPr>
              <w:pStyle w:val="TableBody"/>
            </w:pPr>
            <w:r w:rsidRPr="00D34F42">
              <w:t>986</w:t>
            </w:r>
          </w:p>
        </w:tc>
        <w:tc>
          <w:tcPr>
            <w:tcW w:w="1667" w:type="pct"/>
            <w:noWrap/>
            <w:hideMark/>
          </w:tcPr>
          <w:p w14:paraId="0481CD98" w14:textId="77777777" w:rsidR="00F56D0E" w:rsidRPr="00D34F42" w:rsidRDefault="00F56D0E" w:rsidP="00D34F42">
            <w:pPr>
              <w:pStyle w:val="TableBody"/>
            </w:pPr>
            <w:r w:rsidRPr="00D34F42">
              <w:t>941</w:t>
            </w:r>
          </w:p>
        </w:tc>
      </w:tr>
      <w:tr w:rsidR="00F56D0E" w:rsidRPr="00F56D0E" w14:paraId="085A6709" w14:textId="77777777" w:rsidTr="00DC7A50">
        <w:trPr>
          <w:trHeight w:val="288"/>
        </w:trPr>
        <w:tc>
          <w:tcPr>
            <w:tcW w:w="1666" w:type="pct"/>
            <w:noWrap/>
            <w:hideMark/>
          </w:tcPr>
          <w:p w14:paraId="0C86840C" w14:textId="77777777" w:rsidR="00F56D0E" w:rsidRPr="005F1725" w:rsidRDefault="00F56D0E" w:rsidP="005F1725">
            <w:pPr>
              <w:pStyle w:val="TableBody"/>
            </w:pPr>
            <w:r w:rsidRPr="005F1725">
              <w:t>Jun-22</w:t>
            </w:r>
          </w:p>
        </w:tc>
        <w:tc>
          <w:tcPr>
            <w:tcW w:w="1666" w:type="pct"/>
            <w:noWrap/>
            <w:hideMark/>
          </w:tcPr>
          <w:p w14:paraId="1F84708B" w14:textId="77777777" w:rsidR="00F56D0E" w:rsidRPr="00D34F42" w:rsidRDefault="00F56D0E" w:rsidP="00D34F42">
            <w:pPr>
              <w:pStyle w:val="TableBody"/>
            </w:pPr>
            <w:r w:rsidRPr="00D34F42">
              <w:t>917</w:t>
            </w:r>
          </w:p>
        </w:tc>
        <w:tc>
          <w:tcPr>
            <w:tcW w:w="1667" w:type="pct"/>
            <w:noWrap/>
            <w:hideMark/>
          </w:tcPr>
          <w:p w14:paraId="36DE4719" w14:textId="77777777" w:rsidR="00F56D0E" w:rsidRPr="00D34F42" w:rsidRDefault="00F56D0E" w:rsidP="00D34F42">
            <w:pPr>
              <w:pStyle w:val="TableBody"/>
            </w:pPr>
            <w:r w:rsidRPr="00D34F42">
              <w:t>854</w:t>
            </w:r>
          </w:p>
        </w:tc>
      </w:tr>
      <w:tr w:rsidR="00F56D0E" w:rsidRPr="00F56D0E" w14:paraId="388CE849" w14:textId="77777777" w:rsidTr="00DC7A50">
        <w:trPr>
          <w:trHeight w:val="288"/>
        </w:trPr>
        <w:tc>
          <w:tcPr>
            <w:tcW w:w="1666" w:type="pct"/>
            <w:noWrap/>
            <w:hideMark/>
          </w:tcPr>
          <w:p w14:paraId="0F2F7114" w14:textId="77777777" w:rsidR="00F56D0E" w:rsidRPr="005F1725" w:rsidRDefault="00F56D0E" w:rsidP="005F1725">
            <w:pPr>
              <w:pStyle w:val="TableBody"/>
            </w:pPr>
            <w:r w:rsidRPr="005F1725">
              <w:t>Jul-22</w:t>
            </w:r>
          </w:p>
        </w:tc>
        <w:tc>
          <w:tcPr>
            <w:tcW w:w="1666" w:type="pct"/>
            <w:noWrap/>
            <w:hideMark/>
          </w:tcPr>
          <w:p w14:paraId="2A11D792" w14:textId="77777777" w:rsidR="00F56D0E" w:rsidRPr="00D34F42" w:rsidRDefault="00F56D0E" w:rsidP="00D34F42">
            <w:pPr>
              <w:pStyle w:val="TableBody"/>
            </w:pPr>
            <w:r w:rsidRPr="00D34F42">
              <w:t>812</w:t>
            </w:r>
          </w:p>
        </w:tc>
        <w:tc>
          <w:tcPr>
            <w:tcW w:w="1667" w:type="pct"/>
            <w:noWrap/>
            <w:hideMark/>
          </w:tcPr>
          <w:p w14:paraId="0987C493" w14:textId="77777777" w:rsidR="00F56D0E" w:rsidRPr="00D34F42" w:rsidRDefault="00F56D0E" w:rsidP="00D34F42">
            <w:pPr>
              <w:pStyle w:val="TableBody"/>
            </w:pPr>
            <w:r w:rsidRPr="00D34F42">
              <w:t>861</w:t>
            </w:r>
          </w:p>
        </w:tc>
      </w:tr>
      <w:tr w:rsidR="00F56D0E" w:rsidRPr="00F56D0E" w14:paraId="1CD5D2EC" w14:textId="77777777" w:rsidTr="00DC7A50">
        <w:trPr>
          <w:trHeight w:val="288"/>
        </w:trPr>
        <w:tc>
          <w:tcPr>
            <w:tcW w:w="1666" w:type="pct"/>
            <w:noWrap/>
            <w:hideMark/>
          </w:tcPr>
          <w:p w14:paraId="10B80ACB" w14:textId="77777777" w:rsidR="00F56D0E" w:rsidRPr="005F1725" w:rsidRDefault="00F56D0E" w:rsidP="005F1725">
            <w:pPr>
              <w:pStyle w:val="TableBody"/>
            </w:pPr>
            <w:r w:rsidRPr="005F1725">
              <w:t>Aug-22</w:t>
            </w:r>
          </w:p>
        </w:tc>
        <w:tc>
          <w:tcPr>
            <w:tcW w:w="1666" w:type="pct"/>
            <w:noWrap/>
            <w:hideMark/>
          </w:tcPr>
          <w:p w14:paraId="7F82D227" w14:textId="77777777" w:rsidR="00F56D0E" w:rsidRPr="00D34F42" w:rsidRDefault="00F56D0E" w:rsidP="00D34F42">
            <w:pPr>
              <w:pStyle w:val="TableBody"/>
            </w:pPr>
            <w:r w:rsidRPr="00D34F42">
              <w:t>991</w:t>
            </w:r>
          </w:p>
        </w:tc>
        <w:tc>
          <w:tcPr>
            <w:tcW w:w="1667" w:type="pct"/>
            <w:noWrap/>
            <w:hideMark/>
          </w:tcPr>
          <w:p w14:paraId="58C51C26" w14:textId="77777777" w:rsidR="00F56D0E" w:rsidRPr="00D34F42" w:rsidRDefault="00F56D0E" w:rsidP="00D34F42">
            <w:pPr>
              <w:pStyle w:val="TableBody"/>
            </w:pPr>
            <w:r w:rsidRPr="00D34F42">
              <w:t>1,008</w:t>
            </w:r>
          </w:p>
        </w:tc>
      </w:tr>
      <w:tr w:rsidR="00F56D0E" w:rsidRPr="00F56D0E" w14:paraId="5384D9B8" w14:textId="77777777" w:rsidTr="00DC7A50">
        <w:trPr>
          <w:trHeight w:val="288"/>
        </w:trPr>
        <w:tc>
          <w:tcPr>
            <w:tcW w:w="1666" w:type="pct"/>
            <w:noWrap/>
            <w:hideMark/>
          </w:tcPr>
          <w:p w14:paraId="5209578A" w14:textId="77777777" w:rsidR="00F56D0E" w:rsidRPr="005F1725" w:rsidRDefault="00F56D0E" w:rsidP="005F1725">
            <w:pPr>
              <w:pStyle w:val="TableBody"/>
            </w:pPr>
            <w:r w:rsidRPr="005F1725">
              <w:t>Sep-22</w:t>
            </w:r>
          </w:p>
        </w:tc>
        <w:tc>
          <w:tcPr>
            <w:tcW w:w="1666" w:type="pct"/>
            <w:noWrap/>
            <w:hideMark/>
          </w:tcPr>
          <w:p w14:paraId="4B701EA0" w14:textId="77777777" w:rsidR="00F56D0E" w:rsidRPr="00D34F42" w:rsidRDefault="00F56D0E" w:rsidP="00D34F42">
            <w:pPr>
              <w:pStyle w:val="TableBody"/>
            </w:pPr>
            <w:r w:rsidRPr="00D34F42">
              <w:t>920</w:t>
            </w:r>
          </w:p>
        </w:tc>
        <w:tc>
          <w:tcPr>
            <w:tcW w:w="1667" w:type="pct"/>
            <w:noWrap/>
            <w:hideMark/>
          </w:tcPr>
          <w:p w14:paraId="2753C3A2" w14:textId="77777777" w:rsidR="00F56D0E" w:rsidRPr="00D34F42" w:rsidRDefault="00F56D0E" w:rsidP="00D34F42">
            <w:pPr>
              <w:pStyle w:val="TableBody"/>
            </w:pPr>
            <w:r w:rsidRPr="00D34F42">
              <w:t>991</w:t>
            </w:r>
          </w:p>
        </w:tc>
      </w:tr>
      <w:tr w:rsidR="00F56D0E" w:rsidRPr="00F56D0E" w14:paraId="5ADA399A" w14:textId="77777777" w:rsidTr="00DC7A50">
        <w:trPr>
          <w:trHeight w:val="288"/>
        </w:trPr>
        <w:tc>
          <w:tcPr>
            <w:tcW w:w="1666" w:type="pct"/>
            <w:noWrap/>
            <w:hideMark/>
          </w:tcPr>
          <w:p w14:paraId="2AA146B4" w14:textId="77777777" w:rsidR="00F56D0E" w:rsidRPr="005F1725" w:rsidRDefault="00F56D0E" w:rsidP="005F1725">
            <w:pPr>
              <w:pStyle w:val="TableBody"/>
            </w:pPr>
            <w:r w:rsidRPr="005F1725">
              <w:t>Oct-22</w:t>
            </w:r>
          </w:p>
        </w:tc>
        <w:tc>
          <w:tcPr>
            <w:tcW w:w="1666" w:type="pct"/>
            <w:noWrap/>
            <w:hideMark/>
          </w:tcPr>
          <w:p w14:paraId="08223F96" w14:textId="77777777" w:rsidR="00F56D0E" w:rsidRPr="00D34F42" w:rsidRDefault="00F56D0E" w:rsidP="00D34F42">
            <w:pPr>
              <w:pStyle w:val="TableBody"/>
            </w:pPr>
            <w:r w:rsidRPr="00D34F42">
              <w:t>938</w:t>
            </w:r>
          </w:p>
        </w:tc>
        <w:tc>
          <w:tcPr>
            <w:tcW w:w="1667" w:type="pct"/>
            <w:noWrap/>
            <w:hideMark/>
          </w:tcPr>
          <w:p w14:paraId="24EE08F4" w14:textId="77777777" w:rsidR="00F56D0E" w:rsidRPr="00D34F42" w:rsidRDefault="00F56D0E" w:rsidP="00D34F42">
            <w:pPr>
              <w:pStyle w:val="TableBody"/>
            </w:pPr>
            <w:r w:rsidRPr="00D34F42">
              <w:t>966</w:t>
            </w:r>
          </w:p>
        </w:tc>
      </w:tr>
      <w:tr w:rsidR="00F56D0E" w:rsidRPr="00F56D0E" w14:paraId="2009DF13" w14:textId="77777777" w:rsidTr="00DC7A50">
        <w:trPr>
          <w:trHeight w:val="288"/>
        </w:trPr>
        <w:tc>
          <w:tcPr>
            <w:tcW w:w="1666" w:type="pct"/>
            <w:noWrap/>
            <w:hideMark/>
          </w:tcPr>
          <w:p w14:paraId="00E0B54C" w14:textId="77777777" w:rsidR="00F56D0E" w:rsidRPr="005F1725" w:rsidRDefault="00F56D0E" w:rsidP="005F1725">
            <w:pPr>
              <w:pStyle w:val="TableBody"/>
            </w:pPr>
            <w:r w:rsidRPr="005F1725">
              <w:t>Nov-22</w:t>
            </w:r>
          </w:p>
        </w:tc>
        <w:tc>
          <w:tcPr>
            <w:tcW w:w="1666" w:type="pct"/>
            <w:noWrap/>
            <w:hideMark/>
          </w:tcPr>
          <w:p w14:paraId="4797CABF" w14:textId="77777777" w:rsidR="00F56D0E" w:rsidRPr="00D34F42" w:rsidRDefault="00F56D0E" w:rsidP="00D34F42">
            <w:pPr>
              <w:pStyle w:val="TableBody"/>
            </w:pPr>
            <w:r w:rsidRPr="00D34F42">
              <w:t>924</w:t>
            </w:r>
          </w:p>
        </w:tc>
        <w:tc>
          <w:tcPr>
            <w:tcW w:w="1667" w:type="pct"/>
            <w:noWrap/>
            <w:hideMark/>
          </w:tcPr>
          <w:p w14:paraId="2549ECB0" w14:textId="77777777" w:rsidR="00F56D0E" w:rsidRPr="00D34F42" w:rsidRDefault="00F56D0E" w:rsidP="00D34F42">
            <w:pPr>
              <w:pStyle w:val="TableBody"/>
            </w:pPr>
            <w:r w:rsidRPr="00D34F42">
              <w:t>897</w:t>
            </w:r>
          </w:p>
        </w:tc>
      </w:tr>
      <w:tr w:rsidR="00F56D0E" w:rsidRPr="00F56D0E" w14:paraId="365A1E5C" w14:textId="77777777" w:rsidTr="00DC7A50">
        <w:trPr>
          <w:trHeight w:val="288"/>
        </w:trPr>
        <w:tc>
          <w:tcPr>
            <w:tcW w:w="1666" w:type="pct"/>
            <w:noWrap/>
            <w:hideMark/>
          </w:tcPr>
          <w:p w14:paraId="35BFAC27" w14:textId="77777777" w:rsidR="00F56D0E" w:rsidRPr="005F1725" w:rsidRDefault="00F56D0E" w:rsidP="005F1725">
            <w:pPr>
              <w:pStyle w:val="TableBody"/>
            </w:pPr>
            <w:r w:rsidRPr="005F1725">
              <w:t>Dec-22</w:t>
            </w:r>
          </w:p>
        </w:tc>
        <w:tc>
          <w:tcPr>
            <w:tcW w:w="1666" w:type="pct"/>
            <w:noWrap/>
            <w:hideMark/>
          </w:tcPr>
          <w:p w14:paraId="153C1C40" w14:textId="77777777" w:rsidR="00F56D0E" w:rsidRPr="00D34F42" w:rsidRDefault="00F56D0E" w:rsidP="00D34F42">
            <w:pPr>
              <w:pStyle w:val="TableBody"/>
            </w:pPr>
            <w:r w:rsidRPr="00D34F42">
              <w:t>959</w:t>
            </w:r>
          </w:p>
        </w:tc>
        <w:tc>
          <w:tcPr>
            <w:tcW w:w="1667" w:type="pct"/>
            <w:noWrap/>
            <w:hideMark/>
          </w:tcPr>
          <w:p w14:paraId="3E14930D" w14:textId="77777777" w:rsidR="00F56D0E" w:rsidRPr="00D34F42" w:rsidRDefault="00F56D0E" w:rsidP="00D34F42">
            <w:pPr>
              <w:pStyle w:val="TableBody"/>
            </w:pPr>
            <w:r w:rsidRPr="00D34F42">
              <w:t>886</w:t>
            </w:r>
          </w:p>
        </w:tc>
      </w:tr>
      <w:tr w:rsidR="00F56D0E" w:rsidRPr="00F56D0E" w14:paraId="30E941E9" w14:textId="77777777" w:rsidTr="00DC7A50">
        <w:trPr>
          <w:trHeight w:val="288"/>
        </w:trPr>
        <w:tc>
          <w:tcPr>
            <w:tcW w:w="1666" w:type="pct"/>
            <w:noWrap/>
            <w:hideMark/>
          </w:tcPr>
          <w:p w14:paraId="3A4B7196" w14:textId="77777777" w:rsidR="00F56D0E" w:rsidRPr="005F1725" w:rsidRDefault="00F56D0E" w:rsidP="005F1725">
            <w:pPr>
              <w:pStyle w:val="TableBody"/>
            </w:pPr>
            <w:r w:rsidRPr="005F1725">
              <w:t>Jan-23</w:t>
            </w:r>
          </w:p>
        </w:tc>
        <w:tc>
          <w:tcPr>
            <w:tcW w:w="1666" w:type="pct"/>
            <w:noWrap/>
            <w:hideMark/>
          </w:tcPr>
          <w:p w14:paraId="7B5149E0" w14:textId="77777777" w:rsidR="00F56D0E" w:rsidRPr="00D34F42" w:rsidRDefault="00F56D0E" w:rsidP="00D34F42">
            <w:pPr>
              <w:pStyle w:val="TableBody"/>
            </w:pPr>
            <w:r w:rsidRPr="00D34F42">
              <w:t>734</w:t>
            </w:r>
          </w:p>
        </w:tc>
        <w:tc>
          <w:tcPr>
            <w:tcW w:w="1667" w:type="pct"/>
            <w:noWrap/>
            <w:hideMark/>
          </w:tcPr>
          <w:p w14:paraId="788C1407" w14:textId="77777777" w:rsidR="00F56D0E" w:rsidRPr="00D34F42" w:rsidRDefault="00F56D0E" w:rsidP="00D34F42">
            <w:pPr>
              <w:pStyle w:val="TableBody"/>
            </w:pPr>
            <w:r w:rsidRPr="00D34F42">
              <w:t>915</w:t>
            </w:r>
          </w:p>
        </w:tc>
      </w:tr>
      <w:tr w:rsidR="00F56D0E" w:rsidRPr="00F56D0E" w14:paraId="3091D0C6" w14:textId="77777777" w:rsidTr="00DC7A50">
        <w:trPr>
          <w:trHeight w:val="288"/>
        </w:trPr>
        <w:tc>
          <w:tcPr>
            <w:tcW w:w="1666" w:type="pct"/>
            <w:noWrap/>
            <w:hideMark/>
          </w:tcPr>
          <w:p w14:paraId="7F925ABD" w14:textId="77777777" w:rsidR="00F56D0E" w:rsidRPr="005F1725" w:rsidRDefault="00F56D0E" w:rsidP="005F1725">
            <w:pPr>
              <w:pStyle w:val="TableBody"/>
            </w:pPr>
            <w:r w:rsidRPr="005F1725">
              <w:t>Feb-23</w:t>
            </w:r>
          </w:p>
        </w:tc>
        <w:tc>
          <w:tcPr>
            <w:tcW w:w="1666" w:type="pct"/>
            <w:noWrap/>
            <w:hideMark/>
          </w:tcPr>
          <w:p w14:paraId="2CAFEF5C" w14:textId="77777777" w:rsidR="00F56D0E" w:rsidRPr="00D34F42" w:rsidRDefault="00F56D0E" w:rsidP="00D34F42">
            <w:pPr>
              <w:pStyle w:val="TableBody"/>
            </w:pPr>
            <w:r w:rsidRPr="00D34F42">
              <w:t>957</w:t>
            </w:r>
          </w:p>
        </w:tc>
        <w:tc>
          <w:tcPr>
            <w:tcW w:w="1667" w:type="pct"/>
            <w:noWrap/>
            <w:hideMark/>
          </w:tcPr>
          <w:p w14:paraId="747E6912" w14:textId="77777777" w:rsidR="00F56D0E" w:rsidRPr="00D34F42" w:rsidRDefault="00F56D0E" w:rsidP="00D34F42">
            <w:pPr>
              <w:pStyle w:val="TableBody"/>
            </w:pPr>
            <w:r w:rsidRPr="00D34F42">
              <w:t>774</w:t>
            </w:r>
          </w:p>
        </w:tc>
      </w:tr>
      <w:tr w:rsidR="00F56D0E" w:rsidRPr="00F56D0E" w14:paraId="3A1D45E8" w14:textId="77777777" w:rsidTr="00DC7A50">
        <w:trPr>
          <w:trHeight w:val="288"/>
        </w:trPr>
        <w:tc>
          <w:tcPr>
            <w:tcW w:w="1666" w:type="pct"/>
            <w:noWrap/>
            <w:hideMark/>
          </w:tcPr>
          <w:p w14:paraId="650311DF" w14:textId="77777777" w:rsidR="00F56D0E" w:rsidRPr="005F1725" w:rsidRDefault="00F56D0E" w:rsidP="005F1725">
            <w:pPr>
              <w:pStyle w:val="TableBody"/>
            </w:pPr>
            <w:r w:rsidRPr="005F1725">
              <w:t>Mar-23</w:t>
            </w:r>
          </w:p>
        </w:tc>
        <w:tc>
          <w:tcPr>
            <w:tcW w:w="1666" w:type="pct"/>
            <w:noWrap/>
            <w:hideMark/>
          </w:tcPr>
          <w:p w14:paraId="41D17EF7" w14:textId="77777777" w:rsidR="00F56D0E" w:rsidRPr="00D34F42" w:rsidRDefault="00F56D0E" w:rsidP="00D34F42">
            <w:pPr>
              <w:pStyle w:val="TableBody"/>
            </w:pPr>
            <w:r w:rsidRPr="00D34F42">
              <w:t>969</w:t>
            </w:r>
          </w:p>
        </w:tc>
        <w:tc>
          <w:tcPr>
            <w:tcW w:w="1667" w:type="pct"/>
            <w:noWrap/>
            <w:hideMark/>
          </w:tcPr>
          <w:p w14:paraId="1D00933D" w14:textId="77777777" w:rsidR="00F56D0E" w:rsidRPr="00D34F42" w:rsidRDefault="00F56D0E" w:rsidP="00D34F42">
            <w:pPr>
              <w:pStyle w:val="TableBody"/>
            </w:pPr>
            <w:r w:rsidRPr="00D34F42">
              <w:t>875</w:t>
            </w:r>
          </w:p>
        </w:tc>
      </w:tr>
      <w:tr w:rsidR="00F56D0E" w:rsidRPr="00F56D0E" w14:paraId="4739A191" w14:textId="77777777" w:rsidTr="00DC7A50">
        <w:trPr>
          <w:trHeight w:val="288"/>
        </w:trPr>
        <w:tc>
          <w:tcPr>
            <w:tcW w:w="1666" w:type="pct"/>
            <w:noWrap/>
            <w:hideMark/>
          </w:tcPr>
          <w:p w14:paraId="100F9858" w14:textId="77777777" w:rsidR="00F56D0E" w:rsidRPr="005F1725" w:rsidRDefault="00F56D0E" w:rsidP="005F1725">
            <w:pPr>
              <w:pStyle w:val="TableBody"/>
            </w:pPr>
            <w:r w:rsidRPr="005F1725">
              <w:t>Apr-23</w:t>
            </w:r>
          </w:p>
        </w:tc>
        <w:tc>
          <w:tcPr>
            <w:tcW w:w="1666" w:type="pct"/>
            <w:noWrap/>
            <w:hideMark/>
          </w:tcPr>
          <w:p w14:paraId="41543140" w14:textId="77777777" w:rsidR="00F56D0E" w:rsidRPr="00D34F42" w:rsidRDefault="00F56D0E" w:rsidP="00D34F42">
            <w:pPr>
              <w:pStyle w:val="TableBody"/>
            </w:pPr>
            <w:r w:rsidRPr="00D34F42">
              <w:t>726</w:t>
            </w:r>
          </w:p>
        </w:tc>
        <w:tc>
          <w:tcPr>
            <w:tcW w:w="1667" w:type="pct"/>
            <w:noWrap/>
            <w:hideMark/>
          </w:tcPr>
          <w:p w14:paraId="55F23073" w14:textId="77777777" w:rsidR="00F56D0E" w:rsidRPr="00D34F42" w:rsidRDefault="00F56D0E" w:rsidP="00D34F42">
            <w:pPr>
              <w:pStyle w:val="TableBody"/>
            </w:pPr>
            <w:r w:rsidRPr="00D34F42">
              <w:t>767</w:t>
            </w:r>
          </w:p>
        </w:tc>
      </w:tr>
      <w:tr w:rsidR="00F56D0E" w:rsidRPr="00F56D0E" w14:paraId="6626C353" w14:textId="77777777" w:rsidTr="00DC7A50">
        <w:trPr>
          <w:trHeight w:val="288"/>
        </w:trPr>
        <w:tc>
          <w:tcPr>
            <w:tcW w:w="1666" w:type="pct"/>
            <w:noWrap/>
            <w:hideMark/>
          </w:tcPr>
          <w:p w14:paraId="08F7FFD6" w14:textId="77777777" w:rsidR="00F56D0E" w:rsidRPr="005F1725" w:rsidRDefault="00F56D0E" w:rsidP="005F1725">
            <w:pPr>
              <w:pStyle w:val="TableBody"/>
            </w:pPr>
            <w:r w:rsidRPr="005F1725">
              <w:t>May-23</w:t>
            </w:r>
          </w:p>
        </w:tc>
        <w:tc>
          <w:tcPr>
            <w:tcW w:w="1666" w:type="pct"/>
            <w:noWrap/>
            <w:hideMark/>
          </w:tcPr>
          <w:p w14:paraId="2D1E6526" w14:textId="77777777" w:rsidR="00F56D0E" w:rsidRPr="00D34F42" w:rsidRDefault="00F56D0E" w:rsidP="00D34F42">
            <w:pPr>
              <w:pStyle w:val="TableBody"/>
            </w:pPr>
            <w:r w:rsidRPr="00D34F42">
              <w:t>861</w:t>
            </w:r>
          </w:p>
        </w:tc>
        <w:tc>
          <w:tcPr>
            <w:tcW w:w="1667" w:type="pct"/>
            <w:noWrap/>
            <w:hideMark/>
          </w:tcPr>
          <w:p w14:paraId="021B2352" w14:textId="77777777" w:rsidR="00F56D0E" w:rsidRPr="00D34F42" w:rsidRDefault="00F56D0E" w:rsidP="00D34F42">
            <w:pPr>
              <w:pStyle w:val="TableBody"/>
            </w:pPr>
            <w:r w:rsidRPr="00D34F42">
              <w:t>814</w:t>
            </w:r>
          </w:p>
        </w:tc>
      </w:tr>
      <w:tr w:rsidR="00F56D0E" w:rsidRPr="00F56D0E" w14:paraId="15B1CBB0" w14:textId="77777777" w:rsidTr="00DC7A50">
        <w:trPr>
          <w:trHeight w:val="288"/>
        </w:trPr>
        <w:tc>
          <w:tcPr>
            <w:tcW w:w="1666" w:type="pct"/>
            <w:noWrap/>
            <w:hideMark/>
          </w:tcPr>
          <w:p w14:paraId="78202C61" w14:textId="77777777" w:rsidR="00F56D0E" w:rsidRPr="005F1725" w:rsidRDefault="00F56D0E" w:rsidP="005F1725">
            <w:pPr>
              <w:pStyle w:val="TableBody"/>
            </w:pPr>
            <w:r w:rsidRPr="005F1725">
              <w:t>Jun-23</w:t>
            </w:r>
          </w:p>
        </w:tc>
        <w:tc>
          <w:tcPr>
            <w:tcW w:w="1666" w:type="pct"/>
            <w:noWrap/>
            <w:hideMark/>
          </w:tcPr>
          <w:p w14:paraId="0553854B" w14:textId="77777777" w:rsidR="00F56D0E" w:rsidRPr="00D34F42" w:rsidRDefault="00F56D0E" w:rsidP="00D34F42">
            <w:pPr>
              <w:pStyle w:val="TableBody"/>
            </w:pPr>
            <w:r w:rsidRPr="00D34F42">
              <w:t>835</w:t>
            </w:r>
          </w:p>
        </w:tc>
        <w:tc>
          <w:tcPr>
            <w:tcW w:w="1667" w:type="pct"/>
            <w:noWrap/>
            <w:hideMark/>
          </w:tcPr>
          <w:p w14:paraId="702D520E" w14:textId="77777777" w:rsidR="00F56D0E" w:rsidRPr="00D34F42" w:rsidRDefault="00F56D0E" w:rsidP="00D34F42">
            <w:pPr>
              <w:pStyle w:val="TableBody"/>
            </w:pPr>
            <w:r w:rsidRPr="00D34F42">
              <w:t>829</w:t>
            </w:r>
          </w:p>
        </w:tc>
      </w:tr>
      <w:tr w:rsidR="00F56D0E" w:rsidRPr="00F56D0E" w14:paraId="3F58A2E1" w14:textId="77777777" w:rsidTr="00DC7A50">
        <w:trPr>
          <w:trHeight w:val="288"/>
        </w:trPr>
        <w:tc>
          <w:tcPr>
            <w:tcW w:w="1666" w:type="pct"/>
            <w:noWrap/>
            <w:hideMark/>
          </w:tcPr>
          <w:p w14:paraId="60DFE84A" w14:textId="77777777" w:rsidR="00F56D0E" w:rsidRPr="005F1725" w:rsidRDefault="00F56D0E" w:rsidP="005F1725">
            <w:pPr>
              <w:pStyle w:val="TableBody"/>
            </w:pPr>
            <w:r w:rsidRPr="005F1725">
              <w:t>Jul-23</w:t>
            </w:r>
          </w:p>
        </w:tc>
        <w:tc>
          <w:tcPr>
            <w:tcW w:w="1666" w:type="pct"/>
            <w:noWrap/>
            <w:hideMark/>
          </w:tcPr>
          <w:p w14:paraId="08DF586C" w14:textId="77777777" w:rsidR="00F56D0E" w:rsidRPr="00D34F42" w:rsidRDefault="00F56D0E" w:rsidP="00D34F42">
            <w:pPr>
              <w:pStyle w:val="TableBody"/>
            </w:pPr>
            <w:r w:rsidRPr="00D34F42">
              <w:t>785</w:t>
            </w:r>
          </w:p>
        </w:tc>
        <w:tc>
          <w:tcPr>
            <w:tcW w:w="1667" w:type="pct"/>
            <w:noWrap/>
            <w:hideMark/>
          </w:tcPr>
          <w:p w14:paraId="7B4FCC2C" w14:textId="77777777" w:rsidR="00F56D0E" w:rsidRPr="00D34F42" w:rsidRDefault="00F56D0E" w:rsidP="00D34F42">
            <w:pPr>
              <w:pStyle w:val="TableBody"/>
            </w:pPr>
            <w:r w:rsidRPr="00D34F42">
              <w:t>831</w:t>
            </w:r>
          </w:p>
        </w:tc>
      </w:tr>
      <w:tr w:rsidR="00F56D0E" w:rsidRPr="00F56D0E" w14:paraId="2B1C63B9" w14:textId="77777777" w:rsidTr="00DC7A50">
        <w:trPr>
          <w:trHeight w:val="288"/>
        </w:trPr>
        <w:tc>
          <w:tcPr>
            <w:tcW w:w="1666" w:type="pct"/>
            <w:noWrap/>
            <w:hideMark/>
          </w:tcPr>
          <w:p w14:paraId="466D64FC" w14:textId="77777777" w:rsidR="00F56D0E" w:rsidRPr="005F1725" w:rsidRDefault="00F56D0E" w:rsidP="005F1725">
            <w:pPr>
              <w:pStyle w:val="TableBody"/>
            </w:pPr>
            <w:r w:rsidRPr="005F1725">
              <w:t>Aug-23</w:t>
            </w:r>
          </w:p>
        </w:tc>
        <w:tc>
          <w:tcPr>
            <w:tcW w:w="1666" w:type="pct"/>
            <w:noWrap/>
            <w:hideMark/>
          </w:tcPr>
          <w:p w14:paraId="6DC7E9D1" w14:textId="77777777" w:rsidR="00F56D0E" w:rsidRPr="00D34F42" w:rsidRDefault="00F56D0E" w:rsidP="00D34F42">
            <w:pPr>
              <w:pStyle w:val="TableBody"/>
            </w:pPr>
            <w:r w:rsidRPr="00D34F42">
              <w:t>961</w:t>
            </w:r>
          </w:p>
        </w:tc>
        <w:tc>
          <w:tcPr>
            <w:tcW w:w="1667" w:type="pct"/>
            <w:noWrap/>
            <w:hideMark/>
          </w:tcPr>
          <w:p w14:paraId="2961E1B3" w14:textId="77777777" w:rsidR="00F56D0E" w:rsidRPr="00D34F42" w:rsidRDefault="00F56D0E" w:rsidP="00D34F42">
            <w:pPr>
              <w:pStyle w:val="TableBody"/>
            </w:pPr>
            <w:r w:rsidRPr="00D34F42">
              <w:t>880</w:t>
            </w:r>
          </w:p>
        </w:tc>
      </w:tr>
      <w:tr w:rsidR="00F56D0E" w:rsidRPr="00F56D0E" w14:paraId="1C5CF28E" w14:textId="77777777" w:rsidTr="00DC7A50">
        <w:trPr>
          <w:trHeight w:val="288"/>
        </w:trPr>
        <w:tc>
          <w:tcPr>
            <w:tcW w:w="1666" w:type="pct"/>
            <w:noWrap/>
            <w:hideMark/>
          </w:tcPr>
          <w:p w14:paraId="7B2A85EC" w14:textId="77777777" w:rsidR="00F56D0E" w:rsidRPr="005F1725" w:rsidRDefault="00F56D0E" w:rsidP="005F1725">
            <w:pPr>
              <w:pStyle w:val="TableBody"/>
            </w:pPr>
            <w:r w:rsidRPr="005F1725">
              <w:t>Sep-23</w:t>
            </w:r>
          </w:p>
        </w:tc>
        <w:tc>
          <w:tcPr>
            <w:tcW w:w="1666" w:type="pct"/>
            <w:noWrap/>
            <w:hideMark/>
          </w:tcPr>
          <w:p w14:paraId="2960A725" w14:textId="77777777" w:rsidR="00F56D0E" w:rsidRPr="00D34F42" w:rsidRDefault="00F56D0E" w:rsidP="00D34F42">
            <w:pPr>
              <w:pStyle w:val="TableBody"/>
            </w:pPr>
            <w:r w:rsidRPr="00D34F42">
              <w:t>758</w:t>
            </w:r>
          </w:p>
        </w:tc>
        <w:tc>
          <w:tcPr>
            <w:tcW w:w="1667" w:type="pct"/>
            <w:noWrap/>
            <w:hideMark/>
          </w:tcPr>
          <w:p w14:paraId="7BF90C61" w14:textId="77777777" w:rsidR="00F56D0E" w:rsidRPr="00D34F42" w:rsidRDefault="00F56D0E" w:rsidP="00D34F42">
            <w:pPr>
              <w:pStyle w:val="TableBody"/>
            </w:pPr>
            <w:r w:rsidRPr="00D34F42">
              <w:t>711</w:t>
            </w:r>
          </w:p>
        </w:tc>
      </w:tr>
      <w:tr w:rsidR="00F56D0E" w:rsidRPr="00F56D0E" w14:paraId="35A7F102" w14:textId="77777777" w:rsidTr="00DC7A50">
        <w:trPr>
          <w:trHeight w:val="288"/>
        </w:trPr>
        <w:tc>
          <w:tcPr>
            <w:tcW w:w="1666" w:type="pct"/>
            <w:noWrap/>
            <w:hideMark/>
          </w:tcPr>
          <w:p w14:paraId="34D1FB3E" w14:textId="77777777" w:rsidR="00F56D0E" w:rsidRPr="005F1725" w:rsidRDefault="00F56D0E" w:rsidP="005F1725">
            <w:pPr>
              <w:pStyle w:val="TableBody"/>
            </w:pPr>
            <w:r w:rsidRPr="005F1725">
              <w:t>Oct-23</w:t>
            </w:r>
          </w:p>
        </w:tc>
        <w:tc>
          <w:tcPr>
            <w:tcW w:w="1666" w:type="pct"/>
            <w:noWrap/>
            <w:hideMark/>
          </w:tcPr>
          <w:p w14:paraId="76A04233" w14:textId="77777777" w:rsidR="00F56D0E" w:rsidRPr="00D34F42" w:rsidRDefault="00F56D0E" w:rsidP="00D34F42">
            <w:pPr>
              <w:pStyle w:val="TableBody"/>
            </w:pPr>
            <w:r w:rsidRPr="00D34F42">
              <w:t>832</w:t>
            </w:r>
          </w:p>
        </w:tc>
        <w:tc>
          <w:tcPr>
            <w:tcW w:w="1667" w:type="pct"/>
            <w:noWrap/>
            <w:hideMark/>
          </w:tcPr>
          <w:p w14:paraId="7D18A612" w14:textId="77777777" w:rsidR="00F56D0E" w:rsidRPr="00D34F42" w:rsidRDefault="00F56D0E" w:rsidP="00D34F42">
            <w:pPr>
              <w:pStyle w:val="TableBody"/>
            </w:pPr>
            <w:r w:rsidRPr="00D34F42">
              <w:t>736</w:t>
            </w:r>
          </w:p>
        </w:tc>
      </w:tr>
      <w:tr w:rsidR="00F56D0E" w:rsidRPr="00F56D0E" w14:paraId="60E50087" w14:textId="77777777" w:rsidTr="00DC7A50">
        <w:trPr>
          <w:trHeight w:val="288"/>
        </w:trPr>
        <w:tc>
          <w:tcPr>
            <w:tcW w:w="1666" w:type="pct"/>
            <w:noWrap/>
            <w:hideMark/>
          </w:tcPr>
          <w:p w14:paraId="06D5A5EF" w14:textId="77777777" w:rsidR="00F56D0E" w:rsidRPr="005F1725" w:rsidRDefault="00F56D0E" w:rsidP="005F1725">
            <w:pPr>
              <w:pStyle w:val="TableBody"/>
            </w:pPr>
            <w:r w:rsidRPr="005F1725">
              <w:t>Nov-23</w:t>
            </w:r>
          </w:p>
        </w:tc>
        <w:tc>
          <w:tcPr>
            <w:tcW w:w="1666" w:type="pct"/>
            <w:noWrap/>
            <w:hideMark/>
          </w:tcPr>
          <w:p w14:paraId="4D4B6AE2" w14:textId="77777777" w:rsidR="00F56D0E" w:rsidRPr="00D34F42" w:rsidRDefault="00F56D0E" w:rsidP="00D34F42">
            <w:pPr>
              <w:pStyle w:val="TableBody"/>
            </w:pPr>
            <w:r w:rsidRPr="00D34F42">
              <w:t>741</w:t>
            </w:r>
          </w:p>
        </w:tc>
        <w:tc>
          <w:tcPr>
            <w:tcW w:w="1667" w:type="pct"/>
            <w:noWrap/>
            <w:hideMark/>
          </w:tcPr>
          <w:p w14:paraId="61504E9E" w14:textId="77777777" w:rsidR="00F56D0E" w:rsidRPr="00D34F42" w:rsidRDefault="00F56D0E" w:rsidP="00D34F42">
            <w:pPr>
              <w:pStyle w:val="TableBody"/>
            </w:pPr>
            <w:r w:rsidRPr="00D34F42">
              <w:t>822</w:t>
            </w:r>
          </w:p>
        </w:tc>
      </w:tr>
      <w:tr w:rsidR="00F56D0E" w:rsidRPr="00F56D0E" w14:paraId="003CB74D" w14:textId="77777777" w:rsidTr="00DC7A50">
        <w:trPr>
          <w:trHeight w:val="288"/>
        </w:trPr>
        <w:tc>
          <w:tcPr>
            <w:tcW w:w="1666" w:type="pct"/>
            <w:noWrap/>
            <w:hideMark/>
          </w:tcPr>
          <w:p w14:paraId="4C5221EB" w14:textId="77777777" w:rsidR="00F56D0E" w:rsidRPr="005F1725" w:rsidRDefault="00F56D0E" w:rsidP="005F1725">
            <w:pPr>
              <w:pStyle w:val="TableBody"/>
            </w:pPr>
            <w:r w:rsidRPr="005F1725">
              <w:t>Dec-23</w:t>
            </w:r>
          </w:p>
        </w:tc>
        <w:tc>
          <w:tcPr>
            <w:tcW w:w="1666" w:type="pct"/>
            <w:noWrap/>
            <w:hideMark/>
          </w:tcPr>
          <w:p w14:paraId="05EC1D46" w14:textId="77777777" w:rsidR="00F56D0E" w:rsidRPr="00D34F42" w:rsidRDefault="00F56D0E" w:rsidP="00D34F42">
            <w:pPr>
              <w:pStyle w:val="TableBody"/>
            </w:pPr>
            <w:r w:rsidRPr="00D34F42">
              <w:t>865</w:t>
            </w:r>
          </w:p>
        </w:tc>
        <w:tc>
          <w:tcPr>
            <w:tcW w:w="1667" w:type="pct"/>
            <w:noWrap/>
            <w:hideMark/>
          </w:tcPr>
          <w:p w14:paraId="4E2BC54B" w14:textId="77777777" w:rsidR="00F56D0E" w:rsidRPr="00D34F42" w:rsidRDefault="00F56D0E" w:rsidP="00D34F42">
            <w:pPr>
              <w:pStyle w:val="TableBody"/>
            </w:pPr>
            <w:r w:rsidRPr="00D34F42">
              <w:t>776</w:t>
            </w:r>
          </w:p>
        </w:tc>
      </w:tr>
      <w:tr w:rsidR="00F56D0E" w:rsidRPr="00F56D0E" w14:paraId="1AED11BD" w14:textId="77777777" w:rsidTr="00DC7A50">
        <w:trPr>
          <w:trHeight w:val="288"/>
        </w:trPr>
        <w:tc>
          <w:tcPr>
            <w:tcW w:w="1666" w:type="pct"/>
            <w:noWrap/>
            <w:hideMark/>
          </w:tcPr>
          <w:p w14:paraId="3450AB69" w14:textId="77777777" w:rsidR="00F56D0E" w:rsidRPr="005F1725" w:rsidRDefault="00F56D0E" w:rsidP="005F1725">
            <w:pPr>
              <w:pStyle w:val="TableBody"/>
            </w:pPr>
            <w:r w:rsidRPr="005F1725">
              <w:t>Jan-24</w:t>
            </w:r>
          </w:p>
        </w:tc>
        <w:tc>
          <w:tcPr>
            <w:tcW w:w="1666" w:type="pct"/>
            <w:noWrap/>
            <w:hideMark/>
          </w:tcPr>
          <w:p w14:paraId="15CCBBF5" w14:textId="77777777" w:rsidR="00F56D0E" w:rsidRPr="00D34F42" w:rsidRDefault="00F56D0E" w:rsidP="00D34F42">
            <w:pPr>
              <w:pStyle w:val="TableBody"/>
            </w:pPr>
            <w:r w:rsidRPr="00D34F42">
              <w:t>692</w:t>
            </w:r>
          </w:p>
        </w:tc>
        <w:tc>
          <w:tcPr>
            <w:tcW w:w="1667" w:type="pct"/>
            <w:noWrap/>
            <w:hideMark/>
          </w:tcPr>
          <w:p w14:paraId="6A535B93" w14:textId="77777777" w:rsidR="00F56D0E" w:rsidRPr="00D34F42" w:rsidRDefault="00F56D0E" w:rsidP="00D34F42">
            <w:pPr>
              <w:pStyle w:val="TableBody"/>
            </w:pPr>
            <w:r w:rsidRPr="00D34F42">
              <w:t>787</w:t>
            </w:r>
          </w:p>
        </w:tc>
      </w:tr>
      <w:tr w:rsidR="00F56D0E" w:rsidRPr="00F56D0E" w14:paraId="7A057141" w14:textId="77777777" w:rsidTr="00DC7A50">
        <w:trPr>
          <w:trHeight w:val="288"/>
        </w:trPr>
        <w:tc>
          <w:tcPr>
            <w:tcW w:w="1666" w:type="pct"/>
            <w:noWrap/>
            <w:hideMark/>
          </w:tcPr>
          <w:p w14:paraId="13CE3264" w14:textId="77777777" w:rsidR="00F56D0E" w:rsidRPr="005F1725" w:rsidRDefault="00F56D0E" w:rsidP="005F1725">
            <w:pPr>
              <w:pStyle w:val="TableBody"/>
            </w:pPr>
            <w:r w:rsidRPr="005F1725">
              <w:t>Feb-24</w:t>
            </w:r>
          </w:p>
        </w:tc>
        <w:tc>
          <w:tcPr>
            <w:tcW w:w="1666" w:type="pct"/>
            <w:noWrap/>
            <w:hideMark/>
          </w:tcPr>
          <w:p w14:paraId="686FD8AE" w14:textId="77777777" w:rsidR="00F56D0E" w:rsidRPr="00D34F42" w:rsidRDefault="00F56D0E" w:rsidP="00D34F42">
            <w:pPr>
              <w:pStyle w:val="TableBody"/>
            </w:pPr>
            <w:r w:rsidRPr="00D34F42">
              <w:t>731</w:t>
            </w:r>
          </w:p>
        </w:tc>
        <w:tc>
          <w:tcPr>
            <w:tcW w:w="1667" w:type="pct"/>
            <w:noWrap/>
            <w:hideMark/>
          </w:tcPr>
          <w:p w14:paraId="25D86773" w14:textId="77777777" w:rsidR="00F56D0E" w:rsidRPr="00D34F42" w:rsidRDefault="00F56D0E" w:rsidP="00D34F42">
            <w:pPr>
              <w:pStyle w:val="TableBody"/>
            </w:pPr>
            <w:r w:rsidRPr="00D34F42">
              <w:t>740</w:t>
            </w:r>
          </w:p>
        </w:tc>
      </w:tr>
      <w:tr w:rsidR="00F56D0E" w:rsidRPr="00F56D0E" w14:paraId="47CBD4F0" w14:textId="77777777" w:rsidTr="00DC7A50">
        <w:trPr>
          <w:trHeight w:val="288"/>
        </w:trPr>
        <w:tc>
          <w:tcPr>
            <w:tcW w:w="1666" w:type="pct"/>
            <w:noWrap/>
            <w:hideMark/>
          </w:tcPr>
          <w:p w14:paraId="3DD6B995" w14:textId="77777777" w:rsidR="00F56D0E" w:rsidRPr="005F1725" w:rsidRDefault="00F56D0E" w:rsidP="005F1725">
            <w:pPr>
              <w:pStyle w:val="TableBody"/>
            </w:pPr>
            <w:r w:rsidRPr="005F1725">
              <w:t>Mar-24</w:t>
            </w:r>
          </w:p>
        </w:tc>
        <w:tc>
          <w:tcPr>
            <w:tcW w:w="1666" w:type="pct"/>
            <w:noWrap/>
            <w:hideMark/>
          </w:tcPr>
          <w:p w14:paraId="719A636A" w14:textId="77777777" w:rsidR="00F56D0E" w:rsidRPr="00D34F42" w:rsidRDefault="00F56D0E" w:rsidP="00D34F42">
            <w:pPr>
              <w:pStyle w:val="TableBody"/>
            </w:pPr>
            <w:r w:rsidRPr="00D34F42">
              <w:t>765</w:t>
            </w:r>
          </w:p>
        </w:tc>
        <w:tc>
          <w:tcPr>
            <w:tcW w:w="1667" w:type="pct"/>
            <w:noWrap/>
            <w:hideMark/>
          </w:tcPr>
          <w:p w14:paraId="4AE4D4FD" w14:textId="77777777" w:rsidR="00F56D0E" w:rsidRPr="00D34F42" w:rsidRDefault="00F56D0E" w:rsidP="00D34F42">
            <w:pPr>
              <w:pStyle w:val="TableBody"/>
            </w:pPr>
            <w:r w:rsidRPr="00D34F42">
              <w:t>712</w:t>
            </w:r>
          </w:p>
        </w:tc>
      </w:tr>
      <w:tr w:rsidR="00F56D0E" w:rsidRPr="00F56D0E" w14:paraId="21A79344" w14:textId="77777777" w:rsidTr="00DC7A50">
        <w:trPr>
          <w:trHeight w:val="288"/>
        </w:trPr>
        <w:tc>
          <w:tcPr>
            <w:tcW w:w="1666" w:type="pct"/>
            <w:noWrap/>
            <w:hideMark/>
          </w:tcPr>
          <w:p w14:paraId="71B4CBA8" w14:textId="77777777" w:rsidR="00F56D0E" w:rsidRPr="005F1725" w:rsidRDefault="00F56D0E" w:rsidP="005F1725">
            <w:pPr>
              <w:pStyle w:val="TableBody"/>
            </w:pPr>
            <w:r w:rsidRPr="005F1725">
              <w:t>Apr-24</w:t>
            </w:r>
          </w:p>
        </w:tc>
        <w:tc>
          <w:tcPr>
            <w:tcW w:w="1666" w:type="pct"/>
            <w:noWrap/>
            <w:hideMark/>
          </w:tcPr>
          <w:p w14:paraId="3FF5EF62" w14:textId="77777777" w:rsidR="00F56D0E" w:rsidRPr="00D34F42" w:rsidRDefault="00F56D0E" w:rsidP="00D34F42">
            <w:pPr>
              <w:pStyle w:val="TableBody"/>
            </w:pPr>
            <w:r w:rsidRPr="00D34F42">
              <w:t>754</w:t>
            </w:r>
          </w:p>
        </w:tc>
        <w:tc>
          <w:tcPr>
            <w:tcW w:w="1667" w:type="pct"/>
            <w:noWrap/>
            <w:hideMark/>
          </w:tcPr>
          <w:p w14:paraId="58ED461C" w14:textId="77777777" w:rsidR="00F56D0E" w:rsidRPr="00D34F42" w:rsidRDefault="00F56D0E" w:rsidP="00D34F42">
            <w:pPr>
              <w:pStyle w:val="TableBody"/>
            </w:pPr>
            <w:r w:rsidRPr="00D34F42">
              <w:t>479</w:t>
            </w:r>
          </w:p>
        </w:tc>
      </w:tr>
      <w:tr w:rsidR="00F56D0E" w:rsidRPr="00F56D0E" w14:paraId="3FC1A380" w14:textId="77777777" w:rsidTr="00DC7A50">
        <w:trPr>
          <w:trHeight w:val="288"/>
        </w:trPr>
        <w:tc>
          <w:tcPr>
            <w:tcW w:w="1666" w:type="pct"/>
            <w:noWrap/>
            <w:hideMark/>
          </w:tcPr>
          <w:p w14:paraId="34C94B2E" w14:textId="77777777" w:rsidR="00F56D0E" w:rsidRPr="005F1725" w:rsidRDefault="00F56D0E" w:rsidP="005F1725">
            <w:pPr>
              <w:pStyle w:val="TableBody"/>
            </w:pPr>
            <w:r w:rsidRPr="005F1725">
              <w:t>May-24</w:t>
            </w:r>
          </w:p>
        </w:tc>
        <w:tc>
          <w:tcPr>
            <w:tcW w:w="1666" w:type="pct"/>
            <w:noWrap/>
            <w:hideMark/>
          </w:tcPr>
          <w:p w14:paraId="2955F562" w14:textId="77777777" w:rsidR="00F56D0E" w:rsidRPr="00D34F42" w:rsidRDefault="00F56D0E" w:rsidP="00D34F42">
            <w:pPr>
              <w:pStyle w:val="TableBody"/>
            </w:pPr>
            <w:r w:rsidRPr="00D34F42">
              <w:t>674</w:t>
            </w:r>
          </w:p>
        </w:tc>
        <w:tc>
          <w:tcPr>
            <w:tcW w:w="1667" w:type="pct"/>
            <w:noWrap/>
            <w:hideMark/>
          </w:tcPr>
          <w:p w14:paraId="61B389FD" w14:textId="77777777" w:rsidR="00F56D0E" w:rsidRPr="00D34F42" w:rsidRDefault="00F56D0E" w:rsidP="00D34F42">
            <w:pPr>
              <w:pStyle w:val="TableBody"/>
            </w:pPr>
            <w:r w:rsidRPr="00D34F42">
              <w:t>646</w:t>
            </w:r>
          </w:p>
        </w:tc>
      </w:tr>
      <w:tr w:rsidR="00F56D0E" w:rsidRPr="00F56D0E" w14:paraId="41A6A12F" w14:textId="77777777" w:rsidTr="00DC7A50">
        <w:trPr>
          <w:trHeight w:val="288"/>
        </w:trPr>
        <w:tc>
          <w:tcPr>
            <w:tcW w:w="1666" w:type="pct"/>
            <w:noWrap/>
            <w:hideMark/>
          </w:tcPr>
          <w:p w14:paraId="02AA3142" w14:textId="77777777" w:rsidR="00F56D0E" w:rsidRPr="005F1725" w:rsidRDefault="00F56D0E" w:rsidP="005F1725">
            <w:pPr>
              <w:pStyle w:val="TableBody"/>
            </w:pPr>
            <w:r w:rsidRPr="005F1725">
              <w:t>Jun-24</w:t>
            </w:r>
          </w:p>
        </w:tc>
        <w:tc>
          <w:tcPr>
            <w:tcW w:w="1666" w:type="pct"/>
            <w:noWrap/>
            <w:hideMark/>
          </w:tcPr>
          <w:p w14:paraId="56305697" w14:textId="77777777" w:rsidR="00F56D0E" w:rsidRPr="00D34F42" w:rsidRDefault="00F56D0E" w:rsidP="00D34F42">
            <w:pPr>
              <w:pStyle w:val="TableBody"/>
            </w:pPr>
            <w:r w:rsidRPr="00D34F42">
              <w:t>581</w:t>
            </w:r>
          </w:p>
        </w:tc>
        <w:tc>
          <w:tcPr>
            <w:tcW w:w="1667" w:type="pct"/>
            <w:noWrap/>
            <w:hideMark/>
          </w:tcPr>
          <w:p w14:paraId="1776BFBE" w14:textId="77777777" w:rsidR="00F56D0E" w:rsidRPr="00D34F42" w:rsidRDefault="00F56D0E" w:rsidP="00D34F42">
            <w:pPr>
              <w:pStyle w:val="TableBody"/>
            </w:pPr>
            <w:r w:rsidRPr="00D34F42">
              <w:t>528</w:t>
            </w:r>
          </w:p>
        </w:tc>
      </w:tr>
    </w:tbl>
    <w:p w14:paraId="65C459F8" w14:textId="77777777" w:rsidR="00922664" w:rsidRPr="008C1137" w:rsidRDefault="00922664" w:rsidP="00D4532A">
      <w:r w:rsidRPr="000C258A">
        <w:rPr>
          <w:rStyle w:val="Strong"/>
        </w:rPr>
        <w:t>Source</w:t>
      </w:r>
      <w:r w:rsidRPr="008C1137">
        <w:t>: Corrections Victoria,</w:t>
      </w:r>
      <w:r w:rsidRPr="008C1137">
        <w:rPr>
          <w:rStyle w:val="Italic"/>
        </w:rPr>
        <w:t xml:space="preserve"> Monthly Time Series Prison and Community Corrections Data </w:t>
      </w:r>
      <w:r w:rsidRPr="008C1137">
        <w:t>(corrections.vic.gov.au, 2024) Table 2, Table 3</w:t>
      </w:r>
    </w:p>
    <w:p w14:paraId="5ABCF0B5" w14:textId="6BFD514C" w:rsidR="00A4454A" w:rsidRPr="008C1137" w:rsidRDefault="00A4454A" w:rsidP="00210207">
      <w:pPr>
        <w:pStyle w:val="Numbered"/>
      </w:pPr>
      <w:r w:rsidRPr="008C1137">
        <w:t xml:space="preserve">These trends track with the changing volume of Victoria’s prison population: relative stability from 2004–05 to 2010–11, drastic increases from 2011–12 to 2018–19, and significant declines since then. </w:t>
      </w:r>
    </w:p>
    <w:p w14:paraId="1D6B422C" w14:textId="77777777" w:rsidR="00A4454A" w:rsidRPr="008C1137" w:rsidRDefault="00A4454A" w:rsidP="0002476E">
      <w:pPr>
        <w:pStyle w:val="Heading2"/>
      </w:pPr>
      <w:r w:rsidRPr="008C1137">
        <w:lastRenderedPageBreak/>
        <w:t>Prisoners returning to prison</w:t>
      </w:r>
    </w:p>
    <w:p w14:paraId="36D65379" w14:textId="77777777" w:rsidR="00A4454A" w:rsidRPr="008C1137" w:rsidRDefault="00A4454A" w:rsidP="00210207">
      <w:pPr>
        <w:pStyle w:val="Numbered"/>
      </w:pPr>
      <w:r w:rsidRPr="008C1137">
        <w:t>One of the key cohorts of people entering prison each year is people who have served a prison sentence previously. The Productivity Commission regularly publishes data on the number of adults sentenced to imprisonment or a community order within 2 years of their release from custody.</w:t>
      </w:r>
      <w:r w:rsidRPr="008C1137">
        <w:rPr>
          <w:rStyle w:val="Superscript"/>
        </w:rPr>
        <w:footnoteReference w:id="179"/>
      </w:r>
      <w:r w:rsidRPr="008C1137">
        <w:t xml:space="preserve"> Figure 61 shows that in the 11 years to 30 June 2024, around </w:t>
      </w:r>
      <w:r w:rsidRPr="003B3217">
        <w:rPr>
          <w:rStyle w:val="Italic"/>
        </w:rPr>
        <w:t>half</w:t>
      </w:r>
      <w:r w:rsidRPr="008C1137">
        <w:t xml:space="preserve"> of the people released from prison 2 years prior had returned to either prison (around 40%) or corrective services to serve a community order (around 10%). These numbers were relatively stable between 2013–14 and 2023–24. </w:t>
      </w:r>
    </w:p>
    <w:p w14:paraId="574D195B" w14:textId="77777777" w:rsidR="00A4454A" w:rsidRPr="008C1137" w:rsidRDefault="00A4454A" w:rsidP="00BE4EDC">
      <w:pPr>
        <w:pStyle w:val="Caption"/>
      </w:pPr>
      <w:r w:rsidRPr="00157502">
        <w:t>Figure 61</w:t>
      </w:r>
      <w:r w:rsidRPr="008C1137">
        <w:t>: Proportion of adults returning to prison or corrective services within 2 years of release from custody, 2013–14 to 2023–24</w:t>
      </w:r>
      <w:r w:rsidRPr="008C1137">
        <w:rPr>
          <w:rStyle w:val="Superscript"/>
        </w:rPr>
        <w:footnoteReference w:id="180"/>
      </w:r>
    </w:p>
    <w:p w14:paraId="77CDBC67" w14:textId="77777777" w:rsidR="00164111" w:rsidRPr="008C1137" w:rsidRDefault="00164111" w:rsidP="00D4532A">
      <w:r w:rsidRPr="000C258A">
        <w:rPr>
          <w:rStyle w:val="Strong"/>
        </w:rPr>
        <w:t>Source</w:t>
      </w:r>
      <w:r w:rsidRPr="008C1137">
        <w:t>: Productivity Commission,</w:t>
      </w:r>
      <w:r w:rsidRPr="008C1137">
        <w:rPr>
          <w:rStyle w:val="Italic"/>
        </w:rPr>
        <w:t xml:space="preserve"> Report on Government Services </w:t>
      </w:r>
      <w:r w:rsidRPr="008C1137">
        <w:t>(2024) Table CA.4</w:t>
      </w:r>
    </w:p>
    <w:tbl>
      <w:tblPr>
        <w:tblStyle w:val="Table"/>
        <w:tblW w:w="5000" w:type="pct"/>
        <w:tblLayout w:type="fixed"/>
        <w:tblLook w:val="04A0" w:firstRow="1" w:lastRow="0" w:firstColumn="1" w:lastColumn="0" w:noHBand="0" w:noVBand="1"/>
      </w:tblPr>
      <w:tblGrid>
        <w:gridCol w:w="1536"/>
        <w:gridCol w:w="3343"/>
        <w:gridCol w:w="4137"/>
      </w:tblGrid>
      <w:tr w:rsidR="00247704" w:rsidRPr="004A317F" w14:paraId="6694EAB8" w14:textId="77777777" w:rsidTr="00247704">
        <w:trPr>
          <w:trHeight w:val="288"/>
          <w:tblHeader/>
        </w:trPr>
        <w:tc>
          <w:tcPr>
            <w:tcW w:w="852" w:type="pct"/>
            <w:noWrap/>
            <w:hideMark/>
          </w:tcPr>
          <w:p w14:paraId="74348142" w14:textId="77777777" w:rsidR="004A317F" w:rsidRPr="004A317F" w:rsidRDefault="004A317F" w:rsidP="007B07AF">
            <w:pPr>
              <w:pStyle w:val="TableHeading"/>
            </w:pPr>
            <w:r w:rsidRPr="004A317F">
              <w:t>Year</w:t>
            </w:r>
          </w:p>
        </w:tc>
        <w:tc>
          <w:tcPr>
            <w:tcW w:w="1854" w:type="pct"/>
            <w:noWrap/>
            <w:hideMark/>
          </w:tcPr>
          <w:p w14:paraId="1D4FA3CF" w14:textId="77777777" w:rsidR="004A317F" w:rsidRPr="004A317F" w:rsidRDefault="004A317F" w:rsidP="007B07AF">
            <w:pPr>
              <w:pStyle w:val="TableHeading"/>
            </w:pPr>
            <w:r w:rsidRPr="004A317F">
              <w:t>Adults released from prison who returned to prison</w:t>
            </w:r>
          </w:p>
        </w:tc>
        <w:tc>
          <w:tcPr>
            <w:tcW w:w="2294" w:type="pct"/>
            <w:noWrap/>
            <w:hideMark/>
          </w:tcPr>
          <w:p w14:paraId="134C0628" w14:textId="77777777" w:rsidR="004A317F" w:rsidRPr="004A317F" w:rsidRDefault="004A317F" w:rsidP="007B07AF">
            <w:pPr>
              <w:pStyle w:val="TableHeading"/>
            </w:pPr>
            <w:r w:rsidRPr="004A317F">
              <w:t>Adults released from prison who returned to corrective services (community orders)</w:t>
            </w:r>
          </w:p>
        </w:tc>
      </w:tr>
      <w:tr w:rsidR="00247704" w:rsidRPr="004A317F" w14:paraId="2B184C19" w14:textId="77777777" w:rsidTr="00247704">
        <w:trPr>
          <w:trHeight w:val="288"/>
        </w:trPr>
        <w:tc>
          <w:tcPr>
            <w:tcW w:w="852" w:type="pct"/>
            <w:noWrap/>
            <w:hideMark/>
          </w:tcPr>
          <w:p w14:paraId="79FD8BE7" w14:textId="77777777" w:rsidR="004A317F" w:rsidRPr="004A317F" w:rsidRDefault="004A317F" w:rsidP="00906ADE">
            <w:pPr>
              <w:pStyle w:val="TableBody"/>
            </w:pPr>
            <w:r w:rsidRPr="004A317F">
              <w:t>2013-14</w:t>
            </w:r>
          </w:p>
        </w:tc>
        <w:tc>
          <w:tcPr>
            <w:tcW w:w="1854" w:type="pct"/>
            <w:noWrap/>
            <w:hideMark/>
          </w:tcPr>
          <w:p w14:paraId="0EED0ED0" w14:textId="77777777" w:rsidR="004A317F" w:rsidRPr="00A85956" w:rsidRDefault="004A317F" w:rsidP="00A85956">
            <w:pPr>
              <w:pStyle w:val="TableBody"/>
            </w:pPr>
            <w:r w:rsidRPr="00A85956">
              <w:t>39.5%</w:t>
            </w:r>
          </w:p>
        </w:tc>
        <w:tc>
          <w:tcPr>
            <w:tcW w:w="2294" w:type="pct"/>
            <w:noWrap/>
            <w:hideMark/>
          </w:tcPr>
          <w:p w14:paraId="375DF8A3" w14:textId="77777777" w:rsidR="004A317F" w:rsidRPr="00A85956" w:rsidRDefault="004A317F" w:rsidP="00A85956">
            <w:pPr>
              <w:pStyle w:val="TableBody"/>
            </w:pPr>
            <w:r w:rsidRPr="00A85956">
              <w:t>7.4%</w:t>
            </w:r>
          </w:p>
        </w:tc>
      </w:tr>
      <w:tr w:rsidR="00247704" w:rsidRPr="004A317F" w14:paraId="4943B2C5" w14:textId="77777777" w:rsidTr="00247704">
        <w:trPr>
          <w:trHeight w:val="288"/>
        </w:trPr>
        <w:tc>
          <w:tcPr>
            <w:tcW w:w="852" w:type="pct"/>
            <w:noWrap/>
            <w:hideMark/>
          </w:tcPr>
          <w:p w14:paraId="5E2C2E7A" w14:textId="77777777" w:rsidR="004A317F" w:rsidRPr="007B07AF" w:rsidRDefault="004A317F" w:rsidP="007B07AF">
            <w:pPr>
              <w:pStyle w:val="TableBody"/>
            </w:pPr>
            <w:r w:rsidRPr="007B07AF">
              <w:t>2014-15</w:t>
            </w:r>
          </w:p>
        </w:tc>
        <w:tc>
          <w:tcPr>
            <w:tcW w:w="1854" w:type="pct"/>
            <w:noWrap/>
            <w:hideMark/>
          </w:tcPr>
          <w:p w14:paraId="5FFFDE87" w14:textId="77777777" w:rsidR="004A317F" w:rsidRPr="00A85956" w:rsidRDefault="004A317F" w:rsidP="00A85956">
            <w:pPr>
              <w:pStyle w:val="TableBody"/>
            </w:pPr>
            <w:r w:rsidRPr="00A85956">
              <w:t>44.1%</w:t>
            </w:r>
          </w:p>
        </w:tc>
        <w:tc>
          <w:tcPr>
            <w:tcW w:w="2294" w:type="pct"/>
            <w:noWrap/>
            <w:hideMark/>
          </w:tcPr>
          <w:p w14:paraId="7608C392" w14:textId="77777777" w:rsidR="004A317F" w:rsidRPr="00A85956" w:rsidRDefault="004A317F" w:rsidP="00A85956">
            <w:pPr>
              <w:pStyle w:val="TableBody"/>
            </w:pPr>
            <w:r w:rsidRPr="00A85956">
              <w:t>6.3%</w:t>
            </w:r>
          </w:p>
        </w:tc>
      </w:tr>
      <w:tr w:rsidR="00247704" w:rsidRPr="004A317F" w14:paraId="4939E1C9" w14:textId="77777777" w:rsidTr="00247704">
        <w:trPr>
          <w:trHeight w:val="288"/>
        </w:trPr>
        <w:tc>
          <w:tcPr>
            <w:tcW w:w="852" w:type="pct"/>
            <w:noWrap/>
            <w:hideMark/>
          </w:tcPr>
          <w:p w14:paraId="452E1DC9" w14:textId="77777777" w:rsidR="004A317F" w:rsidRPr="007B07AF" w:rsidRDefault="004A317F" w:rsidP="007B07AF">
            <w:pPr>
              <w:pStyle w:val="TableBody"/>
            </w:pPr>
            <w:r w:rsidRPr="007B07AF">
              <w:t>2015-16</w:t>
            </w:r>
          </w:p>
        </w:tc>
        <w:tc>
          <w:tcPr>
            <w:tcW w:w="1854" w:type="pct"/>
            <w:noWrap/>
            <w:hideMark/>
          </w:tcPr>
          <w:p w14:paraId="15398948" w14:textId="77777777" w:rsidR="004A317F" w:rsidRPr="00A85956" w:rsidRDefault="004A317F" w:rsidP="00A85956">
            <w:pPr>
              <w:pStyle w:val="TableBody"/>
            </w:pPr>
            <w:r w:rsidRPr="00A85956">
              <w:t>42.8%</w:t>
            </w:r>
          </w:p>
        </w:tc>
        <w:tc>
          <w:tcPr>
            <w:tcW w:w="2294" w:type="pct"/>
            <w:noWrap/>
            <w:hideMark/>
          </w:tcPr>
          <w:p w14:paraId="5B5439CA" w14:textId="77777777" w:rsidR="004A317F" w:rsidRPr="00A85956" w:rsidRDefault="004A317F" w:rsidP="00A85956">
            <w:pPr>
              <w:pStyle w:val="TableBody"/>
            </w:pPr>
            <w:r w:rsidRPr="00A85956">
              <w:t>9.0%</w:t>
            </w:r>
          </w:p>
        </w:tc>
      </w:tr>
      <w:tr w:rsidR="00247704" w:rsidRPr="004A317F" w14:paraId="5845C618" w14:textId="77777777" w:rsidTr="00247704">
        <w:trPr>
          <w:trHeight w:val="288"/>
        </w:trPr>
        <w:tc>
          <w:tcPr>
            <w:tcW w:w="852" w:type="pct"/>
            <w:noWrap/>
            <w:hideMark/>
          </w:tcPr>
          <w:p w14:paraId="4C97A8F8" w14:textId="77777777" w:rsidR="004A317F" w:rsidRPr="004A317F" w:rsidRDefault="004A317F" w:rsidP="00906ADE">
            <w:pPr>
              <w:pStyle w:val="TableBody"/>
            </w:pPr>
            <w:r w:rsidRPr="004A317F">
              <w:t>2016-17</w:t>
            </w:r>
          </w:p>
        </w:tc>
        <w:tc>
          <w:tcPr>
            <w:tcW w:w="1854" w:type="pct"/>
            <w:noWrap/>
            <w:hideMark/>
          </w:tcPr>
          <w:p w14:paraId="713A20D6" w14:textId="77777777" w:rsidR="004A317F" w:rsidRPr="00A85956" w:rsidRDefault="004A317F" w:rsidP="00A85956">
            <w:pPr>
              <w:pStyle w:val="TableBody"/>
            </w:pPr>
            <w:r w:rsidRPr="00A85956">
              <w:t>39.7%</w:t>
            </w:r>
          </w:p>
        </w:tc>
        <w:tc>
          <w:tcPr>
            <w:tcW w:w="2294" w:type="pct"/>
            <w:noWrap/>
            <w:hideMark/>
          </w:tcPr>
          <w:p w14:paraId="5E0A9D6A" w14:textId="77777777" w:rsidR="004A317F" w:rsidRPr="00A85956" w:rsidRDefault="004A317F" w:rsidP="00A85956">
            <w:pPr>
              <w:pStyle w:val="TableBody"/>
            </w:pPr>
            <w:r w:rsidRPr="00A85956">
              <w:t>11.6%</w:t>
            </w:r>
          </w:p>
        </w:tc>
      </w:tr>
      <w:tr w:rsidR="00247704" w:rsidRPr="004A317F" w14:paraId="3599A533" w14:textId="77777777" w:rsidTr="00247704">
        <w:trPr>
          <w:trHeight w:val="288"/>
        </w:trPr>
        <w:tc>
          <w:tcPr>
            <w:tcW w:w="852" w:type="pct"/>
            <w:noWrap/>
            <w:hideMark/>
          </w:tcPr>
          <w:p w14:paraId="07CD77B7" w14:textId="77777777" w:rsidR="004A317F" w:rsidRPr="004A317F" w:rsidRDefault="004A317F" w:rsidP="00906ADE">
            <w:pPr>
              <w:pStyle w:val="TableBody"/>
            </w:pPr>
            <w:r w:rsidRPr="004A317F">
              <w:t>2017-18</w:t>
            </w:r>
          </w:p>
        </w:tc>
        <w:tc>
          <w:tcPr>
            <w:tcW w:w="1854" w:type="pct"/>
            <w:noWrap/>
            <w:hideMark/>
          </w:tcPr>
          <w:p w14:paraId="707657A8" w14:textId="77777777" w:rsidR="004A317F" w:rsidRPr="00A85956" w:rsidRDefault="004A317F" w:rsidP="00A85956">
            <w:pPr>
              <w:pStyle w:val="TableBody"/>
            </w:pPr>
            <w:r w:rsidRPr="00A85956">
              <w:t>39.0%</w:t>
            </w:r>
          </w:p>
        </w:tc>
        <w:tc>
          <w:tcPr>
            <w:tcW w:w="2294" w:type="pct"/>
            <w:noWrap/>
            <w:hideMark/>
          </w:tcPr>
          <w:p w14:paraId="070DC05F" w14:textId="77777777" w:rsidR="004A317F" w:rsidRPr="00A85956" w:rsidRDefault="004A317F" w:rsidP="00A85956">
            <w:pPr>
              <w:pStyle w:val="TableBody"/>
            </w:pPr>
            <w:r w:rsidRPr="00A85956">
              <w:t>14.2%</w:t>
            </w:r>
          </w:p>
        </w:tc>
      </w:tr>
      <w:tr w:rsidR="00247704" w:rsidRPr="004A317F" w14:paraId="3442A21D" w14:textId="77777777" w:rsidTr="00247704">
        <w:trPr>
          <w:trHeight w:val="288"/>
        </w:trPr>
        <w:tc>
          <w:tcPr>
            <w:tcW w:w="852" w:type="pct"/>
            <w:noWrap/>
            <w:hideMark/>
          </w:tcPr>
          <w:p w14:paraId="62636134" w14:textId="77777777" w:rsidR="004A317F" w:rsidRPr="004A317F" w:rsidRDefault="004A317F" w:rsidP="00906ADE">
            <w:pPr>
              <w:pStyle w:val="TableBody"/>
            </w:pPr>
            <w:r w:rsidRPr="004A317F">
              <w:t>2018-19</w:t>
            </w:r>
          </w:p>
        </w:tc>
        <w:tc>
          <w:tcPr>
            <w:tcW w:w="1854" w:type="pct"/>
            <w:noWrap/>
            <w:hideMark/>
          </w:tcPr>
          <w:p w14:paraId="1994F344" w14:textId="77777777" w:rsidR="004A317F" w:rsidRPr="00A85956" w:rsidRDefault="004A317F" w:rsidP="00A85956">
            <w:pPr>
              <w:pStyle w:val="TableBody"/>
            </w:pPr>
            <w:r w:rsidRPr="00A85956">
              <w:t>37.3%</w:t>
            </w:r>
          </w:p>
        </w:tc>
        <w:tc>
          <w:tcPr>
            <w:tcW w:w="2294" w:type="pct"/>
            <w:noWrap/>
            <w:hideMark/>
          </w:tcPr>
          <w:p w14:paraId="02453659" w14:textId="77777777" w:rsidR="004A317F" w:rsidRPr="00A85956" w:rsidRDefault="004A317F" w:rsidP="00A85956">
            <w:pPr>
              <w:pStyle w:val="TableBody"/>
            </w:pPr>
            <w:r w:rsidRPr="00A85956">
              <w:t>15.5%</w:t>
            </w:r>
          </w:p>
        </w:tc>
      </w:tr>
      <w:tr w:rsidR="00247704" w:rsidRPr="004A317F" w14:paraId="2C54A416" w14:textId="77777777" w:rsidTr="00247704">
        <w:trPr>
          <w:trHeight w:val="288"/>
        </w:trPr>
        <w:tc>
          <w:tcPr>
            <w:tcW w:w="852" w:type="pct"/>
            <w:noWrap/>
            <w:hideMark/>
          </w:tcPr>
          <w:p w14:paraId="7B520BB3" w14:textId="77777777" w:rsidR="004A317F" w:rsidRPr="004A317F" w:rsidRDefault="004A317F" w:rsidP="00906ADE">
            <w:pPr>
              <w:pStyle w:val="TableBody"/>
            </w:pPr>
            <w:r w:rsidRPr="004A317F">
              <w:t>2019-20</w:t>
            </w:r>
          </w:p>
        </w:tc>
        <w:tc>
          <w:tcPr>
            <w:tcW w:w="1854" w:type="pct"/>
            <w:noWrap/>
            <w:hideMark/>
          </w:tcPr>
          <w:p w14:paraId="1597C8B7" w14:textId="77777777" w:rsidR="004A317F" w:rsidRPr="00A85956" w:rsidRDefault="004A317F" w:rsidP="00A85956">
            <w:pPr>
              <w:pStyle w:val="TableBody"/>
            </w:pPr>
            <w:r w:rsidRPr="00A85956">
              <w:t>38.4%</w:t>
            </w:r>
          </w:p>
        </w:tc>
        <w:tc>
          <w:tcPr>
            <w:tcW w:w="2294" w:type="pct"/>
            <w:noWrap/>
            <w:hideMark/>
          </w:tcPr>
          <w:p w14:paraId="7AFBE387" w14:textId="77777777" w:rsidR="004A317F" w:rsidRPr="00A85956" w:rsidRDefault="004A317F" w:rsidP="00A85956">
            <w:pPr>
              <w:pStyle w:val="TableBody"/>
            </w:pPr>
            <w:r w:rsidRPr="00A85956">
              <w:t>14.7%</w:t>
            </w:r>
          </w:p>
        </w:tc>
      </w:tr>
      <w:tr w:rsidR="00247704" w:rsidRPr="004A317F" w14:paraId="566ACCDF" w14:textId="77777777" w:rsidTr="00247704">
        <w:trPr>
          <w:trHeight w:val="288"/>
        </w:trPr>
        <w:tc>
          <w:tcPr>
            <w:tcW w:w="852" w:type="pct"/>
            <w:noWrap/>
            <w:hideMark/>
          </w:tcPr>
          <w:p w14:paraId="4627A527" w14:textId="77777777" w:rsidR="004A317F" w:rsidRPr="004A317F" w:rsidRDefault="004A317F" w:rsidP="00906ADE">
            <w:pPr>
              <w:pStyle w:val="TableBody"/>
            </w:pPr>
            <w:r w:rsidRPr="004A317F">
              <w:t>2020-21</w:t>
            </w:r>
          </w:p>
        </w:tc>
        <w:tc>
          <w:tcPr>
            <w:tcW w:w="1854" w:type="pct"/>
            <w:noWrap/>
            <w:hideMark/>
          </w:tcPr>
          <w:p w14:paraId="79F795BE" w14:textId="77777777" w:rsidR="004A317F" w:rsidRPr="00A85956" w:rsidRDefault="004A317F" w:rsidP="00A85956">
            <w:pPr>
              <w:pStyle w:val="TableBody"/>
            </w:pPr>
            <w:r w:rsidRPr="00A85956">
              <w:t>38.2%</w:t>
            </w:r>
          </w:p>
        </w:tc>
        <w:tc>
          <w:tcPr>
            <w:tcW w:w="2294" w:type="pct"/>
            <w:noWrap/>
            <w:hideMark/>
          </w:tcPr>
          <w:p w14:paraId="2A388C4A" w14:textId="77777777" w:rsidR="004A317F" w:rsidRPr="00A85956" w:rsidRDefault="004A317F" w:rsidP="00A85956">
            <w:pPr>
              <w:pStyle w:val="TableBody"/>
            </w:pPr>
            <w:r w:rsidRPr="00A85956">
              <w:t>12.8%</w:t>
            </w:r>
          </w:p>
        </w:tc>
      </w:tr>
      <w:tr w:rsidR="00247704" w:rsidRPr="004A317F" w14:paraId="7EC58F78" w14:textId="77777777" w:rsidTr="00247704">
        <w:trPr>
          <w:trHeight w:val="288"/>
        </w:trPr>
        <w:tc>
          <w:tcPr>
            <w:tcW w:w="852" w:type="pct"/>
            <w:noWrap/>
            <w:hideMark/>
          </w:tcPr>
          <w:p w14:paraId="5A42669E" w14:textId="77777777" w:rsidR="004A317F" w:rsidRPr="004A317F" w:rsidRDefault="004A317F" w:rsidP="00906ADE">
            <w:pPr>
              <w:pStyle w:val="TableBody"/>
            </w:pPr>
            <w:r w:rsidRPr="004A317F">
              <w:t>2021-22</w:t>
            </w:r>
          </w:p>
        </w:tc>
        <w:tc>
          <w:tcPr>
            <w:tcW w:w="1854" w:type="pct"/>
            <w:noWrap/>
            <w:hideMark/>
          </w:tcPr>
          <w:p w14:paraId="4067B2E9" w14:textId="77777777" w:rsidR="004A317F" w:rsidRPr="00A85956" w:rsidRDefault="004A317F" w:rsidP="00A85956">
            <w:pPr>
              <w:pStyle w:val="TableBody"/>
            </w:pPr>
            <w:r w:rsidRPr="00A85956">
              <w:t>37.0%</w:t>
            </w:r>
          </w:p>
        </w:tc>
        <w:tc>
          <w:tcPr>
            <w:tcW w:w="2294" w:type="pct"/>
            <w:noWrap/>
            <w:hideMark/>
          </w:tcPr>
          <w:p w14:paraId="6547639E" w14:textId="77777777" w:rsidR="004A317F" w:rsidRPr="00A85956" w:rsidRDefault="004A317F" w:rsidP="00A85956">
            <w:pPr>
              <w:pStyle w:val="TableBody"/>
            </w:pPr>
            <w:r w:rsidRPr="00A85956">
              <w:t>9.6%</w:t>
            </w:r>
          </w:p>
        </w:tc>
      </w:tr>
      <w:tr w:rsidR="00247704" w:rsidRPr="004A317F" w14:paraId="27FF483D" w14:textId="77777777" w:rsidTr="00247704">
        <w:trPr>
          <w:trHeight w:val="288"/>
        </w:trPr>
        <w:tc>
          <w:tcPr>
            <w:tcW w:w="852" w:type="pct"/>
            <w:noWrap/>
            <w:hideMark/>
          </w:tcPr>
          <w:p w14:paraId="7C1DDE15" w14:textId="77777777" w:rsidR="004A317F" w:rsidRPr="004A317F" w:rsidRDefault="004A317F" w:rsidP="00906ADE">
            <w:pPr>
              <w:pStyle w:val="TableBody"/>
            </w:pPr>
            <w:r w:rsidRPr="004A317F">
              <w:t>2022-23</w:t>
            </w:r>
          </w:p>
        </w:tc>
        <w:tc>
          <w:tcPr>
            <w:tcW w:w="1854" w:type="pct"/>
            <w:noWrap/>
            <w:hideMark/>
          </w:tcPr>
          <w:p w14:paraId="20DDD6A0" w14:textId="77777777" w:rsidR="004A317F" w:rsidRPr="00A85956" w:rsidRDefault="004A317F" w:rsidP="00A85956">
            <w:pPr>
              <w:pStyle w:val="TableBody"/>
            </w:pPr>
            <w:r w:rsidRPr="00A85956">
              <w:t>39.5%</w:t>
            </w:r>
          </w:p>
        </w:tc>
        <w:tc>
          <w:tcPr>
            <w:tcW w:w="2294" w:type="pct"/>
            <w:noWrap/>
            <w:hideMark/>
          </w:tcPr>
          <w:p w14:paraId="797F6980" w14:textId="77777777" w:rsidR="004A317F" w:rsidRPr="00A85956" w:rsidRDefault="004A317F" w:rsidP="00A85956">
            <w:pPr>
              <w:pStyle w:val="TableBody"/>
            </w:pPr>
            <w:r w:rsidRPr="00A85956">
              <w:t>9.2%</w:t>
            </w:r>
          </w:p>
        </w:tc>
      </w:tr>
      <w:tr w:rsidR="00247704" w:rsidRPr="004A317F" w14:paraId="436CF99A" w14:textId="77777777" w:rsidTr="00247704">
        <w:trPr>
          <w:trHeight w:val="288"/>
        </w:trPr>
        <w:tc>
          <w:tcPr>
            <w:tcW w:w="852" w:type="pct"/>
            <w:noWrap/>
            <w:hideMark/>
          </w:tcPr>
          <w:p w14:paraId="07832601" w14:textId="77777777" w:rsidR="004A317F" w:rsidRPr="004A317F" w:rsidRDefault="004A317F" w:rsidP="005110CF">
            <w:pPr>
              <w:pStyle w:val="TableBody"/>
            </w:pPr>
            <w:r w:rsidRPr="004A317F">
              <w:t>2023-24</w:t>
            </w:r>
          </w:p>
        </w:tc>
        <w:tc>
          <w:tcPr>
            <w:tcW w:w="1854" w:type="pct"/>
            <w:noWrap/>
            <w:hideMark/>
          </w:tcPr>
          <w:p w14:paraId="4D559FAC" w14:textId="77777777" w:rsidR="004A317F" w:rsidRPr="00A85956" w:rsidRDefault="004A317F" w:rsidP="00A85956">
            <w:pPr>
              <w:pStyle w:val="TableBody"/>
            </w:pPr>
            <w:r w:rsidRPr="00A85956">
              <w:t>39.3%</w:t>
            </w:r>
          </w:p>
        </w:tc>
        <w:tc>
          <w:tcPr>
            <w:tcW w:w="2294" w:type="pct"/>
            <w:noWrap/>
            <w:hideMark/>
          </w:tcPr>
          <w:p w14:paraId="68DB62DF" w14:textId="77777777" w:rsidR="004A317F" w:rsidRPr="00A85956" w:rsidRDefault="004A317F" w:rsidP="00A85956">
            <w:pPr>
              <w:pStyle w:val="TableBody"/>
            </w:pPr>
            <w:r w:rsidRPr="00A85956">
              <w:t>8.6%</w:t>
            </w:r>
          </w:p>
        </w:tc>
      </w:tr>
    </w:tbl>
    <w:p w14:paraId="43D28E14" w14:textId="77777777" w:rsidR="00A4454A" w:rsidRPr="008C1137" w:rsidRDefault="00A4454A" w:rsidP="0002476E">
      <w:pPr>
        <w:pStyle w:val="Heading2"/>
      </w:pPr>
      <w:r w:rsidRPr="008C1137">
        <w:lastRenderedPageBreak/>
        <w:t>Prisoners on parole</w:t>
      </w:r>
    </w:p>
    <w:p w14:paraId="7FA15CD2" w14:textId="77777777" w:rsidR="00A4454A" w:rsidRPr="008C1137" w:rsidRDefault="00A4454A" w:rsidP="00210207">
      <w:pPr>
        <w:pStyle w:val="Numbered"/>
      </w:pPr>
      <w:r w:rsidRPr="008C1137">
        <w:t xml:space="preserve">To contextualise changes in the number of people applying for and being granted parole, this section presents data on parole decisions between 1 July 2013 and 30 June 2024. </w:t>
      </w:r>
      <w:r w:rsidRPr="003B3217">
        <w:rPr>
          <w:rStyle w:val="Italic"/>
        </w:rPr>
        <w:t>Parole</w:t>
      </w:r>
      <w:r w:rsidRPr="008C1137">
        <w:t xml:space="preserve"> refers to the conditional release of a sentenced prisoner, where they serve a portion of their sentence in the community, subject to certain conditions.</w:t>
      </w:r>
      <w:r w:rsidRPr="008C1137">
        <w:rPr>
          <w:rStyle w:val="Superscript"/>
        </w:rPr>
        <w:footnoteReference w:id="181"/>
      </w:r>
      <w:r w:rsidRPr="008C1137">
        <w:t xml:space="preserve"> The period in which a person is eligible to be released on parole is first determined by the courts during sentencing, by fixing a non-parole period</w:t>
      </w:r>
      <w:r w:rsidRPr="008C1137">
        <w:rPr>
          <w:rStyle w:val="Superscript"/>
        </w:rPr>
        <w:footnoteReference w:id="182"/>
      </w:r>
      <w:r w:rsidRPr="008C1137">
        <w:t xml:space="preserve"> (though not every offender will have a non-parole period</w:t>
      </w:r>
      <w:r w:rsidRPr="008C1137">
        <w:rPr>
          <w:rStyle w:val="Superscript"/>
        </w:rPr>
        <w:footnoteReference w:id="183"/>
      </w:r>
      <w:r w:rsidRPr="008C1137">
        <w:t xml:space="preserve">); then, if the offender is eligible and has applied for parole, the Adult Parole Board decides whether the offender should be released on parole. </w:t>
      </w:r>
    </w:p>
    <w:p w14:paraId="6C72D009" w14:textId="77777777" w:rsidR="00A4454A" w:rsidRPr="008C1137" w:rsidRDefault="00A4454A" w:rsidP="00210207">
      <w:pPr>
        <w:pStyle w:val="Numbered"/>
      </w:pPr>
      <w:r w:rsidRPr="008C1137">
        <w:t>The Victorian parole system has undergone significant reform over the last two decades, largely prompted by community concern about serious offences committed by people on parole.</w:t>
      </w:r>
      <w:r w:rsidRPr="008C1137">
        <w:rPr>
          <w:rStyle w:val="Superscript"/>
        </w:rPr>
        <w:footnoteReference w:id="184"/>
      </w:r>
      <w:r w:rsidRPr="008C1137">
        <w:t xml:space="preserve"> In response, three separate reviews of Victoria’s parole landscape were undertaken between 2011 and 2013.</w:t>
      </w:r>
      <w:r w:rsidRPr="008C1137">
        <w:rPr>
          <w:rStyle w:val="Superscript"/>
        </w:rPr>
        <w:footnoteReference w:id="185"/>
      </w:r>
      <w:r w:rsidRPr="008C1137">
        <w:t xml:space="preserve"> In particular, the </w:t>
      </w:r>
      <w:r w:rsidRPr="008C1137">
        <w:lastRenderedPageBreak/>
        <w:t>Callinan Review, largely initiated in response to the murder of Jill Meagher by parolee Adrian Bayley, resulted in numerous reforms that restricted the availability of parole.</w:t>
      </w:r>
      <w:r w:rsidRPr="008C1137">
        <w:rPr>
          <w:rStyle w:val="Superscript"/>
        </w:rPr>
        <w:footnoteReference w:id="186"/>
      </w:r>
      <w:r w:rsidRPr="008C1137">
        <w:t xml:space="preserve"> Notably, there was also a reversal of the presumption that parole should be granted at an offender’s eligibility date unless a compelling reason not to grant parole existed, with the onus shifting to the </w:t>
      </w:r>
      <w:r w:rsidRPr="003B3217">
        <w:rPr>
          <w:rStyle w:val="Italic"/>
        </w:rPr>
        <w:t>prisoner</w:t>
      </w:r>
      <w:r w:rsidRPr="008C1137">
        <w:t xml:space="preserve"> to apply for parole upon eligibility and the Adult Parole Board then making an assessment to grant or deny parole,</w:t>
      </w:r>
      <w:r w:rsidRPr="008C1137">
        <w:rPr>
          <w:rStyle w:val="Superscript"/>
        </w:rPr>
        <w:footnoteReference w:id="187"/>
      </w:r>
      <w:r w:rsidRPr="008C1137">
        <w:t xml:space="preserve"> with the safety of the community as the paramount consideration in that determination.</w:t>
      </w:r>
      <w:r w:rsidRPr="008C1137">
        <w:rPr>
          <w:rStyle w:val="Superscript"/>
        </w:rPr>
        <w:footnoteReference w:id="188"/>
      </w:r>
      <w:r w:rsidRPr="008C1137">
        <w:t xml:space="preserve"> </w:t>
      </w:r>
    </w:p>
    <w:p w14:paraId="0BA3CAE8" w14:textId="77777777" w:rsidR="00A4454A" w:rsidRPr="008C1137" w:rsidRDefault="00A4454A" w:rsidP="00210207">
      <w:pPr>
        <w:pStyle w:val="Numbered"/>
      </w:pPr>
      <w:r w:rsidRPr="008C1137">
        <w:t xml:space="preserve">Figure 62 shows the number of parole applications received by the Adult Parole Board each financial year from 2015–16 (the first full year of data in which prisoners were required to apply for parole) to 2023–24. There was relative stability in the number of parole applications each year between 2015–16 and 2019–20 (sitting between around 1,700 and 1,800 a year), and a subsequent decline in the most recent 4 years shown. </w:t>
      </w:r>
    </w:p>
    <w:p w14:paraId="25ABCD78" w14:textId="77777777" w:rsidR="00A4454A" w:rsidRPr="008C1137" w:rsidRDefault="00A4454A" w:rsidP="00BE4EDC">
      <w:pPr>
        <w:pStyle w:val="Caption"/>
      </w:pPr>
      <w:r w:rsidRPr="00157502">
        <w:t>Figure 62</w:t>
      </w:r>
      <w:r w:rsidRPr="008C1137">
        <w:t>: Number of parole applications received, 2015–16 to 2023–24</w:t>
      </w:r>
    </w:p>
    <w:tbl>
      <w:tblPr>
        <w:tblStyle w:val="Table"/>
        <w:tblW w:w="5000" w:type="pct"/>
        <w:tblLook w:val="04A0" w:firstRow="1" w:lastRow="0" w:firstColumn="1" w:lastColumn="0" w:noHBand="0" w:noVBand="1"/>
      </w:tblPr>
      <w:tblGrid>
        <w:gridCol w:w="4604"/>
        <w:gridCol w:w="4412"/>
      </w:tblGrid>
      <w:tr w:rsidR="002E7AF5" w:rsidRPr="00266E94" w14:paraId="181EAE07" w14:textId="77777777" w:rsidTr="00C63268">
        <w:trPr>
          <w:trHeight w:val="20"/>
          <w:tblHeader/>
        </w:trPr>
        <w:tc>
          <w:tcPr>
            <w:tcW w:w="2553" w:type="pct"/>
            <w:noWrap/>
            <w:hideMark/>
          </w:tcPr>
          <w:p w14:paraId="1BF07FB8" w14:textId="01E6C874" w:rsidR="002E7AF5" w:rsidRPr="00C63268" w:rsidRDefault="00C63268" w:rsidP="00C63268">
            <w:pPr>
              <w:pStyle w:val="TableHeading"/>
            </w:pPr>
            <w:r w:rsidRPr="00C63268">
              <w:t>Financial year</w:t>
            </w:r>
          </w:p>
        </w:tc>
        <w:tc>
          <w:tcPr>
            <w:tcW w:w="2447" w:type="pct"/>
            <w:hideMark/>
          </w:tcPr>
          <w:p w14:paraId="40726A0A" w14:textId="77777777" w:rsidR="002E7AF5" w:rsidRPr="00C63268" w:rsidRDefault="002E7AF5" w:rsidP="00C63268">
            <w:pPr>
              <w:pStyle w:val="TableHeading"/>
            </w:pPr>
            <w:r w:rsidRPr="00C63268">
              <w:t>Total number received</w:t>
            </w:r>
          </w:p>
        </w:tc>
      </w:tr>
      <w:tr w:rsidR="002E7AF5" w:rsidRPr="00266E94" w14:paraId="263DF498" w14:textId="77777777" w:rsidTr="00C63268">
        <w:trPr>
          <w:trHeight w:val="20"/>
        </w:trPr>
        <w:tc>
          <w:tcPr>
            <w:tcW w:w="2553" w:type="pct"/>
            <w:hideMark/>
          </w:tcPr>
          <w:p w14:paraId="3A2B8A99" w14:textId="77777777" w:rsidR="002E7AF5" w:rsidRPr="00C63268" w:rsidRDefault="002E7AF5" w:rsidP="00C63268">
            <w:pPr>
              <w:pStyle w:val="TableBody"/>
            </w:pPr>
            <w:r w:rsidRPr="00C63268">
              <w:t>2015-16</w:t>
            </w:r>
          </w:p>
        </w:tc>
        <w:tc>
          <w:tcPr>
            <w:tcW w:w="2447" w:type="pct"/>
            <w:hideMark/>
          </w:tcPr>
          <w:p w14:paraId="55D500C1" w14:textId="77777777" w:rsidR="002E7AF5" w:rsidRPr="00C63268" w:rsidRDefault="002E7AF5" w:rsidP="00C63268">
            <w:pPr>
              <w:pStyle w:val="TableBody"/>
            </w:pPr>
            <w:r w:rsidRPr="00C63268">
              <w:t>1,841</w:t>
            </w:r>
          </w:p>
        </w:tc>
      </w:tr>
      <w:tr w:rsidR="002E7AF5" w:rsidRPr="00266E94" w14:paraId="0954B08A" w14:textId="77777777" w:rsidTr="00C63268">
        <w:trPr>
          <w:trHeight w:val="20"/>
        </w:trPr>
        <w:tc>
          <w:tcPr>
            <w:tcW w:w="2553" w:type="pct"/>
            <w:hideMark/>
          </w:tcPr>
          <w:p w14:paraId="31DD34CD" w14:textId="77777777" w:rsidR="002E7AF5" w:rsidRPr="00C63268" w:rsidRDefault="002E7AF5" w:rsidP="00C63268">
            <w:pPr>
              <w:pStyle w:val="TableBody"/>
            </w:pPr>
            <w:r w:rsidRPr="00C63268">
              <w:t>2016-17</w:t>
            </w:r>
          </w:p>
        </w:tc>
        <w:tc>
          <w:tcPr>
            <w:tcW w:w="2447" w:type="pct"/>
            <w:hideMark/>
          </w:tcPr>
          <w:p w14:paraId="012050E6" w14:textId="77777777" w:rsidR="002E7AF5" w:rsidRPr="00C63268" w:rsidRDefault="002E7AF5" w:rsidP="00C63268">
            <w:pPr>
              <w:pStyle w:val="TableBody"/>
            </w:pPr>
            <w:r w:rsidRPr="00C63268">
              <w:t>1,689</w:t>
            </w:r>
          </w:p>
        </w:tc>
      </w:tr>
      <w:tr w:rsidR="002E7AF5" w:rsidRPr="00266E94" w14:paraId="046AAA98" w14:textId="77777777" w:rsidTr="00C63268">
        <w:trPr>
          <w:trHeight w:val="20"/>
        </w:trPr>
        <w:tc>
          <w:tcPr>
            <w:tcW w:w="2553" w:type="pct"/>
            <w:hideMark/>
          </w:tcPr>
          <w:p w14:paraId="11055A01" w14:textId="77777777" w:rsidR="002E7AF5" w:rsidRPr="00C63268" w:rsidRDefault="002E7AF5" w:rsidP="00C63268">
            <w:pPr>
              <w:pStyle w:val="TableBody"/>
            </w:pPr>
            <w:r w:rsidRPr="00C63268">
              <w:t>2017-18</w:t>
            </w:r>
          </w:p>
        </w:tc>
        <w:tc>
          <w:tcPr>
            <w:tcW w:w="2447" w:type="pct"/>
            <w:hideMark/>
          </w:tcPr>
          <w:p w14:paraId="5800CA5B" w14:textId="77777777" w:rsidR="002E7AF5" w:rsidRPr="00C63268" w:rsidRDefault="002E7AF5" w:rsidP="00C63268">
            <w:pPr>
              <w:pStyle w:val="TableBody"/>
            </w:pPr>
            <w:r w:rsidRPr="00C63268">
              <w:t>1,680</w:t>
            </w:r>
          </w:p>
        </w:tc>
      </w:tr>
      <w:tr w:rsidR="002E7AF5" w:rsidRPr="00266E94" w14:paraId="2DA8E9B4" w14:textId="77777777" w:rsidTr="00C63268">
        <w:trPr>
          <w:trHeight w:val="20"/>
        </w:trPr>
        <w:tc>
          <w:tcPr>
            <w:tcW w:w="2553" w:type="pct"/>
            <w:hideMark/>
          </w:tcPr>
          <w:p w14:paraId="0B1F40E5" w14:textId="77777777" w:rsidR="002E7AF5" w:rsidRPr="00C63268" w:rsidRDefault="002E7AF5" w:rsidP="00C63268">
            <w:pPr>
              <w:pStyle w:val="TableBody"/>
            </w:pPr>
            <w:r w:rsidRPr="00C63268">
              <w:t>2018-19</w:t>
            </w:r>
          </w:p>
        </w:tc>
        <w:tc>
          <w:tcPr>
            <w:tcW w:w="2447" w:type="pct"/>
            <w:hideMark/>
          </w:tcPr>
          <w:p w14:paraId="0C9C066F" w14:textId="77777777" w:rsidR="002E7AF5" w:rsidRPr="00C63268" w:rsidRDefault="002E7AF5" w:rsidP="00C63268">
            <w:pPr>
              <w:pStyle w:val="TableBody"/>
            </w:pPr>
            <w:r w:rsidRPr="00C63268">
              <w:t>1,746</w:t>
            </w:r>
          </w:p>
        </w:tc>
      </w:tr>
      <w:tr w:rsidR="002E7AF5" w:rsidRPr="00266E94" w14:paraId="1C0F12AD" w14:textId="77777777" w:rsidTr="00C63268">
        <w:trPr>
          <w:trHeight w:val="20"/>
        </w:trPr>
        <w:tc>
          <w:tcPr>
            <w:tcW w:w="2553" w:type="pct"/>
            <w:hideMark/>
          </w:tcPr>
          <w:p w14:paraId="441A650C" w14:textId="77777777" w:rsidR="002E7AF5" w:rsidRPr="00C63268" w:rsidRDefault="002E7AF5" w:rsidP="00C63268">
            <w:pPr>
              <w:pStyle w:val="TableBody"/>
            </w:pPr>
            <w:r w:rsidRPr="00C63268">
              <w:t>2019-20</w:t>
            </w:r>
          </w:p>
        </w:tc>
        <w:tc>
          <w:tcPr>
            <w:tcW w:w="2447" w:type="pct"/>
            <w:hideMark/>
          </w:tcPr>
          <w:p w14:paraId="68F078D8" w14:textId="77777777" w:rsidR="002E7AF5" w:rsidRPr="00C63268" w:rsidRDefault="002E7AF5" w:rsidP="00C63268">
            <w:pPr>
              <w:pStyle w:val="TableBody"/>
            </w:pPr>
            <w:r w:rsidRPr="00C63268">
              <w:t>1,780</w:t>
            </w:r>
          </w:p>
        </w:tc>
      </w:tr>
      <w:tr w:rsidR="002E7AF5" w:rsidRPr="00266E94" w14:paraId="648B580E" w14:textId="77777777" w:rsidTr="00C63268">
        <w:trPr>
          <w:trHeight w:val="20"/>
        </w:trPr>
        <w:tc>
          <w:tcPr>
            <w:tcW w:w="2553" w:type="pct"/>
            <w:hideMark/>
          </w:tcPr>
          <w:p w14:paraId="094C3112" w14:textId="77777777" w:rsidR="002E7AF5" w:rsidRPr="00C63268" w:rsidRDefault="002E7AF5" w:rsidP="00C63268">
            <w:pPr>
              <w:pStyle w:val="TableBody"/>
            </w:pPr>
            <w:r w:rsidRPr="00C63268">
              <w:lastRenderedPageBreak/>
              <w:t>2020-21</w:t>
            </w:r>
          </w:p>
        </w:tc>
        <w:tc>
          <w:tcPr>
            <w:tcW w:w="2447" w:type="pct"/>
            <w:hideMark/>
          </w:tcPr>
          <w:p w14:paraId="74F81978" w14:textId="77777777" w:rsidR="002E7AF5" w:rsidRPr="00C63268" w:rsidRDefault="002E7AF5" w:rsidP="00C63268">
            <w:pPr>
              <w:pStyle w:val="TableBody"/>
            </w:pPr>
            <w:r w:rsidRPr="00C63268">
              <w:t>1,349</w:t>
            </w:r>
          </w:p>
        </w:tc>
      </w:tr>
      <w:tr w:rsidR="002E7AF5" w:rsidRPr="00266E94" w14:paraId="13740229" w14:textId="77777777" w:rsidTr="00C63268">
        <w:trPr>
          <w:trHeight w:val="20"/>
        </w:trPr>
        <w:tc>
          <w:tcPr>
            <w:tcW w:w="2553" w:type="pct"/>
            <w:hideMark/>
          </w:tcPr>
          <w:p w14:paraId="50BDEE85" w14:textId="77777777" w:rsidR="002E7AF5" w:rsidRPr="00C63268" w:rsidRDefault="002E7AF5" w:rsidP="00C63268">
            <w:pPr>
              <w:pStyle w:val="TableBody"/>
            </w:pPr>
            <w:r w:rsidRPr="00C63268">
              <w:t>2021-22</w:t>
            </w:r>
          </w:p>
        </w:tc>
        <w:tc>
          <w:tcPr>
            <w:tcW w:w="2447" w:type="pct"/>
            <w:hideMark/>
          </w:tcPr>
          <w:p w14:paraId="251203F7" w14:textId="77777777" w:rsidR="002E7AF5" w:rsidRPr="00C63268" w:rsidRDefault="002E7AF5" w:rsidP="00C63268">
            <w:pPr>
              <w:pStyle w:val="TableBody"/>
            </w:pPr>
            <w:r w:rsidRPr="00C63268">
              <w:t>1,220</w:t>
            </w:r>
          </w:p>
        </w:tc>
      </w:tr>
      <w:tr w:rsidR="002E7AF5" w:rsidRPr="00266E94" w14:paraId="44B57835" w14:textId="77777777" w:rsidTr="00C63268">
        <w:trPr>
          <w:trHeight w:val="20"/>
        </w:trPr>
        <w:tc>
          <w:tcPr>
            <w:tcW w:w="2553" w:type="pct"/>
            <w:hideMark/>
          </w:tcPr>
          <w:p w14:paraId="6483A8C6" w14:textId="77777777" w:rsidR="002E7AF5" w:rsidRPr="00C63268" w:rsidRDefault="002E7AF5" w:rsidP="00C63268">
            <w:pPr>
              <w:pStyle w:val="TableBody"/>
            </w:pPr>
            <w:r w:rsidRPr="00C63268">
              <w:t>2022-23</w:t>
            </w:r>
          </w:p>
        </w:tc>
        <w:tc>
          <w:tcPr>
            <w:tcW w:w="2447" w:type="pct"/>
            <w:hideMark/>
          </w:tcPr>
          <w:p w14:paraId="0987FC16" w14:textId="77777777" w:rsidR="002E7AF5" w:rsidRPr="00C63268" w:rsidRDefault="002E7AF5" w:rsidP="00C63268">
            <w:pPr>
              <w:pStyle w:val="TableBody"/>
            </w:pPr>
            <w:r w:rsidRPr="00C63268">
              <w:t>1,312</w:t>
            </w:r>
          </w:p>
        </w:tc>
      </w:tr>
      <w:tr w:rsidR="002E7AF5" w:rsidRPr="00266E94" w14:paraId="37B1DFD0" w14:textId="77777777" w:rsidTr="00C63268">
        <w:trPr>
          <w:trHeight w:val="20"/>
        </w:trPr>
        <w:tc>
          <w:tcPr>
            <w:tcW w:w="2553" w:type="pct"/>
            <w:hideMark/>
          </w:tcPr>
          <w:p w14:paraId="00D15FBA" w14:textId="77777777" w:rsidR="002E7AF5" w:rsidRPr="00C63268" w:rsidRDefault="002E7AF5" w:rsidP="00C63268">
            <w:pPr>
              <w:pStyle w:val="TableBody"/>
            </w:pPr>
            <w:r w:rsidRPr="00C63268">
              <w:t>2023-24</w:t>
            </w:r>
          </w:p>
        </w:tc>
        <w:tc>
          <w:tcPr>
            <w:tcW w:w="2447" w:type="pct"/>
            <w:hideMark/>
          </w:tcPr>
          <w:p w14:paraId="280CDD7C" w14:textId="77777777" w:rsidR="002E7AF5" w:rsidRPr="00C63268" w:rsidRDefault="002E7AF5" w:rsidP="00C63268">
            <w:pPr>
              <w:pStyle w:val="TableBody"/>
            </w:pPr>
            <w:r w:rsidRPr="00C63268">
              <w:t>1,210</w:t>
            </w:r>
          </w:p>
        </w:tc>
      </w:tr>
    </w:tbl>
    <w:p w14:paraId="6628EA20" w14:textId="77777777" w:rsidR="00A4454A" w:rsidRPr="008C1137" w:rsidRDefault="00A4454A" w:rsidP="00D4532A">
      <w:r w:rsidRPr="000C258A">
        <w:rPr>
          <w:rStyle w:val="Strong"/>
        </w:rPr>
        <w:t>Source</w:t>
      </w:r>
      <w:r w:rsidRPr="008C1137">
        <w:t>: Adult Parole Board,</w:t>
      </w:r>
      <w:r w:rsidRPr="008C1137">
        <w:rPr>
          <w:rStyle w:val="Italic"/>
        </w:rPr>
        <w:t xml:space="preserve"> </w:t>
      </w:r>
      <w:r w:rsidRPr="008C1137">
        <w:t>Annual Reports</w:t>
      </w:r>
      <w:r w:rsidRPr="008C1137">
        <w:rPr>
          <w:rStyle w:val="Italic"/>
        </w:rPr>
        <w:t xml:space="preserve"> </w:t>
      </w:r>
      <w:r w:rsidRPr="008C1137">
        <w:t>(2015–16 to 2023–24)</w:t>
      </w:r>
    </w:p>
    <w:p w14:paraId="4AAAAB23" w14:textId="50365726" w:rsidR="00A4454A" w:rsidRPr="008C1137" w:rsidRDefault="00A4454A" w:rsidP="00210207">
      <w:pPr>
        <w:pStyle w:val="Numbered"/>
      </w:pPr>
      <w:r w:rsidRPr="008C1137">
        <w:t>Figure 63 shows the number of parole orders granted and denied each year from 2013–14 to 2023–24.</w:t>
      </w:r>
      <w:r w:rsidRPr="003B3217">
        <w:rPr>
          <w:rStyle w:val="Italic"/>
        </w:rPr>
        <w:t xml:space="preserve"> </w:t>
      </w:r>
      <w:r w:rsidRPr="008C1137">
        <w:t>The numbers suggest that there has been a reduction in both decisions to grant and to deny parole, albeit the reduction in decisions to</w:t>
      </w:r>
      <w:r w:rsidRPr="003B3217">
        <w:rPr>
          <w:rStyle w:val="Italic"/>
        </w:rPr>
        <w:t xml:space="preserve"> grant </w:t>
      </w:r>
      <w:r w:rsidRPr="008C1137">
        <w:t>parole is higher than the reduction in decisions to</w:t>
      </w:r>
      <w:r w:rsidRPr="003B3217">
        <w:rPr>
          <w:rStyle w:val="Italic"/>
        </w:rPr>
        <w:t xml:space="preserve"> deny </w:t>
      </w:r>
      <w:r w:rsidRPr="008C1137">
        <w:t>parole. Starting at the first full financial year of the major parole reforms (2015–16), the number of decisions to grant parole dropped from 883 to a low of 583 in 2023–24 (a 34% decline).</w:t>
      </w:r>
      <w:r w:rsidRPr="008C1137">
        <w:rPr>
          <w:rStyle w:val="Superscript"/>
        </w:rPr>
        <w:footnoteReference w:id="189"/>
      </w:r>
      <w:r w:rsidRPr="008C1137">
        <w:t xml:space="preserve"> By comparison, the number of decisions to deny parole dropped from 622 to 561 (a 10% decline). Given that there are fewer people applying for parole and fewer parole orders being granted, this would reasonably be expected to have contributed to the number of people in prison.</w:t>
      </w:r>
    </w:p>
    <w:p w14:paraId="10742B92" w14:textId="77777777" w:rsidR="00A4454A" w:rsidRPr="008C1137" w:rsidRDefault="00A4454A" w:rsidP="00BE4EDC">
      <w:pPr>
        <w:pStyle w:val="Caption"/>
      </w:pPr>
      <w:r w:rsidRPr="00157502">
        <w:t>Figure 63</w:t>
      </w:r>
      <w:r w:rsidRPr="008C1137">
        <w:t>: Number of parole orders granted and denied (including those withdrawn), 2013–14 to 2023–24</w:t>
      </w:r>
    </w:p>
    <w:tbl>
      <w:tblPr>
        <w:tblStyle w:val="Table"/>
        <w:tblW w:w="0" w:type="auto"/>
        <w:tblLook w:val="04A0" w:firstRow="1" w:lastRow="0" w:firstColumn="1" w:lastColumn="0" w:noHBand="0" w:noVBand="1"/>
      </w:tblPr>
      <w:tblGrid>
        <w:gridCol w:w="3005"/>
        <w:gridCol w:w="3005"/>
        <w:gridCol w:w="3006"/>
      </w:tblGrid>
      <w:tr w:rsidR="002E7AF5" w:rsidRPr="00266E94" w14:paraId="5793CE7C" w14:textId="77777777" w:rsidTr="00680E9C">
        <w:trPr>
          <w:trHeight w:val="20"/>
          <w:tblHeader/>
        </w:trPr>
        <w:tc>
          <w:tcPr>
            <w:tcW w:w="3005" w:type="dxa"/>
            <w:noWrap/>
            <w:hideMark/>
          </w:tcPr>
          <w:p w14:paraId="4831EC50" w14:textId="524DB7C1" w:rsidR="002E7AF5" w:rsidRPr="00680E9C" w:rsidRDefault="00A32E68" w:rsidP="00680E9C">
            <w:pPr>
              <w:pStyle w:val="TableHeading"/>
            </w:pPr>
            <w:r w:rsidRPr="00680E9C">
              <w:t>Financial year</w:t>
            </w:r>
          </w:p>
        </w:tc>
        <w:tc>
          <w:tcPr>
            <w:tcW w:w="3005" w:type="dxa"/>
            <w:hideMark/>
          </w:tcPr>
          <w:p w14:paraId="3A8D8FC1" w14:textId="77777777" w:rsidR="002E7AF5" w:rsidRPr="00680E9C" w:rsidRDefault="002E7AF5" w:rsidP="00680E9C">
            <w:pPr>
              <w:pStyle w:val="TableHeading"/>
            </w:pPr>
            <w:r w:rsidRPr="00680E9C">
              <w:t>Parole orders granted</w:t>
            </w:r>
          </w:p>
        </w:tc>
        <w:tc>
          <w:tcPr>
            <w:tcW w:w="3006" w:type="dxa"/>
            <w:hideMark/>
          </w:tcPr>
          <w:p w14:paraId="63D0AD43" w14:textId="77777777" w:rsidR="002E7AF5" w:rsidRPr="00680E9C" w:rsidRDefault="002E7AF5" w:rsidP="00680E9C">
            <w:pPr>
              <w:pStyle w:val="TableHeading"/>
            </w:pPr>
            <w:r w:rsidRPr="00680E9C">
              <w:t>Parole orders denied (including those that withdrew)</w:t>
            </w:r>
          </w:p>
        </w:tc>
      </w:tr>
      <w:tr w:rsidR="002E7AF5" w:rsidRPr="00266E94" w14:paraId="7C64E9A6" w14:textId="77777777" w:rsidTr="00680E9C">
        <w:trPr>
          <w:trHeight w:val="20"/>
        </w:trPr>
        <w:tc>
          <w:tcPr>
            <w:tcW w:w="3005" w:type="dxa"/>
            <w:hideMark/>
          </w:tcPr>
          <w:p w14:paraId="5C656182" w14:textId="77777777" w:rsidR="002E7AF5" w:rsidRPr="00CF1C82" w:rsidRDefault="002E7AF5" w:rsidP="00CF1C82">
            <w:pPr>
              <w:pStyle w:val="TableBody"/>
            </w:pPr>
            <w:r w:rsidRPr="00CF1C82">
              <w:t>2013-14</w:t>
            </w:r>
          </w:p>
        </w:tc>
        <w:tc>
          <w:tcPr>
            <w:tcW w:w="3005" w:type="dxa"/>
            <w:hideMark/>
          </w:tcPr>
          <w:p w14:paraId="4395456B" w14:textId="77777777" w:rsidR="002E7AF5" w:rsidRPr="00680E9C" w:rsidRDefault="002E7AF5" w:rsidP="00680E9C">
            <w:pPr>
              <w:pStyle w:val="TableBody"/>
            </w:pPr>
            <w:r w:rsidRPr="00680E9C">
              <w:t>1,313</w:t>
            </w:r>
          </w:p>
        </w:tc>
        <w:tc>
          <w:tcPr>
            <w:tcW w:w="3006" w:type="dxa"/>
            <w:hideMark/>
          </w:tcPr>
          <w:p w14:paraId="5094ED6A" w14:textId="77777777" w:rsidR="002E7AF5" w:rsidRPr="00680E9C" w:rsidRDefault="002E7AF5" w:rsidP="00680E9C">
            <w:pPr>
              <w:pStyle w:val="TableBody"/>
            </w:pPr>
            <w:r w:rsidRPr="00680E9C">
              <w:t>834</w:t>
            </w:r>
          </w:p>
        </w:tc>
      </w:tr>
      <w:tr w:rsidR="002E7AF5" w:rsidRPr="00266E94" w14:paraId="75D50CC3" w14:textId="77777777" w:rsidTr="00680E9C">
        <w:trPr>
          <w:trHeight w:val="20"/>
        </w:trPr>
        <w:tc>
          <w:tcPr>
            <w:tcW w:w="3005" w:type="dxa"/>
            <w:hideMark/>
          </w:tcPr>
          <w:p w14:paraId="466485F5" w14:textId="77777777" w:rsidR="002E7AF5" w:rsidRPr="00680E9C" w:rsidRDefault="002E7AF5" w:rsidP="00680E9C">
            <w:pPr>
              <w:pStyle w:val="TableBody"/>
            </w:pPr>
            <w:r w:rsidRPr="00680E9C">
              <w:t>2014-15</w:t>
            </w:r>
          </w:p>
        </w:tc>
        <w:tc>
          <w:tcPr>
            <w:tcW w:w="3005" w:type="dxa"/>
            <w:hideMark/>
          </w:tcPr>
          <w:p w14:paraId="53D96F2A" w14:textId="77777777" w:rsidR="002E7AF5" w:rsidRPr="00680E9C" w:rsidRDefault="002E7AF5" w:rsidP="00680E9C">
            <w:pPr>
              <w:pStyle w:val="TableBody"/>
            </w:pPr>
            <w:r w:rsidRPr="00680E9C">
              <w:t>1,341</w:t>
            </w:r>
          </w:p>
        </w:tc>
        <w:tc>
          <w:tcPr>
            <w:tcW w:w="3006" w:type="dxa"/>
            <w:hideMark/>
          </w:tcPr>
          <w:p w14:paraId="578A75C6" w14:textId="77777777" w:rsidR="002E7AF5" w:rsidRPr="00680E9C" w:rsidRDefault="002E7AF5" w:rsidP="00680E9C">
            <w:pPr>
              <w:pStyle w:val="TableBody"/>
            </w:pPr>
            <w:r w:rsidRPr="00680E9C">
              <w:t>841</w:t>
            </w:r>
          </w:p>
        </w:tc>
      </w:tr>
      <w:tr w:rsidR="002E7AF5" w:rsidRPr="00266E94" w14:paraId="1CAA3D32" w14:textId="77777777" w:rsidTr="00680E9C">
        <w:trPr>
          <w:trHeight w:val="20"/>
        </w:trPr>
        <w:tc>
          <w:tcPr>
            <w:tcW w:w="3005" w:type="dxa"/>
            <w:hideMark/>
          </w:tcPr>
          <w:p w14:paraId="09577AE5" w14:textId="77777777" w:rsidR="002E7AF5" w:rsidRPr="00680E9C" w:rsidRDefault="002E7AF5" w:rsidP="00680E9C">
            <w:pPr>
              <w:pStyle w:val="TableBody"/>
            </w:pPr>
            <w:r w:rsidRPr="00680E9C">
              <w:t>2015-16</w:t>
            </w:r>
          </w:p>
        </w:tc>
        <w:tc>
          <w:tcPr>
            <w:tcW w:w="3005" w:type="dxa"/>
            <w:hideMark/>
          </w:tcPr>
          <w:p w14:paraId="23C4505D" w14:textId="77777777" w:rsidR="002E7AF5" w:rsidRPr="00680E9C" w:rsidRDefault="002E7AF5" w:rsidP="00680E9C">
            <w:pPr>
              <w:pStyle w:val="TableBody"/>
            </w:pPr>
            <w:r w:rsidRPr="00680E9C">
              <w:t>883</w:t>
            </w:r>
          </w:p>
        </w:tc>
        <w:tc>
          <w:tcPr>
            <w:tcW w:w="3006" w:type="dxa"/>
            <w:hideMark/>
          </w:tcPr>
          <w:p w14:paraId="3D4BB6A2" w14:textId="77777777" w:rsidR="002E7AF5" w:rsidRPr="00680E9C" w:rsidRDefault="002E7AF5" w:rsidP="00680E9C">
            <w:pPr>
              <w:pStyle w:val="TableBody"/>
            </w:pPr>
            <w:r w:rsidRPr="00680E9C">
              <w:t>622</w:t>
            </w:r>
          </w:p>
        </w:tc>
      </w:tr>
      <w:tr w:rsidR="002E7AF5" w:rsidRPr="00266E94" w14:paraId="6D4895C8" w14:textId="77777777" w:rsidTr="00680E9C">
        <w:trPr>
          <w:trHeight w:val="20"/>
        </w:trPr>
        <w:tc>
          <w:tcPr>
            <w:tcW w:w="3005" w:type="dxa"/>
            <w:hideMark/>
          </w:tcPr>
          <w:p w14:paraId="49FA608F" w14:textId="77777777" w:rsidR="002E7AF5" w:rsidRPr="00680E9C" w:rsidRDefault="002E7AF5" w:rsidP="00680E9C">
            <w:pPr>
              <w:pStyle w:val="TableBody"/>
            </w:pPr>
            <w:r w:rsidRPr="00680E9C">
              <w:t>2016-17</w:t>
            </w:r>
          </w:p>
        </w:tc>
        <w:tc>
          <w:tcPr>
            <w:tcW w:w="3005" w:type="dxa"/>
            <w:hideMark/>
          </w:tcPr>
          <w:p w14:paraId="4BB8F471" w14:textId="77777777" w:rsidR="002E7AF5" w:rsidRPr="00680E9C" w:rsidRDefault="002E7AF5" w:rsidP="00680E9C">
            <w:pPr>
              <w:pStyle w:val="TableBody"/>
            </w:pPr>
            <w:r w:rsidRPr="00680E9C">
              <w:t>757</w:t>
            </w:r>
          </w:p>
        </w:tc>
        <w:tc>
          <w:tcPr>
            <w:tcW w:w="3006" w:type="dxa"/>
            <w:hideMark/>
          </w:tcPr>
          <w:p w14:paraId="11866E77" w14:textId="77777777" w:rsidR="002E7AF5" w:rsidRPr="00680E9C" w:rsidRDefault="002E7AF5" w:rsidP="00680E9C">
            <w:pPr>
              <w:pStyle w:val="TableBody"/>
            </w:pPr>
            <w:r w:rsidRPr="00680E9C">
              <w:t>549</w:t>
            </w:r>
          </w:p>
        </w:tc>
      </w:tr>
      <w:tr w:rsidR="002E7AF5" w:rsidRPr="00266E94" w14:paraId="1827CEBF" w14:textId="77777777" w:rsidTr="00680E9C">
        <w:trPr>
          <w:trHeight w:val="20"/>
        </w:trPr>
        <w:tc>
          <w:tcPr>
            <w:tcW w:w="3005" w:type="dxa"/>
            <w:hideMark/>
          </w:tcPr>
          <w:p w14:paraId="14A70F99" w14:textId="77777777" w:rsidR="002E7AF5" w:rsidRPr="00680E9C" w:rsidRDefault="002E7AF5" w:rsidP="00680E9C">
            <w:pPr>
              <w:pStyle w:val="TableBody"/>
            </w:pPr>
            <w:r w:rsidRPr="00680E9C">
              <w:t>2017-18</w:t>
            </w:r>
          </w:p>
        </w:tc>
        <w:tc>
          <w:tcPr>
            <w:tcW w:w="3005" w:type="dxa"/>
            <w:hideMark/>
          </w:tcPr>
          <w:p w14:paraId="711F361A" w14:textId="77777777" w:rsidR="002E7AF5" w:rsidRPr="00680E9C" w:rsidRDefault="002E7AF5" w:rsidP="00680E9C">
            <w:pPr>
              <w:pStyle w:val="TableBody"/>
            </w:pPr>
            <w:r w:rsidRPr="00680E9C">
              <w:t>803</w:t>
            </w:r>
          </w:p>
        </w:tc>
        <w:tc>
          <w:tcPr>
            <w:tcW w:w="3006" w:type="dxa"/>
            <w:hideMark/>
          </w:tcPr>
          <w:p w14:paraId="556B805A" w14:textId="77777777" w:rsidR="002E7AF5" w:rsidRPr="00680E9C" w:rsidRDefault="002E7AF5" w:rsidP="00680E9C">
            <w:pPr>
              <w:pStyle w:val="TableBody"/>
            </w:pPr>
            <w:r w:rsidRPr="00680E9C">
              <w:t>706</w:t>
            </w:r>
          </w:p>
        </w:tc>
      </w:tr>
      <w:tr w:rsidR="002E7AF5" w:rsidRPr="00266E94" w14:paraId="02FFED9D" w14:textId="77777777" w:rsidTr="00680E9C">
        <w:trPr>
          <w:trHeight w:val="20"/>
        </w:trPr>
        <w:tc>
          <w:tcPr>
            <w:tcW w:w="3005" w:type="dxa"/>
            <w:hideMark/>
          </w:tcPr>
          <w:p w14:paraId="4A3324E4" w14:textId="77777777" w:rsidR="002E7AF5" w:rsidRPr="00680E9C" w:rsidRDefault="002E7AF5" w:rsidP="00680E9C">
            <w:pPr>
              <w:pStyle w:val="TableBody"/>
            </w:pPr>
            <w:r w:rsidRPr="00680E9C">
              <w:t>2018-19</w:t>
            </w:r>
          </w:p>
        </w:tc>
        <w:tc>
          <w:tcPr>
            <w:tcW w:w="3005" w:type="dxa"/>
            <w:hideMark/>
          </w:tcPr>
          <w:p w14:paraId="06C53B91" w14:textId="77777777" w:rsidR="002E7AF5" w:rsidRPr="00680E9C" w:rsidRDefault="002E7AF5" w:rsidP="00680E9C">
            <w:pPr>
              <w:pStyle w:val="TableBody"/>
            </w:pPr>
            <w:r w:rsidRPr="00680E9C">
              <w:t>803</w:t>
            </w:r>
          </w:p>
        </w:tc>
        <w:tc>
          <w:tcPr>
            <w:tcW w:w="3006" w:type="dxa"/>
            <w:hideMark/>
          </w:tcPr>
          <w:p w14:paraId="578ACDA4" w14:textId="77777777" w:rsidR="002E7AF5" w:rsidRPr="00680E9C" w:rsidRDefault="002E7AF5" w:rsidP="00680E9C">
            <w:pPr>
              <w:pStyle w:val="TableBody"/>
            </w:pPr>
            <w:r w:rsidRPr="00680E9C">
              <w:t>707</w:t>
            </w:r>
          </w:p>
        </w:tc>
      </w:tr>
      <w:tr w:rsidR="002E7AF5" w:rsidRPr="00266E94" w14:paraId="4AFD8628" w14:textId="77777777" w:rsidTr="00680E9C">
        <w:trPr>
          <w:trHeight w:val="20"/>
        </w:trPr>
        <w:tc>
          <w:tcPr>
            <w:tcW w:w="3005" w:type="dxa"/>
            <w:hideMark/>
          </w:tcPr>
          <w:p w14:paraId="2F4B5C21" w14:textId="77777777" w:rsidR="002E7AF5" w:rsidRPr="00680E9C" w:rsidRDefault="002E7AF5" w:rsidP="00680E9C">
            <w:pPr>
              <w:pStyle w:val="TableBody"/>
            </w:pPr>
            <w:r w:rsidRPr="00680E9C">
              <w:t>2019-20</w:t>
            </w:r>
          </w:p>
        </w:tc>
        <w:tc>
          <w:tcPr>
            <w:tcW w:w="3005" w:type="dxa"/>
            <w:hideMark/>
          </w:tcPr>
          <w:p w14:paraId="6633FF88" w14:textId="77777777" w:rsidR="002E7AF5" w:rsidRPr="00680E9C" w:rsidRDefault="002E7AF5" w:rsidP="00680E9C">
            <w:pPr>
              <w:pStyle w:val="TableBody"/>
            </w:pPr>
            <w:r w:rsidRPr="00680E9C">
              <w:t>913</w:t>
            </w:r>
          </w:p>
        </w:tc>
        <w:tc>
          <w:tcPr>
            <w:tcW w:w="3006" w:type="dxa"/>
            <w:hideMark/>
          </w:tcPr>
          <w:p w14:paraId="73DEF22C" w14:textId="77777777" w:rsidR="002E7AF5" w:rsidRPr="00680E9C" w:rsidRDefault="002E7AF5" w:rsidP="00680E9C">
            <w:pPr>
              <w:pStyle w:val="TableBody"/>
            </w:pPr>
            <w:r w:rsidRPr="00680E9C">
              <w:t>699</w:t>
            </w:r>
          </w:p>
        </w:tc>
      </w:tr>
      <w:tr w:rsidR="002E7AF5" w:rsidRPr="00266E94" w14:paraId="2C0A3DB6" w14:textId="77777777" w:rsidTr="00680E9C">
        <w:trPr>
          <w:trHeight w:val="20"/>
        </w:trPr>
        <w:tc>
          <w:tcPr>
            <w:tcW w:w="3005" w:type="dxa"/>
            <w:hideMark/>
          </w:tcPr>
          <w:p w14:paraId="7B109640" w14:textId="77777777" w:rsidR="002E7AF5" w:rsidRPr="00680E9C" w:rsidRDefault="002E7AF5" w:rsidP="00680E9C">
            <w:pPr>
              <w:pStyle w:val="TableBody"/>
            </w:pPr>
            <w:r w:rsidRPr="00680E9C">
              <w:t>2020-21</w:t>
            </w:r>
          </w:p>
        </w:tc>
        <w:tc>
          <w:tcPr>
            <w:tcW w:w="3005" w:type="dxa"/>
            <w:hideMark/>
          </w:tcPr>
          <w:p w14:paraId="5D302786" w14:textId="77777777" w:rsidR="002E7AF5" w:rsidRPr="00680E9C" w:rsidRDefault="002E7AF5" w:rsidP="00680E9C">
            <w:pPr>
              <w:pStyle w:val="TableBody"/>
            </w:pPr>
            <w:r w:rsidRPr="00680E9C">
              <w:t>835</w:t>
            </w:r>
          </w:p>
        </w:tc>
        <w:tc>
          <w:tcPr>
            <w:tcW w:w="3006" w:type="dxa"/>
            <w:hideMark/>
          </w:tcPr>
          <w:p w14:paraId="1B692702" w14:textId="77777777" w:rsidR="002E7AF5" w:rsidRPr="00680E9C" w:rsidRDefault="002E7AF5" w:rsidP="00680E9C">
            <w:pPr>
              <w:pStyle w:val="TableBody"/>
            </w:pPr>
            <w:r w:rsidRPr="00680E9C">
              <w:t>664</w:t>
            </w:r>
          </w:p>
        </w:tc>
      </w:tr>
      <w:tr w:rsidR="002E7AF5" w:rsidRPr="00266E94" w14:paraId="75DFF214" w14:textId="77777777" w:rsidTr="00680E9C">
        <w:trPr>
          <w:trHeight w:val="20"/>
        </w:trPr>
        <w:tc>
          <w:tcPr>
            <w:tcW w:w="3005" w:type="dxa"/>
            <w:hideMark/>
          </w:tcPr>
          <w:p w14:paraId="1FEE3B9F" w14:textId="77777777" w:rsidR="002E7AF5" w:rsidRPr="00680E9C" w:rsidRDefault="002E7AF5" w:rsidP="00680E9C">
            <w:pPr>
              <w:pStyle w:val="TableBody"/>
            </w:pPr>
            <w:r w:rsidRPr="00680E9C">
              <w:t>2021-22</w:t>
            </w:r>
          </w:p>
        </w:tc>
        <w:tc>
          <w:tcPr>
            <w:tcW w:w="3005" w:type="dxa"/>
            <w:hideMark/>
          </w:tcPr>
          <w:p w14:paraId="5EF4E68C" w14:textId="77777777" w:rsidR="002E7AF5" w:rsidRPr="00680E9C" w:rsidRDefault="002E7AF5" w:rsidP="00680E9C">
            <w:pPr>
              <w:pStyle w:val="TableBody"/>
            </w:pPr>
            <w:r w:rsidRPr="00680E9C">
              <w:t>673</w:t>
            </w:r>
          </w:p>
        </w:tc>
        <w:tc>
          <w:tcPr>
            <w:tcW w:w="3006" w:type="dxa"/>
            <w:hideMark/>
          </w:tcPr>
          <w:p w14:paraId="743D7C8C" w14:textId="77777777" w:rsidR="002E7AF5" w:rsidRPr="00680E9C" w:rsidRDefault="002E7AF5" w:rsidP="00680E9C">
            <w:pPr>
              <w:pStyle w:val="TableBody"/>
            </w:pPr>
            <w:r w:rsidRPr="00680E9C">
              <w:t>544</w:t>
            </w:r>
          </w:p>
        </w:tc>
      </w:tr>
      <w:tr w:rsidR="002E7AF5" w:rsidRPr="00266E94" w14:paraId="1AFDCB2D" w14:textId="77777777" w:rsidTr="00680E9C">
        <w:trPr>
          <w:trHeight w:val="20"/>
        </w:trPr>
        <w:tc>
          <w:tcPr>
            <w:tcW w:w="3005" w:type="dxa"/>
            <w:hideMark/>
          </w:tcPr>
          <w:p w14:paraId="2B56E6C6" w14:textId="77777777" w:rsidR="002E7AF5" w:rsidRPr="00680E9C" w:rsidRDefault="002E7AF5" w:rsidP="00680E9C">
            <w:pPr>
              <w:pStyle w:val="TableBody"/>
            </w:pPr>
            <w:r w:rsidRPr="00680E9C">
              <w:t>2022-23</w:t>
            </w:r>
          </w:p>
        </w:tc>
        <w:tc>
          <w:tcPr>
            <w:tcW w:w="3005" w:type="dxa"/>
            <w:hideMark/>
          </w:tcPr>
          <w:p w14:paraId="5015A7D6" w14:textId="77777777" w:rsidR="002E7AF5" w:rsidRPr="00680E9C" w:rsidRDefault="002E7AF5" w:rsidP="00680E9C">
            <w:pPr>
              <w:pStyle w:val="TableBody"/>
            </w:pPr>
            <w:r w:rsidRPr="00680E9C">
              <w:t>619</w:t>
            </w:r>
          </w:p>
        </w:tc>
        <w:tc>
          <w:tcPr>
            <w:tcW w:w="3006" w:type="dxa"/>
            <w:hideMark/>
          </w:tcPr>
          <w:p w14:paraId="69D4924F" w14:textId="77777777" w:rsidR="002E7AF5" w:rsidRPr="00680E9C" w:rsidRDefault="002E7AF5" w:rsidP="00680E9C">
            <w:pPr>
              <w:pStyle w:val="TableBody"/>
            </w:pPr>
            <w:r w:rsidRPr="00680E9C">
              <w:t>571</w:t>
            </w:r>
          </w:p>
        </w:tc>
      </w:tr>
      <w:tr w:rsidR="002E7AF5" w:rsidRPr="00266E94" w14:paraId="2D8ACC55" w14:textId="77777777" w:rsidTr="00680E9C">
        <w:trPr>
          <w:trHeight w:val="20"/>
        </w:trPr>
        <w:tc>
          <w:tcPr>
            <w:tcW w:w="3005" w:type="dxa"/>
            <w:hideMark/>
          </w:tcPr>
          <w:p w14:paraId="15683519" w14:textId="77777777" w:rsidR="002E7AF5" w:rsidRPr="00680E9C" w:rsidRDefault="002E7AF5" w:rsidP="00680E9C">
            <w:pPr>
              <w:pStyle w:val="TableBody"/>
            </w:pPr>
            <w:r w:rsidRPr="00680E9C">
              <w:t>2023-24</w:t>
            </w:r>
          </w:p>
        </w:tc>
        <w:tc>
          <w:tcPr>
            <w:tcW w:w="3005" w:type="dxa"/>
            <w:hideMark/>
          </w:tcPr>
          <w:p w14:paraId="13DB0204" w14:textId="77777777" w:rsidR="002E7AF5" w:rsidRPr="00680E9C" w:rsidRDefault="002E7AF5" w:rsidP="00680E9C">
            <w:pPr>
              <w:pStyle w:val="TableBody"/>
            </w:pPr>
            <w:r w:rsidRPr="00680E9C">
              <w:t>583</w:t>
            </w:r>
          </w:p>
        </w:tc>
        <w:tc>
          <w:tcPr>
            <w:tcW w:w="3006" w:type="dxa"/>
            <w:hideMark/>
          </w:tcPr>
          <w:p w14:paraId="53E905A7" w14:textId="77777777" w:rsidR="002E7AF5" w:rsidRPr="00680E9C" w:rsidRDefault="002E7AF5" w:rsidP="00680E9C">
            <w:pPr>
              <w:pStyle w:val="TableBody"/>
            </w:pPr>
            <w:r w:rsidRPr="00680E9C">
              <w:t>561</w:t>
            </w:r>
          </w:p>
        </w:tc>
      </w:tr>
    </w:tbl>
    <w:p w14:paraId="5B07D2DC" w14:textId="77777777" w:rsidR="00A4454A" w:rsidRPr="008C1137" w:rsidRDefault="00A4454A" w:rsidP="00D4532A">
      <w:r w:rsidRPr="000C258A">
        <w:rPr>
          <w:rStyle w:val="Strong"/>
        </w:rPr>
        <w:lastRenderedPageBreak/>
        <w:t>Source</w:t>
      </w:r>
      <w:r w:rsidRPr="008C1137">
        <w:t>: Adult Parole Board,</w:t>
      </w:r>
      <w:r w:rsidRPr="008C1137">
        <w:rPr>
          <w:rStyle w:val="Italic"/>
        </w:rPr>
        <w:t xml:space="preserve"> </w:t>
      </w:r>
      <w:r w:rsidRPr="008C1137">
        <w:t>Annual Reports (2013–14 to 2023–24)</w:t>
      </w:r>
    </w:p>
    <w:p w14:paraId="563120EE" w14:textId="77777777" w:rsidR="00A4454A" w:rsidRPr="008C1137" w:rsidRDefault="00A4454A" w:rsidP="00210207">
      <w:pPr>
        <w:pStyle w:val="Numbered"/>
      </w:pPr>
      <w:r w:rsidRPr="008C1137">
        <w:t>There are likely a number of factors contributing to a smaller number of people applying for and being granted parole. There are fewer sentenced prisoners who are eligible to apply for parole. Adult Parole Board data shows that on 30 June 2014, almost 70% of the total prison population were eligible to apply for parole (meaning that they had a non-parole period attached to their sentence), whereas that had declined to 55% on 30 June 2024.</w:t>
      </w:r>
      <w:r w:rsidRPr="008C1137">
        <w:rPr>
          <w:rStyle w:val="Superscript"/>
        </w:rPr>
        <w:footnoteReference w:id="190"/>
      </w:r>
      <w:r w:rsidRPr="008C1137">
        <w:t xml:space="preserve"> This reduction in people serving custodial sentences with a non-parole period is likely the result of more people receiving short prison sentences</w:t>
      </w:r>
      <w:r w:rsidRPr="008C1137">
        <w:rPr>
          <w:rStyle w:val="Superscript"/>
        </w:rPr>
        <w:footnoteReference w:id="191"/>
      </w:r>
      <w:r w:rsidRPr="008C1137">
        <w:t xml:space="preserve"> as well as more people receiving combined orders and being released into correctional services to serve a community correction order rather than being released on parole.</w:t>
      </w:r>
      <w:r w:rsidRPr="008C1137">
        <w:rPr>
          <w:rStyle w:val="Superscript"/>
        </w:rPr>
        <w:footnoteReference w:id="192"/>
      </w:r>
    </w:p>
    <w:p w14:paraId="35C93097" w14:textId="77777777" w:rsidR="00A4454A" w:rsidRPr="008C1137" w:rsidRDefault="00A4454A" w:rsidP="00210207">
      <w:pPr>
        <w:pStyle w:val="Numbered"/>
      </w:pPr>
      <w:r w:rsidRPr="008C1137">
        <w:lastRenderedPageBreak/>
        <w:t xml:space="preserve">Further, for those prisoners who </w:t>
      </w:r>
      <w:r w:rsidRPr="003B3217">
        <w:rPr>
          <w:rStyle w:val="Italic"/>
        </w:rPr>
        <w:t>are</w:t>
      </w:r>
      <w:r w:rsidRPr="008C1137">
        <w:t xml:space="preserve"> eligible to apply for parole, there are a number of reasons they may choose not to apply. They may not be able to satisfy the requirements for parole (which are often contingent upon administrative processes and resourcing).</w:t>
      </w:r>
      <w:r w:rsidRPr="008C1137">
        <w:rPr>
          <w:rStyle w:val="Superscript"/>
        </w:rPr>
        <w:footnoteReference w:id="193"/>
      </w:r>
      <w:r w:rsidRPr="008C1137">
        <w:t xml:space="preserve"> They may not want to be subject to the conditions of parole (which have become increasingly more onerous).</w:t>
      </w:r>
      <w:r w:rsidRPr="008C1137">
        <w:rPr>
          <w:rStyle w:val="Superscript"/>
        </w:rPr>
        <w:footnoteReference w:id="194"/>
      </w:r>
      <w:r w:rsidRPr="008C1137">
        <w:t xml:space="preserve"> Or they may believe that they will not be successful if they apply.</w:t>
      </w:r>
      <w:r w:rsidRPr="008C1137">
        <w:rPr>
          <w:rStyle w:val="Superscript"/>
        </w:rPr>
        <w:footnoteReference w:id="195"/>
      </w:r>
    </w:p>
    <w:p w14:paraId="0259DA70" w14:textId="77777777" w:rsidR="00A4454A" w:rsidRPr="008C1137" w:rsidRDefault="00A4454A" w:rsidP="0002476E">
      <w:pPr>
        <w:pStyle w:val="Heading2"/>
      </w:pPr>
      <w:r w:rsidRPr="008C1137">
        <w:t>Post-sentence orders</w:t>
      </w:r>
    </w:p>
    <w:p w14:paraId="4C1DBC66" w14:textId="77777777" w:rsidR="00A4454A" w:rsidRPr="008C1137" w:rsidRDefault="00A4454A" w:rsidP="00210207">
      <w:pPr>
        <w:pStyle w:val="Numbered"/>
      </w:pPr>
      <w:r w:rsidRPr="008C1137">
        <w:t xml:space="preserve">The </w:t>
      </w:r>
      <w:r w:rsidRPr="003B3217">
        <w:rPr>
          <w:rStyle w:val="Italic"/>
        </w:rPr>
        <w:t>Serious Offenders Act 2018</w:t>
      </w:r>
      <w:r w:rsidRPr="008C1137">
        <w:t xml:space="preserve"> (along with its predecessors</w:t>
      </w:r>
      <w:r w:rsidRPr="008C1137">
        <w:rPr>
          <w:rStyle w:val="Superscript"/>
        </w:rPr>
        <w:footnoteReference w:id="196"/>
      </w:r>
      <w:r w:rsidRPr="008C1137">
        <w:t xml:space="preserve">) provides for supervision or continuing detention of serious sexual and/or violent offenders who pose an ongoing risk to the community after their release from prison. Victoria’s post-sentence scheme commenced in 2005 and has undergone significant reform since then (most notably expanding eligibility to include serious violent offenders as well as serious sex offenders with the passage of the 2018 </w:t>
      </w:r>
      <w:r w:rsidRPr="003B3217">
        <w:rPr>
          <w:rStyle w:val="Italic"/>
        </w:rPr>
        <w:t>Act</w:t>
      </w:r>
      <w:r w:rsidRPr="008C1137">
        <w:t>).</w:t>
      </w:r>
      <w:r w:rsidRPr="008C1137">
        <w:rPr>
          <w:rStyle w:val="Superscript"/>
        </w:rPr>
        <w:footnoteReference w:id="197"/>
      </w:r>
      <w:r w:rsidRPr="008C1137">
        <w:t xml:space="preserve"> In its current form, the post-sentence scheme applies to people who are eligible for a supervision or continuing detention order after serving a custodial sentence for a serious sex offence or serious violence offence (as defined in Schedules 1 and 2 of the </w:t>
      </w:r>
      <w:r w:rsidRPr="003B3217">
        <w:rPr>
          <w:rStyle w:val="Italic"/>
        </w:rPr>
        <w:t>Act</w:t>
      </w:r>
      <w:r w:rsidRPr="008C1137">
        <w:t xml:space="preserve">) and who pose an unacceptable risk of reoffending. </w:t>
      </w:r>
      <w:r w:rsidRPr="008C1137">
        <w:lastRenderedPageBreak/>
        <w:t>The Post Sentence Authority (established in 2018) monitors and publicly reports on the number of people subject to post-sentence orders, any breaches of those orders, and any serious offences committed by people subject to those orders.</w:t>
      </w:r>
      <w:r w:rsidRPr="008C1137">
        <w:rPr>
          <w:rStyle w:val="Superscript"/>
        </w:rPr>
        <w:footnoteReference w:id="198"/>
      </w:r>
      <w:r w:rsidRPr="008C1137">
        <w:t xml:space="preserve"> Prior to the establishment of the Post Sentence Authority, a specialised division of the Adult Parole Board (the Detention and Supervision Order Division) managed and reported on the operation of the post-sentence scheme.</w:t>
      </w:r>
    </w:p>
    <w:p w14:paraId="2BD17A5D" w14:textId="77777777" w:rsidR="00A4454A" w:rsidRPr="008C1137" w:rsidRDefault="00A4454A" w:rsidP="00210207">
      <w:pPr>
        <w:pStyle w:val="Numbered"/>
      </w:pPr>
      <w:r w:rsidRPr="008C1137">
        <w:t>Given that continuing detention orders can operate for a maximum of 3 years,</w:t>
      </w:r>
      <w:r w:rsidRPr="008C1137">
        <w:rPr>
          <w:rStyle w:val="Superscript"/>
        </w:rPr>
        <w:footnoteReference w:id="199"/>
      </w:r>
      <w:r w:rsidRPr="008C1137">
        <w:t xml:space="preserve"> and contravening a supervision order has a maximum penalty of 5 years’ imprisonment,</w:t>
      </w:r>
      <w:r w:rsidRPr="008C1137">
        <w:rPr>
          <w:rStyle w:val="Superscript"/>
        </w:rPr>
        <w:footnoteReference w:id="200"/>
      </w:r>
      <w:r w:rsidRPr="008C1137">
        <w:t xml:space="preserve"> the post-sentence scheme has the potential to affect the size of the prison population. However, as shown in Table 4, fewer than 5 people were subject to a continuing detention order as at 30 June each year since 2014 (and some of those people may have been counted in multiple years if they were subject to a continuing detention order for a period exceeding 12 months). Fewer than 45 people subject to a supervision order were convicted for breaching those orders per year. Additionally, since 30 June 2016, very few people (fewer than 9 each year) committed serious offences while subject to a post-sentence order.</w:t>
      </w:r>
    </w:p>
    <w:p w14:paraId="1E4FFC15" w14:textId="77777777" w:rsidR="00A4454A" w:rsidRPr="008C1137" w:rsidRDefault="00A4454A" w:rsidP="00BE4EDC">
      <w:pPr>
        <w:pStyle w:val="Caption"/>
      </w:pPr>
      <w:r w:rsidRPr="00157502">
        <w:lastRenderedPageBreak/>
        <w:t>Table 4</w:t>
      </w:r>
      <w:r w:rsidRPr="008C1137">
        <w:t>: Number of offenders subject to post-sentence orders on 30 June, 2014 to 2024</w:t>
      </w:r>
    </w:p>
    <w:tbl>
      <w:tblPr>
        <w:tblStyle w:val="Table"/>
        <w:tblW w:w="9922" w:type="dxa"/>
        <w:tblLayout w:type="fixed"/>
        <w:tblLook w:val="0020" w:firstRow="1" w:lastRow="0" w:firstColumn="0" w:lastColumn="0" w:noHBand="0" w:noVBand="0"/>
      </w:tblPr>
      <w:tblGrid>
        <w:gridCol w:w="992"/>
        <w:gridCol w:w="1928"/>
        <w:gridCol w:w="1247"/>
        <w:gridCol w:w="1531"/>
        <w:gridCol w:w="1531"/>
        <w:gridCol w:w="1389"/>
        <w:gridCol w:w="1304"/>
      </w:tblGrid>
      <w:tr w:rsidR="006A0A62" w:rsidRPr="008C1137" w14:paraId="6DDBA50D" w14:textId="77777777" w:rsidTr="00CF2074">
        <w:trPr>
          <w:trHeight w:val="60"/>
          <w:tblHeader/>
        </w:trPr>
        <w:tc>
          <w:tcPr>
            <w:tcW w:w="992" w:type="dxa"/>
          </w:tcPr>
          <w:p w14:paraId="7D86713D" w14:textId="77777777" w:rsidR="00A4454A" w:rsidRPr="0053159E" w:rsidRDefault="00A4454A" w:rsidP="0053159E">
            <w:pPr>
              <w:pStyle w:val="TableHeading"/>
            </w:pPr>
            <w:r w:rsidRPr="0053159E">
              <w:t>Year (30 June)</w:t>
            </w:r>
          </w:p>
        </w:tc>
        <w:tc>
          <w:tcPr>
            <w:tcW w:w="1928" w:type="dxa"/>
          </w:tcPr>
          <w:p w14:paraId="29B33988" w14:textId="77777777" w:rsidR="00A4454A" w:rsidRPr="0053159E" w:rsidRDefault="00A4454A" w:rsidP="0053159E">
            <w:pPr>
              <w:pStyle w:val="TableHeading"/>
            </w:pPr>
            <w:r w:rsidRPr="0053159E">
              <w:t>Reporting body and applicable Act (Vic)</w:t>
            </w:r>
          </w:p>
        </w:tc>
        <w:tc>
          <w:tcPr>
            <w:tcW w:w="1247" w:type="dxa"/>
          </w:tcPr>
          <w:p w14:paraId="5BB2E05C" w14:textId="77777777" w:rsidR="00A4454A" w:rsidRPr="0053159E" w:rsidRDefault="00A4454A" w:rsidP="0053159E">
            <w:pPr>
              <w:pStyle w:val="TableHeading"/>
            </w:pPr>
            <w:r w:rsidRPr="0053159E">
              <w:t>People eligible for a post-sentence order</w:t>
            </w:r>
            <w:r w:rsidRPr="004F7DAC">
              <w:rPr>
                <w:vertAlign w:val="superscript"/>
              </w:rPr>
              <w:t>a</w:t>
            </w:r>
          </w:p>
        </w:tc>
        <w:tc>
          <w:tcPr>
            <w:tcW w:w="1531" w:type="dxa"/>
          </w:tcPr>
          <w:p w14:paraId="78560DF9" w14:textId="77777777" w:rsidR="00A4454A" w:rsidRPr="0053159E" w:rsidRDefault="00A4454A" w:rsidP="0053159E">
            <w:pPr>
              <w:pStyle w:val="TableHeading"/>
            </w:pPr>
            <w:r w:rsidRPr="0053159E">
              <w:t>People subject to a supervision order</w:t>
            </w:r>
            <w:r w:rsidRPr="004F7DAC">
              <w:rPr>
                <w:vertAlign w:val="superscript"/>
              </w:rPr>
              <w:t>b</w:t>
            </w:r>
          </w:p>
        </w:tc>
        <w:tc>
          <w:tcPr>
            <w:tcW w:w="1531" w:type="dxa"/>
          </w:tcPr>
          <w:p w14:paraId="18630085" w14:textId="77777777" w:rsidR="00A4454A" w:rsidRPr="0053159E" w:rsidRDefault="00A4454A" w:rsidP="0053159E">
            <w:pPr>
              <w:pStyle w:val="TableHeading"/>
            </w:pPr>
            <w:r w:rsidRPr="0053159E">
              <w:t>People subject to a continuing detention order</w:t>
            </w:r>
            <w:r w:rsidRPr="004F7DAC">
              <w:rPr>
                <w:vertAlign w:val="superscript"/>
              </w:rPr>
              <w:t>c</w:t>
            </w:r>
          </w:p>
        </w:tc>
        <w:tc>
          <w:tcPr>
            <w:tcW w:w="1389" w:type="dxa"/>
          </w:tcPr>
          <w:p w14:paraId="2917B9EC" w14:textId="77777777" w:rsidR="00A4454A" w:rsidRPr="0053159E" w:rsidRDefault="00A4454A" w:rsidP="0053159E">
            <w:pPr>
              <w:pStyle w:val="TableHeading"/>
            </w:pPr>
            <w:r w:rsidRPr="0053159E">
              <w:t>People found guilty of breaching a post-sentence order</w:t>
            </w:r>
            <w:r w:rsidRPr="004F7DAC">
              <w:rPr>
                <w:vertAlign w:val="superscript"/>
              </w:rPr>
              <w:t>d</w:t>
            </w:r>
          </w:p>
        </w:tc>
        <w:tc>
          <w:tcPr>
            <w:tcW w:w="1304" w:type="dxa"/>
          </w:tcPr>
          <w:p w14:paraId="0E4450C7" w14:textId="77777777" w:rsidR="00A4454A" w:rsidRPr="0053159E" w:rsidRDefault="00A4454A" w:rsidP="0053159E">
            <w:pPr>
              <w:pStyle w:val="TableHeading"/>
            </w:pPr>
            <w:r w:rsidRPr="0053159E">
              <w:t>People found guilty of serious offences while subject to a post-sentence order</w:t>
            </w:r>
            <w:r w:rsidRPr="004F7DAC">
              <w:rPr>
                <w:vertAlign w:val="superscript"/>
              </w:rPr>
              <w:t>e</w:t>
            </w:r>
          </w:p>
        </w:tc>
      </w:tr>
      <w:tr w:rsidR="006A0A62" w:rsidRPr="008C1137" w14:paraId="7CC0B8C5" w14:textId="77777777" w:rsidTr="00CF2074">
        <w:trPr>
          <w:trHeight w:val="60"/>
        </w:trPr>
        <w:tc>
          <w:tcPr>
            <w:tcW w:w="992" w:type="dxa"/>
          </w:tcPr>
          <w:p w14:paraId="1E57DDDC" w14:textId="77777777" w:rsidR="00A4454A" w:rsidRPr="008C1137" w:rsidRDefault="00A4454A" w:rsidP="00390380">
            <w:pPr>
              <w:pStyle w:val="TableBody"/>
            </w:pPr>
            <w:r w:rsidRPr="008C1137">
              <w:t>2014</w:t>
            </w:r>
          </w:p>
        </w:tc>
        <w:tc>
          <w:tcPr>
            <w:tcW w:w="1928" w:type="dxa"/>
          </w:tcPr>
          <w:p w14:paraId="2BE6F765" w14:textId="77777777" w:rsidR="00A4454A" w:rsidRPr="00C852A8" w:rsidRDefault="00A4454A" w:rsidP="00C852A8">
            <w:pPr>
              <w:pStyle w:val="TableBody"/>
            </w:pPr>
            <w:r w:rsidRPr="00C852A8">
              <w:t>Adult Parole Board</w:t>
            </w:r>
          </w:p>
          <w:p w14:paraId="56ADB98D" w14:textId="77777777" w:rsidR="00A4454A" w:rsidRPr="007E6A09" w:rsidRDefault="00A4454A" w:rsidP="00600A1A">
            <w:pPr>
              <w:pStyle w:val="TableBody"/>
              <w:rPr>
                <w:rStyle w:val="Italic"/>
              </w:rPr>
            </w:pPr>
            <w:r w:rsidRPr="007E6A09">
              <w:rPr>
                <w:rStyle w:val="Italic"/>
              </w:rPr>
              <w:t>Serious Sex Offenders (Detention and Supervision) Act 2009</w:t>
            </w:r>
          </w:p>
        </w:tc>
        <w:tc>
          <w:tcPr>
            <w:tcW w:w="1247" w:type="dxa"/>
          </w:tcPr>
          <w:p w14:paraId="61B44A96" w14:textId="77777777" w:rsidR="00A4454A" w:rsidRPr="008C1137" w:rsidRDefault="00A4454A" w:rsidP="00390380">
            <w:pPr>
              <w:pStyle w:val="TableBody"/>
            </w:pPr>
            <w:r w:rsidRPr="008C1137">
              <w:t>n/a</w:t>
            </w:r>
          </w:p>
        </w:tc>
        <w:tc>
          <w:tcPr>
            <w:tcW w:w="1531" w:type="dxa"/>
          </w:tcPr>
          <w:p w14:paraId="5C9E39B4" w14:textId="77777777" w:rsidR="00A4454A" w:rsidRPr="008C1137" w:rsidRDefault="00A4454A" w:rsidP="00390380">
            <w:pPr>
              <w:pStyle w:val="TableBody"/>
            </w:pPr>
            <w:r w:rsidRPr="008C1137">
              <w:t>108</w:t>
            </w:r>
          </w:p>
        </w:tc>
        <w:tc>
          <w:tcPr>
            <w:tcW w:w="1531" w:type="dxa"/>
          </w:tcPr>
          <w:p w14:paraId="3D1886BB" w14:textId="77777777" w:rsidR="00A4454A" w:rsidRPr="008C1137" w:rsidRDefault="00A4454A" w:rsidP="00390380">
            <w:pPr>
              <w:pStyle w:val="TableBody"/>
            </w:pPr>
            <w:r w:rsidRPr="008C1137">
              <w:t>1</w:t>
            </w:r>
            <w:r w:rsidRPr="0053159E">
              <w:rPr>
                <w:rStyle w:val="Superscript"/>
              </w:rPr>
              <w:t>f</w:t>
            </w:r>
          </w:p>
        </w:tc>
        <w:tc>
          <w:tcPr>
            <w:tcW w:w="1389" w:type="dxa"/>
          </w:tcPr>
          <w:p w14:paraId="70F593B0" w14:textId="77777777" w:rsidR="00A4454A" w:rsidRPr="008C1137" w:rsidRDefault="00A4454A" w:rsidP="00390380">
            <w:pPr>
              <w:pStyle w:val="TableBody"/>
            </w:pPr>
            <w:r w:rsidRPr="008C1137">
              <w:t>26</w:t>
            </w:r>
          </w:p>
        </w:tc>
        <w:tc>
          <w:tcPr>
            <w:tcW w:w="1304" w:type="dxa"/>
          </w:tcPr>
          <w:p w14:paraId="182FCC63" w14:textId="77777777" w:rsidR="00A4454A" w:rsidRPr="008C1137" w:rsidRDefault="00A4454A" w:rsidP="00390380">
            <w:pPr>
              <w:pStyle w:val="TableBody"/>
            </w:pPr>
            <w:r w:rsidRPr="008C1137">
              <w:t>n/a</w:t>
            </w:r>
          </w:p>
        </w:tc>
      </w:tr>
      <w:tr w:rsidR="006A0A62" w:rsidRPr="008C1137" w14:paraId="65D29145" w14:textId="77777777" w:rsidTr="00CF2074">
        <w:trPr>
          <w:trHeight w:val="60"/>
        </w:trPr>
        <w:tc>
          <w:tcPr>
            <w:tcW w:w="992" w:type="dxa"/>
          </w:tcPr>
          <w:p w14:paraId="087D505C" w14:textId="77777777" w:rsidR="00A4454A" w:rsidRPr="008C1137" w:rsidRDefault="00A4454A" w:rsidP="00390380">
            <w:pPr>
              <w:pStyle w:val="TableBody"/>
            </w:pPr>
            <w:r w:rsidRPr="008C1137">
              <w:t>2015</w:t>
            </w:r>
          </w:p>
        </w:tc>
        <w:tc>
          <w:tcPr>
            <w:tcW w:w="1928" w:type="dxa"/>
          </w:tcPr>
          <w:p w14:paraId="4A809763" w14:textId="77777777" w:rsidR="00A4454A" w:rsidRPr="00C852A8" w:rsidRDefault="00A4454A" w:rsidP="00C852A8">
            <w:pPr>
              <w:pStyle w:val="TableBody"/>
            </w:pPr>
            <w:r w:rsidRPr="00C852A8">
              <w:t>Adult Parole Board</w:t>
            </w:r>
          </w:p>
          <w:p w14:paraId="423C931F" w14:textId="77777777" w:rsidR="00A4454A" w:rsidRPr="007E6A09" w:rsidRDefault="00A4454A" w:rsidP="00600A1A">
            <w:pPr>
              <w:pStyle w:val="TableBody"/>
              <w:rPr>
                <w:rStyle w:val="Italic"/>
              </w:rPr>
            </w:pPr>
            <w:r w:rsidRPr="007E6A09">
              <w:rPr>
                <w:rStyle w:val="Italic"/>
              </w:rPr>
              <w:t>Serious Sex Offenders (Detention and Supervision) Act 2009</w:t>
            </w:r>
          </w:p>
        </w:tc>
        <w:tc>
          <w:tcPr>
            <w:tcW w:w="1247" w:type="dxa"/>
          </w:tcPr>
          <w:p w14:paraId="28E4E428" w14:textId="77777777" w:rsidR="00A4454A" w:rsidRPr="008C1137" w:rsidRDefault="00A4454A" w:rsidP="00390380">
            <w:pPr>
              <w:pStyle w:val="TableBody"/>
            </w:pPr>
            <w:r w:rsidRPr="008C1137">
              <w:t>n/a</w:t>
            </w:r>
          </w:p>
        </w:tc>
        <w:tc>
          <w:tcPr>
            <w:tcW w:w="1531" w:type="dxa"/>
          </w:tcPr>
          <w:p w14:paraId="7011887A" w14:textId="77777777" w:rsidR="00A4454A" w:rsidRPr="008C1137" w:rsidRDefault="00A4454A" w:rsidP="00390380">
            <w:pPr>
              <w:pStyle w:val="TableBody"/>
            </w:pPr>
            <w:r w:rsidRPr="008C1137">
              <w:t>116</w:t>
            </w:r>
          </w:p>
        </w:tc>
        <w:tc>
          <w:tcPr>
            <w:tcW w:w="1531" w:type="dxa"/>
          </w:tcPr>
          <w:p w14:paraId="6BADA821" w14:textId="77777777" w:rsidR="00A4454A" w:rsidRPr="008C1137" w:rsidRDefault="00A4454A" w:rsidP="00390380">
            <w:pPr>
              <w:pStyle w:val="TableBody"/>
            </w:pPr>
            <w:r w:rsidRPr="008C1137">
              <w:t>2</w:t>
            </w:r>
          </w:p>
        </w:tc>
        <w:tc>
          <w:tcPr>
            <w:tcW w:w="1389" w:type="dxa"/>
          </w:tcPr>
          <w:p w14:paraId="0017E4EA" w14:textId="77777777" w:rsidR="00A4454A" w:rsidRPr="008C1137" w:rsidRDefault="00A4454A" w:rsidP="00390380">
            <w:pPr>
              <w:pStyle w:val="TableBody"/>
            </w:pPr>
            <w:r w:rsidRPr="008C1137">
              <w:t>26</w:t>
            </w:r>
          </w:p>
        </w:tc>
        <w:tc>
          <w:tcPr>
            <w:tcW w:w="1304" w:type="dxa"/>
          </w:tcPr>
          <w:p w14:paraId="2FB5A047" w14:textId="77777777" w:rsidR="00A4454A" w:rsidRPr="008C1137" w:rsidRDefault="00A4454A" w:rsidP="00390380">
            <w:pPr>
              <w:pStyle w:val="TableBody"/>
            </w:pPr>
            <w:r w:rsidRPr="008C1137">
              <w:t>n/a</w:t>
            </w:r>
          </w:p>
        </w:tc>
      </w:tr>
      <w:tr w:rsidR="006A0A62" w:rsidRPr="008C1137" w14:paraId="02CA5473" w14:textId="77777777" w:rsidTr="00CF2074">
        <w:trPr>
          <w:trHeight w:val="60"/>
        </w:trPr>
        <w:tc>
          <w:tcPr>
            <w:tcW w:w="992" w:type="dxa"/>
          </w:tcPr>
          <w:p w14:paraId="5A1BE47F" w14:textId="77777777" w:rsidR="00A4454A" w:rsidRPr="008C1137" w:rsidRDefault="00A4454A" w:rsidP="00390380">
            <w:pPr>
              <w:pStyle w:val="TableBody"/>
            </w:pPr>
            <w:r w:rsidRPr="008C1137">
              <w:t>2016</w:t>
            </w:r>
          </w:p>
        </w:tc>
        <w:tc>
          <w:tcPr>
            <w:tcW w:w="1928" w:type="dxa"/>
          </w:tcPr>
          <w:p w14:paraId="7B19D392" w14:textId="77777777" w:rsidR="00A4454A" w:rsidRPr="00C852A8" w:rsidRDefault="00A4454A" w:rsidP="00C852A8">
            <w:pPr>
              <w:pStyle w:val="TableBody"/>
            </w:pPr>
            <w:r w:rsidRPr="00C852A8">
              <w:t>Adult Parole Board</w:t>
            </w:r>
          </w:p>
          <w:p w14:paraId="28D67669" w14:textId="77777777" w:rsidR="00A4454A" w:rsidRPr="007E6A09" w:rsidRDefault="00A4454A" w:rsidP="00600A1A">
            <w:pPr>
              <w:pStyle w:val="TableBody"/>
              <w:rPr>
                <w:rStyle w:val="Italic"/>
              </w:rPr>
            </w:pPr>
            <w:r w:rsidRPr="007E6A09">
              <w:rPr>
                <w:rStyle w:val="Italic"/>
              </w:rPr>
              <w:t>Serious Sex Offenders (Detention and Supervision) Act 2009</w:t>
            </w:r>
          </w:p>
        </w:tc>
        <w:tc>
          <w:tcPr>
            <w:tcW w:w="1247" w:type="dxa"/>
          </w:tcPr>
          <w:p w14:paraId="4689630D" w14:textId="77777777" w:rsidR="00A4454A" w:rsidRPr="008C1137" w:rsidRDefault="00A4454A" w:rsidP="00390380">
            <w:pPr>
              <w:pStyle w:val="TableBody"/>
            </w:pPr>
            <w:r w:rsidRPr="008C1137">
              <w:t>n/a</w:t>
            </w:r>
          </w:p>
        </w:tc>
        <w:tc>
          <w:tcPr>
            <w:tcW w:w="1531" w:type="dxa"/>
          </w:tcPr>
          <w:p w14:paraId="1FA9B973" w14:textId="77777777" w:rsidR="00A4454A" w:rsidRPr="008C1137" w:rsidRDefault="00A4454A" w:rsidP="00390380">
            <w:pPr>
              <w:pStyle w:val="TableBody"/>
            </w:pPr>
            <w:r w:rsidRPr="008C1137">
              <w:t>127</w:t>
            </w:r>
          </w:p>
        </w:tc>
        <w:tc>
          <w:tcPr>
            <w:tcW w:w="1531" w:type="dxa"/>
          </w:tcPr>
          <w:p w14:paraId="4D3C2E71" w14:textId="77777777" w:rsidR="00A4454A" w:rsidRPr="008C1137" w:rsidRDefault="00A4454A" w:rsidP="00390380">
            <w:pPr>
              <w:pStyle w:val="TableBody"/>
            </w:pPr>
            <w:r w:rsidRPr="008C1137">
              <w:t>2</w:t>
            </w:r>
          </w:p>
        </w:tc>
        <w:tc>
          <w:tcPr>
            <w:tcW w:w="1389" w:type="dxa"/>
          </w:tcPr>
          <w:p w14:paraId="18CE91B3" w14:textId="77777777" w:rsidR="00A4454A" w:rsidRPr="008C1137" w:rsidRDefault="00A4454A" w:rsidP="00390380">
            <w:pPr>
              <w:pStyle w:val="TableBody"/>
            </w:pPr>
            <w:r w:rsidRPr="008C1137">
              <w:t>42</w:t>
            </w:r>
          </w:p>
        </w:tc>
        <w:tc>
          <w:tcPr>
            <w:tcW w:w="1304" w:type="dxa"/>
          </w:tcPr>
          <w:p w14:paraId="47B8420A" w14:textId="77777777" w:rsidR="00A4454A" w:rsidRPr="008C1137" w:rsidRDefault="00A4454A" w:rsidP="00390380">
            <w:pPr>
              <w:pStyle w:val="TableBody"/>
            </w:pPr>
            <w:r w:rsidRPr="008C1137">
              <w:t>6</w:t>
            </w:r>
          </w:p>
        </w:tc>
      </w:tr>
      <w:tr w:rsidR="006A0A62" w:rsidRPr="008C1137" w14:paraId="3A77C05B" w14:textId="77777777" w:rsidTr="00CF2074">
        <w:trPr>
          <w:trHeight w:val="60"/>
        </w:trPr>
        <w:tc>
          <w:tcPr>
            <w:tcW w:w="992" w:type="dxa"/>
          </w:tcPr>
          <w:p w14:paraId="271678F3" w14:textId="77777777" w:rsidR="00A4454A" w:rsidRPr="008C1137" w:rsidRDefault="00A4454A" w:rsidP="00390380">
            <w:pPr>
              <w:pStyle w:val="TableBody"/>
            </w:pPr>
            <w:r w:rsidRPr="008C1137">
              <w:t>2017</w:t>
            </w:r>
          </w:p>
        </w:tc>
        <w:tc>
          <w:tcPr>
            <w:tcW w:w="1928" w:type="dxa"/>
          </w:tcPr>
          <w:p w14:paraId="242ACC76" w14:textId="77777777" w:rsidR="00A4454A" w:rsidRPr="00C852A8" w:rsidRDefault="00A4454A" w:rsidP="00C852A8">
            <w:pPr>
              <w:pStyle w:val="TableBody"/>
            </w:pPr>
            <w:r w:rsidRPr="00C852A8">
              <w:t>Adult Parole Board</w:t>
            </w:r>
          </w:p>
          <w:p w14:paraId="18F28E9B" w14:textId="77777777" w:rsidR="00A4454A" w:rsidRPr="007E6A09" w:rsidRDefault="00A4454A" w:rsidP="00600A1A">
            <w:pPr>
              <w:pStyle w:val="TableBody"/>
              <w:rPr>
                <w:rStyle w:val="Italic"/>
              </w:rPr>
            </w:pPr>
            <w:r w:rsidRPr="007E6A09">
              <w:rPr>
                <w:rStyle w:val="Italic"/>
              </w:rPr>
              <w:t>Serious Sex Offenders (Detention and Supervision) Act 2009</w:t>
            </w:r>
          </w:p>
        </w:tc>
        <w:tc>
          <w:tcPr>
            <w:tcW w:w="1247" w:type="dxa"/>
          </w:tcPr>
          <w:p w14:paraId="2C558B94" w14:textId="77777777" w:rsidR="00A4454A" w:rsidRPr="008C1137" w:rsidRDefault="00A4454A" w:rsidP="00390380">
            <w:pPr>
              <w:pStyle w:val="TableBody"/>
            </w:pPr>
            <w:r w:rsidRPr="008C1137">
              <w:t>n/a</w:t>
            </w:r>
          </w:p>
        </w:tc>
        <w:tc>
          <w:tcPr>
            <w:tcW w:w="1531" w:type="dxa"/>
          </w:tcPr>
          <w:p w14:paraId="68D87A3D" w14:textId="77777777" w:rsidR="00A4454A" w:rsidRPr="008C1137" w:rsidRDefault="00A4454A" w:rsidP="00390380">
            <w:pPr>
              <w:pStyle w:val="TableBody"/>
            </w:pPr>
            <w:r w:rsidRPr="008C1137">
              <w:t>133</w:t>
            </w:r>
          </w:p>
        </w:tc>
        <w:tc>
          <w:tcPr>
            <w:tcW w:w="1531" w:type="dxa"/>
          </w:tcPr>
          <w:p w14:paraId="53D66F51" w14:textId="77777777" w:rsidR="00A4454A" w:rsidRPr="008C1137" w:rsidRDefault="00A4454A" w:rsidP="00390380">
            <w:pPr>
              <w:pStyle w:val="TableBody"/>
            </w:pPr>
            <w:r w:rsidRPr="008C1137">
              <w:t>2</w:t>
            </w:r>
          </w:p>
        </w:tc>
        <w:tc>
          <w:tcPr>
            <w:tcW w:w="1389" w:type="dxa"/>
          </w:tcPr>
          <w:p w14:paraId="64796B9D" w14:textId="77777777" w:rsidR="00A4454A" w:rsidRPr="008C1137" w:rsidRDefault="00A4454A" w:rsidP="00390380">
            <w:pPr>
              <w:pStyle w:val="TableBody"/>
            </w:pPr>
            <w:r w:rsidRPr="008C1137">
              <w:t>23</w:t>
            </w:r>
          </w:p>
        </w:tc>
        <w:tc>
          <w:tcPr>
            <w:tcW w:w="1304" w:type="dxa"/>
          </w:tcPr>
          <w:p w14:paraId="2122432C" w14:textId="77777777" w:rsidR="00A4454A" w:rsidRPr="008C1137" w:rsidRDefault="00A4454A" w:rsidP="00390380">
            <w:pPr>
              <w:pStyle w:val="TableBody"/>
            </w:pPr>
            <w:r w:rsidRPr="008C1137">
              <w:t>8</w:t>
            </w:r>
          </w:p>
        </w:tc>
      </w:tr>
      <w:tr w:rsidR="006A0A62" w:rsidRPr="008C1137" w14:paraId="0F234D4C" w14:textId="77777777" w:rsidTr="00CF2074">
        <w:trPr>
          <w:trHeight w:val="60"/>
        </w:trPr>
        <w:tc>
          <w:tcPr>
            <w:tcW w:w="992" w:type="dxa"/>
          </w:tcPr>
          <w:p w14:paraId="1F1B46F1" w14:textId="77777777" w:rsidR="00A4454A" w:rsidRPr="008C1137" w:rsidRDefault="00A4454A" w:rsidP="00390380">
            <w:pPr>
              <w:pStyle w:val="TableBody"/>
            </w:pPr>
            <w:r w:rsidRPr="008C1137">
              <w:t>2018</w:t>
            </w:r>
          </w:p>
        </w:tc>
        <w:tc>
          <w:tcPr>
            <w:tcW w:w="1928" w:type="dxa"/>
          </w:tcPr>
          <w:p w14:paraId="747D43E5" w14:textId="77777777" w:rsidR="00A4454A" w:rsidRPr="00C852A8" w:rsidRDefault="00A4454A" w:rsidP="00C852A8">
            <w:pPr>
              <w:pStyle w:val="TableBody"/>
            </w:pPr>
            <w:r w:rsidRPr="00C852A8">
              <w:t>Post Sentence Authority</w:t>
            </w:r>
          </w:p>
          <w:p w14:paraId="04A298D0" w14:textId="77777777" w:rsidR="00A4454A" w:rsidRPr="007E6A09" w:rsidRDefault="00A4454A" w:rsidP="00600A1A">
            <w:pPr>
              <w:pStyle w:val="TableBody"/>
              <w:rPr>
                <w:rStyle w:val="Italic"/>
              </w:rPr>
            </w:pPr>
            <w:r w:rsidRPr="007E6A09">
              <w:rPr>
                <w:rStyle w:val="Italic"/>
              </w:rPr>
              <w:t>Serious Sex Offenders (Detention and Supervision) Act 2009</w:t>
            </w:r>
          </w:p>
        </w:tc>
        <w:tc>
          <w:tcPr>
            <w:tcW w:w="1247" w:type="dxa"/>
          </w:tcPr>
          <w:p w14:paraId="6CCD1756" w14:textId="77777777" w:rsidR="00A4454A" w:rsidRPr="008C1137" w:rsidRDefault="00A4454A" w:rsidP="00390380">
            <w:pPr>
              <w:pStyle w:val="TableBody"/>
            </w:pPr>
            <w:r w:rsidRPr="008C1137">
              <w:t>1,037</w:t>
            </w:r>
          </w:p>
        </w:tc>
        <w:tc>
          <w:tcPr>
            <w:tcW w:w="1531" w:type="dxa"/>
          </w:tcPr>
          <w:p w14:paraId="13052BCA" w14:textId="77777777" w:rsidR="00A4454A" w:rsidRPr="008C1137" w:rsidRDefault="00A4454A" w:rsidP="00390380">
            <w:pPr>
              <w:pStyle w:val="TableBody"/>
            </w:pPr>
            <w:r w:rsidRPr="008C1137">
              <w:t>135</w:t>
            </w:r>
          </w:p>
        </w:tc>
        <w:tc>
          <w:tcPr>
            <w:tcW w:w="1531" w:type="dxa"/>
          </w:tcPr>
          <w:p w14:paraId="486DAD70" w14:textId="77777777" w:rsidR="00A4454A" w:rsidRPr="008C1137" w:rsidRDefault="00A4454A" w:rsidP="00390380">
            <w:pPr>
              <w:pStyle w:val="TableBody"/>
            </w:pPr>
            <w:r w:rsidRPr="008C1137">
              <w:t>3</w:t>
            </w:r>
          </w:p>
        </w:tc>
        <w:tc>
          <w:tcPr>
            <w:tcW w:w="1389" w:type="dxa"/>
          </w:tcPr>
          <w:p w14:paraId="32A37F59" w14:textId="77777777" w:rsidR="00A4454A" w:rsidRPr="008C1137" w:rsidRDefault="00A4454A" w:rsidP="00390380">
            <w:pPr>
              <w:pStyle w:val="TableBody"/>
            </w:pPr>
            <w:r w:rsidRPr="008C1137">
              <w:t>19</w:t>
            </w:r>
          </w:p>
        </w:tc>
        <w:tc>
          <w:tcPr>
            <w:tcW w:w="1304" w:type="dxa"/>
          </w:tcPr>
          <w:p w14:paraId="4559551F" w14:textId="77777777" w:rsidR="00A4454A" w:rsidRPr="008C1137" w:rsidRDefault="00A4454A" w:rsidP="00390380">
            <w:pPr>
              <w:pStyle w:val="TableBody"/>
            </w:pPr>
            <w:r w:rsidRPr="008C1137">
              <w:t>6</w:t>
            </w:r>
          </w:p>
        </w:tc>
      </w:tr>
      <w:tr w:rsidR="006A0A62" w:rsidRPr="008C1137" w14:paraId="38975052" w14:textId="77777777" w:rsidTr="00CF2074">
        <w:trPr>
          <w:trHeight w:val="60"/>
        </w:trPr>
        <w:tc>
          <w:tcPr>
            <w:tcW w:w="992" w:type="dxa"/>
          </w:tcPr>
          <w:p w14:paraId="58591794" w14:textId="77777777" w:rsidR="00A4454A" w:rsidRPr="008C1137" w:rsidRDefault="00A4454A" w:rsidP="00390380">
            <w:pPr>
              <w:pStyle w:val="TableBody"/>
            </w:pPr>
            <w:r w:rsidRPr="008C1137">
              <w:t>2019</w:t>
            </w:r>
          </w:p>
        </w:tc>
        <w:tc>
          <w:tcPr>
            <w:tcW w:w="1928" w:type="dxa"/>
          </w:tcPr>
          <w:p w14:paraId="6CEA60BB" w14:textId="77777777" w:rsidR="00A4454A" w:rsidRPr="00C852A8" w:rsidRDefault="00A4454A" w:rsidP="00C852A8">
            <w:pPr>
              <w:pStyle w:val="TableBody"/>
            </w:pPr>
            <w:r w:rsidRPr="00C852A8">
              <w:t>Post Sentence Authority</w:t>
            </w:r>
          </w:p>
          <w:p w14:paraId="768DC936" w14:textId="77777777" w:rsidR="00A4454A" w:rsidRPr="007E6A09" w:rsidRDefault="00A4454A" w:rsidP="00600A1A">
            <w:pPr>
              <w:pStyle w:val="TableBody"/>
              <w:rPr>
                <w:rStyle w:val="Italic"/>
              </w:rPr>
            </w:pPr>
            <w:r w:rsidRPr="007E6A09">
              <w:rPr>
                <w:rStyle w:val="Italic"/>
              </w:rPr>
              <w:t>Serious Offenders Act 2018</w:t>
            </w:r>
          </w:p>
        </w:tc>
        <w:tc>
          <w:tcPr>
            <w:tcW w:w="1247" w:type="dxa"/>
          </w:tcPr>
          <w:p w14:paraId="386D1062" w14:textId="77777777" w:rsidR="00A4454A" w:rsidRPr="008C1137" w:rsidRDefault="00A4454A" w:rsidP="00390380">
            <w:pPr>
              <w:pStyle w:val="TableBody"/>
            </w:pPr>
            <w:r w:rsidRPr="008C1137">
              <w:t>1,856</w:t>
            </w:r>
          </w:p>
        </w:tc>
        <w:tc>
          <w:tcPr>
            <w:tcW w:w="1531" w:type="dxa"/>
          </w:tcPr>
          <w:p w14:paraId="4B1A4B81" w14:textId="77777777" w:rsidR="00A4454A" w:rsidRPr="008C1137" w:rsidRDefault="00A4454A" w:rsidP="00390380">
            <w:pPr>
              <w:pStyle w:val="TableBody"/>
            </w:pPr>
            <w:r w:rsidRPr="008C1137">
              <w:t>131</w:t>
            </w:r>
          </w:p>
        </w:tc>
        <w:tc>
          <w:tcPr>
            <w:tcW w:w="1531" w:type="dxa"/>
          </w:tcPr>
          <w:p w14:paraId="4ACF6DC7" w14:textId="77777777" w:rsidR="00A4454A" w:rsidRPr="008C1137" w:rsidRDefault="00A4454A" w:rsidP="00390380">
            <w:pPr>
              <w:pStyle w:val="TableBody"/>
            </w:pPr>
            <w:r w:rsidRPr="008C1137">
              <w:t>3</w:t>
            </w:r>
          </w:p>
        </w:tc>
        <w:tc>
          <w:tcPr>
            <w:tcW w:w="1389" w:type="dxa"/>
          </w:tcPr>
          <w:p w14:paraId="12B343F0" w14:textId="77777777" w:rsidR="00A4454A" w:rsidRPr="008C1137" w:rsidRDefault="00A4454A" w:rsidP="00390380">
            <w:pPr>
              <w:pStyle w:val="TableBody"/>
            </w:pPr>
            <w:r w:rsidRPr="008C1137">
              <w:t>35</w:t>
            </w:r>
          </w:p>
        </w:tc>
        <w:tc>
          <w:tcPr>
            <w:tcW w:w="1304" w:type="dxa"/>
          </w:tcPr>
          <w:p w14:paraId="0241FD19" w14:textId="77777777" w:rsidR="00A4454A" w:rsidRPr="008C1137" w:rsidRDefault="00A4454A" w:rsidP="00390380">
            <w:pPr>
              <w:pStyle w:val="TableBody"/>
            </w:pPr>
            <w:r w:rsidRPr="008C1137">
              <w:t>6</w:t>
            </w:r>
          </w:p>
        </w:tc>
      </w:tr>
      <w:tr w:rsidR="006A0A62" w:rsidRPr="008C1137" w14:paraId="1D8C1069" w14:textId="77777777" w:rsidTr="00CF2074">
        <w:trPr>
          <w:trHeight w:val="60"/>
        </w:trPr>
        <w:tc>
          <w:tcPr>
            <w:tcW w:w="992" w:type="dxa"/>
          </w:tcPr>
          <w:p w14:paraId="1FF12206" w14:textId="77777777" w:rsidR="00A4454A" w:rsidRPr="008C1137" w:rsidRDefault="00A4454A" w:rsidP="00390380">
            <w:pPr>
              <w:pStyle w:val="TableBody"/>
            </w:pPr>
            <w:r w:rsidRPr="008C1137">
              <w:t>2020</w:t>
            </w:r>
          </w:p>
        </w:tc>
        <w:tc>
          <w:tcPr>
            <w:tcW w:w="1928" w:type="dxa"/>
          </w:tcPr>
          <w:p w14:paraId="00B30E8F" w14:textId="77777777" w:rsidR="00A4454A" w:rsidRPr="00C852A8" w:rsidRDefault="00A4454A" w:rsidP="00C852A8">
            <w:pPr>
              <w:pStyle w:val="TableBody"/>
            </w:pPr>
            <w:r w:rsidRPr="00C852A8">
              <w:t>Post Sentence Authority</w:t>
            </w:r>
          </w:p>
          <w:p w14:paraId="70423746" w14:textId="77777777" w:rsidR="00A4454A" w:rsidRPr="007E6A09" w:rsidRDefault="00A4454A" w:rsidP="00600A1A">
            <w:pPr>
              <w:pStyle w:val="TableBody"/>
              <w:rPr>
                <w:rStyle w:val="Italic"/>
              </w:rPr>
            </w:pPr>
            <w:r w:rsidRPr="007E6A09">
              <w:rPr>
                <w:rStyle w:val="Italic"/>
              </w:rPr>
              <w:lastRenderedPageBreak/>
              <w:t>Serious Offenders Act 2018</w:t>
            </w:r>
          </w:p>
        </w:tc>
        <w:tc>
          <w:tcPr>
            <w:tcW w:w="1247" w:type="dxa"/>
          </w:tcPr>
          <w:p w14:paraId="374F6288" w14:textId="77777777" w:rsidR="00A4454A" w:rsidRPr="008C1137" w:rsidRDefault="00A4454A" w:rsidP="00390380">
            <w:pPr>
              <w:pStyle w:val="TableBody"/>
            </w:pPr>
            <w:r w:rsidRPr="008C1137">
              <w:lastRenderedPageBreak/>
              <w:t>1,922</w:t>
            </w:r>
          </w:p>
        </w:tc>
        <w:tc>
          <w:tcPr>
            <w:tcW w:w="1531" w:type="dxa"/>
          </w:tcPr>
          <w:p w14:paraId="7B83C236" w14:textId="77777777" w:rsidR="00A4454A" w:rsidRPr="008C1137" w:rsidRDefault="00A4454A" w:rsidP="00390380">
            <w:pPr>
              <w:pStyle w:val="TableBody"/>
            </w:pPr>
            <w:r w:rsidRPr="008C1137">
              <w:t>138</w:t>
            </w:r>
          </w:p>
        </w:tc>
        <w:tc>
          <w:tcPr>
            <w:tcW w:w="1531" w:type="dxa"/>
          </w:tcPr>
          <w:p w14:paraId="08BE8469" w14:textId="77777777" w:rsidR="00A4454A" w:rsidRPr="008C1137" w:rsidRDefault="00A4454A" w:rsidP="00390380">
            <w:pPr>
              <w:pStyle w:val="TableBody"/>
            </w:pPr>
            <w:r w:rsidRPr="008C1137">
              <w:t>4</w:t>
            </w:r>
          </w:p>
        </w:tc>
        <w:tc>
          <w:tcPr>
            <w:tcW w:w="1389" w:type="dxa"/>
          </w:tcPr>
          <w:p w14:paraId="0FEA6E1D" w14:textId="77777777" w:rsidR="00A4454A" w:rsidRPr="008C1137" w:rsidRDefault="00A4454A" w:rsidP="00390380">
            <w:pPr>
              <w:pStyle w:val="TableBody"/>
            </w:pPr>
            <w:r w:rsidRPr="008C1137">
              <w:t>32</w:t>
            </w:r>
          </w:p>
        </w:tc>
        <w:tc>
          <w:tcPr>
            <w:tcW w:w="1304" w:type="dxa"/>
          </w:tcPr>
          <w:p w14:paraId="2F8F0A54" w14:textId="77777777" w:rsidR="00A4454A" w:rsidRPr="008C1137" w:rsidRDefault="00A4454A" w:rsidP="00390380">
            <w:pPr>
              <w:pStyle w:val="TableBody"/>
            </w:pPr>
            <w:r w:rsidRPr="008C1137">
              <w:t>2</w:t>
            </w:r>
          </w:p>
        </w:tc>
      </w:tr>
      <w:tr w:rsidR="006A0A62" w:rsidRPr="008C1137" w14:paraId="733F8EBF" w14:textId="77777777" w:rsidTr="00CF2074">
        <w:trPr>
          <w:trHeight w:val="60"/>
        </w:trPr>
        <w:tc>
          <w:tcPr>
            <w:tcW w:w="992" w:type="dxa"/>
          </w:tcPr>
          <w:p w14:paraId="215E4218" w14:textId="77777777" w:rsidR="00A4454A" w:rsidRPr="008C1137" w:rsidRDefault="00A4454A" w:rsidP="00390380">
            <w:pPr>
              <w:pStyle w:val="TableBody"/>
            </w:pPr>
            <w:r w:rsidRPr="008C1137">
              <w:t>2021</w:t>
            </w:r>
          </w:p>
        </w:tc>
        <w:tc>
          <w:tcPr>
            <w:tcW w:w="1928" w:type="dxa"/>
          </w:tcPr>
          <w:p w14:paraId="381A642B" w14:textId="77777777" w:rsidR="00A4454A" w:rsidRPr="00C852A8" w:rsidRDefault="00A4454A" w:rsidP="00C852A8">
            <w:pPr>
              <w:pStyle w:val="TableBody"/>
            </w:pPr>
            <w:r w:rsidRPr="00C852A8">
              <w:t>Post Sentence Authority</w:t>
            </w:r>
          </w:p>
          <w:p w14:paraId="67818A1A" w14:textId="77777777" w:rsidR="00A4454A" w:rsidRPr="007E6A09" w:rsidRDefault="00A4454A" w:rsidP="00600A1A">
            <w:pPr>
              <w:pStyle w:val="TableBody"/>
              <w:rPr>
                <w:rStyle w:val="Italic"/>
              </w:rPr>
            </w:pPr>
            <w:r w:rsidRPr="007E6A09">
              <w:rPr>
                <w:rStyle w:val="Italic"/>
              </w:rPr>
              <w:t>Serious Offenders Act 2018</w:t>
            </w:r>
          </w:p>
        </w:tc>
        <w:tc>
          <w:tcPr>
            <w:tcW w:w="1247" w:type="dxa"/>
          </w:tcPr>
          <w:p w14:paraId="6F9C0865" w14:textId="77777777" w:rsidR="00A4454A" w:rsidRPr="008C1137" w:rsidRDefault="00A4454A" w:rsidP="00390380">
            <w:pPr>
              <w:pStyle w:val="TableBody"/>
            </w:pPr>
            <w:r w:rsidRPr="008C1137">
              <w:t>1,760</w:t>
            </w:r>
          </w:p>
        </w:tc>
        <w:tc>
          <w:tcPr>
            <w:tcW w:w="1531" w:type="dxa"/>
          </w:tcPr>
          <w:p w14:paraId="4FFAFBAF" w14:textId="77777777" w:rsidR="00A4454A" w:rsidRPr="008C1137" w:rsidRDefault="00A4454A" w:rsidP="00390380">
            <w:pPr>
              <w:pStyle w:val="TableBody"/>
            </w:pPr>
            <w:r w:rsidRPr="008C1137">
              <w:t>138</w:t>
            </w:r>
          </w:p>
        </w:tc>
        <w:tc>
          <w:tcPr>
            <w:tcW w:w="1531" w:type="dxa"/>
          </w:tcPr>
          <w:p w14:paraId="6A963F1D" w14:textId="77777777" w:rsidR="00A4454A" w:rsidRPr="008C1137" w:rsidRDefault="00A4454A" w:rsidP="00390380">
            <w:pPr>
              <w:pStyle w:val="TableBody"/>
            </w:pPr>
            <w:r w:rsidRPr="008C1137">
              <w:t>4</w:t>
            </w:r>
          </w:p>
        </w:tc>
        <w:tc>
          <w:tcPr>
            <w:tcW w:w="1389" w:type="dxa"/>
          </w:tcPr>
          <w:p w14:paraId="210033DF" w14:textId="77777777" w:rsidR="00A4454A" w:rsidRPr="008C1137" w:rsidRDefault="00A4454A" w:rsidP="00390380">
            <w:pPr>
              <w:pStyle w:val="TableBody"/>
            </w:pPr>
            <w:r w:rsidRPr="008C1137">
              <w:t>31</w:t>
            </w:r>
          </w:p>
        </w:tc>
        <w:tc>
          <w:tcPr>
            <w:tcW w:w="1304" w:type="dxa"/>
          </w:tcPr>
          <w:p w14:paraId="1FD2C0EA" w14:textId="77777777" w:rsidR="00A4454A" w:rsidRPr="008C1137" w:rsidRDefault="00A4454A" w:rsidP="00390380">
            <w:pPr>
              <w:pStyle w:val="TableBody"/>
            </w:pPr>
            <w:r w:rsidRPr="008C1137">
              <w:t>3</w:t>
            </w:r>
          </w:p>
        </w:tc>
      </w:tr>
      <w:tr w:rsidR="006A0A62" w:rsidRPr="008C1137" w14:paraId="44CCD01C" w14:textId="77777777" w:rsidTr="00CF2074">
        <w:trPr>
          <w:trHeight w:val="60"/>
        </w:trPr>
        <w:tc>
          <w:tcPr>
            <w:tcW w:w="992" w:type="dxa"/>
          </w:tcPr>
          <w:p w14:paraId="68542900" w14:textId="77777777" w:rsidR="00A4454A" w:rsidRPr="008C1137" w:rsidRDefault="00A4454A" w:rsidP="00390380">
            <w:pPr>
              <w:pStyle w:val="TableBody"/>
            </w:pPr>
            <w:r w:rsidRPr="008C1137">
              <w:t>2022</w:t>
            </w:r>
          </w:p>
        </w:tc>
        <w:tc>
          <w:tcPr>
            <w:tcW w:w="1928" w:type="dxa"/>
          </w:tcPr>
          <w:p w14:paraId="7FB5C953" w14:textId="77777777" w:rsidR="00A4454A" w:rsidRPr="00C852A8" w:rsidRDefault="00A4454A" w:rsidP="00C852A8">
            <w:pPr>
              <w:pStyle w:val="TableBody"/>
            </w:pPr>
            <w:r w:rsidRPr="00C852A8">
              <w:t>Post Sentence Authority</w:t>
            </w:r>
          </w:p>
          <w:p w14:paraId="7BF97DAB" w14:textId="77777777" w:rsidR="00A4454A" w:rsidRPr="007E6A09" w:rsidRDefault="00A4454A" w:rsidP="00600A1A">
            <w:pPr>
              <w:pStyle w:val="TableBody"/>
              <w:rPr>
                <w:rStyle w:val="Italic"/>
              </w:rPr>
            </w:pPr>
            <w:r w:rsidRPr="007E6A09">
              <w:rPr>
                <w:rStyle w:val="Italic"/>
              </w:rPr>
              <w:t>Serious Offenders Act 2018</w:t>
            </w:r>
          </w:p>
        </w:tc>
        <w:tc>
          <w:tcPr>
            <w:tcW w:w="1247" w:type="dxa"/>
          </w:tcPr>
          <w:p w14:paraId="2D570787" w14:textId="77777777" w:rsidR="00A4454A" w:rsidRPr="008C1137" w:rsidRDefault="00A4454A" w:rsidP="00390380">
            <w:pPr>
              <w:pStyle w:val="TableBody"/>
            </w:pPr>
            <w:r w:rsidRPr="008C1137">
              <w:t>1,701</w:t>
            </w:r>
          </w:p>
        </w:tc>
        <w:tc>
          <w:tcPr>
            <w:tcW w:w="1531" w:type="dxa"/>
          </w:tcPr>
          <w:p w14:paraId="7EC88A00" w14:textId="77777777" w:rsidR="00A4454A" w:rsidRPr="008C1137" w:rsidRDefault="00A4454A" w:rsidP="00390380">
            <w:pPr>
              <w:pStyle w:val="TableBody"/>
            </w:pPr>
            <w:r w:rsidRPr="008C1137">
              <w:t>134</w:t>
            </w:r>
          </w:p>
        </w:tc>
        <w:tc>
          <w:tcPr>
            <w:tcW w:w="1531" w:type="dxa"/>
          </w:tcPr>
          <w:p w14:paraId="6E631889" w14:textId="77777777" w:rsidR="00A4454A" w:rsidRPr="008C1137" w:rsidRDefault="00A4454A" w:rsidP="00390380">
            <w:pPr>
              <w:pStyle w:val="TableBody"/>
            </w:pPr>
            <w:r w:rsidRPr="008C1137">
              <w:t>5</w:t>
            </w:r>
          </w:p>
        </w:tc>
        <w:tc>
          <w:tcPr>
            <w:tcW w:w="1389" w:type="dxa"/>
          </w:tcPr>
          <w:p w14:paraId="6AB12765" w14:textId="77777777" w:rsidR="00A4454A" w:rsidRPr="008C1137" w:rsidRDefault="00A4454A" w:rsidP="00390380">
            <w:pPr>
              <w:pStyle w:val="TableBody"/>
            </w:pPr>
            <w:r w:rsidRPr="008C1137">
              <w:t>36</w:t>
            </w:r>
          </w:p>
        </w:tc>
        <w:tc>
          <w:tcPr>
            <w:tcW w:w="1304" w:type="dxa"/>
          </w:tcPr>
          <w:p w14:paraId="29412FA0" w14:textId="77777777" w:rsidR="00A4454A" w:rsidRPr="008C1137" w:rsidRDefault="00A4454A" w:rsidP="00390380">
            <w:pPr>
              <w:pStyle w:val="TableBody"/>
            </w:pPr>
            <w:r w:rsidRPr="008C1137">
              <w:t>1</w:t>
            </w:r>
          </w:p>
        </w:tc>
      </w:tr>
      <w:tr w:rsidR="006A0A62" w:rsidRPr="008C1137" w14:paraId="27FE5452" w14:textId="77777777" w:rsidTr="00CF2074">
        <w:trPr>
          <w:trHeight w:val="60"/>
        </w:trPr>
        <w:tc>
          <w:tcPr>
            <w:tcW w:w="992" w:type="dxa"/>
          </w:tcPr>
          <w:p w14:paraId="0058AADA" w14:textId="77777777" w:rsidR="00A4454A" w:rsidRPr="008C1137" w:rsidRDefault="00A4454A" w:rsidP="00390380">
            <w:pPr>
              <w:pStyle w:val="TableBody"/>
            </w:pPr>
            <w:r w:rsidRPr="008C1137">
              <w:t>2023</w:t>
            </w:r>
          </w:p>
        </w:tc>
        <w:tc>
          <w:tcPr>
            <w:tcW w:w="1928" w:type="dxa"/>
          </w:tcPr>
          <w:p w14:paraId="649F1727" w14:textId="77777777" w:rsidR="00A4454A" w:rsidRPr="00C852A8" w:rsidRDefault="00A4454A" w:rsidP="00C852A8">
            <w:pPr>
              <w:pStyle w:val="TableBody"/>
            </w:pPr>
            <w:r w:rsidRPr="00C852A8">
              <w:t>Post Sentence Authority</w:t>
            </w:r>
          </w:p>
          <w:p w14:paraId="46482895" w14:textId="77777777" w:rsidR="00A4454A" w:rsidRPr="007E6A09" w:rsidRDefault="00A4454A" w:rsidP="00600A1A">
            <w:pPr>
              <w:pStyle w:val="TableBody"/>
              <w:rPr>
                <w:rStyle w:val="Italic"/>
              </w:rPr>
            </w:pPr>
            <w:r w:rsidRPr="007E6A09">
              <w:rPr>
                <w:rStyle w:val="Italic"/>
              </w:rPr>
              <w:t>Serious Offenders Act 2018</w:t>
            </w:r>
          </w:p>
        </w:tc>
        <w:tc>
          <w:tcPr>
            <w:tcW w:w="1247" w:type="dxa"/>
          </w:tcPr>
          <w:p w14:paraId="5949B631" w14:textId="77777777" w:rsidR="00A4454A" w:rsidRPr="008C1137" w:rsidRDefault="00A4454A" w:rsidP="00390380">
            <w:pPr>
              <w:pStyle w:val="TableBody"/>
            </w:pPr>
            <w:r w:rsidRPr="008C1137">
              <w:t>1,759</w:t>
            </w:r>
          </w:p>
        </w:tc>
        <w:tc>
          <w:tcPr>
            <w:tcW w:w="1531" w:type="dxa"/>
          </w:tcPr>
          <w:p w14:paraId="7BDF5C60" w14:textId="77777777" w:rsidR="00A4454A" w:rsidRPr="008C1137" w:rsidRDefault="00A4454A" w:rsidP="00390380">
            <w:pPr>
              <w:pStyle w:val="TableBody"/>
            </w:pPr>
            <w:r w:rsidRPr="008C1137">
              <w:t>123</w:t>
            </w:r>
          </w:p>
        </w:tc>
        <w:tc>
          <w:tcPr>
            <w:tcW w:w="1531" w:type="dxa"/>
          </w:tcPr>
          <w:p w14:paraId="42E7C244" w14:textId="77777777" w:rsidR="00A4454A" w:rsidRPr="008C1137" w:rsidRDefault="00A4454A" w:rsidP="00390380">
            <w:pPr>
              <w:pStyle w:val="TableBody"/>
            </w:pPr>
            <w:r w:rsidRPr="008C1137">
              <w:t>3</w:t>
            </w:r>
          </w:p>
        </w:tc>
        <w:tc>
          <w:tcPr>
            <w:tcW w:w="1389" w:type="dxa"/>
          </w:tcPr>
          <w:p w14:paraId="50147A0D" w14:textId="77777777" w:rsidR="00A4454A" w:rsidRPr="008C1137" w:rsidRDefault="00A4454A" w:rsidP="00390380">
            <w:pPr>
              <w:pStyle w:val="TableBody"/>
            </w:pPr>
            <w:r w:rsidRPr="008C1137">
              <w:t>41</w:t>
            </w:r>
          </w:p>
        </w:tc>
        <w:tc>
          <w:tcPr>
            <w:tcW w:w="1304" w:type="dxa"/>
          </w:tcPr>
          <w:p w14:paraId="3C9B2C46" w14:textId="77777777" w:rsidR="00A4454A" w:rsidRPr="008C1137" w:rsidRDefault="00A4454A" w:rsidP="00390380">
            <w:pPr>
              <w:pStyle w:val="TableBody"/>
            </w:pPr>
            <w:r w:rsidRPr="008C1137">
              <w:t>2</w:t>
            </w:r>
          </w:p>
        </w:tc>
      </w:tr>
      <w:tr w:rsidR="006A0A62" w:rsidRPr="008C1137" w14:paraId="0AE72BB0" w14:textId="77777777" w:rsidTr="00CF2074">
        <w:trPr>
          <w:trHeight w:val="60"/>
        </w:trPr>
        <w:tc>
          <w:tcPr>
            <w:tcW w:w="992" w:type="dxa"/>
          </w:tcPr>
          <w:p w14:paraId="62F58DED" w14:textId="77777777" w:rsidR="00A4454A" w:rsidRPr="008C1137" w:rsidRDefault="00A4454A" w:rsidP="00390380">
            <w:pPr>
              <w:pStyle w:val="TableBody"/>
            </w:pPr>
            <w:r w:rsidRPr="008C1137">
              <w:t>2024</w:t>
            </w:r>
          </w:p>
        </w:tc>
        <w:tc>
          <w:tcPr>
            <w:tcW w:w="1928" w:type="dxa"/>
          </w:tcPr>
          <w:p w14:paraId="0152A986" w14:textId="77777777" w:rsidR="00A4454A" w:rsidRPr="00C852A8" w:rsidRDefault="00A4454A" w:rsidP="00C852A8">
            <w:pPr>
              <w:pStyle w:val="TableBody"/>
            </w:pPr>
            <w:r w:rsidRPr="00C852A8">
              <w:t>Post Sentence Authority</w:t>
            </w:r>
          </w:p>
          <w:p w14:paraId="5B3E26C9" w14:textId="77777777" w:rsidR="00A4454A" w:rsidRPr="007E6A09" w:rsidRDefault="00A4454A" w:rsidP="00600A1A">
            <w:pPr>
              <w:pStyle w:val="TableBody"/>
              <w:rPr>
                <w:rStyle w:val="Italic"/>
              </w:rPr>
            </w:pPr>
            <w:r w:rsidRPr="007E6A09">
              <w:rPr>
                <w:rStyle w:val="Italic"/>
              </w:rPr>
              <w:t>Serious Offenders Act 2018</w:t>
            </w:r>
          </w:p>
        </w:tc>
        <w:tc>
          <w:tcPr>
            <w:tcW w:w="1247" w:type="dxa"/>
          </w:tcPr>
          <w:p w14:paraId="7A62D432" w14:textId="77777777" w:rsidR="00A4454A" w:rsidRPr="008C1137" w:rsidRDefault="00A4454A" w:rsidP="00390380">
            <w:pPr>
              <w:pStyle w:val="TableBody"/>
            </w:pPr>
            <w:r w:rsidRPr="008C1137">
              <w:t>1,810</w:t>
            </w:r>
          </w:p>
        </w:tc>
        <w:tc>
          <w:tcPr>
            <w:tcW w:w="1531" w:type="dxa"/>
          </w:tcPr>
          <w:p w14:paraId="3C736C0A" w14:textId="77777777" w:rsidR="00A4454A" w:rsidRPr="008C1137" w:rsidRDefault="00A4454A" w:rsidP="00390380">
            <w:pPr>
              <w:pStyle w:val="TableBody"/>
            </w:pPr>
            <w:r w:rsidRPr="008C1137">
              <w:t>122</w:t>
            </w:r>
          </w:p>
        </w:tc>
        <w:tc>
          <w:tcPr>
            <w:tcW w:w="1531" w:type="dxa"/>
          </w:tcPr>
          <w:p w14:paraId="3304886F" w14:textId="77777777" w:rsidR="00A4454A" w:rsidRPr="008C1137" w:rsidRDefault="00A4454A" w:rsidP="00390380">
            <w:pPr>
              <w:pStyle w:val="TableBody"/>
            </w:pPr>
            <w:r w:rsidRPr="008C1137">
              <w:t>1</w:t>
            </w:r>
          </w:p>
        </w:tc>
        <w:tc>
          <w:tcPr>
            <w:tcW w:w="1389" w:type="dxa"/>
          </w:tcPr>
          <w:p w14:paraId="4FF2EB22" w14:textId="77777777" w:rsidR="00A4454A" w:rsidRPr="008C1137" w:rsidRDefault="00A4454A" w:rsidP="00390380">
            <w:pPr>
              <w:pStyle w:val="TableBody"/>
            </w:pPr>
            <w:r w:rsidRPr="008C1137">
              <w:t>44</w:t>
            </w:r>
          </w:p>
        </w:tc>
        <w:tc>
          <w:tcPr>
            <w:tcW w:w="1304" w:type="dxa"/>
          </w:tcPr>
          <w:p w14:paraId="353344E7" w14:textId="77777777" w:rsidR="00A4454A" w:rsidRPr="008C1137" w:rsidRDefault="00A4454A" w:rsidP="00390380">
            <w:pPr>
              <w:pStyle w:val="TableBody"/>
            </w:pPr>
            <w:r w:rsidRPr="008C1137">
              <w:t>3</w:t>
            </w:r>
          </w:p>
        </w:tc>
      </w:tr>
    </w:tbl>
    <w:p w14:paraId="121BB84E" w14:textId="77777777" w:rsidR="00A4454A" w:rsidRPr="008C1137" w:rsidRDefault="00A4454A" w:rsidP="00D4532A">
      <w:r w:rsidRPr="000C258A">
        <w:rPr>
          <w:rStyle w:val="Strong"/>
        </w:rPr>
        <w:t>Sources</w:t>
      </w:r>
      <w:r w:rsidRPr="008C1137">
        <w:t>: Adult Parole Board,</w:t>
      </w:r>
      <w:r w:rsidRPr="008C1137">
        <w:rPr>
          <w:rStyle w:val="Italic"/>
        </w:rPr>
        <w:t xml:space="preserve"> </w:t>
      </w:r>
      <w:r w:rsidRPr="008C1137">
        <w:t>Annual Reports</w:t>
      </w:r>
      <w:r w:rsidRPr="008C1137">
        <w:rPr>
          <w:rStyle w:val="Italic"/>
        </w:rPr>
        <w:t xml:space="preserve"> </w:t>
      </w:r>
      <w:r w:rsidRPr="008C1137">
        <w:t>(2013–14 to 2016–17); Post Sentence Authority, Annual Reports (2017–18 to 2023–24)</w:t>
      </w:r>
    </w:p>
    <w:p w14:paraId="4C7A5630" w14:textId="77777777" w:rsidR="00A4454A" w:rsidRPr="001C7588" w:rsidRDefault="00A4454A" w:rsidP="003E4B98">
      <w:pPr>
        <w:pStyle w:val="ListParagraph"/>
        <w:numPr>
          <w:ilvl w:val="0"/>
          <w:numId w:val="17"/>
        </w:numPr>
      </w:pPr>
      <w:r w:rsidRPr="001C7588">
        <w:t xml:space="preserve">The Adult Parole Board did not report on the number of offenders eligible for a post-sentence order each financial year. </w:t>
      </w:r>
    </w:p>
    <w:p w14:paraId="0C493EB7" w14:textId="77777777" w:rsidR="00A4454A" w:rsidRPr="001C7588" w:rsidRDefault="00A4454A" w:rsidP="003E4B98">
      <w:pPr>
        <w:pStyle w:val="ListParagraph"/>
        <w:numPr>
          <w:ilvl w:val="0"/>
          <w:numId w:val="17"/>
        </w:numPr>
      </w:pPr>
      <w:r w:rsidRPr="001C7588">
        <w:t>This includes interim supervision orders.</w:t>
      </w:r>
    </w:p>
    <w:p w14:paraId="70F7ACB2" w14:textId="77777777" w:rsidR="00A4454A" w:rsidRPr="001C7588" w:rsidRDefault="00A4454A" w:rsidP="0026396D">
      <w:pPr>
        <w:pStyle w:val="ListParagraph"/>
        <w:numPr>
          <w:ilvl w:val="0"/>
          <w:numId w:val="17"/>
        </w:numPr>
      </w:pPr>
      <w:r w:rsidRPr="001C7588">
        <w:t>This includes interim continuing detention orders.</w:t>
      </w:r>
    </w:p>
    <w:p w14:paraId="68A92E09" w14:textId="77777777" w:rsidR="00A4454A" w:rsidRPr="001C7588" w:rsidRDefault="00A4454A" w:rsidP="003E4B98">
      <w:pPr>
        <w:pStyle w:val="ListParagraph"/>
        <w:numPr>
          <w:ilvl w:val="0"/>
          <w:numId w:val="17"/>
        </w:numPr>
      </w:pPr>
      <w:r w:rsidRPr="001C7588">
        <w:t>The number of cases reflects the financial year in which a person was found guilty of breaching the conditions of a post-sentence order. It is important to note that some cases initiated in a given financial year may have been finalised in a subsequent financial year.</w:t>
      </w:r>
    </w:p>
    <w:p w14:paraId="3D57F566" w14:textId="77777777" w:rsidR="00A4454A" w:rsidRPr="001C7588" w:rsidRDefault="00A4454A" w:rsidP="003E4B98">
      <w:pPr>
        <w:pStyle w:val="ListParagraph"/>
        <w:numPr>
          <w:ilvl w:val="0"/>
          <w:numId w:val="17"/>
        </w:numPr>
      </w:pPr>
      <w:r w:rsidRPr="001C7588">
        <w:t xml:space="preserve">The number of cases reflects the financial year in which a person was found guilty of committing a serious offence while subject to a post-sentence order. The Adult Parole Board did not distinguish between </w:t>
      </w:r>
      <w:r w:rsidRPr="001C7588">
        <w:lastRenderedPageBreak/>
        <w:t>serious offences committed and other breaches of post-sentence orders until 2015–16.</w:t>
      </w:r>
    </w:p>
    <w:p w14:paraId="726E13A2" w14:textId="77777777" w:rsidR="00A4454A" w:rsidRPr="001C7588" w:rsidRDefault="00A4454A" w:rsidP="003E4B98">
      <w:pPr>
        <w:pStyle w:val="ListParagraph"/>
        <w:numPr>
          <w:ilvl w:val="0"/>
          <w:numId w:val="17"/>
        </w:numPr>
      </w:pPr>
      <w:r w:rsidRPr="001C7588">
        <w:t>This was the first continuing detention order made by the Supreme Court under the Serious Sex Offenders (Detention and Supervision) Act 2009. The order was still in force as at 30 June 2014: Adult Parole Board, Annual Report 2013–2014 (2014) 21.</w:t>
      </w:r>
    </w:p>
    <w:p w14:paraId="03F415EE" w14:textId="42B780BF" w:rsidR="00A4454A" w:rsidRPr="008C1137" w:rsidRDefault="00A4454A" w:rsidP="008D24FA">
      <w:pPr>
        <w:pStyle w:val="Heading1Numbered"/>
      </w:pPr>
      <w:bookmarkStart w:id="10" w:name="_Toc210672554"/>
      <w:r w:rsidRPr="008C1137">
        <w:lastRenderedPageBreak/>
        <w:t>Concluding remarks</w:t>
      </w:r>
      <w:bookmarkEnd w:id="10"/>
    </w:p>
    <w:p w14:paraId="45FA0A7A" w14:textId="77777777" w:rsidR="00A4454A" w:rsidRPr="008C1137" w:rsidRDefault="00A4454A" w:rsidP="00BE4EDC">
      <w:pPr>
        <w:pStyle w:val="Numbered"/>
      </w:pPr>
      <w:r w:rsidRPr="008C1137">
        <w:t xml:space="preserve">This report has presented data on Victoria’s changing prison population over a 20-year period from 1 July 2004 to 30 June 2024. </w:t>
      </w:r>
    </w:p>
    <w:p w14:paraId="2470BAF2" w14:textId="77777777" w:rsidR="00A4454A" w:rsidRPr="008C1137" w:rsidRDefault="00A4454A" w:rsidP="00BE4EDC">
      <w:pPr>
        <w:pStyle w:val="Numbered"/>
      </w:pPr>
      <w:r w:rsidRPr="008C1137">
        <w:t xml:space="preserve">There are a number of key findings in this report, including: </w:t>
      </w:r>
    </w:p>
    <w:p w14:paraId="13C09A7A" w14:textId="77777777" w:rsidR="00A4454A" w:rsidRPr="008C1137" w:rsidRDefault="00A4454A" w:rsidP="008C1137">
      <w:pPr>
        <w:pStyle w:val="Bullets"/>
      </w:pPr>
      <w:r w:rsidRPr="008C1137">
        <w:t>the prison population increased by 62% during our reference period, from 3,651 prisoners to 5,915 prisoners on 30 June 2024, well outpacing population growth (which was 39%)</w:t>
      </w:r>
    </w:p>
    <w:p w14:paraId="5EF2F583" w14:textId="77777777" w:rsidR="00A4454A" w:rsidRPr="008C1137" w:rsidRDefault="00A4454A" w:rsidP="008C1137">
      <w:pPr>
        <w:pStyle w:val="Bullets"/>
      </w:pPr>
      <w:r w:rsidRPr="008C1137">
        <w:t>most of the increase in Victoria’s prison population occurred between 2012 and 2019. Prior to that, there was relative stability, and after that, Victoria’s prison population steadily declined (the only jurisdiction in Australia to do so)</w:t>
      </w:r>
    </w:p>
    <w:p w14:paraId="29C18F76" w14:textId="77777777" w:rsidR="00A4454A" w:rsidRPr="008C1137" w:rsidRDefault="00A4454A" w:rsidP="008C1137">
      <w:pPr>
        <w:pStyle w:val="Bullets"/>
      </w:pPr>
      <w:r w:rsidRPr="008C1137">
        <w:t xml:space="preserve">the growth in Victoria’s prison population was largely driven by more people being held on </w:t>
      </w:r>
      <w:r w:rsidRPr="003B3217">
        <w:rPr>
          <w:rStyle w:val="Italic"/>
        </w:rPr>
        <w:t>remand</w:t>
      </w:r>
      <w:r w:rsidRPr="008C1137">
        <w:t xml:space="preserve"> – the unsentenced prisoner population more than tripled (a 207% increase, from 649 people to 1,994), well outpacing growth in the sentenced prisoner population (a 29% increase)</w:t>
      </w:r>
    </w:p>
    <w:p w14:paraId="01A978CA" w14:textId="77777777" w:rsidR="00A4454A" w:rsidRPr="008C1137" w:rsidRDefault="00A4454A" w:rsidP="008C1137">
      <w:pPr>
        <w:pStyle w:val="Bullets"/>
      </w:pPr>
      <w:r w:rsidRPr="008C1137">
        <w:t xml:space="preserve">in turn, the growth in the unsentenced prisoner population was driven primarily by an increase in the number of people remanded for offences against the person (in particular, causing injury offences). Conversely, while the smaller growth in the </w:t>
      </w:r>
      <w:r w:rsidRPr="003B3217">
        <w:rPr>
          <w:rStyle w:val="Italic"/>
        </w:rPr>
        <w:t>sentenced</w:t>
      </w:r>
      <w:r w:rsidRPr="008C1137">
        <w:t xml:space="preserve"> prisoner population was also driven by offences against the person, they were most commonly sexual offences</w:t>
      </w:r>
    </w:p>
    <w:p w14:paraId="5D8B8578" w14:textId="77777777" w:rsidR="00A4454A" w:rsidRPr="008C1137" w:rsidRDefault="00A4454A" w:rsidP="008C1137">
      <w:pPr>
        <w:pStyle w:val="Bullets"/>
      </w:pPr>
      <w:r w:rsidRPr="008C1137">
        <w:t xml:space="preserve">the increase in Victoria’s prison population does not correlate with an increase in the number of people committing offences. Indeed, the per capita rate of people committing offences each year has steadily </w:t>
      </w:r>
      <w:r w:rsidRPr="003B3217">
        <w:rPr>
          <w:rStyle w:val="Italic"/>
        </w:rPr>
        <w:t>declined</w:t>
      </w:r>
      <w:r w:rsidRPr="008C1137">
        <w:t xml:space="preserve"> over time – those who do commit offences appear to now be committing </w:t>
      </w:r>
      <w:r w:rsidRPr="003B3217">
        <w:rPr>
          <w:rStyle w:val="Italic"/>
        </w:rPr>
        <w:t xml:space="preserve">more </w:t>
      </w:r>
      <w:r w:rsidRPr="008C1137">
        <w:t xml:space="preserve">offences than </w:t>
      </w:r>
      <w:r w:rsidRPr="008C1137">
        <w:lastRenderedPageBreak/>
        <w:t>previously,</w:t>
      </w:r>
      <w:r w:rsidRPr="008C1137">
        <w:rPr>
          <w:rStyle w:val="Superscript"/>
        </w:rPr>
        <w:footnoteReference w:id="201"/>
      </w:r>
      <w:r w:rsidRPr="008C1137">
        <w:t xml:space="preserve"> but this is likely due to an expansion of which behaviours constitute criminal offences, rather than a change in offending</w:t>
      </w:r>
    </w:p>
    <w:p w14:paraId="4C8C2D41" w14:textId="77777777" w:rsidR="00A4454A" w:rsidRPr="008C1137" w:rsidRDefault="00A4454A" w:rsidP="008C1137">
      <w:pPr>
        <w:pStyle w:val="Bullets"/>
      </w:pPr>
      <w:r w:rsidRPr="008C1137">
        <w:t>most custodial sentences (approximately 80%) were imposed in the Magistrates’ Court, with the remainder imposed in the higher courts</w:t>
      </w:r>
    </w:p>
    <w:p w14:paraId="38B0E1B1" w14:textId="77777777" w:rsidR="00A4454A" w:rsidRPr="008C1137" w:rsidRDefault="00A4454A" w:rsidP="008C1137">
      <w:pPr>
        <w:pStyle w:val="Bullets"/>
      </w:pPr>
      <w:r w:rsidRPr="008C1137">
        <w:t>61% of all custodial sentences imposed between 1 July 2006 and 30 June 2024 were less than 6 months, 39% were less than 3 months, and the prevalence of these short prison sentences increased over time</w:t>
      </w:r>
    </w:p>
    <w:p w14:paraId="74CF1D49" w14:textId="77777777" w:rsidR="00A4454A" w:rsidRPr="008C1137" w:rsidRDefault="00A4454A" w:rsidP="008C1137">
      <w:pPr>
        <w:pStyle w:val="Bullets"/>
      </w:pPr>
      <w:r w:rsidRPr="008C1137">
        <w:t>women were sentenced to imprisonment much less frequently than men were (in 2023–24, 3.2% of female offenders sentenced in Victorian courts received a prison sentence, compared to 10.1% of male offenders). Women also received shorter average prison sentences – there are a number of reasons for this, including women having very different (and less violent) offending profiles</w:t>
      </w:r>
    </w:p>
    <w:p w14:paraId="48A37F7E" w14:textId="77777777" w:rsidR="00A4454A" w:rsidRPr="008C1137" w:rsidRDefault="00A4454A" w:rsidP="008C1137">
      <w:pPr>
        <w:pStyle w:val="Bullets"/>
      </w:pPr>
      <w:r w:rsidRPr="008C1137">
        <w:t>Aboriginal and Torres Strait Islander people were imprisoned at significantly higher rates than non-Aboriginal and Torres Strait Islander people, with the gap widening over time to 1 in 60 Aboriginal Victorians in custody as at 30 June 2024 (up from about 1 in 100 as at 30 June 2005), compared to what has consistently been about 1 in 1,000 non-Aboriginal Victorians, and</w:t>
      </w:r>
    </w:p>
    <w:p w14:paraId="435ED5EC" w14:textId="77777777" w:rsidR="00A4454A" w:rsidRPr="008C1137" w:rsidRDefault="00A4454A" w:rsidP="008C1137">
      <w:pPr>
        <w:pStyle w:val="Bullets"/>
      </w:pPr>
      <w:r w:rsidRPr="008C1137">
        <w:t xml:space="preserve">there was a reduction in the number of prisoners applying for parole (to a low of 1,210 applications in 2023–24), and a reduction in the number of parole orders granted. Though, </w:t>
      </w:r>
      <w:r w:rsidRPr="008C1137">
        <w:lastRenderedPageBreak/>
        <w:t>given that there are fewer people in custody serving a custodial sentence with a non-parole period, it is difficult to determine whether the reduction in applications and parole orders granted has had an effect on the prison population.</w:t>
      </w:r>
    </w:p>
    <w:p w14:paraId="28418DB6" w14:textId="77777777" w:rsidR="00A4454A" w:rsidRPr="00D86818" w:rsidRDefault="00A4454A" w:rsidP="00D86818">
      <w:pPr>
        <w:rPr>
          <w:rStyle w:val="Strong"/>
        </w:rPr>
      </w:pPr>
      <w:r w:rsidRPr="00D86818">
        <w:rPr>
          <w:rStyle w:val="Strong"/>
        </w:rPr>
        <w:t>A Snapshot of Victoria’s prison population on 30 June 2024</w:t>
      </w:r>
    </w:p>
    <w:p w14:paraId="75E643D3" w14:textId="77777777" w:rsidR="00A4454A" w:rsidRPr="008C1137" w:rsidRDefault="00A4454A" w:rsidP="00B5476D">
      <w:r w:rsidRPr="008C1137">
        <w:t xml:space="preserve">Prisoners in Victoria: </w:t>
      </w:r>
    </w:p>
    <w:p w14:paraId="1DC4E526" w14:textId="77777777" w:rsidR="00A4454A" w:rsidRPr="008C1137" w:rsidRDefault="00A4454A" w:rsidP="000F1B94">
      <w:pPr>
        <w:pStyle w:val="ListParagraph"/>
        <w:numPr>
          <w:ilvl w:val="0"/>
          <w:numId w:val="13"/>
        </w:numPr>
      </w:pPr>
      <w:r w:rsidRPr="008C1137">
        <w:t xml:space="preserve">are most likely to be male (95%) </w:t>
      </w:r>
    </w:p>
    <w:p w14:paraId="2597A112" w14:textId="77777777" w:rsidR="00A4454A" w:rsidRPr="008C1137" w:rsidRDefault="00A4454A" w:rsidP="000F1B94">
      <w:pPr>
        <w:pStyle w:val="ListParagraph"/>
        <w:numPr>
          <w:ilvl w:val="0"/>
          <w:numId w:val="13"/>
        </w:numPr>
      </w:pPr>
      <w:r w:rsidRPr="008C1137">
        <w:t>have a median age of 37 years</w:t>
      </w:r>
    </w:p>
    <w:p w14:paraId="450B0735" w14:textId="77777777" w:rsidR="00A4454A" w:rsidRPr="008C1137" w:rsidRDefault="00A4454A" w:rsidP="000F1B94">
      <w:pPr>
        <w:pStyle w:val="ListParagraph"/>
        <w:numPr>
          <w:ilvl w:val="0"/>
          <w:numId w:val="13"/>
        </w:numPr>
      </w:pPr>
      <w:r w:rsidRPr="008C1137">
        <w:t xml:space="preserve">are more likely to be serving a sentence (66%) than be on remand </w:t>
      </w:r>
    </w:p>
    <w:p w14:paraId="532043A9" w14:textId="77777777" w:rsidR="00A4454A" w:rsidRPr="008C1137" w:rsidRDefault="00A4454A" w:rsidP="00B5476D">
      <w:r w:rsidRPr="008C1137">
        <w:t xml:space="preserve">Sentenced prisoners: </w:t>
      </w:r>
    </w:p>
    <w:p w14:paraId="17D08835" w14:textId="77777777" w:rsidR="00A4454A" w:rsidRPr="008C1137" w:rsidRDefault="00A4454A" w:rsidP="000F1B94">
      <w:pPr>
        <w:pStyle w:val="ListParagraph"/>
        <w:numPr>
          <w:ilvl w:val="0"/>
          <w:numId w:val="13"/>
        </w:numPr>
      </w:pPr>
      <w:r w:rsidRPr="008C1137">
        <w:t xml:space="preserve">are most commonly in prison for a sexual assault offence (24%) </w:t>
      </w:r>
    </w:p>
    <w:p w14:paraId="36061C9E" w14:textId="77777777" w:rsidR="00A4454A" w:rsidRPr="008C1137" w:rsidRDefault="00A4454A" w:rsidP="000F1B94">
      <w:pPr>
        <w:pStyle w:val="ListParagraph"/>
        <w:numPr>
          <w:ilvl w:val="0"/>
          <w:numId w:val="13"/>
        </w:numPr>
      </w:pPr>
      <w:r w:rsidRPr="008C1137">
        <w:t>are on average serving a total effective sentence of 7 years’ imprisonment (with an average expected time to serve of 5.5 years)</w:t>
      </w:r>
    </w:p>
    <w:p w14:paraId="23849831" w14:textId="77777777" w:rsidR="00A4454A" w:rsidRPr="008C1137" w:rsidRDefault="00A4454A" w:rsidP="000F1B94">
      <w:pPr>
        <w:pStyle w:val="ListParagraph"/>
        <w:numPr>
          <w:ilvl w:val="0"/>
          <w:numId w:val="13"/>
        </w:numPr>
      </w:pPr>
      <w:r w:rsidRPr="008C1137">
        <w:t>are most likely serving a custodial sentence with a non-parole period (55%)</w:t>
      </w:r>
    </w:p>
    <w:p w14:paraId="30CF4B85" w14:textId="77777777" w:rsidR="00A4454A" w:rsidRPr="008C1137" w:rsidRDefault="00A4454A" w:rsidP="00B5476D">
      <w:r w:rsidRPr="008C1137">
        <w:t xml:space="preserve">Unsentenced prisoners: </w:t>
      </w:r>
    </w:p>
    <w:p w14:paraId="1B90FE3E" w14:textId="77777777" w:rsidR="00A4454A" w:rsidRPr="008C1137" w:rsidRDefault="00A4454A" w:rsidP="000F1B94">
      <w:pPr>
        <w:pStyle w:val="ListParagraph"/>
        <w:numPr>
          <w:ilvl w:val="0"/>
          <w:numId w:val="13"/>
        </w:numPr>
      </w:pPr>
      <w:r w:rsidRPr="008C1137">
        <w:t>are most likely in prison for an alleged causing injury offence (20%)</w:t>
      </w:r>
    </w:p>
    <w:p w14:paraId="24764A98" w14:textId="77777777" w:rsidR="00A4454A" w:rsidRPr="008C1137" w:rsidRDefault="00A4454A" w:rsidP="000F1B94">
      <w:pPr>
        <w:pStyle w:val="ListParagraph"/>
        <w:numPr>
          <w:ilvl w:val="0"/>
          <w:numId w:val="13"/>
        </w:numPr>
      </w:pPr>
      <w:r w:rsidRPr="008C1137">
        <w:t>have most likely been in custody for 3 months or more (55%)</w:t>
      </w:r>
    </w:p>
    <w:p w14:paraId="69187A4A" w14:textId="77777777" w:rsidR="00A4454A" w:rsidRPr="008C1137" w:rsidRDefault="00A4454A" w:rsidP="00210207">
      <w:pPr>
        <w:pStyle w:val="Numbered"/>
      </w:pPr>
      <w:r w:rsidRPr="008C1137">
        <w:t>From these key findings, there are a number of topics that warrant further consideration. Before discussing the implications of the above findings, however, we would be remiss not to mention what has happened since 30 June 2024, the end of the reference period examined in this report. On 30 June 2024, there were 5,915 people in prison. Victoria was the only jurisdiction in Australia, or even in comparable international jurisdictions, to have sustained the decarcerating effects of COVID-19 with a declining prison population in the years after the peak of the pandemic. That is no longer the case. As of 30 June 2025, Victoria’s prison population had increased to 6,596, reflecting an increase</w:t>
      </w:r>
      <w:r w:rsidRPr="003B3217">
        <w:rPr>
          <w:rStyle w:val="Italic"/>
        </w:rPr>
        <w:t xml:space="preserve"> </w:t>
      </w:r>
      <w:r w:rsidRPr="008C1137">
        <w:t xml:space="preserve">of 89 sentenced </w:t>
      </w:r>
      <w:r w:rsidRPr="008C1137">
        <w:lastRenderedPageBreak/>
        <w:t>prisoners and an increase</w:t>
      </w:r>
      <w:r w:rsidRPr="003B3217">
        <w:rPr>
          <w:rStyle w:val="Italic"/>
        </w:rPr>
        <w:t xml:space="preserve"> </w:t>
      </w:r>
      <w:r w:rsidRPr="008C1137">
        <w:t xml:space="preserve">of 592 </w:t>
      </w:r>
      <w:r w:rsidRPr="003B3217">
        <w:rPr>
          <w:rStyle w:val="Italic"/>
        </w:rPr>
        <w:t>unsentenced</w:t>
      </w:r>
      <w:r w:rsidRPr="008C1137">
        <w:t xml:space="preserve"> prisoners (a 30% increase in just one year).</w:t>
      </w:r>
      <w:r w:rsidRPr="008C1137">
        <w:rPr>
          <w:rStyle w:val="Superscript"/>
        </w:rPr>
        <w:footnoteReference w:id="202"/>
      </w:r>
      <w:r w:rsidRPr="008C1137">
        <w:t xml:space="preserve"> While there have been recent bail reforms</w:t>
      </w:r>
      <w:r w:rsidRPr="008C1137">
        <w:rPr>
          <w:rStyle w:val="Superscript"/>
        </w:rPr>
        <w:footnoteReference w:id="203"/>
      </w:r>
      <w:r w:rsidRPr="008C1137">
        <w:t xml:space="preserve"> that were intentionally designed to make Victoria’s bail laws ‘the toughest … in Australia’,</w:t>
      </w:r>
      <w:r w:rsidRPr="008C1137">
        <w:rPr>
          <w:rStyle w:val="Superscript"/>
        </w:rPr>
        <w:footnoteReference w:id="204"/>
      </w:r>
      <w:r w:rsidRPr="008C1137">
        <w:t xml:space="preserve"> the first tranche of those reforms only commenced on 26 March 2025, but the unsentenced prisoner population had increased well before then. </w:t>
      </w:r>
    </w:p>
    <w:p w14:paraId="6B185740" w14:textId="77777777" w:rsidR="00A4454A" w:rsidRPr="008C1137" w:rsidRDefault="00A4454A" w:rsidP="0002476E">
      <w:pPr>
        <w:pStyle w:val="Heading2"/>
      </w:pPr>
      <w:r w:rsidRPr="008C1137">
        <w:t xml:space="preserve">Growth in the number of people on remand is the primary driver of changes in Victoria’s prison population </w:t>
      </w:r>
    </w:p>
    <w:p w14:paraId="1FD82172" w14:textId="77777777" w:rsidR="00A4454A" w:rsidRPr="008C1137" w:rsidRDefault="00A4454A" w:rsidP="00210207">
      <w:pPr>
        <w:pStyle w:val="Numbered"/>
      </w:pPr>
      <w:r w:rsidRPr="008C1137">
        <w:t>Consistent with findings in our previous reports, the unsentenced prisoner population was responsible for the drastic changes in the prison population across our 20-year reference period. The unsentenced prisoner population more than tripled from 954 in June 2013 to a peak of 3,185 in June 2021, and then fell drastically over the next 3 years to 1,994. These changes far outpace the relatively modest (by comparison) changes in the sentenced prisoner population over time, which actually increased at a lower rate than population growth. While there were a number of legislative interventions to bail laws that correlated with changes in the unsentenced prisoner population, many of those amendments seemed to commence part way through an existing (upward or downward) trend. Whatever the driver – legislation, media, community sentiment – it is evident that there has been a shift towards a more risk-averse bail and remand system that does not seem to be driven by an increase in offending, and that the topic has become increasingly politicised.</w:t>
      </w:r>
      <w:r w:rsidRPr="008C1137">
        <w:rPr>
          <w:rStyle w:val="Superscript"/>
        </w:rPr>
        <w:footnoteReference w:id="205"/>
      </w:r>
    </w:p>
    <w:p w14:paraId="4187DB2B" w14:textId="77777777" w:rsidR="00A4454A" w:rsidRPr="008C1137" w:rsidRDefault="00A4454A" w:rsidP="0002476E">
      <w:pPr>
        <w:pStyle w:val="Heading2"/>
      </w:pPr>
      <w:r w:rsidRPr="008C1137">
        <w:lastRenderedPageBreak/>
        <w:t>The continued importance of short prison sentences to avoid sentence creep</w:t>
      </w:r>
    </w:p>
    <w:p w14:paraId="13EFE8C6" w14:textId="77777777" w:rsidR="00A4454A" w:rsidRPr="008C1137" w:rsidRDefault="00A4454A" w:rsidP="00210207">
      <w:pPr>
        <w:pStyle w:val="Numbered"/>
      </w:pPr>
      <w:r w:rsidRPr="008C1137">
        <w:t>As we observed in 2020,</w:t>
      </w:r>
      <w:r w:rsidRPr="008C1137">
        <w:rPr>
          <w:rStyle w:val="Superscript"/>
        </w:rPr>
        <w:footnoteReference w:id="206"/>
      </w:r>
      <w:r w:rsidRPr="008C1137">
        <w:t xml:space="preserve"> the increase in unsentenced prisoners is driving an increase in custodial sentences, especially short prison sentences and/or time served prison sentences. As shown in Chapters 3 and 5, there has been a considerable increase in the number of short prison sentences (less than 6 months) and time served prison sentences in Victoria; in fact, around 40% of short prison sentences are time served prison sentences. And the trends in both short prison sentences and time served prison sentences mirror the trends in the unsentenced prisoner population: they all increased from 2012 to 2021 and declined thereafter. Court data shows that the number of people receiving prison sentences shorter than 6 months increased from 2,937 in 2006–07 to 4,469 in 2023–24. Between 1 July 2006 and 30 June 2024, 61% of all custodial sentences (82,422) imposed were shorter than 6 months. </w:t>
      </w:r>
    </w:p>
    <w:p w14:paraId="75C1B9D6" w14:textId="77777777" w:rsidR="00A4454A" w:rsidRPr="008C1137" w:rsidRDefault="00A4454A" w:rsidP="00BE4EDC">
      <w:pPr>
        <w:pStyle w:val="Numbered"/>
      </w:pPr>
      <w:r w:rsidRPr="008C1137">
        <w:t>Short prison sentences have been the subject of considerable discussion and critique over the years. They have been shown to disproportionately affect women and Aboriginal and Torres Strait Islander people,</w:t>
      </w:r>
      <w:r w:rsidRPr="008C1137">
        <w:rPr>
          <w:rStyle w:val="Superscript"/>
        </w:rPr>
        <w:footnoteReference w:id="207"/>
      </w:r>
      <w:r w:rsidRPr="008C1137">
        <w:t xml:space="preserve"> they frequently involve people held in custody for less serious offences,</w:t>
      </w:r>
      <w:r w:rsidRPr="008C1137">
        <w:rPr>
          <w:rStyle w:val="Superscript"/>
        </w:rPr>
        <w:footnoteReference w:id="208"/>
      </w:r>
      <w:r w:rsidRPr="008C1137">
        <w:t xml:space="preserve"> and as the Australian Law Reform Commission said in 2017, they:</w:t>
      </w:r>
    </w:p>
    <w:p w14:paraId="240332A4" w14:textId="77777777" w:rsidR="00A4454A" w:rsidRPr="008C1137" w:rsidRDefault="00A4454A" w:rsidP="003B3217">
      <w:pPr>
        <w:pStyle w:val="Quote"/>
      </w:pPr>
      <w:r w:rsidRPr="008C1137">
        <w:t xml:space="preserve"> expose minor offenders to more serious offenders in prison; do not serve to deter offenders; have significant negative impacts on the offender’s family, employment, housing and income; and potentially increase the likelihood of recidivism through </w:t>
      </w:r>
      <w:r w:rsidRPr="008C1137">
        <w:lastRenderedPageBreak/>
        <w:t>stigmatisation and the flow on effects of having served time in prison.</w:t>
      </w:r>
      <w:r w:rsidRPr="008C1137">
        <w:rPr>
          <w:rStyle w:val="Superscript"/>
        </w:rPr>
        <w:footnoteReference w:id="209"/>
      </w:r>
    </w:p>
    <w:p w14:paraId="29BA86A3" w14:textId="77777777" w:rsidR="00A4454A" w:rsidRPr="008C1137" w:rsidRDefault="00A4454A" w:rsidP="00AD290B">
      <w:pPr>
        <w:ind w:left="851"/>
      </w:pPr>
      <w:r w:rsidRPr="008C1137">
        <w:t>This is especially so for time served prison sentences (which are almost always of short duration) given the complexities associated with unsentenced prisoners. They have not yet been found guilty of the alleged offending, creating difficulties in organising offence-specific programs. And there is much less certainty about when they will be released from custody, making it difficult to organise their transition back into the community.</w:t>
      </w:r>
      <w:r w:rsidRPr="008C1137">
        <w:rPr>
          <w:rStyle w:val="Superscript"/>
        </w:rPr>
        <w:footnoteReference w:id="210"/>
      </w:r>
      <w:r w:rsidRPr="008C1137">
        <w:t xml:space="preserve"> The increase in time served prison sentences means that a growing number of people are released from custody into the community without the benefit of programs to address their offending behaviour, give appropriate transition support or provide post-release supervision.</w:t>
      </w:r>
      <w:r w:rsidRPr="008C1137">
        <w:rPr>
          <w:rStyle w:val="Superscript"/>
        </w:rPr>
        <w:footnoteReference w:id="211"/>
      </w:r>
      <w:r w:rsidRPr="008C1137">
        <w:t xml:space="preserve"> </w:t>
      </w:r>
    </w:p>
    <w:p w14:paraId="73CBD282" w14:textId="77777777" w:rsidR="00A4454A" w:rsidRPr="008C1137" w:rsidRDefault="00A4454A" w:rsidP="00210207">
      <w:pPr>
        <w:pStyle w:val="Numbered"/>
      </w:pPr>
      <w:r w:rsidRPr="008C1137">
        <w:t>The various problems with short prison sentences have led numerous jurisdictions around the world to consider abolishing them,</w:t>
      </w:r>
      <w:r w:rsidRPr="008C1137">
        <w:rPr>
          <w:rStyle w:val="Superscript"/>
        </w:rPr>
        <w:footnoteReference w:id="212"/>
      </w:r>
      <w:r w:rsidRPr="008C1137">
        <w:t xml:space="preserve"> actually abolish them,</w:t>
      </w:r>
      <w:r w:rsidRPr="008C1137">
        <w:rPr>
          <w:rStyle w:val="Superscript"/>
        </w:rPr>
        <w:footnoteReference w:id="213"/>
      </w:r>
      <w:r w:rsidRPr="008C1137">
        <w:t xml:space="preserve"> or create a legislative presumption against them.</w:t>
      </w:r>
      <w:r w:rsidRPr="008C1137">
        <w:rPr>
          <w:rStyle w:val="Superscript"/>
        </w:rPr>
        <w:footnoteReference w:id="214"/>
      </w:r>
      <w:r w:rsidRPr="008C1137">
        <w:t xml:space="preserve"> But such measures, where introduced, have been met with mixed results. In 2017, the Australian Law Reform Commission recommended </w:t>
      </w:r>
      <w:r w:rsidRPr="003B3217">
        <w:rPr>
          <w:rStyle w:val="Italic"/>
        </w:rPr>
        <w:t xml:space="preserve">against </w:t>
      </w:r>
      <w:r w:rsidRPr="008C1137">
        <w:t xml:space="preserve">abolishing short prison sentences because they create a considerable risk of ‘sentence creep’, with </w:t>
      </w:r>
      <w:r w:rsidRPr="003B3217">
        <w:rPr>
          <w:rStyle w:val="Italic"/>
        </w:rPr>
        <w:t xml:space="preserve">longer </w:t>
      </w:r>
      <w:r w:rsidRPr="008C1137">
        <w:t xml:space="preserve">prison sentences </w:t>
      </w:r>
      <w:r w:rsidRPr="008C1137">
        <w:lastRenderedPageBreak/>
        <w:t>being imposed, as evidenced by the experience in Western Australia.</w:t>
      </w:r>
      <w:r w:rsidRPr="008C1137">
        <w:rPr>
          <w:rStyle w:val="Superscript"/>
        </w:rPr>
        <w:footnoteReference w:id="215"/>
      </w:r>
      <w:r w:rsidRPr="008C1137">
        <w:t xml:space="preserve"> To illustrate, the abolition of short prison sentences in Victoria would have resulted in 61% of custodial sentences (all those that were less than 6 months) not being permissible during our reference period. What would have happened in those cases if short prison sentences had not been available? All of those people either would have received a sentence type other than imprisonment (such as a community correction order or an adjourned undertaking) or would have received a </w:t>
      </w:r>
      <w:r w:rsidRPr="003B3217">
        <w:rPr>
          <w:rStyle w:val="Italic"/>
        </w:rPr>
        <w:t xml:space="preserve">longer </w:t>
      </w:r>
      <w:r w:rsidRPr="008C1137">
        <w:t xml:space="preserve">prison sentence. Even for those who would have avoided a longer prison sentence, many might have received a time served prison sentence (sufficient punishment at the time of sentencing) with immediate release, but they would now need to receive an alternative sentencing order that ignores the time they spent on remand, resulting in </w:t>
      </w:r>
      <w:r w:rsidRPr="003B3217">
        <w:rPr>
          <w:rStyle w:val="Italic"/>
        </w:rPr>
        <w:t xml:space="preserve">more </w:t>
      </w:r>
      <w:r w:rsidRPr="008C1137">
        <w:t>contact with the criminal justice system, not less.</w:t>
      </w:r>
    </w:p>
    <w:p w14:paraId="6D57C760" w14:textId="77777777" w:rsidR="00A4454A" w:rsidRPr="008C1137" w:rsidRDefault="00A4454A" w:rsidP="00BE4EDC">
      <w:pPr>
        <w:pStyle w:val="Numbered"/>
      </w:pPr>
      <w:r w:rsidRPr="008C1137">
        <w:t xml:space="preserve">The debate about short prison sentences is unlikely to go away any time soon because they are, to paraphrase Churchill, ‘the worst [option] … except for all the others’. As a United Nations report into short prison sentences concluded more than half a century ago: </w:t>
      </w:r>
    </w:p>
    <w:p w14:paraId="5B889B58" w14:textId="77777777" w:rsidR="00A4454A" w:rsidRPr="008C1137" w:rsidRDefault="00A4454A" w:rsidP="003B3217">
      <w:pPr>
        <w:pStyle w:val="Quote"/>
      </w:pPr>
      <w:r w:rsidRPr="008C1137">
        <w:t>Despite the rather strong current of opinion against short sentences, it would be difficult to do away with them entirely, for a variety of reasons … [but] wherever possible, short prison sentences should be replaced by other penalties and measures which do not give rise to the harmful effects so often attributed to short-term imprisonment.</w:t>
      </w:r>
      <w:r w:rsidRPr="008C1137">
        <w:rPr>
          <w:rStyle w:val="Superscript"/>
        </w:rPr>
        <w:footnoteReference w:id="216"/>
      </w:r>
    </w:p>
    <w:p w14:paraId="22BC6759" w14:textId="77777777" w:rsidR="00A4454A" w:rsidRPr="008C1137" w:rsidRDefault="00A4454A" w:rsidP="0002476E">
      <w:pPr>
        <w:pStyle w:val="Heading2"/>
      </w:pPr>
      <w:r w:rsidRPr="008C1137">
        <w:lastRenderedPageBreak/>
        <w:t>The distinctiveness of the female prison population</w:t>
      </w:r>
    </w:p>
    <w:p w14:paraId="30D575C8" w14:textId="77777777" w:rsidR="00A4454A" w:rsidRPr="008C1137" w:rsidRDefault="00A4454A" w:rsidP="00210207">
      <w:pPr>
        <w:pStyle w:val="Numbered"/>
      </w:pPr>
      <w:r w:rsidRPr="008C1137">
        <w:t>The number of women in custody grew rapidly in Victoria in the 15 years to 30 June 2019, peaking at 575. By 30 June 2024, that number had halved to 281 women in custody, accounting for just 5% of the prison population. While women represent a comparatively small proportion of the prison population, numerous studies have highlighted the distinct difficulties faced by women in custody; many have been victims of interpersonal or family violence, many suffer from mental illnesses or addiction, and their offending often stems from self-medicating or financial instability as a result of associated trauma.</w:t>
      </w:r>
      <w:r w:rsidRPr="008C1137">
        <w:rPr>
          <w:rStyle w:val="Superscript"/>
        </w:rPr>
        <w:footnoteReference w:id="217"/>
      </w:r>
      <w:r w:rsidRPr="008C1137">
        <w:t xml:space="preserve"> </w:t>
      </w:r>
    </w:p>
    <w:p w14:paraId="08145932" w14:textId="77777777" w:rsidR="00A4454A" w:rsidRPr="008C1137" w:rsidRDefault="00A4454A" w:rsidP="00210207">
      <w:pPr>
        <w:pStyle w:val="Numbered"/>
      </w:pPr>
      <w:r w:rsidRPr="008C1137">
        <w:t>As shown in Chapter 3, female offenders were most commonly sentenced to imprisonment for non-violent offences: a theft offence (theft from a shop), a drug offence (trafficking in a non-commercial quantity of a drug of dependence), and a burglary offence. This is distinct from two of the three most common offences that male offenders were imprisoned for: unlawful assault, recklessly causing injury and burglary. Moreover, a significant proportion of women in Victorian custody are on remand, and a sizeable proportion of those go on to receive a time served prison sentence or a non-custodial sentence.</w:t>
      </w:r>
      <w:r w:rsidRPr="008C1137">
        <w:rPr>
          <w:rStyle w:val="Superscript"/>
        </w:rPr>
        <w:footnoteReference w:id="218"/>
      </w:r>
      <w:r w:rsidRPr="008C1137">
        <w:t xml:space="preserve"> Female offenders also had a consistently lower imprisonment rate and </w:t>
      </w:r>
      <w:r w:rsidRPr="008C1137">
        <w:lastRenderedPageBreak/>
        <w:t xml:space="preserve">average sentence length compared to male offenders. Given all of this context, it should be considered a positive change that between 30 June 2005 and 30 June 2024, the per capita rate of women in prison in Victoria </w:t>
      </w:r>
      <w:r w:rsidRPr="003B3217">
        <w:rPr>
          <w:rStyle w:val="Italic"/>
        </w:rPr>
        <w:t xml:space="preserve">declined </w:t>
      </w:r>
      <w:r w:rsidRPr="008C1137">
        <w:t>by</w:t>
      </w:r>
      <w:r w:rsidRPr="003B3217">
        <w:rPr>
          <w:rStyle w:val="Italic"/>
        </w:rPr>
        <w:t xml:space="preserve"> </w:t>
      </w:r>
      <w:r w:rsidRPr="008C1137">
        <w:t>23% (whereas the male imprisonment rate increased by 17%).</w:t>
      </w:r>
      <w:r w:rsidRPr="008C1137">
        <w:rPr>
          <w:rStyle w:val="Superscript"/>
        </w:rPr>
        <w:footnoteReference w:id="219"/>
      </w:r>
    </w:p>
    <w:p w14:paraId="0FAE76FC" w14:textId="77777777" w:rsidR="00A4454A" w:rsidRPr="008C1137" w:rsidRDefault="00A4454A" w:rsidP="0002476E">
      <w:pPr>
        <w:pStyle w:val="Heading2"/>
      </w:pPr>
      <w:r w:rsidRPr="008C1137">
        <w:t>The persistent and growing overrepresentation of Aboriginal and Torres Strait Islander people</w:t>
      </w:r>
    </w:p>
    <w:p w14:paraId="33174E48" w14:textId="77777777" w:rsidR="00A4454A" w:rsidRPr="008C1137" w:rsidRDefault="00A4454A" w:rsidP="00210207">
      <w:pPr>
        <w:pStyle w:val="Numbered"/>
      </w:pPr>
      <w:r w:rsidRPr="008C1137">
        <w:t>It has been almost 35 years since the 1991 Royal Commission into Aboriginal Deaths in Custody highlighted</w:t>
      </w:r>
      <w:r w:rsidRPr="003B3217">
        <w:rPr>
          <w:rStyle w:val="Italic"/>
        </w:rPr>
        <w:t xml:space="preserve"> </w:t>
      </w:r>
      <w:r w:rsidRPr="008C1137">
        <w:t>the overrepresentation and poor outcomes of Aboriginal and Torres Strait Islander people in custody,</w:t>
      </w:r>
      <w:r w:rsidRPr="008C1137">
        <w:rPr>
          <w:rStyle w:val="Superscript"/>
        </w:rPr>
        <w:footnoteReference w:id="220"/>
      </w:r>
      <w:r w:rsidRPr="008C1137">
        <w:t xml:space="preserve"> yet this report, like many others,</w:t>
      </w:r>
      <w:r w:rsidRPr="008C1137">
        <w:rPr>
          <w:rStyle w:val="Superscript"/>
        </w:rPr>
        <w:footnoteReference w:id="221"/>
      </w:r>
      <w:r w:rsidRPr="008C1137">
        <w:t xml:space="preserve"> shows that despite the Victorian Government’s continued commitment to improve criminal justice system outcomes for Aboriginal and Torres Strait Islander people, they continue to be markedly overrepresented in the adult prison population. The imprisonment rate for Aboriginal prisoners in Victoria was consistently and markedly higher than the imprisonment rate for non-Aboriginal prisoners between 30 June 2005 and 30 June 2024, and despite </w:t>
      </w:r>
      <w:r w:rsidRPr="008C1137">
        <w:lastRenderedPageBreak/>
        <w:t xml:space="preserve">showing some signs of a downward trend in the most recent 4 years (consistent with the overall decline in the prison population), about 1 in 60 Aboriginal Victorians are currently in custody, compared to 1 in 100 two decades ago. That is, the gap has gotten worse, not better. Of particular concern is the continued high rates of remand of Aboriginal people. Corrections Victoria data shows that 732 Aboriginal people were in custody on 30 June 2024, 40% of whom were on remand (compared to 34% of </w:t>
      </w:r>
      <w:r w:rsidRPr="003B3217">
        <w:rPr>
          <w:rStyle w:val="Italic"/>
        </w:rPr>
        <w:t xml:space="preserve">all </w:t>
      </w:r>
      <w:r w:rsidRPr="008C1137">
        <w:t>prisoners). These numbers are even more stark for Aboriginal women in custody, 50% of whom were on remand as of 30 June 2024.</w:t>
      </w:r>
      <w:r w:rsidRPr="008C1137">
        <w:rPr>
          <w:rStyle w:val="Superscript"/>
        </w:rPr>
        <w:footnoteReference w:id="222"/>
      </w:r>
      <w:r w:rsidRPr="008C1137">
        <w:t xml:space="preserve"> </w:t>
      </w:r>
    </w:p>
    <w:p w14:paraId="2022E47E" w14:textId="77777777" w:rsidR="00A4454A" w:rsidRPr="008C1137" w:rsidRDefault="00A4454A" w:rsidP="0002476E">
      <w:pPr>
        <w:pStyle w:val="Heading2"/>
      </w:pPr>
      <w:r w:rsidRPr="008C1137">
        <w:t>The recent period of decarceration did not increase offending rates</w:t>
      </w:r>
    </w:p>
    <w:p w14:paraId="75A4826C" w14:textId="139CA230" w:rsidR="00A4454A" w:rsidRPr="008C1137" w:rsidRDefault="00A4454A" w:rsidP="00210207">
      <w:pPr>
        <w:pStyle w:val="Numbered"/>
      </w:pPr>
      <w:r w:rsidRPr="008C1137">
        <w:t>This report (like others</w:t>
      </w:r>
      <w:r w:rsidRPr="008C1137">
        <w:rPr>
          <w:rStyle w:val="Superscript"/>
        </w:rPr>
        <w:footnoteReference w:id="223"/>
      </w:r>
      <w:r w:rsidRPr="008C1137">
        <w:t xml:space="preserve">) shows that the size of the prison population is not especially correlated with changes in the number of people committing offences. The rapid growth in Victoria’s imprisonment rate from 2012–13 to 2018–19 was not preceded by a marked increase in the per capita number of offenders. In fact, there was a decrease in the per capita offending rate during this period, from a peak of 1,360 per 100,000 in 2012–13 to a low of 1,238 in 2018–19 (Figure 64). This could be interpreted as suggesting that the increased imprisonment of offenders was reducing offending rates. However, more recent data suggests that this is not the case. In particular, the more recent trend of fewer people being in custody since COVID-19 (from 157 people per 100,000 in custody in 2019 to 108 in 2024) did not correlate with an increase in offending rates, even after the social isolation restrictions of COVID-19 had been lifted. Instead, offending rates </w:t>
      </w:r>
      <w:r w:rsidRPr="003B3217">
        <w:rPr>
          <w:rStyle w:val="Italic"/>
        </w:rPr>
        <w:t>continued to decline</w:t>
      </w:r>
      <w:r w:rsidRPr="008C1137">
        <w:t xml:space="preserve">, to a 20-year low of 1 in 94 people recorded </w:t>
      </w:r>
      <w:r w:rsidRPr="008C1137">
        <w:lastRenderedPageBreak/>
        <w:t>as committing an offence each year.</w:t>
      </w:r>
      <w:r w:rsidRPr="003B3217">
        <w:rPr>
          <w:rStyle w:val="Italic"/>
        </w:rPr>
        <w:t xml:space="preserve"> </w:t>
      </w:r>
      <w:r w:rsidRPr="008C1137">
        <w:t xml:space="preserve">Of course, changes in offending behaviour, particularly changes in the number of serious offences, can have an effect on the prison population. However, the data suggests that factors </w:t>
      </w:r>
      <w:r w:rsidRPr="003B3217">
        <w:rPr>
          <w:rStyle w:val="Italic"/>
        </w:rPr>
        <w:t>other</w:t>
      </w:r>
      <w:r w:rsidRPr="008C1137">
        <w:t xml:space="preserve"> than offending behaviour (such as changes to bail and parole laws, or available sentencing orders) contribute more significantly to the number of people in prison.</w:t>
      </w:r>
    </w:p>
    <w:p w14:paraId="52024479" w14:textId="77777777" w:rsidR="00E33F87" w:rsidRPr="008C1137" w:rsidRDefault="00E33F87" w:rsidP="00BE4EDC">
      <w:pPr>
        <w:pStyle w:val="Caption"/>
      </w:pPr>
      <w:r w:rsidRPr="00157502">
        <w:t>Figure 64</w:t>
      </w:r>
      <w:r w:rsidRPr="008C1137">
        <w:t>: Per capita imprisonment rate (prisoners per 100,000 adults) and per capita number of unique alleged offenders (offenders per 100,000 population) as at 30 June, 2005 to 2024</w:t>
      </w:r>
    </w:p>
    <w:tbl>
      <w:tblPr>
        <w:tblStyle w:val="Table"/>
        <w:tblW w:w="5000" w:type="pct"/>
        <w:tblLook w:val="04A0" w:firstRow="1" w:lastRow="0" w:firstColumn="1" w:lastColumn="0" w:noHBand="0" w:noVBand="1"/>
      </w:tblPr>
      <w:tblGrid>
        <w:gridCol w:w="1938"/>
        <w:gridCol w:w="4063"/>
        <w:gridCol w:w="3015"/>
      </w:tblGrid>
      <w:tr w:rsidR="004F2A4E" w:rsidRPr="00AC17D7" w14:paraId="1000A9D4" w14:textId="77777777" w:rsidTr="00E773BB">
        <w:trPr>
          <w:trHeight w:val="288"/>
          <w:tblHeader/>
        </w:trPr>
        <w:tc>
          <w:tcPr>
            <w:tcW w:w="1075" w:type="pct"/>
            <w:noWrap/>
            <w:hideMark/>
          </w:tcPr>
          <w:p w14:paraId="34ACE5F3" w14:textId="452FD29F" w:rsidR="004F2A4E" w:rsidRPr="00AC17D7" w:rsidRDefault="00D03A11" w:rsidP="00AC17D7">
            <w:pPr>
              <w:pStyle w:val="TableHeading"/>
            </w:pPr>
            <w:r>
              <w:t>Year</w:t>
            </w:r>
          </w:p>
        </w:tc>
        <w:tc>
          <w:tcPr>
            <w:tcW w:w="2253" w:type="pct"/>
            <w:noWrap/>
            <w:hideMark/>
          </w:tcPr>
          <w:p w14:paraId="67FE6049" w14:textId="77777777" w:rsidR="004F2A4E" w:rsidRPr="00AC17D7" w:rsidRDefault="004F2A4E" w:rsidP="00AC17D7">
            <w:pPr>
              <w:pStyle w:val="TableHeading"/>
            </w:pPr>
            <w:r w:rsidRPr="00AC17D7">
              <w:t>Imprisonment rate</w:t>
            </w:r>
          </w:p>
        </w:tc>
        <w:tc>
          <w:tcPr>
            <w:tcW w:w="1672" w:type="pct"/>
            <w:noWrap/>
            <w:hideMark/>
          </w:tcPr>
          <w:p w14:paraId="24C0B586" w14:textId="77777777" w:rsidR="004F2A4E" w:rsidRPr="00AC17D7" w:rsidRDefault="004F2A4E" w:rsidP="00AC17D7">
            <w:pPr>
              <w:pStyle w:val="TableHeading"/>
            </w:pPr>
            <w:r w:rsidRPr="00AC17D7">
              <w:t>Offender rate</w:t>
            </w:r>
          </w:p>
        </w:tc>
      </w:tr>
      <w:tr w:rsidR="004F2A4E" w:rsidRPr="00AC17D7" w14:paraId="2AE22D3D" w14:textId="77777777" w:rsidTr="00E773BB">
        <w:trPr>
          <w:trHeight w:val="288"/>
        </w:trPr>
        <w:tc>
          <w:tcPr>
            <w:tcW w:w="1075" w:type="pct"/>
            <w:noWrap/>
            <w:hideMark/>
          </w:tcPr>
          <w:p w14:paraId="047FDCD2" w14:textId="77777777" w:rsidR="004F2A4E" w:rsidRPr="00AC17D7" w:rsidRDefault="004F2A4E" w:rsidP="00AC17D7">
            <w:pPr>
              <w:pStyle w:val="TableBody"/>
            </w:pPr>
            <w:r w:rsidRPr="00AC17D7">
              <w:t>2005</w:t>
            </w:r>
          </w:p>
        </w:tc>
        <w:tc>
          <w:tcPr>
            <w:tcW w:w="2253" w:type="pct"/>
            <w:noWrap/>
            <w:hideMark/>
          </w:tcPr>
          <w:p w14:paraId="38471D9C" w14:textId="77777777" w:rsidR="004F2A4E" w:rsidRPr="00AC17D7" w:rsidRDefault="004F2A4E" w:rsidP="00AC17D7">
            <w:pPr>
              <w:pStyle w:val="TableBody"/>
            </w:pPr>
            <w:r w:rsidRPr="00AC17D7">
              <w:t>94.2</w:t>
            </w:r>
          </w:p>
        </w:tc>
        <w:tc>
          <w:tcPr>
            <w:tcW w:w="1672" w:type="pct"/>
            <w:noWrap/>
            <w:hideMark/>
          </w:tcPr>
          <w:p w14:paraId="1B47C1CA" w14:textId="77777777" w:rsidR="004F2A4E" w:rsidRPr="00AC17D7" w:rsidRDefault="004F2A4E" w:rsidP="00AC17D7">
            <w:pPr>
              <w:pStyle w:val="TableBody"/>
            </w:pPr>
            <w:r w:rsidRPr="00AC17D7">
              <w:t>977</w:t>
            </w:r>
          </w:p>
        </w:tc>
      </w:tr>
      <w:tr w:rsidR="004F2A4E" w:rsidRPr="00AC17D7" w14:paraId="773A266E" w14:textId="77777777" w:rsidTr="00E773BB">
        <w:trPr>
          <w:trHeight w:val="288"/>
        </w:trPr>
        <w:tc>
          <w:tcPr>
            <w:tcW w:w="1075" w:type="pct"/>
            <w:noWrap/>
            <w:hideMark/>
          </w:tcPr>
          <w:p w14:paraId="41EE423F" w14:textId="77777777" w:rsidR="004F2A4E" w:rsidRPr="00AC17D7" w:rsidRDefault="004F2A4E" w:rsidP="00AC17D7">
            <w:pPr>
              <w:pStyle w:val="TableBody"/>
            </w:pPr>
            <w:r w:rsidRPr="00AC17D7">
              <w:t>2006</w:t>
            </w:r>
          </w:p>
        </w:tc>
        <w:tc>
          <w:tcPr>
            <w:tcW w:w="2253" w:type="pct"/>
            <w:noWrap/>
            <w:hideMark/>
          </w:tcPr>
          <w:p w14:paraId="6C70307E" w14:textId="77777777" w:rsidR="004F2A4E" w:rsidRPr="00AC17D7" w:rsidRDefault="004F2A4E" w:rsidP="00AC17D7">
            <w:pPr>
              <w:pStyle w:val="TableBody"/>
            </w:pPr>
            <w:r w:rsidRPr="00AC17D7">
              <w:t>99.7</w:t>
            </w:r>
          </w:p>
        </w:tc>
        <w:tc>
          <w:tcPr>
            <w:tcW w:w="1672" w:type="pct"/>
            <w:noWrap/>
            <w:hideMark/>
          </w:tcPr>
          <w:p w14:paraId="27014829" w14:textId="77777777" w:rsidR="004F2A4E" w:rsidRPr="00AC17D7" w:rsidRDefault="004F2A4E" w:rsidP="00AC17D7">
            <w:pPr>
              <w:pStyle w:val="TableBody"/>
            </w:pPr>
            <w:r w:rsidRPr="00AC17D7">
              <w:t>1,079</w:t>
            </w:r>
          </w:p>
        </w:tc>
      </w:tr>
      <w:tr w:rsidR="004F2A4E" w:rsidRPr="00AC17D7" w14:paraId="73ED087C" w14:textId="77777777" w:rsidTr="00E773BB">
        <w:trPr>
          <w:trHeight w:val="288"/>
        </w:trPr>
        <w:tc>
          <w:tcPr>
            <w:tcW w:w="1075" w:type="pct"/>
            <w:noWrap/>
            <w:hideMark/>
          </w:tcPr>
          <w:p w14:paraId="0CE14C7D" w14:textId="77777777" w:rsidR="004F2A4E" w:rsidRPr="00AC17D7" w:rsidRDefault="004F2A4E" w:rsidP="00AC17D7">
            <w:pPr>
              <w:pStyle w:val="TableBody"/>
            </w:pPr>
            <w:r w:rsidRPr="00AC17D7">
              <w:t>2007</w:t>
            </w:r>
          </w:p>
        </w:tc>
        <w:tc>
          <w:tcPr>
            <w:tcW w:w="2253" w:type="pct"/>
            <w:noWrap/>
            <w:hideMark/>
          </w:tcPr>
          <w:p w14:paraId="3A401B12" w14:textId="77777777" w:rsidR="004F2A4E" w:rsidRPr="00AC17D7" w:rsidRDefault="004F2A4E" w:rsidP="00AC17D7">
            <w:pPr>
              <w:pStyle w:val="TableBody"/>
            </w:pPr>
            <w:r w:rsidRPr="00AC17D7">
              <w:t>104.6</w:t>
            </w:r>
          </w:p>
        </w:tc>
        <w:tc>
          <w:tcPr>
            <w:tcW w:w="1672" w:type="pct"/>
            <w:noWrap/>
            <w:hideMark/>
          </w:tcPr>
          <w:p w14:paraId="485B5C34" w14:textId="77777777" w:rsidR="004F2A4E" w:rsidRPr="00AC17D7" w:rsidRDefault="004F2A4E" w:rsidP="00AC17D7">
            <w:pPr>
              <w:pStyle w:val="TableBody"/>
            </w:pPr>
            <w:r w:rsidRPr="00AC17D7">
              <w:t>1,122</w:t>
            </w:r>
          </w:p>
        </w:tc>
      </w:tr>
      <w:tr w:rsidR="004F2A4E" w:rsidRPr="00AC17D7" w14:paraId="4A5DA9C7" w14:textId="77777777" w:rsidTr="00E773BB">
        <w:trPr>
          <w:trHeight w:val="288"/>
        </w:trPr>
        <w:tc>
          <w:tcPr>
            <w:tcW w:w="1075" w:type="pct"/>
            <w:noWrap/>
            <w:hideMark/>
          </w:tcPr>
          <w:p w14:paraId="676B75D4" w14:textId="77777777" w:rsidR="004F2A4E" w:rsidRPr="00AC17D7" w:rsidRDefault="004F2A4E" w:rsidP="00AC17D7">
            <w:pPr>
              <w:pStyle w:val="TableBody"/>
            </w:pPr>
            <w:r w:rsidRPr="00AC17D7">
              <w:t>2008</w:t>
            </w:r>
          </w:p>
        </w:tc>
        <w:tc>
          <w:tcPr>
            <w:tcW w:w="2253" w:type="pct"/>
            <w:noWrap/>
            <w:hideMark/>
          </w:tcPr>
          <w:p w14:paraId="20943EBA" w14:textId="77777777" w:rsidR="004F2A4E" w:rsidRPr="00AC17D7" w:rsidRDefault="004F2A4E" w:rsidP="00AC17D7">
            <w:pPr>
              <w:pStyle w:val="TableBody"/>
            </w:pPr>
            <w:r w:rsidRPr="00AC17D7">
              <w:t>103.7</w:t>
            </w:r>
          </w:p>
        </w:tc>
        <w:tc>
          <w:tcPr>
            <w:tcW w:w="1672" w:type="pct"/>
            <w:noWrap/>
            <w:hideMark/>
          </w:tcPr>
          <w:p w14:paraId="723730F2" w14:textId="77777777" w:rsidR="004F2A4E" w:rsidRPr="00AC17D7" w:rsidRDefault="004F2A4E" w:rsidP="00AC17D7">
            <w:pPr>
              <w:pStyle w:val="TableBody"/>
            </w:pPr>
            <w:r w:rsidRPr="00AC17D7">
              <w:t>1,123</w:t>
            </w:r>
          </w:p>
        </w:tc>
      </w:tr>
      <w:tr w:rsidR="004F2A4E" w:rsidRPr="00AC17D7" w14:paraId="5DA4A48B" w14:textId="77777777" w:rsidTr="00E773BB">
        <w:trPr>
          <w:trHeight w:val="288"/>
        </w:trPr>
        <w:tc>
          <w:tcPr>
            <w:tcW w:w="1075" w:type="pct"/>
            <w:noWrap/>
            <w:hideMark/>
          </w:tcPr>
          <w:p w14:paraId="0647067F" w14:textId="77777777" w:rsidR="004F2A4E" w:rsidRPr="00AC17D7" w:rsidRDefault="004F2A4E" w:rsidP="00AC17D7">
            <w:pPr>
              <w:pStyle w:val="TableBody"/>
            </w:pPr>
            <w:r w:rsidRPr="00AC17D7">
              <w:t>2009</w:t>
            </w:r>
          </w:p>
        </w:tc>
        <w:tc>
          <w:tcPr>
            <w:tcW w:w="2253" w:type="pct"/>
            <w:noWrap/>
            <w:hideMark/>
          </w:tcPr>
          <w:p w14:paraId="6DD0E963" w14:textId="77777777" w:rsidR="004F2A4E" w:rsidRPr="00AC17D7" w:rsidRDefault="004F2A4E" w:rsidP="00AC17D7">
            <w:pPr>
              <w:pStyle w:val="TableBody"/>
            </w:pPr>
            <w:r w:rsidRPr="00AC17D7">
              <w:t>104.0</w:t>
            </w:r>
          </w:p>
        </w:tc>
        <w:tc>
          <w:tcPr>
            <w:tcW w:w="1672" w:type="pct"/>
            <w:noWrap/>
            <w:hideMark/>
          </w:tcPr>
          <w:p w14:paraId="02965E19" w14:textId="77777777" w:rsidR="004F2A4E" w:rsidRPr="00AC17D7" w:rsidRDefault="004F2A4E" w:rsidP="00AC17D7">
            <w:pPr>
              <w:pStyle w:val="TableBody"/>
            </w:pPr>
            <w:r w:rsidRPr="00AC17D7">
              <w:t>1,203</w:t>
            </w:r>
          </w:p>
        </w:tc>
      </w:tr>
      <w:tr w:rsidR="004F2A4E" w:rsidRPr="00AC17D7" w14:paraId="716DFBEA" w14:textId="77777777" w:rsidTr="00E773BB">
        <w:trPr>
          <w:trHeight w:val="288"/>
        </w:trPr>
        <w:tc>
          <w:tcPr>
            <w:tcW w:w="1075" w:type="pct"/>
            <w:noWrap/>
            <w:hideMark/>
          </w:tcPr>
          <w:p w14:paraId="104962EF" w14:textId="77777777" w:rsidR="004F2A4E" w:rsidRPr="00AC17D7" w:rsidRDefault="004F2A4E" w:rsidP="00AC17D7">
            <w:pPr>
              <w:pStyle w:val="TableBody"/>
            </w:pPr>
            <w:r w:rsidRPr="00AC17D7">
              <w:t>2010</w:t>
            </w:r>
          </w:p>
        </w:tc>
        <w:tc>
          <w:tcPr>
            <w:tcW w:w="2253" w:type="pct"/>
            <w:noWrap/>
            <w:hideMark/>
          </w:tcPr>
          <w:p w14:paraId="6A652DA8" w14:textId="77777777" w:rsidR="004F2A4E" w:rsidRPr="00AC17D7" w:rsidRDefault="004F2A4E" w:rsidP="00AC17D7">
            <w:pPr>
              <w:pStyle w:val="TableBody"/>
            </w:pPr>
            <w:r w:rsidRPr="00AC17D7">
              <w:t>105.5</w:t>
            </w:r>
          </w:p>
        </w:tc>
        <w:tc>
          <w:tcPr>
            <w:tcW w:w="1672" w:type="pct"/>
            <w:noWrap/>
            <w:hideMark/>
          </w:tcPr>
          <w:p w14:paraId="46958722" w14:textId="77777777" w:rsidR="004F2A4E" w:rsidRPr="00AC17D7" w:rsidRDefault="004F2A4E" w:rsidP="00AC17D7">
            <w:pPr>
              <w:pStyle w:val="TableBody"/>
            </w:pPr>
            <w:r w:rsidRPr="00AC17D7">
              <w:t>1,349</w:t>
            </w:r>
          </w:p>
        </w:tc>
      </w:tr>
      <w:tr w:rsidR="004F2A4E" w:rsidRPr="00AC17D7" w14:paraId="5036D752" w14:textId="77777777" w:rsidTr="00E773BB">
        <w:trPr>
          <w:trHeight w:val="288"/>
        </w:trPr>
        <w:tc>
          <w:tcPr>
            <w:tcW w:w="1075" w:type="pct"/>
            <w:noWrap/>
            <w:hideMark/>
          </w:tcPr>
          <w:p w14:paraId="236634AC" w14:textId="77777777" w:rsidR="004F2A4E" w:rsidRPr="00AC17D7" w:rsidRDefault="004F2A4E" w:rsidP="00AC17D7">
            <w:pPr>
              <w:pStyle w:val="TableBody"/>
            </w:pPr>
            <w:r w:rsidRPr="00AC17D7">
              <w:t>2011</w:t>
            </w:r>
          </w:p>
        </w:tc>
        <w:tc>
          <w:tcPr>
            <w:tcW w:w="2253" w:type="pct"/>
            <w:noWrap/>
            <w:hideMark/>
          </w:tcPr>
          <w:p w14:paraId="22FF7D48" w14:textId="77777777" w:rsidR="004F2A4E" w:rsidRPr="00AC17D7" w:rsidRDefault="004F2A4E" w:rsidP="00AC17D7">
            <w:pPr>
              <w:pStyle w:val="TableBody"/>
            </w:pPr>
            <w:r w:rsidRPr="00AC17D7">
              <w:t>108.5</w:t>
            </w:r>
          </w:p>
        </w:tc>
        <w:tc>
          <w:tcPr>
            <w:tcW w:w="1672" w:type="pct"/>
            <w:noWrap/>
            <w:hideMark/>
          </w:tcPr>
          <w:p w14:paraId="3E7601FB" w14:textId="77777777" w:rsidR="004F2A4E" w:rsidRPr="00AC17D7" w:rsidRDefault="004F2A4E" w:rsidP="00AC17D7">
            <w:pPr>
              <w:pStyle w:val="TableBody"/>
            </w:pPr>
            <w:r w:rsidRPr="00AC17D7">
              <w:t>1,307</w:t>
            </w:r>
          </w:p>
        </w:tc>
      </w:tr>
      <w:tr w:rsidR="004F2A4E" w:rsidRPr="00AC17D7" w14:paraId="63CAD5D5" w14:textId="77777777" w:rsidTr="00E773BB">
        <w:trPr>
          <w:trHeight w:val="288"/>
        </w:trPr>
        <w:tc>
          <w:tcPr>
            <w:tcW w:w="1075" w:type="pct"/>
            <w:noWrap/>
            <w:hideMark/>
          </w:tcPr>
          <w:p w14:paraId="62EF3629" w14:textId="77777777" w:rsidR="004F2A4E" w:rsidRPr="00AC17D7" w:rsidRDefault="004F2A4E" w:rsidP="00AC17D7">
            <w:pPr>
              <w:pStyle w:val="TableBody"/>
            </w:pPr>
            <w:r w:rsidRPr="00AC17D7">
              <w:t>2012</w:t>
            </w:r>
          </w:p>
        </w:tc>
        <w:tc>
          <w:tcPr>
            <w:tcW w:w="2253" w:type="pct"/>
            <w:noWrap/>
            <w:hideMark/>
          </w:tcPr>
          <w:p w14:paraId="0DFDA6C7" w14:textId="77777777" w:rsidR="004F2A4E" w:rsidRPr="00AC17D7" w:rsidRDefault="004F2A4E" w:rsidP="00AC17D7">
            <w:pPr>
              <w:pStyle w:val="TableBody"/>
            </w:pPr>
            <w:r w:rsidRPr="00AC17D7">
              <w:t>111.7</w:t>
            </w:r>
          </w:p>
        </w:tc>
        <w:tc>
          <w:tcPr>
            <w:tcW w:w="1672" w:type="pct"/>
            <w:noWrap/>
            <w:hideMark/>
          </w:tcPr>
          <w:p w14:paraId="56F3D8A3" w14:textId="77777777" w:rsidR="004F2A4E" w:rsidRPr="00AC17D7" w:rsidRDefault="004F2A4E" w:rsidP="00AC17D7">
            <w:pPr>
              <w:pStyle w:val="TableBody"/>
            </w:pPr>
            <w:r w:rsidRPr="00AC17D7">
              <w:t>1,302</w:t>
            </w:r>
          </w:p>
        </w:tc>
      </w:tr>
      <w:tr w:rsidR="004F2A4E" w:rsidRPr="00AC17D7" w14:paraId="437B8B2C" w14:textId="77777777" w:rsidTr="00E773BB">
        <w:trPr>
          <w:trHeight w:val="288"/>
        </w:trPr>
        <w:tc>
          <w:tcPr>
            <w:tcW w:w="1075" w:type="pct"/>
            <w:noWrap/>
            <w:hideMark/>
          </w:tcPr>
          <w:p w14:paraId="777A2671" w14:textId="77777777" w:rsidR="004F2A4E" w:rsidRPr="00AC17D7" w:rsidRDefault="004F2A4E" w:rsidP="00AC17D7">
            <w:pPr>
              <w:pStyle w:val="TableBody"/>
            </w:pPr>
            <w:r w:rsidRPr="00AC17D7">
              <w:t>2013</w:t>
            </w:r>
          </w:p>
        </w:tc>
        <w:tc>
          <w:tcPr>
            <w:tcW w:w="2253" w:type="pct"/>
            <w:noWrap/>
            <w:hideMark/>
          </w:tcPr>
          <w:p w14:paraId="2421A3A1" w14:textId="77777777" w:rsidR="004F2A4E" w:rsidRPr="00AC17D7" w:rsidRDefault="004F2A4E" w:rsidP="00AC17D7">
            <w:pPr>
              <w:pStyle w:val="TableBody"/>
            </w:pPr>
            <w:r w:rsidRPr="00AC17D7">
              <w:t>119.8</w:t>
            </w:r>
          </w:p>
        </w:tc>
        <w:tc>
          <w:tcPr>
            <w:tcW w:w="1672" w:type="pct"/>
            <w:noWrap/>
            <w:hideMark/>
          </w:tcPr>
          <w:p w14:paraId="398F2497" w14:textId="77777777" w:rsidR="004F2A4E" w:rsidRPr="00AC17D7" w:rsidRDefault="004F2A4E" w:rsidP="00AC17D7">
            <w:pPr>
              <w:pStyle w:val="TableBody"/>
            </w:pPr>
            <w:r w:rsidRPr="00AC17D7">
              <w:t>1,360</w:t>
            </w:r>
          </w:p>
        </w:tc>
      </w:tr>
      <w:tr w:rsidR="004F2A4E" w:rsidRPr="00AC17D7" w14:paraId="165BA16B" w14:textId="77777777" w:rsidTr="00E773BB">
        <w:trPr>
          <w:trHeight w:val="288"/>
        </w:trPr>
        <w:tc>
          <w:tcPr>
            <w:tcW w:w="1075" w:type="pct"/>
            <w:noWrap/>
            <w:hideMark/>
          </w:tcPr>
          <w:p w14:paraId="7596FA69" w14:textId="77777777" w:rsidR="004F2A4E" w:rsidRPr="00AC17D7" w:rsidRDefault="004F2A4E" w:rsidP="00AC17D7">
            <w:pPr>
              <w:pStyle w:val="TableBody"/>
            </w:pPr>
            <w:r w:rsidRPr="00AC17D7">
              <w:t>2014</w:t>
            </w:r>
          </w:p>
        </w:tc>
        <w:tc>
          <w:tcPr>
            <w:tcW w:w="2253" w:type="pct"/>
            <w:noWrap/>
            <w:hideMark/>
          </w:tcPr>
          <w:p w14:paraId="3C118FC5" w14:textId="77777777" w:rsidR="004F2A4E" w:rsidRPr="00AC17D7" w:rsidRDefault="004F2A4E" w:rsidP="00AC17D7">
            <w:pPr>
              <w:pStyle w:val="TableBody"/>
            </w:pPr>
            <w:r w:rsidRPr="00AC17D7">
              <w:t>134.4</w:t>
            </w:r>
          </w:p>
        </w:tc>
        <w:tc>
          <w:tcPr>
            <w:tcW w:w="1672" w:type="pct"/>
            <w:noWrap/>
            <w:hideMark/>
          </w:tcPr>
          <w:p w14:paraId="08C55BB3" w14:textId="77777777" w:rsidR="004F2A4E" w:rsidRPr="00AC17D7" w:rsidRDefault="004F2A4E" w:rsidP="00AC17D7">
            <w:pPr>
              <w:pStyle w:val="TableBody"/>
            </w:pPr>
            <w:r w:rsidRPr="00AC17D7">
              <w:t>1,336</w:t>
            </w:r>
          </w:p>
        </w:tc>
      </w:tr>
      <w:tr w:rsidR="004F2A4E" w:rsidRPr="00AC17D7" w14:paraId="60C607AF" w14:textId="77777777" w:rsidTr="00E773BB">
        <w:trPr>
          <w:trHeight w:val="288"/>
        </w:trPr>
        <w:tc>
          <w:tcPr>
            <w:tcW w:w="1075" w:type="pct"/>
            <w:noWrap/>
            <w:hideMark/>
          </w:tcPr>
          <w:p w14:paraId="544C52F9" w14:textId="77777777" w:rsidR="004F2A4E" w:rsidRPr="00AC17D7" w:rsidRDefault="004F2A4E" w:rsidP="00AC17D7">
            <w:pPr>
              <w:pStyle w:val="TableBody"/>
            </w:pPr>
            <w:r w:rsidRPr="00AC17D7">
              <w:t>2015</w:t>
            </w:r>
          </w:p>
        </w:tc>
        <w:tc>
          <w:tcPr>
            <w:tcW w:w="2253" w:type="pct"/>
            <w:noWrap/>
            <w:hideMark/>
          </w:tcPr>
          <w:p w14:paraId="0F17F0C7" w14:textId="77777777" w:rsidR="004F2A4E" w:rsidRPr="00AC17D7" w:rsidRDefault="004F2A4E" w:rsidP="00AC17D7">
            <w:pPr>
              <w:pStyle w:val="TableBody"/>
            </w:pPr>
            <w:r w:rsidRPr="00AC17D7">
              <w:t>134.4</w:t>
            </w:r>
          </w:p>
        </w:tc>
        <w:tc>
          <w:tcPr>
            <w:tcW w:w="1672" w:type="pct"/>
            <w:noWrap/>
            <w:hideMark/>
          </w:tcPr>
          <w:p w14:paraId="247CBF5D" w14:textId="77777777" w:rsidR="004F2A4E" w:rsidRPr="00AC17D7" w:rsidRDefault="004F2A4E" w:rsidP="00AC17D7">
            <w:pPr>
              <w:pStyle w:val="TableBody"/>
            </w:pPr>
            <w:r w:rsidRPr="00AC17D7">
              <w:t>1,285</w:t>
            </w:r>
          </w:p>
        </w:tc>
      </w:tr>
      <w:tr w:rsidR="004F2A4E" w:rsidRPr="00AC17D7" w14:paraId="7E545C68" w14:textId="77777777" w:rsidTr="00E773BB">
        <w:trPr>
          <w:trHeight w:val="288"/>
        </w:trPr>
        <w:tc>
          <w:tcPr>
            <w:tcW w:w="1075" w:type="pct"/>
            <w:noWrap/>
            <w:hideMark/>
          </w:tcPr>
          <w:p w14:paraId="2821A78E" w14:textId="77777777" w:rsidR="004F2A4E" w:rsidRPr="00AC17D7" w:rsidRDefault="004F2A4E" w:rsidP="00AC17D7">
            <w:pPr>
              <w:pStyle w:val="TableBody"/>
            </w:pPr>
            <w:r w:rsidRPr="00AC17D7">
              <w:t>2016</w:t>
            </w:r>
          </w:p>
        </w:tc>
        <w:tc>
          <w:tcPr>
            <w:tcW w:w="2253" w:type="pct"/>
            <w:noWrap/>
            <w:hideMark/>
          </w:tcPr>
          <w:p w14:paraId="2E25CA67" w14:textId="77777777" w:rsidR="004F2A4E" w:rsidRPr="00AC17D7" w:rsidRDefault="004F2A4E" w:rsidP="00AC17D7">
            <w:pPr>
              <w:pStyle w:val="TableBody"/>
            </w:pPr>
            <w:r w:rsidRPr="00AC17D7">
              <w:t>138.1</w:t>
            </w:r>
          </w:p>
        </w:tc>
        <w:tc>
          <w:tcPr>
            <w:tcW w:w="1672" w:type="pct"/>
            <w:noWrap/>
            <w:hideMark/>
          </w:tcPr>
          <w:p w14:paraId="7AD2A6C2" w14:textId="77777777" w:rsidR="004F2A4E" w:rsidRPr="00AC17D7" w:rsidRDefault="004F2A4E" w:rsidP="00AC17D7">
            <w:pPr>
              <w:pStyle w:val="TableBody"/>
            </w:pPr>
            <w:r w:rsidRPr="00AC17D7">
              <w:t>1,258</w:t>
            </w:r>
          </w:p>
        </w:tc>
      </w:tr>
      <w:tr w:rsidR="004F2A4E" w:rsidRPr="00AC17D7" w14:paraId="6DEC5503" w14:textId="77777777" w:rsidTr="00E773BB">
        <w:trPr>
          <w:trHeight w:val="288"/>
        </w:trPr>
        <w:tc>
          <w:tcPr>
            <w:tcW w:w="1075" w:type="pct"/>
            <w:noWrap/>
            <w:hideMark/>
          </w:tcPr>
          <w:p w14:paraId="0569EC68" w14:textId="77777777" w:rsidR="004F2A4E" w:rsidRPr="00AC17D7" w:rsidRDefault="004F2A4E" w:rsidP="00AC17D7">
            <w:pPr>
              <w:pStyle w:val="TableBody"/>
            </w:pPr>
            <w:r w:rsidRPr="00AC17D7">
              <w:t>2017</w:t>
            </w:r>
          </w:p>
        </w:tc>
        <w:tc>
          <w:tcPr>
            <w:tcW w:w="2253" w:type="pct"/>
            <w:noWrap/>
            <w:hideMark/>
          </w:tcPr>
          <w:p w14:paraId="4B9F178A" w14:textId="77777777" w:rsidR="004F2A4E" w:rsidRPr="00AC17D7" w:rsidRDefault="004F2A4E" w:rsidP="00AC17D7">
            <w:pPr>
              <w:pStyle w:val="TableBody"/>
            </w:pPr>
            <w:r w:rsidRPr="00AC17D7">
              <w:t>145.4</w:t>
            </w:r>
          </w:p>
        </w:tc>
        <w:tc>
          <w:tcPr>
            <w:tcW w:w="1672" w:type="pct"/>
            <w:noWrap/>
            <w:hideMark/>
          </w:tcPr>
          <w:p w14:paraId="3156E718" w14:textId="77777777" w:rsidR="004F2A4E" w:rsidRPr="00AC17D7" w:rsidRDefault="004F2A4E" w:rsidP="00AC17D7">
            <w:pPr>
              <w:pStyle w:val="TableBody"/>
            </w:pPr>
            <w:r w:rsidRPr="00AC17D7">
              <w:t>1,248</w:t>
            </w:r>
          </w:p>
        </w:tc>
      </w:tr>
      <w:tr w:rsidR="004F2A4E" w:rsidRPr="00AC17D7" w14:paraId="65B15160" w14:textId="77777777" w:rsidTr="00E773BB">
        <w:trPr>
          <w:trHeight w:val="288"/>
        </w:trPr>
        <w:tc>
          <w:tcPr>
            <w:tcW w:w="1075" w:type="pct"/>
            <w:noWrap/>
            <w:hideMark/>
          </w:tcPr>
          <w:p w14:paraId="1E86575E" w14:textId="77777777" w:rsidR="004F2A4E" w:rsidRPr="00AC17D7" w:rsidRDefault="004F2A4E" w:rsidP="00AC17D7">
            <w:pPr>
              <w:pStyle w:val="TableBody"/>
            </w:pPr>
            <w:r w:rsidRPr="00AC17D7">
              <w:t>2018</w:t>
            </w:r>
          </w:p>
        </w:tc>
        <w:tc>
          <w:tcPr>
            <w:tcW w:w="2253" w:type="pct"/>
            <w:noWrap/>
            <w:hideMark/>
          </w:tcPr>
          <w:p w14:paraId="22D26D9E" w14:textId="77777777" w:rsidR="004F2A4E" w:rsidRPr="00AC17D7" w:rsidRDefault="004F2A4E" w:rsidP="00AC17D7">
            <w:pPr>
              <w:pStyle w:val="TableBody"/>
            </w:pPr>
            <w:r w:rsidRPr="00AC17D7">
              <w:t>152.3</w:t>
            </w:r>
          </w:p>
        </w:tc>
        <w:tc>
          <w:tcPr>
            <w:tcW w:w="1672" w:type="pct"/>
            <w:noWrap/>
            <w:hideMark/>
          </w:tcPr>
          <w:p w14:paraId="7DC41046" w14:textId="77777777" w:rsidR="004F2A4E" w:rsidRPr="00AC17D7" w:rsidRDefault="004F2A4E" w:rsidP="00AC17D7">
            <w:pPr>
              <w:pStyle w:val="TableBody"/>
            </w:pPr>
            <w:r w:rsidRPr="00AC17D7">
              <w:t>1,223</w:t>
            </w:r>
          </w:p>
        </w:tc>
      </w:tr>
      <w:tr w:rsidR="004F2A4E" w:rsidRPr="00AC17D7" w14:paraId="00473E9D" w14:textId="77777777" w:rsidTr="00E773BB">
        <w:trPr>
          <w:trHeight w:val="288"/>
        </w:trPr>
        <w:tc>
          <w:tcPr>
            <w:tcW w:w="1075" w:type="pct"/>
            <w:noWrap/>
            <w:hideMark/>
          </w:tcPr>
          <w:p w14:paraId="5E8BCB21" w14:textId="77777777" w:rsidR="004F2A4E" w:rsidRPr="00AC17D7" w:rsidRDefault="004F2A4E" w:rsidP="00AC17D7">
            <w:pPr>
              <w:pStyle w:val="TableBody"/>
            </w:pPr>
            <w:r w:rsidRPr="00AC17D7">
              <w:t>2019</w:t>
            </w:r>
          </w:p>
        </w:tc>
        <w:tc>
          <w:tcPr>
            <w:tcW w:w="2253" w:type="pct"/>
            <w:noWrap/>
            <w:hideMark/>
          </w:tcPr>
          <w:p w14:paraId="33FCA979" w14:textId="77777777" w:rsidR="004F2A4E" w:rsidRPr="00AC17D7" w:rsidRDefault="004F2A4E" w:rsidP="00AC17D7">
            <w:pPr>
              <w:pStyle w:val="TableBody"/>
            </w:pPr>
            <w:r w:rsidRPr="00AC17D7">
              <w:t>157.1</w:t>
            </w:r>
          </w:p>
        </w:tc>
        <w:tc>
          <w:tcPr>
            <w:tcW w:w="1672" w:type="pct"/>
            <w:noWrap/>
            <w:hideMark/>
          </w:tcPr>
          <w:p w14:paraId="7EFE63CA" w14:textId="77777777" w:rsidR="004F2A4E" w:rsidRPr="00AC17D7" w:rsidRDefault="004F2A4E" w:rsidP="00AC17D7">
            <w:pPr>
              <w:pStyle w:val="TableBody"/>
            </w:pPr>
            <w:r w:rsidRPr="00AC17D7">
              <w:t>1,238</w:t>
            </w:r>
          </w:p>
        </w:tc>
      </w:tr>
      <w:tr w:rsidR="004F2A4E" w:rsidRPr="00AC17D7" w14:paraId="2D545DB3" w14:textId="77777777" w:rsidTr="00E773BB">
        <w:trPr>
          <w:trHeight w:val="288"/>
        </w:trPr>
        <w:tc>
          <w:tcPr>
            <w:tcW w:w="1075" w:type="pct"/>
            <w:noWrap/>
            <w:hideMark/>
          </w:tcPr>
          <w:p w14:paraId="4839B4D2" w14:textId="77777777" w:rsidR="004F2A4E" w:rsidRPr="00AC17D7" w:rsidRDefault="004F2A4E" w:rsidP="00AC17D7">
            <w:pPr>
              <w:pStyle w:val="TableBody"/>
            </w:pPr>
            <w:r w:rsidRPr="00AC17D7">
              <w:t>2020</w:t>
            </w:r>
          </w:p>
        </w:tc>
        <w:tc>
          <w:tcPr>
            <w:tcW w:w="2253" w:type="pct"/>
            <w:noWrap/>
            <w:hideMark/>
          </w:tcPr>
          <w:p w14:paraId="68DAC770" w14:textId="77777777" w:rsidR="004F2A4E" w:rsidRPr="00AC17D7" w:rsidRDefault="004F2A4E" w:rsidP="00AC17D7">
            <w:pPr>
              <w:pStyle w:val="TableBody"/>
            </w:pPr>
            <w:r w:rsidRPr="00AC17D7">
              <w:t>136.0</w:t>
            </w:r>
          </w:p>
        </w:tc>
        <w:tc>
          <w:tcPr>
            <w:tcW w:w="1672" w:type="pct"/>
            <w:noWrap/>
            <w:hideMark/>
          </w:tcPr>
          <w:p w14:paraId="2C21F22C" w14:textId="77777777" w:rsidR="004F2A4E" w:rsidRPr="00AC17D7" w:rsidRDefault="004F2A4E" w:rsidP="00AC17D7">
            <w:pPr>
              <w:pStyle w:val="TableBody"/>
            </w:pPr>
            <w:r w:rsidRPr="00AC17D7">
              <w:t>1,251</w:t>
            </w:r>
          </w:p>
        </w:tc>
      </w:tr>
      <w:tr w:rsidR="004F2A4E" w:rsidRPr="00AC17D7" w14:paraId="64BA332F" w14:textId="77777777" w:rsidTr="00E773BB">
        <w:trPr>
          <w:trHeight w:val="288"/>
        </w:trPr>
        <w:tc>
          <w:tcPr>
            <w:tcW w:w="1075" w:type="pct"/>
            <w:noWrap/>
            <w:hideMark/>
          </w:tcPr>
          <w:p w14:paraId="189B5C18" w14:textId="77777777" w:rsidR="004F2A4E" w:rsidRPr="00AC17D7" w:rsidRDefault="004F2A4E" w:rsidP="00AC17D7">
            <w:pPr>
              <w:pStyle w:val="TableBody"/>
            </w:pPr>
            <w:r w:rsidRPr="00AC17D7">
              <w:t>2021</w:t>
            </w:r>
          </w:p>
        </w:tc>
        <w:tc>
          <w:tcPr>
            <w:tcW w:w="2253" w:type="pct"/>
            <w:noWrap/>
            <w:hideMark/>
          </w:tcPr>
          <w:p w14:paraId="1B28C3D0" w14:textId="77777777" w:rsidR="004F2A4E" w:rsidRPr="00AC17D7" w:rsidRDefault="004F2A4E" w:rsidP="00AC17D7">
            <w:pPr>
              <w:pStyle w:val="TableBody"/>
            </w:pPr>
            <w:r w:rsidRPr="00AC17D7">
              <w:t>138.7</w:t>
            </w:r>
          </w:p>
        </w:tc>
        <w:tc>
          <w:tcPr>
            <w:tcW w:w="1672" w:type="pct"/>
            <w:noWrap/>
            <w:hideMark/>
          </w:tcPr>
          <w:p w14:paraId="05ECB3CB" w14:textId="77777777" w:rsidR="004F2A4E" w:rsidRPr="00AC17D7" w:rsidRDefault="004F2A4E" w:rsidP="00AC17D7">
            <w:pPr>
              <w:pStyle w:val="TableBody"/>
            </w:pPr>
            <w:r w:rsidRPr="00AC17D7">
              <w:t>1,366</w:t>
            </w:r>
          </w:p>
        </w:tc>
      </w:tr>
      <w:tr w:rsidR="004F2A4E" w:rsidRPr="00AC17D7" w14:paraId="77FFFD11" w14:textId="77777777" w:rsidTr="00E773BB">
        <w:trPr>
          <w:trHeight w:val="288"/>
        </w:trPr>
        <w:tc>
          <w:tcPr>
            <w:tcW w:w="1075" w:type="pct"/>
            <w:noWrap/>
            <w:hideMark/>
          </w:tcPr>
          <w:p w14:paraId="564A7401" w14:textId="77777777" w:rsidR="004F2A4E" w:rsidRPr="00AC17D7" w:rsidRDefault="004F2A4E" w:rsidP="00AC17D7">
            <w:pPr>
              <w:pStyle w:val="TableBody"/>
            </w:pPr>
            <w:r w:rsidRPr="00AC17D7">
              <w:t>2022</w:t>
            </w:r>
          </w:p>
        </w:tc>
        <w:tc>
          <w:tcPr>
            <w:tcW w:w="2253" w:type="pct"/>
            <w:noWrap/>
            <w:hideMark/>
          </w:tcPr>
          <w:p w14:paraId="015133B7" w14:textId="77777777" w:rsidR="004F2A4E" w:rsidRPr="00AC17D7" w:rsidRDefault="004F2A4E" w:rsidP="00AC17D7">
            <w:pPr>
              <w:pStyle w:val="TableBody"/>
            </w:pPr>
            <w:r w:rsidRPr="00AC17D7">
              <w:t>126.9</w:t>
            </w:r>
          </w:p>
        </w:tc>
        <w:tc>
          <w:tcPr>
            <w:tcW w:w="1672" w:type="pct"/>
            <w:noWrap/>
            <w:hideMark/>
          </w:tcPr>
          <w:p w14:paraId="2339B5CB" w14:textId="77777777" w:rsidR="004F2A4E" w:rsidRPr="00AC17D7" w:rsidRDefault="004F2A4E" w:rsidP="00AC17D7">
            <w:pPr>
              <w:pStyle w:val="TableBody"/>
            </w:pPr>
            <w:r w:rsidRPr="00AC17D7">
              <w:t>1,190</w:t>
            </w:r>
          </w:p>
        </w:tc>
      </w:tr>
      <w:tr w:rsidR="004F2A4E" w:rsidRPr="00AC17D7" w14:paraId="5EA0E741" w14:textId="77777777" w:rsidTr="00E773BB">
        <w:trPr>
          <w:trHeight w:val="288"/>
        </w:trPr>
        <w:tc>
          <w:tcPr>
            <w:tcW w:w="1075" w:type="pct"/>
            <w:noWrap/>
            <w:hideMark/>
          </w:tcPr>
          <w:p w14:paraId="329C7617" w14:textId="77777777" w:rsidR="004F2A4E" w:rsidRPr="00AC17D7" w:rsidRDefault="004F2A4E" w:rsidP="00AC17D7">
            <w:pPr>
              <w:pStyle w:val="TableBody"/>
            </w:pPr>
            <w:r w:rsidRPr="00AC17D7">
              <w:t>2023</w:t>
            </w:r>
          </w:p>
        </w:tc>
        <w:tc>
          <w:tcPr>
            <w:tcW w:w="2253" w:type="pct"/>
            <w:noWrap/>
            <w:hideMark/>
          </w:tcPr>
          <w:p w14:paraId="376B2ACB" w14:textId="77777777" w:rsidR="004F2A4E" w:rsidRPr="00AC17D7" w:rsidRDefault="004F2A4E" w:rsidP="00AC17D7">
            <w:pPr>
              <w:pStyle w:val="TableBody"/>
            </w:pPr>
            <w:r w:rsidRPr="00AC17D7">
              <w:t>120.9</w:t>
            </w:r>
          </w:p>
        </w:tc>
        <w:tc>
          <w:tcPr>
            <w:tcW w:w="1672" w:type="pct"/>
            <w:noWrap/>
            <w:hideMark/>
          </w:tcPr>
          <w:p w14:paraId="255590CE" w14:textId="77777777" w:rsidR="004F2A4E" w:rsidRPr="00AC17D7" w:rsidRDefault="004F2A4E" w:rsidP="00AC17D7">
            <w:pPr>
              <w:pStyle w:val="TableBody"/>
            </w:pPr>
            <w:r w:rsidRPr="00AC17D7">
              <w:t>1,127</w:t>
            </w:r>
          </w:p>
        </w:tc>
      </w:tr>
      <w:tr w:rsidR="004F2A4E" w:rsidRPr="00AC17D7" w14:paraId="4432C85D" w14:textId="77777777" w:rsidTr="00E773BB">
        <w:trPr>
          <w:trHeight w:val="288"/>
        </w:trPr>
        <w:tc>
          <w:tcPr>
            <w:tcW w:w="1075" w:type="pct"/>
            <w:noWrap/>
            <w:hideMark/>
          </w:tcPr>
          <w:p w14:paraId="5DD4A033" w14:textId="77777777" w:rsidR="004F2A4E" w:rsidRPr="00AC17D7" w:rsidRDefault="004F2A4E" w:rsidP="00AC17D7">
            <w:pPr>
              <w:pStyle w:val="TableBody"/>
            </w:pPr>
            <w:r w:rsidRPr="00AC17D7">
              <w:t>2024</w:t>
            </w:r>
          </w:p>
        </w:tc>
        <w:tc>
          <w:tcPr>
            <w:tcW w:w="2253" w:type="pct"/>
            <w:noWrap/>
            <w:hideMark/>
          </w:tcPr>
          <w:p w14:paraId="41129A78" w14:textId="77777777" w:rsidR="004F2A4E" w:rsidRPr="00AC17D7" w:rsidRDefault="004F2A4E" w:rsidP="00AC17D7">
            <w:pPr>
              <w:pStyle w:val="TableBody"/>
            </w:pPr>
            <w:r w:rsidRPr="00AC17D7">
              <w:t>107.6</w:t>
            </w:r>
          </w:p>
        </w:tc>
        <w:tc>
          <w:tcPr>
            <w:tcW w:w="1672" w:type="pct"/>
            <w:noWrap/>
            <w:hideMark/>
          </w:tcPr>
          <w:p w14:paraId="01BCD48D" w14:textId="77777777" w:rsidR="004F2A4E" w:rsidRPr="00AC17D7" w:rsidRDefault="004F2A4E" w:rsidP="00AC17D7">
            <w:pPr>
              <w:pStyle w:val="TableBody"/>
            </w:pPr>
            <w:r w:rsidRPr="00AC17D7">
              <w:t>1,066</w:t>
            </w:r>
          </w:p>
        </w:tc>
      </w:tr>
    </w:tbl>
    <w:p w14:paraId="5CC93E56" w14:textId="77777777" w:rsidR="00E33F87" w:rsidRPr="008C1137" w:rsidRDefault="00E33F87" w:rsidP="00D4532A">
      <w:r w:rsidRPr="000C258A">
        <w:rPr>
          <w:rStyle w:val="Strong"/>
        </w:rPr>
        <w:t>Sources</w:t>
      </w:r>
      <w:r w:rsidRPr="008C1137">
        <w:t>: Australian Bureau of Statistics,</w:t>
      </w:r>
      <w:r w:rsidRPr="008C1137">
        <w:rPr>
          <w:rStyle w:val="Italic"/>
        </w:rPr>
        <w:t xml:space="preserve"> Prisoners in Australia</w:t>
      </w:r>
      <w:r w:rsidRPr="008C1137">
        <w:t>, cat. no. 4517.0 (abs.gov.au, 2024) Table 19 (imprisonment rate); Crime Statistics Agency Victoria, unpublished data (offender rate)</w:t>
      </w:r>
    </w:p>
    <w:p w14:paraId="432C6278" w14:textId="77777777" w:rsidR="00A4454A" w:rsidRPr="008C1137" w:rsidRDefault="00A4454A" w:rsidP="005818C1">
      <w:pPr>
        <w:pStyle w:val="Heading1"/>
      </w:pPr>
      <w:bookmarkStart w:id="11" w:name="_Toc210672555"/>
      <w:r w:rsidRPr="008C1137">
        <w:lastRenderedPageBreak/>
        <w:t>Appendix A: Offence categories</w:t>
      </w:r>
      <w:bookmarkEnd w:id="11"/>
    </w:p>
    <w:p w14:paraId="18CA6B8A" w14:textId="77777777" w:rsidR="00A4454A" w:rsidRPr="008C1137" w:rsidRDefault="00A4454A" w:rsidP="00BE4EDC">
      <w:pPr>
        <w:pStyle w:val="Caption"/>
      </w:pPr>
      <w:r w:rsidRPr="00157502">
        <w:t>Table A1</w:t>
      </w:r>
      <w:r w:rsidRPr="008C1137">
        <w:t>: Offence classifications for offence categories in this report</w:t>
      </w:r>
    </w:p>
    <w:tbl>
      <w:tblPr>
        <w:tblStyle w:val="Table"/>
        <w:tblW w:w="5000" w:type="pct"/>
        <w:tblLook w:val="0020" w:firstRow="1" w:lastRow="0" w:firstColumn="0" w:lastColumn="0" w:noHBand="0" w:noVBand="0"/>
      </w:tblPr>
      <w:tblGrid>
        <w:gridCol w:w="1804"/>
        <w:gridCol w:w="3606"/>
        <w:gridCol w:w="3606"/>
      </w:tblGrid>
      <w:tr w:rsidR="006A0A62" w:rsidRPr="008C1137" w14:paraId="05233223" w14:textId="77777777" w:rsidTr="00CF2074">
        <w:trPr>
          <w:trHeight w:val="60"/>
          <w:tblHeader/>
        </w:trPr>
        <w:tc>
          <w:tcPr>
            <w:tcW w:w="1000" w:type="pct"/>
          </w:tcPr>
          <w:p w14:paraId="288C4DB9" w14:textId="77777777" w:rsidR="00A4454A" w:rsidRPr="00281603" w:rsidRDefault="00A4454A" w:rsidP="00281603">
            <w:pPr>
              <w:pStyle w:val="TableHeading"/>
            </w:pPr>
            <w:r w:rsidRPr="00281603">
              <w:t>Offence category</w:t>
            </w:r>
          </w:p>
        </w:tc>
        <w:tc>
          <w:tcPr>
            <w:tcW w:w="2000" w:type="pct"/>
          </w:tcPr>
          <w:p w14:paraId="298E7BB7" w14:textId="77777777" w:rsidR="00A4454A" w:rsidRPr="001C7588" w:rsidRDefault="00A4454A" w:rsidP="001C7588">
            <w:pPr>
              <w:pStyle w:val="TableHeading"/>
            </w:pPr>
            <w:r w:rsidRPr="00281603">
              <w:t>Crime Statistics Agency offence classification</w:t>
            </w:r>
            <w:r w:rsidRPr="00013C82">
              <w:rPr>
                <w:rStyle w:val="Superscript"/>
              </w:rPr>
              <w:t>a</w:t>
            </w:r>
          </w:p>
        </w:tc>
        <w:tc>
          <w:tcPr>
            <w:tcW w:w="2000" w:type="pct"/>
          </w:tcPr>
          <w:p w14:paraId="5A2CD639" w14:textId="77777777" w:rsidR="00A4454A" w:rsidRPr="001C7588" w:rsidRDefault="00A4454A" w:rsidP="001C7588">
            <w:pPr>
              <w:pStyle w:val="TableHeading"/>
            </w:pPr>
            <w:r w:rsidRPr="00281603">
              <w:t>Australian and New Zealand Standard Offence Classification</w:t>
            </w:r>
            <w:r w:rsidRPr="00013C82">
              <w:rPr>
                <w:rStyle w:val="Superscript"/>
              </w:rPr>
              <w:t>b</w:t>
            </w:r>
          </w:p>
        </w:tc>
      </w:tr>
      <w:tr w:rsidR="006A0A62" w:rsidRPr="008C1137" w14:paraId="5C2825D8" w14:textId="77777777" w:rsidTr="00CF2074">
        <w:trPr>
          <w:trHeight w:val="60"/>
        </w:trPr>
        <w:tc>
          <w:tcPr>
            <w:tcW w:w="1000" w:type="pct"/>
          </w:tcPr>
          <w:p w14:paraId="32470BA2" w14:textId="77777777" w:rsidR="00A4454A" w:rsidRPr="00C852A8" w:rsidRDefault="00A4454A" w:rsidP="00C852A8">
            <w:pPr>
              <w:pStyle w:val="TableBody"/>
            </w:pPr>
            <w:r w:rsidRPr="00C852A8">
              <w:t>Person</w:t>
            </w:r>
          </w:p>
        </w:tc>
        <w:tc>
          <w:tcPr>
            <w:tcW w:w="2000" w:type="pct"/>
          </w:tcPr>
          <w:p w14:paraId="6A96120D" w14:textId="77777777" w:rsidR="00A4454A" w:rsidRPr="008C1137" w:rsidRDefault="00A4454A" w:rsidP="00390380">
            <w:pPr>
              <w:pStyle w:val="TableBody"/>
            </w:pPr>
            <w:r w:rsidRPr="008C1137">
              <w:t>Crimes against the person</w:t>
            </w:r>
          </w:p>
          <w:p w14:paraId="1A3F7283" w14:textId="77777777" w:rsidR="00A4454A" w:rsidRPr="008C1137" w:rsidRDefault="00A4454A" w:rsidP="00390380">
            <w:pPr>
              <w:pStyle w:val="TableBody"/>
            </w:pPr>
            <w:r w:rsidRPr="008C1137">
              <w:t>A10 Homicide and related offences</w:t>
            </w:r>
          </w:p>
          <w:p w14:paraId="0F18D3C0" w14:textId="77777777" w:rsidR="00A4454A" w:rsidRPr="008C1137" w:rsidRDefault="00A4454A" w:rsidP="00390380">
            <w:pPr>
              <w:pStyle w:val="TableBody"/>
            </w:pPr>
            <w:r w:rsidRPr="008C1137">
              <w:t>A20 Assault and related offences</w:t>
            </w:r>
          </w:p>
          <w:p w14:paraId="46801D27" w14:textId="77777777" w:rsidR="00A4454A" w:rsidRPr="008C1137" w:rsidRDefault="00A4454A" w:rsidP="00390380">
            <w:pPr>
              <w:pStyle w:val="TableBody"/>
            </w:pPr>
            <w:r w:rsidRPr="008C1137">
              <w:t>A30 Sexual offences</w:t>
            </w:r>
          </w:p>
          <w:p w14:paraId="3BEB480C" w14:textId="77777777" w:rsidR="00A4454A" w:rsidRPr="008C1137" w:rsidRDefault="00A4454A" w:rsidP="00390380">
            <w:pPr>
              <w:pStyle w:val="TableBody"/>
            </w:pPr>
            <w:r w:rsidRPr="008C1137">
              <w:t>A40 Abduction and related offences</w:t>
            </w:r>
          </w:p>
          <w:p w14:paraId="4C37B6E5" w14:textId="77777777" w:rsidR="00A4454A" w:rsidRPr="008C1137" w:rsidRDefault="00A4454A" w:rsidP="00390380">
            <w:pPr>
              <w:pStyle w:val="TableBody"/>
            </w:pPr>
            <w:r w:rsidRPr="008C1137">
              <w:t>A50 Robbery</w:t>
            </w:r>
          </w:p>
          <w:p w14:paraId="1070546C" w14:textId="77777777" w:rsidR="00A4454A" w:rsidRPr="008C1137" w:rsidRDefault="00A4454A" w:rsidP="00390380">
            <w:pPr>
              <w:pStyle w:val="TableBody"/>
            </w:pPr>
            <w:r w:rsidRPr="008C1137">
              <w:t>A60 Blackmail and extortion</w:t>
            </w:r>
          </w:p>
          <w:p w14:paraId="406375EC" w14:textId="77777777" w:rsidR="00A4454A" w:rsidRPr="008C1137" w:rsidRDefault="00A4454A" w:rsidP="00390380">
            <w:pPr>
              <w:pStyle w:val="TableBody"/>
            </w:pPr>
            <w:r w:rsidRPr="008C1137">
              <w:t>A70 Stalking, harassment and threatening behaviour</w:t>
            </w:r>
          </w:p>
          <w:p w14:paraId="42AFAB89" w14:textId="77777777" w:rsidR="00A4454A" w:rsidRPr="008C1137" w:rsidRDefault="00A4454A" w:rsidP="00390380">
            <w:pPr>
              <w:pStyle w:val="TableBody"/>
            </w:pPr>
            <w:r w:rsidRPr="008C1137">
              <w:t>A80 Dangerous and negligent acts endangering people</w:t>
            </w:r>
          </w:p>
        </w:tc>
        <w:tc>
          <w:tcPr>
            <w:tcW w:w="2000" w:type="pct"/>
          </w:tcPr>
          <w:p w14:paraId="68548793" w14:textId="77777777" w:rsidR="00A4454A" w:rsidRPr="008C1137" w:rsidRDefault="00A4454A" w:rsidP="00390380">
            <w:pPr>
              <w:pStyle w:val="TableBody"/>
            </w:pPr>
            <w:r w:rsidRPr="008C1137">
              <w:t>01 Homicide and related offences</w:t>
            </w:r>
          </w:p>
          <w:p w14:paraId="0DE20652" w14:textId="77777777" w:rsidR="00A4454A" w:rsidRPr="008C1137" w:rsidRDefault="00A4454A" w:rsidP="00390380">
            <w:pPr>
              <w:pStyle w:val="TableBody"/>
            </w:pPr>
            <w:r w:rsidRPr="008C1137">
              <w:t>02 Acts intended to cause injury</w:t>
            </w:r>
          </w:p>
          <w:p w14:paraId="33192B31" w14:textId="77777777" w:rsidR="00A4454A" w:rsidRPr="008C1137" w:rsidRDefault="00A4454A" w:rsidP="00390380">
            <w:pPr>
              <w:pStyle w:val="TableBody"/>
            </w:pPr>
            <w:r w:rsidRPr="008C1137">
              <w:t>03 Sexual assault and related offences</w:t>
            </w:r>
          </w:p>
          <w:p w14:paraId="679AC181" w14:textId="77777777" w:rsidR="00A4454A" w:rsidRPr="008C1137" w:rsidRDefault="00A4454A" w:rsidP="00390380">
            <w:pPr>
              <w:pStyle w:val="TableBody"/>
            </w:pPr>
            <w:r w:rsidRPr="008C1137">
              <w:t>04 Dangerous or negligent acts endangering persons</w:t>
            </w:r>
          </w:p>
          <w:p w14:paraId="36FE4F60" w14:textId="77777777" w:rsidR="00A4454A" w:rsidRPr="008C1137" w:rsidRDefault="00A4454A" w:rsidP="00390380">
            <w:pPr>
              <w:pStyle w:val="TableBody"/>
            </w:pPr>
            <w:r w:rsidRPr="008C1137">
              <w:t>05 Abduction, harassment, and other offences against the person</w:t>
            </w:r>
          </w:p>
          <w:p w14:paraId="5537E3B9" w14:textId="77777777" w:rsidR="00A4454A" w:rsidRPr="008C1137" w:rsidRDefault="00A4454A" w:rsidP="00390380">
            <w:pPr>
              <w:pStyle w:val="TableBody"/>
            </w:pPr>
            <w:r w:rsidRPr="008C1137">
              <w:t>06 Robbery, blackmail, and extortion</w:t>
            </w:r>
          </w:p>
        </w:tc>
      </w:tr>
      <w:tr w:rsidR="006A0A62" w:rsidRPr="008C1137" w14:paraId="517A7359" w14:textId="77777777" w:rsidTr="00CF2074">
        <w:trPr>
          <w:trHeight w:val="60"/>
        </w:trPr>
        <w:tc>
          <w:tcPr>
            <w:tcW w:w="1000" w:type="pct"/>
          </w:tcPr>
          <w:p w14:paraId="0B40B00E" w14:textId="77777777" w:rsidR="00A4454A" w:rsidRPr="00C852A8" w:rsidRDefault="00A4454A" w:rsidP="00C852A8">
            <w:pPr>
              <w:pStyle w:val="TableBody"/>
            </w:pPr>
            <w:r w:rsidRPr="00C852A8">
              <w:t>Property</w:t>
            </w:r>
          </w:p>
        </w:tc>
        <w:tc>
          <w:tcPr>
            <w:tcW w:w="2000" w:type="pct"/>
          </w:tcPr>
          <w:p w14:paraId="4BAEC1BB" w14:textId="77777777" w:rsidR="00A4454A" w:rsidRPr="008C1137" w:rsidRDefault="00A4454A" w:rsidP="00390380">
            <w:pPr>
              <w:pStyle w:val="TableBody"/>
            </w:pPr>
            <w:r w:rsidRPr="008C1137">
              <w:t>Property and deception offences</w:t>
            </w:r>
          </w:p>
          <w:p w14:paraId="0A4B0911" w14:textId="77777777" w:rsidR="00A4454A" w:rsidRPr="008C1137" w:rsidRDefault="00A4454A" w:rsidP="00390380">
            <w:pPr>
              <w:pStyle w:val="TableBody"/>
            </w:pPr>
            <w:r w:rsidRPr="008C1137">
              <w:t>B10 Arson</w:t>
            </w:r>
          </w:p>
          <w:p w14:paraId="7BA77464" w14:textId="77777777" w:rsidR="00A4454A" w:rsidRPr="008C1137" w:rsidRDefault="00A4454A" w:rsidP="00390380">
            <w:pPr>
              <w:pStyle w:val="TableBody"/>
            </w:pPr>
            <w:r w:rsidRPr="008C1137">
              <w:t>B20 Property damage</w:t>
            </w:r>
          </w:p>
          <w:p w14:paraId="62290867" w14:textId="77777777" w:rsidR="00A4454A" w:rsidRPr="008C1137" w:rsidRDefault="00A4454A" w:rsidP="00390380">
            <w:pPr>
              <w:pStyle w:val="TableBody"/>
            </w:pPr>
            <w:r w:rsidRPr="008C1137">
              <w:t>B30 Burglary/break and enter</w:t>
            </w:r>
          </w:p>
          <w:p w14:paraId="5B343CCB" w14:textId="77777777" w:rsidR="00A4454A" w:rsidRPr="008C1137" w:rsidRDefault="00A4454A" w:rsidP="00390380">
            <w:pPr>
              <w:pStyle w:val="TableBody"/>
            </w:pPr>
            <w:r w:rsidRPr="008C1137">
              <w:t>B40 Theft</w:t>
            </w:r>
          </w:p>
          <w:p w14:paraId="7E0D2EBB" w14:textId="77777777" w:rsidR="00A4454A" w:rsidRPr="008C1137" w:rsidRDefault="00A4454A" w:rsidP="00390380">
            <w:pPr>
              <w:pStyle w:val="TableBody"/>
            </w:pPr>
            <w:r w:rsidRPr="008C1137">
              <w:t>B50 Deception</w:t>
            </w:r>
          </w:p>
          <w:p w14:paraId="5AC6A6DB" w14:textId="77777777" w:rsidR="00A4454A" w:rsidRPr="008C1137" w:rsidRDefault="00A4454A" w:rsidP="00390380">
            <w:pPr>
              <w:pStyle w:val="TableBody"/>
            </w:pPr>
            <w:r w:rsidRPr="008C1137">
              <w:t>B60 Bribery</w:t>
            </w:r>
          </w:p>
        </w:tc>
        <w:tc>
          <w:tcPr>
            <w:tcW w:w="2000" w:type="pct"/>
          </w:tcPr>
          <w:p w14:paraId="11FC0131" w14:textId="77777777" w:rsidR="00A4454A" w:rsidRPr="008C1137" w:rsidRDefault="00A4454A" w:rsidP="00390380">
            <w:pPr>
              <w:pStyle w:val="TableBody"/>
            </w:pPr>
            <w:r w:rsidRPr="008C1137">
              <w:t>07 Unlawful entry with intent/burglary, break and enter</w:t>
            </w:r>
          </w:p>
          <w:p w14:paraId="0BC68248" w14:textId="77777777" w:rsidR="00A4454A" w:rsidRPr="008C1137" w:rsidRDefault="00A4454A" w:rsidP="00390380">
            <w:pPr>
              <w:pStyle w:val="TableBody"/>
            </w:pPr>
            <w:r w:rsidRPr="008C1137">
              <w:t>08 Theft and related offences</w:t>
            </w:r>
          </w:p>
          <w:p w14:paraId="5980B096" w14:textId="77777777" w:rsidR="00A4454A" w:rsidRPr="008C1137" w:rsidRDefault="00A4454A" w:rsidP="00390380">
            <w:pPr>
              <w:pStyle w:val="TableBody"/>
            </w:pPr>
            <w:r w:rsidRPr="008C1137">
              <w:t>09 Fraud, deception, and related offences</w:t>
            </w:r>
          </w:p>
          <w:p w14:paraId="39035FAE" w14:textId="77777777" w:rsidR="00A4454A" w:rsidRPr="008C1137" w:rsidRDefault="00A4454A" w:rsidP="00390380">
            <w:pPr>
              <w:pStyle w:val="TableBody"/>
            </w:pPr>
            <w:r w:rsidRPr="008C1137">
              <w:t>12 Property damage and environmental pollution</w:t>
            </w:r>
          </w:p>
        </w:tc>
      </w:tr>
      <w:tr w:rsidR="006A0A62" w:rsidRPr="008C1137" w14:paraId="13D9BE54" w14:textId="77777777" w:rsidTr="00CF2074">
        <w:trPr>
          <w:trHeight w:val="60"/>
        </w:trPr>
        <w:tc>
          <w:tcPr>
            <w:tcW w:w="1000" w:type="pct"/>
          </w:tcPr>
          <w:p w14:paraId="61A7EEB4" w14:textId="77777777" w:rsidR="00A4454A" w:rsidRPr="00C852A8" w:rsidRDefault="00A4454A" w:rsidP="00C852A8">
            <w:pPr>
              <w:pStyle w:val="TableBody"/>
            </w:pPr>
            <w:r w:rsidRPr="00C852A8">
              <w:t>Drug</w:t>
            </w:r>
          </w:p>
        </w:tc>
        <w:tc>
          <w:tcPr>
            <w:tcW w:w="2000" w:type="pct"/>
          </w:tcPr>
          <w:p w14:paraId="027D5346" w14:textId="77777777" w:rsidR="00A4454A" w:rsidRPr="008C1137" w:rsidRDefault="00A4454A" w:rsidP="00390380">
            <w:pPr>
              <w:pStyle w:val="TableBody"/>
            </w:pPr>
            <w:r w:rsidRPr="008C1137">
              <w:t>Drug offences</w:t>
            </w:r>
          </w:p>
          <w:p w14:paraId="1CF05CC7" w14:textId="77777777" w:rsidR="00A4454A" w:rsidRPr="008C1137" w:rsidRDefault="00A4454A" w:rsidP="00390380">
            <w:pPr>
              <w:pStyle w:val="TableBody"/>
            </w:pPr>
            <w:r w:rsidRPr="008C1137">
              <w:t>C10 Drug dealing and trafficking</w:t>
            </w:r>
          </w:p>
          <w:p w14:paraId="4C24088D" w14:textId="77777777" w:rsidR="00A4454A" w:rsidRPr="008C1137" w:rsidRDefault="00A4454A" w:rsidP="00390380">
            <w:pPr>
              <w:pStyle w:val="TableBody"/>
            </w:pPr>
            <w:r w:rsidRPr="008C1137">
              <w:t>C20 Cultivate or manufacture drugs</w:t>
            </w:r>
          </w:p>
          <w:p w14:paraId="1D68D3EE" w14:textId="77777777" w:rsidR="00A4454A" w:rsidRPr="008C1137" w:rsidRDefault="00A4454A" w:rsidP="00390380">
            <w:pPr>
              <w:pStyle w:val="TableBody"/>
            </w:pPr>
            <w:r w:rsidRPr="008C1137">
              <w:t>C30 Drug use and possession</w:t>
            </w:r>
          </w:p>
          <w:p w14:paraId="5997089B" w14:textId="77777777" w:rsidR="00A4454A" w:rsidRPr="008C1137" w:rsidRDefault="00A4454A" w:rsidP="00390380">
            <w:pPr>
              <w:pStyle w:val="TableBody"/>
            </w:pPr>
            <w:r w:rsidRPr="008C1137">
              <w:t>C90 Other drug offences</w:t>
            </w:r>
          </w:p>
        </w:tc>
        <w:tc>
          <w:tcPr>
            <w:tcW w:w="2000" w:type="pct"/>
          </w:tcPr>
          <w:p w14:paraId="12321687" w14:textId="77777777" w:rsidR="00A4454A" w:rsidRPr="008C1137" w:rsidRDefault="00A4454A" w:rsidP="00390380">
            <w:pPr>
              <w:pStyle w:val="TableBody"/>
            </w:pPr>
            <w:r w:rsidRPr="008C1137">
              <w:t>10 Illicit drug offences</w:t>
            </w:r>
          </w:p>
          <w:p w14:paraId="2696E1F5" w14:textId="77777777" w:rsidR="00A4454A" w:rsidRPr="008C1137" w:rsidRDefault="00A4454A" w:rsidP="00390380">
            <w:pPr>
              <w:pStyle w:val="TableBody"/>
            </w:pPr>
            <w:r w:rsidRPr="008C1137">
              <w:t>101 Import or export illicit drugs</w:t>
            </w:r>
          </w:p>
          <w:p w14:paraId="05672E3A" w14:textId="77777777" w:rsidR="00A4454A" w:rsidRPr="008C1137" w:rsidRDefault="00A4454A" w:rsidP="00390380">
            <w:pPr>
              <w:pStyle w:val="TableBody"/>
            </w:pPr>
            <w:r w:rsidRPr="008C1137">
              <w:t>102 Deal or traffic in illicit drugs</w:t>
            </w:r>
          </w:p>
          <w:p w14:paraId="62651FB7" w14:textId="77777777" w:rsidR="00A4454A" w:rsidRPr="008C1137" w:rsidRDefault="00A4454A" w:rsidP="00390380">
            <w:pPr>
              <w:pStyle w:val="TableBody"/>
            </w:pPr>
            <w:r w:rsidRPr="008C1137">
              <w:t>103 Manufacture or cultivate illicit drugs</w:t>
            </w:r>
          </w:p>
          <w:p w14:paraId="5C7E959B" w14:textId="77777777" w:rsidR="00A4454A" w:rsidRPr="008C1137" w:rsidRDefault="00A4454A" w:rsidP="00390380">
            <w:pPr>
              <w:pStyle w:val="TableBody"/>
            </w:pPr>
            <w:r w:rsidRPr="008C1137">
              <w:t>104 Posses and/or use illicit drugs</w:t>
            </w:r>
          </w:p>
          <w:p w14:paraId="7F3E4B3F" w14:textId="77777777" w:rsidR="00A4454A" w:rsidRPr="008C1137" w:rsidRDefault="00A4454A" w:rsidP="00390380">
            <w:pPr>
              <w:pStyle w:val="TableBody"/>
            </w:pPr>
            <w:r w:rsidRPr="008C1137">
              <w:t>109 Other illicit drug offences</w:t>
            </w:r>
          </w:p>
        </w:tc>
      </w:tr>
      <w:tr w:rsidR="006A0A62" w:rsidRPr="008C1137" w14:paraId="16B57FE8" w14:textId="77777777" w:rsidTr="00CF2074">
        <w:trPr>
          <w:trHeight w:val="60"/>
        </w:trPr>
        <w:tc>
          <w:tcPr>
            <w:tcW w:w="1000" w:type="pct"/>
          </w:tcPr>
          <w:p w14:paraId="23675B88" w14:textId="77777777" w:rsidR="00A4454A" w:rsidRPr="00C852A8" w:rsidRDefault="00A4454A" w:rsidP="00C852A8">
            <w:pPr>
              <w:pStyle w:val="TableBody"/>
            </w:pPr>
            <w:r w:rsidRPr="00C852A8">
              <w:t>Public order</w:t>
            </w:r>
          </w:p>
        </w:tc>
        <w:tc>
          <w:tcPr>
            <w:tcW w:w="2000" w:type="pct"/>
          </w:tcPr>
          <w:p w14:paraId="4F2F4107" w14:textId="77777777" w:rsidR="00A4454A" w:rsidRPr="008C1137" w:rsidRDefault="00A4454A" w:rsidP="00390380">
            <w:pPr>
              <w:pStyle w:val="TableBody"/>
            </w:pPr>
            <w:r w:rsidRPr="008C1137">
              <w:t>Public order and security offences</w:t>
            </w:r>
          </w:p>
          <w:p w14:paraId="62DE9477" w14:textId="77777777" w:rsidR="00A4454A" w:rsidRPr="008C1137" w:rsidRDefault="00A4454A" w:rsidP="00390380">
            <w:pPr>
              <w:pStyle w:val="TableBody"/>
            </w:pPr>
            <w:r w:rsidRPr="008C1137">
              <w:t>D10 Weapons and explosives offences</w:t>
            </w:r>
          </w:p>
          <w:p w14:paraId="0FF27ACA" w14:textId="77777777" w:rsidR="00A4454A" w:rsidRPr="008C1137" w:rsidRDefault="00A4454A" w:rsidP="00390380">
            <w:pPr>
              <w:pStyle w:val="TableBody"/>
            </w:pPr>
            <w:r w:rsidRPr="008C1137">
              <w:t>D20 Disorderly and offensive conduct</w:t>
            </w:r>
          </w:p>
          <w:p w14:paraId="645D5DE3" w14:textId="77777777" w:rsidR="00A4454A" w:rsidRPr="008C1137" w:rsidRDefault="00A4454A" w:rsidP="00390380">
            <w:pPr>
              <w:pStyle w:val="TableBody"/>
            </w:pPr>
            <w:r w:rsidRPr="008C1137">
              <w:t>D30 Public nuisance offences</w:t>
            </w:r>
          </w:p>
          <w:p w14:paraId="6CE7CABE" w14:textId="77777777" w:rsidR="00A4454A" w:rsidRPr="008C1137" w:rsidRDefault="00A4454A" w:rsidP="00390380">
            <w:pPr>
              <w:pStyle w:val="TableBody"/>
            </w:pPr>
            <w:r w:rsidRPr="008C1137">
              <w:t>D40 Public security offences</w:t>
            </w:r>
          </w:p>
        </w:tc>
        <w:tc>
          <w:tcPr>
            <w:tcW w:w="2000" w:type="pct"/>
          </w:tcPr>
          <w:p w14:paraId="1359CFD7" w14:textId="77777777" w:rsidR="00A4454A" w:rsidRPr="008C1137" w:rsidRDefault="00A4454A" w:rsidP="00390380">
            <w:pPr>
              <w:pStyle w:val="TableBody"/>
            </w:pPr>
            <w:r w:rsidRPr="008C1137">
              <w:t>11 Prohibited and regulated weapons and explosives offences</w:t>
            </w:r>
          </w:p>
          <w:p w14:paraId="77872579" w14:textId="77777777" w:rsidR="00A4454A" w:rsidRPr="008C1137" w:rsidRDefault="00A4454A" w:rsidP="00390380">
            <w:pPr>
              <w:pStyle w:val="TableBody"/>
            </w:pPr>
            <w:r w:rsidRPr="008C1137">
              <w:t>13 Public order offences</w:t>
            </w:r>
          </w:p>
        </w:tc>
      </w:tr>
      <w:tr w:rsidR="006A0A62" w:rsidRPr="008C1137" w14:paraId="0C64555F" w14:textId="77777777" w:rsidTr="00CF2074">
        <w:trPr>
          <w:trHeight w:val="60"/>
        </w:trPr>
        <w:tc>
          <w:tcPr>
            <w:tcW w:w="1000" w:type="pct"/>
          </w:tcPr>
          <w:p w14:paraId="4BF89EF4" w14:textId="77777777" w:rsidR="00A4454A" w:rsidRPr="00C852A8" w:rsidRDefault="00A4454A" w:rsidP="00C852A8">
            <w:pPr>
              <w:pStyle w:val="TableBody"/>
            </w:pPr>
            <w:r w:rsidRPr="00C852A8">
              <w:t>Justice procedure</w:t>
            </w:r>
          </w:p>
        </w:tc>
        <w:tc>
          <w:tcPr>
            <w:tcW w:w="2000" w:type="pct"/>
          </w:tcPr>
          <w:p w14:paraId="1BF6CEE9" w14:textId="77777777" w:rsidR="00A4454A" w:rsidRPr="008C1137" w:rsidRDefault="00A4454A" w:rsidP="00390380">
            <w:pPr>
              <w:pStyle w:val="TableBody"/>
            </w:pPr>
            <w:r w:rsidRPr="008C1137">
              <w:t>Justice procedures offences</w:t>
            </w:r>
          </w:p>
          <w:p w14:paraId="666C7312" w14:textId="77777777" w:rsidR="00A4454A" w:rsidRPr="008C1137" w:rsidRDefault="00A4454A" w:rsidP="00390380">
            <w:pPr>
              <w:pStyle w:val="TableBody"/>
            </w:pPr>
            <w:r w:rsidRPr="008C1137">
              <w:t>E10 Justice procedures</w:t>
            </w:r>
          </w:p>
          <w:p w14:paraId="69875CBE" w14:textId="77777777" w:rsidR="00A4454A" w:rsidRPr="008C1137" w:rsidRDefault="00A4454A" w:rsidP="00390380">
            <w:pPr>
              <w:pStyle w:val="TableBody"/>
            </w:pPr>
            <w:r w:rsidRPr="008C1137">
              <w:t>E20 Breaches of orders</w:t>
            </w:r>
          </w:p>
        </w:tc>
        <w:tc>
          <w:tcPr>
            <w:tcW w:w="2000" w:type="pct"/>
          </w:tcPr>
          <w:p w14:paraId="08FDD1C0" w14:textId="77777777" w:rsidR="00A4454A" w:rsidRPr="008C1137" w:rsidRDefault="00A4454A" w:rsidP="00390380">
            <w:pPr>
              <w:pStyle w:val="TableBody"/>
            </w:pPr>
            <w:r w:rsidRPr="008C1137">
              <w:t>15 Offences against justice procedures, government security and government operations</w:t>
            </w:r>
          </w:p>
        </w:tc>
      </w:tr>
      <w:tr w:rsidR="006A0A62" w:rsidRPr="008C1137" w14:paraId="1A582611" w14:textId="77777777" w:rsidTr="00CF2074">
        <w:trPr>
          <w:trHeight w:val="60"/>
        </w:trPr>
        <w:tc>
          <w:tcPr>
            <w:tcW w:w="1000" w:type="pct"/>
          </w:tcPr>
          <w:p w14:paraId="002BCDD8" w14:textId="77777777" w:rsidR="00A4454A" w:rsidRPr="00C852A8" w:rsidRDefault="00A4454A" w:rsidP="00C852A8">
            <w:pPr>
              <w:pStyle w:val="TableBody"/>
            </w:pPr>
            <w:r w:rsidRPr="00C852A8">
              <w:t>Other</w:t>
            </w:r>
          </w:p>
        </w:tc>
        <w:tc>
          <w:tcPr>
            <w:tcW w:w="2000" w:type="pct"/>
          </w:tcPr>
          <w:p w14:paraId="2B849104" w14:textId="77777777" w:rsidR="00A4454A" w:rsidRPr="008C1137" w:rsidRDefault="00A4454A" w:rsidP="00390380">
            <w:pPr>
              <w:pStyle w:val="TableBody"/>
            </w:pPr>
            <w:r w:rsidRPr="008C1137">
              <w:t>Other offences</w:t>
            </w:r>
          </w:p>
          <w:p w14:paraId="17BC0D1D" w14:textId="77777777" w:rsidR="00A4454A" w:rsidRPr="008C1137" w:rsidRDefault="00A4454A" w:rsidP="00390380">
            <w:pPr>
              <w:pStyle w:val="TableBody"/>
            </w:pPr>
            <w:r w:rsidRPr="008C1137">
              <w:t>F10 Regulatory driving offences</w:t>
            </w:r>
          </w:p>
          <w:p w14:paraId="244FDE6A" w14:textId="77777777" w:rsidR="00A4454A" w:rsidRPr="008C1137" w:rsidRDefault="00A4454A" w:rsidP="00390380">
            <w:pPr>
              <w:pStyle w:val="TableBody"/>
            </w:pPr>
            <w:r w:rsidRPr="008C1137">
              <w:t>F20 Transport regulation offences</w:t>
            </w:r>
          </w:p>
          <w:p w14:paraId="271449EC" w14:textId="77777777" w:rsidR="00A4454A" w:rsidRPr="008C1137" w:rsidRDefault="00A4454A" w:rsidP="00390380">
            <w:pPr>
              <w:pStyle w:val="TableBody"/>
            </w:pPr>
            <w:r w:rsidRPr="008C1137">
              <w:t>F30 Other government regulatory offences</w:t>
            </w:r>
          </w:p>
          <w:p w14:paraId="5064AC2A" w14:textId="77777777" w:rsidR="00A4454A" w:rsidRPr="008C1137" w:rsidRDefault="00A4454A" w:rsidP="00390380">
            <w:pPr>
              <w:pStyle w:val="TableBody"/>
            </w:pPr>
            <w:r w:rsidRPr="008C1137">
              <w:t>F90 Miscellaneous offences</w:t>
            </w:r>
          </w:p>
        </w:tc>
        <w:tc>
          <w:tcPr>
            <w:tcW w:w="2000" w:type="pct"/>
          </w:tcPr>
          <w:p w14:paraId="412DA166" w14:textId="77777777" w:rsidR="00A4454A" w:rsidRPr="008C1137" w:rsidRDefault="00A4454A" w:rsidP="00390380">
            <w:pPr>
              <w:pStyle w:val="TableBody"/>
            </w:pPr>
            <w:r w:rsidRPr="008C1137">
              <w:t>14 Traffic and vehicle regulatory offences</w:t>
            </w:r>
          </w:p>
          <w:p w14:paraId="0E958D3D" w14:textId="77777777" w:rsidR="00A4454A" w:rsidRPr="008C1137" w:rsidRDefault="00A4454A" w:rsidP="00390380">
            <w:pPr>
              <w:pStyle w:val="TableBody"/>
            </w:pPr>
            <w:r w:rsidRPr="008C1137">
              <w:t>16 Miscellaneous offences</w:t>
            </w:r>
          </w:p>
        </w:tc>
      </w:tr>
    </w:tbl>
    <w:p w14:paraId="54894095" w14:textId="77777777" w:rsidR="00A4454A" w:rsidRPr="001C7588" w:rsidRDefault="00A4454A" w:rsidP="001C7588">
      <w:pPr>
        <w:pStyle w:val="ListParagraph"/>
        <w:numPr>
          <w:ilvl w:val="0"/>
          <w:numId w:val="16"/>
        </w:numPr>
      </w:pPr>
      <w:r w:rsidRPr="001C7588">
        <w:t>Crime Statistics Agency, ‘Offence Classification’ (crimestatistics.vic.gov.au, 2025).</w:t>
      </w:r>
    </w:p>
    <w:p w14:paraId="307F80C7" w14:textId="77777777" w:rsidR="00A4454A" w:rsidRPr="001C7588" w:rsidRDefault="00A4454A" w:rsidP="001C7588">
      <w:pPr>
        <w:pStyle w:val="ListParagraph"/>
        <w:numPr>
          <w:ilvl w:val="0"/>
          <w:numId w:val="16"/>
        </w:numPr>
      </w:pPr>
      <w:r w:rsidRPr="001C7588">
        <w:lastRenderedPageBreak/>
        <w:t>Australian Bureau of Statistics, Australian and New Zealand Standard Offence Classification (ANZSOC) (abs.gov.au, 2025). ANZSOC was updated in 2023, though given that the majority of our reference period precedes that revision, this report uses the 2011 edition of ANZSOC.</w:t>
      </w:r>
    </w:p>
    <w:p w14:paraId="267C144F" w14:textId="77777777" w:rsidR="00A4454A" w:rsidRPr="008C1137" w:rsidRDefault="00A4454A" w:rsidP="00EA4C80">
      <w:pPr>
        <w:pStyle w:val="Heading1"/>
        <w:pageBreakBefore/>
      </w:pPr>
      <w:bookmarkStart w:id="12" w:name="_Toc210672556"/>
      <w:r w:rsidRPr="008C1137">
        <w:lastRenderedPageBreak/>
        <w:t>Appendix B: Custodial sentences in the higher courts by offence category</w:t>
      </w:r>
      <w:bookmarkEnd w:id="12"/>
    </w:p>
    <w:p w14:paraId="0123CF27" w14:textId="77777777" w:rsidR="00A4454A" w:rsidRPr="008C1137" w:rsidRDefault="00A4454A" w:rsidP="00BE4EDC">
      <w:pPr>
        <w:pStyle w:val="Caption"/>
      </w:pPr>
      <w:r w:rsidRPr="00157502">
        <w:t>Table A2</w:t>
      </w:r>
      <w:r w:rsidRPr="008C1137">
        <w:t>: Number of custodial sentences in the higher courts</w:t>
      </w:r>
    </w:p>
    <w:tbl>
      <w:tblPr>
        <w:tblStyle w:val="Table"/>
        <w:tblW w:w="5000" w:type="pct"/>
        <w:tblLook w:val="0020" w:firstRow="1" w:lastRow="0" w:firstColumn="0" w:lastColumn="0" w:noHBand="0" w:noVBand="0"/>
      </w:tblPr>
      <w:tblGrid>
        <w:gridCol w:w="1486"/>
        <w:gridCol w:w="1233"/>
        <w:gridCol w:w="1235"/>
        <w:gridCol w:w="1235"/>
        <w:gridCol w:w="1235"/>
        <w:gridCol w:w="1358"/>
        <w:gridCol w:w="1234"/>
      </w:tblGrid>
      <w:tr w:rsidR="006A0A62" w:rsidRPr="008C1137" w14:paraId="0B41BD86" w14:textId="77777777" w:rsidTr="00CF2074">
        <w:trPr>
          <w:trHeight w:val="60"/>
          <w:tblHeader/>
        </w:trPr>
        <w:tc>
          <w:tcPr>
            <w:tcW w:w="700" w:type="pct"/>
          </w:tcPr>
          <w:p w14:paraId="55CEC456" w14:textId="77777777" w:rsidR="00A4454A" w:rsidRPr="00157502" w:rsidRDefault="00A4454A" w:rsidP="000F1B94">
            <w:pPr>
              <w:pStyle w:val="TableHeading"/>
            </w:pPr>
            <w:r w:rsidRPr="00157502">
              <w:t>Financial year</w:t>
            </w:r>
          </w:p>
        </w:tc>
        <w:tc>
          <w:tcPr>
            <w:tcW w:w="716" w:type="pct"/>
          </w:tcPr>
          <w:p w14:paraId="784F07C8" w14:textId="77777777" w:rsidR="00A4454A" w:rsidRPr="00157502" w:rsidRDefault="00A4454A" w:rsidP="000F1B94">
            <w:pPr>
              <w:pStyle w:val="TableHeading"/>
            </w:pPr>
            <w:r w:rsidRPr="00157502">
              <w:t>Offences against the person</w:t>
            </w:r>
          </w:p>
        </w:tc>
        <w:tc>
          <w:tcPr>
            <w:tcW w:w="717" w:type="pct"/>
          </w:tcPr>
          <w:p w14:paraId="0AEA8895" w14:textId="77777777" w:rsidR="00A4454A" w:rsidRPr="00157502" w:rsidRDefault="00A4454A" w:rsidP="000F1B94">
            <w:pPr>
              <w:pStyle w:val="TableHeading"/>
            </w:pPr>
            <w:r w:rsidRPr="00157502">
              <w:t>Property offences</w:t>
            </w:r>
          </w:p>
        </w:tc>
        <w:tc>
          <w:tcPr>
            <w:tcW w:w="717" w:type="pct"/>
          </w:tcPr>
          <w:p w14:paraId="62867898" w14:textId="77777777" w:rsidR="00A4454A" w:rsidRPr="00157502" w:rsidRDefault="00A4454A" w:rsidP="000F1B94">
            <w:pPr>
              <w:pStyle w:val="TableHeading"/>
            </w:pPr>
            <w:r w:rsidRPr="00157502">
              <w:t>Drug offences</w:t>
            </w:r>
          </w:p>
        </w:tc>
        <w:tc>
          <w:tcPr>
            <w:tcW w:w="717" w:type="pct"/>
          </w:tcPr>
          <w:p w14:paraId="5BCD4F76" w14:textId="77777777" w:rsidR="00A4454A" w:rsidRPr="00157502" w:rsidRDefault="00A4454A" w:rsidP="000F1B94">
            <w:pPr>
              <w:pStyle w:val="TableHeading"/>
            </w:pPr>
            <w:r w:rsidRPr="00157502">
              <w:t>Public order offences</w:t>
            </w:r>
          </w:p>
        </w:tc>
        <w:tc>
          <w:tcPr>
            <w:tcW w:w="717" w:type="pct"/>
          </w:tcPr>
          <w:p w14:paraId="6E6E3F73" w14:textId="77777777" w:rsidR="00A4454A" w:rsidRPr="00157502" w:rsidRDefault="00A4454A" w:rsidP="000F1B94">
            <w:pPr>
              <w:pStyle w:val="TableHeading"/>
            </w:pPr>
            <w:r w:rsidRPr="00157502">
              <w:t>Justice procedure offences</w:t>
            </w:r>
          </w:p>
        </w:tc>
        <w:tc>
          <w:tcPr>
            <w:tcW w:w="717" w:type="pct"/>
          </w:tcPr>
          <w:p w14:paraId="168519F6" w14:textId="77777777" w:rsidR="00A4454A" w:rsidRPr="00157502" w:rsidRDefault="00A4454A" w:rsidP="000F1B94">
            <w:pPr>
              <w:pStyle w:val="TableHeading"/>
            </w:pPr>
            <w:r w:rsidRPr="00157502">
              <w:t>Other offences</w:t>
            </w:r>
          </w:p>
        </w:tc>
      </w:tr>
      <w:tr w:rsidR="006A0A62" w:rsidRPr="008C1137" w14:paraId="116C3C4B" w14:textId="77777777" w:rsidTr="00CF2074">
        <w:trPr>
          <w:trHeight w:val="60"/>
        </w:trPr>
        <w:tc>
          <w:tcPr>
            <w:tcW w:w="700" w:type="pct"/>
          </w:tcPr>
          <w:p w14:paraId="74107845" w14:textId="77777777" w:rsidR="00A4454A" w:rsidRPr="008C1137" w:rsidRDefault="00A4454A" w:rsidP="00390380">
            <w:pPr>
              <w:pStyle w:val="TableBody"/>
            </w:pPr>
            <w:r w:rsidRPr="008C1137">
              <w:t>2005</w:t>
            </w:r>
          </w:p>
        </w:tc>
        <w:tc>
          <w:tcPr>
            <w:tcW w:w="716" w:type="pct"/>
          </w:tcPr>
          <w:p w14:paraId="36E2F0EB" w14:textId="77777777" w:rsidR="00A4454A" w:rsidRPr="008C1137" w:rsidRDefault="00A4454A" w:rsidP="00390380">
            <w:pPr>
              <w:pStyle w:val="TableBody"/>
            </w:pPr>
            <w:r w:rsidRPr="008C1137">
              <w:t>559</w:t>
            </w:r>
          </w:p>
        </w:tc>
        <w:tc>
          <w:tcPr>
            <w:tcW w:w="717" w:type="pct"/>
          </w:tcPr>
          <w:p w14:paraId="3B4138F8" w14:textId="77777777" w:rsidR="00A4454A" w:rsidRPr="008C1137" w:rsidRDefault="00A4454A" w:rsidP="00390380">
            <w:pPr>
              <w:pStyle w:val="TableBody"/>
            </w:pPr>
            <w:r w:rsidRPr="008C1137">
              <w:t>249</w:t>
            </w:r>
          </w:p>
        </w:tc>
        <w:tc>
          <w:tcPr>
            <w:tcW w:w="717" w:type="pct"/>
          </w:tcPr>
          <w:p w14:paraId="50335484" w14:textId="77777777" w:rsidR="00A4454A" w:rsidRPr="008C1137" w:rsidRDefault="00A4454A" w:rsidP="00390380">
            <w:pPr>
              <w:pStyle w:val="TableBody"/>
            </w:pPr>
            <w:r w:rsidRPr="008C1137">
              <w:t>153</w:t>
            </w:r>
          </w:p>
        </w:tc>
        <w:tc>
          <w:tcPr>
            <w:tcW w:w="717" w:type="pct"/>
          </w:tcPr>
          <w:p w14:paraId="5C3E1E4C" w14:textId="77777777" w:rsidR="00A4454A" w:rsidRPr="008C1137" w:rsidRDefault="00A4454A" w:rsidP="00390380">
            <w:pPr>
              <w:pStyle w:val="TableBody"/>
            </w:pPr>
            <w:r w:rsidRPr="008C1137">
              <w:t>27</w:t>
            </w:r>
          </w:p>
        </w:tc>
        <w:tc>
          <w:tcPr>
            <w:tcW w:w="717" w:type="pct"/>
          </w:tcPr>
          <w:p w14:paraId="561D3B59" w14:textId="77777777" w:rsidR="00A4454A" w:rsidRPr="008C1137" w:rsidRDefault="00A4454A" w:rsidP="00390380">
            <w:pPr>
              <w:pStyle w:val="TableBody"/>
            </w:pPr>
            <w:r w:rsidRPr="008C1137">
              <w:t>15</w:t>
            </w:r>
          </w:p>
        </w:tc>
        <w:tc>
          <w:tcPr>
            <w:tcW w:w="717" w:type="pct"/>
          </w:tcPr>
          <w:p w14:paraId="3A7ABB32" w14:textId="77777777" w:rsidR="00A4454A" w:rsidRPr="008C1137" w:rsidRDefault="00A4454A" w:rsidP="00390380">
            <w:pPr>
              <w:pStyle w:val="TableBody"/>
            </w:pPr>
            <w:r w:rsidRPr="008C1137">
              <w:t>38</w:t>
            </w:r>
          </w:p>
        </w:tc>
      </w:tr>
      <w:tr w:rsidR="006A0A62" w:rsidRPr="008C1137" w14:paraId="6A226DE2" w14:textId="77777777" w:rsidTr="00CF2074">
        <w:trPr>
          <w:trHeight w:val="60"/>
        </w:trPr>
        <w:tc>
          <w:tcPr>
            <w:tcW w:w="700" w:type="pct"/>
          </w:tcPr>
          <w:p w14:paraId="0051B588" w14:textId="77777777" w:rsidR="00A4454A" w:rsidRPr="008C1137" w:rsidRDefault="00A4454A" w:rsidP="00390380">
            <w:pPr>
              <w:pStyle w:val="TableBody"/>
            </w:pPr>
            <w:r w:rsidRPr="008C1137">
              <w:t>2006</w:t>
            </w:r>
          </w:p>
        </w:tc>
        <w:tc>
          <w:tcPr>
            <w:tcW w:w="716" w:type="pct"/>
          </w:tcPr>
          <w:p w14:paraId="59ADE34B" w14:textId="77777777" w:rsidR="00A4454A" w:rsidRPr="008C1137" w:rsidRDefault="00A4454A" w:rsidP="00390380">
            <w:pPr>
              <w:pStyle w:val="TableBody"/>
            </w:pPr>
            <w:r w:rsidRPr="008C1137">
              <w:t>560</w:t>
            </w:r>
          </w:p>
        </w:tc>
        <w:tc>
          <w:tcPr>
            <w:tcW w:w="717" w:type="pct"/>
          </w:tcPr>
          <w:p w14:paraId="7EF5999F" w14:textId="77777777" w:rsidR="00A4454A" w:rsidRPr="008C1137" w:rsidRDefault="00A4454A" w:rsidP="00390380">
            <w:pPr>
              <w:pStyle w:val="TableBody"/>
            </w:pPr>
            <w:r w:rsidRPr="008C1137">
              <w:t>247</w:t>
            </w:r>
          </w:p>
        </w:tc>
        <w:tc>
          <w:tcPr>
            <w:tcW w:w="717" w:type="pct"/>
          </w:tcPr>
          <w:p w14:paraId="2F136E23" w14:textId="77777777" w:rsidR="00A4454A" w:rsidRPr="008C1137" w:rsidRDefault="00A4454A" w:rsidP="00390380">
            <w:pPr>
              <w:pStyle w:val="TableBody"/>
            </w:pPr>
            <w:r w:rsidRPr="008C1137">
              <w:t>187</w:t>
            </w:r>
          </w:p>
        </w:tc>
        <w:tc>
          <w:tcPr>
            <w:tcW w:w="717" w:type="pct"/>
          </w:tcPr>
          <w:p w14:paraId="1774F47B" w14:textId="77777777" w:rsidR="00A4454A" w:rsidRPr="008C1137" w:rsidRDefault="00A4454A" w:rsidP="00390380">
            <w:pPr>
              <w:pStyle w:val="TableBody"/>
            </w:pPr>
            <w:r w:rsidRPr="008C1137">
              <w:t>17</w:t>
            </w:r>
          </w:p>
        </w:tc>
        <w:tc>
          <w:tcPr>
            <w:tcW w:w="717" w:type="pct"/>
          </w:tcPr>
          <w:p w14:paraId="7CD3DC43" w14:textId="77777777" w:rsidR="00A4454A" w:rsidRPr="008C1137" w:rsidRDefault="00A4454A" w:rsidP="00390380">
            <w:pPr>
              <w:pStyle w:val="TableBody"/>
            </w:pPr>
            <w:r w:rsidRPr="008C1137">
              <w:t>14</w:t>
            </w:r>
          </w:p>
        </w:tc>
        <w:tc>
          <w:tcPr>
            <w:tcW w:w="717" w:type="pct"/>
          </w:tcPr>
          <w:p w14:paraId="66B5DE6A" w14:textId="77777777" w:rsidR="00A4454A" w:rsidRPr="008C1137" w:rsidRDefault="00A4454A" w:rsidP="00390380">
            <w:pPr>
              <w:pStyle w:val="TableBody"/>
            </w:pPr>
            <w:r w:rsidRPr="008C1137">
              <w:t>29</w:t>
            </w:r>
          </w:p>
        </w:tc>
      </w:tr>
      <w:tr w:rsidR="006A0A62" w:rsidRPr="008C1137" w14:paraId="4FAD82B1" w14:textId="77777777" w:rsidTr="00CF2074">
        <w:trPr>
          <w:trHeight w:val="60"/>
        </w:trPr>
        <w:tc>
          <w:tcPr>
            <w:tcW w:w="700" w:type="pct"/>
          </w:tcPr>
          <w:p w14:paraId="45DE6E16" w14:textId="77777777" w:rsidR="00A4454A" w:rsidRPr="008C1137" w:rsidRDefault="00A4454A" w:rsidP="00390380">
            <w:pPr>
              <w:pStyle w:val="TableBody"/>
            </w:pPr>
            <w:r w:rsidRPr="008C1137">
              <w:t>2007</w:t>
            </w:r>
          </w:p>
        </w:tc>
        <w:tc>
          <w:tcPr>
            <w:tcW w:w="716" w:type="pct"/>
          </w:tcPr>
          <w:p w14:paraId="01322CEB" w14:textId="77777777" w:rsidR="00A4454A" w:rsidRPr="008C1137" w:rsidRDefault="00A4454A" w:rsidP="00390380">
            <w:pPr>
              <w:pStyle w:val="TableBody"/>
            </w:pPr>
            <w:r w:rsidRPr="008C1137">
              <w:t>636</w:t>
            </w:r>
          </w:p>
        </w:tc>
        <w:tc>
          <w:tcPr>
            <w:tcW w:w="717" w:type="pct"/>
          </w:tcPr>
          <w:p w14:paraId="7CF1EE90" w14:textId="77777777" w:rsidR="00A4454A" w:rsidRPr="008C1137" w:rsidRDefault="00A4454A" w:rsidP="00390380">
            <w:pPr>
              <w:pStyle w:val="TableBody"/>
            </w:pPr>
            <w:r w:rsidRPr="008C1137">
              <w:t>260</w:t>
            </w:r>
          </w:p>
        </w:tc>
        <w:tc>
          <w:tcPr>
            <w:tcW w:w="717" w:type="pct"/>
          </w:tcPr>
          <w:p w14:paraId="6859F72F" w14:textId="77777777" w:rsidR="00A4454A" w:rsidRPr="008C1137" w:rsidRDefault="00A4454A" w:rsidP="00390380">
            <w:pPr>
              <w:pStyle w:val="TableBody"/>
            </w:pPr>
            <w:r w:rsidRPr="008C1137">
              <w:t>154</w:t>
            </w:r>
          </w:p>
        </w:tc>
        <w:tc>
          <w:tcPr>
            <w:tcW w:w="717" w:type="pct"/>
          </w:tcPr>
          <w:p w14:paraId="5E6CA89A" w14:textId="77777777" w:rsidR="00A4454A" w:rsidRPr="008C1137" w:rsidRDefault="00A4454A" w:rsidP="00390380">
            <w:pPr>
              <w:pStyle w:val="TableBody"/>
            </w:pPr>
            <w:r w:rsidRPr="008C1137">
              <w:t>45</w:t>
            </w:r>
          </w:p>
        </w:tc>
        <w:tc>
          <w:tcPr>
            <w:tcW w:w="717" w:type="pct"/>
          </w:tcPr>
          <w:p w14:paraId="098D16AE" w14:textId="77777777" w:rsidR="00A4454A" w:rsidRPr="008C1137" w:rsidRDefault="00A4454A" w:rsidP="00390380">
            <w:pPr>
              <w:pStyle w:val="TableBody"/>
            </w:pPr>
            <w:r w:rsidRPr="008C1137">
              <w:t>10</w:t>
            </w:r>
          </w:p>
        </w:tc>
        <w:tc>
          <w:tcPr>
            <w:tcW w:w="717" w:type="pct"/>
          </w:tcPr>
          <w:p w14:paraId="04ABD8EC" w14:textId="77777777" w:rsidR="00A4454A" w:rsidRPr="008C1137" w:rsidRDefault="00A4454A" w:rsidP="00390380">
            <w:pPr>
              <w:pStyle w:val="TableBody"/>
            </w:pPr>
            <w:r w:rsidRPr="008C1137">
              <w:t>15</w:t>
            </w:r>
          </w:p>
        </w:tc>
      </w:tr>
      <w:tr w:rsidR="006A0A62" w:rsidRPr="008C1137" w14:paraId="7614AE8B" w14:textId="77777777" w:rsidTr="00CF2074">
        <w:trPr>
          <w:trHeight w:val="60"/>
        </w:trPr>
        <w:tc>
          <w:tcPr>
            <w:tcW w:w="700" w:type="pct"/>
          </w:tcPr>
          <w:p w14:paraId="4E7B998A" w14:textId="77777777" w:rsidR="00A4454A" w:rsidRPr="008C1137" w:rsidRDefault="00A4454A" w:rsidP="00390380">
            <w:pPr>
              <w:pStyle w:val="TableBody"/>
            </w:pPr>
            <w:r w:rsidRPr="008C1137">
              <w:t>2008</w:t>
            </w:r>
          </w:p>
        </w:tc>
        <w:tc>
          <w:tcPr>
            <w:tcW w:w="716" w:type="pct"/>
          </w:tcPr>
          <w:p w14:paraId="76BE29C8" w14:textId="77777777" w:rsidR="00A4454A" w:rsidRPr="008C1137" w:rsidRDefault="00A4454A" w:rsidP="00390380">
            <w:pPr>
              <w:pStyle w:val="TableBody"/>
            </w:pPr>
            <w:r w:rsidRPr="008C1137">
              <w:t>706</w:t>
            </w:r>
          </w:p>
        </w:tc>
        <w:tc>
          <w:tcPr>
            <w:tcW w:w="717" w:type="pct"/>
          </w:tcPr>
          <w:p w14:paraId="7855D803" w14:textId="77777777" w:rsidR="00A4454A" w:rsidRPr="008C1137" w:rsidRDefault="00A4454A" w:rsidP="00390380">
            <w:pPr>
              <w:pStyle w:val="TableBody"/>
            </w:pPr>
            <w:r w:rsidRPr="008C1137">
              <w:t>240</w:t>
            </w:r>
          </w:p>
        </w:tc>
        <w:tc>
          <w:tcPr>
            <w:tcW w:w="717" w:type="pct"/>
          </w:tcPr>
          <w:p w14:paraId="104CDCC2" w14:textId="77777777" w:rsidR="00A4454A" w:rsidRPr="008C1137" w:rsidRDefault="00A4454A" w:rsidP="00390380">
            <w:pPr>
              <w:pStyle w:val="TableBody"/>
            </w:pPr>
            <w:r w:rsidRPr="008C1137">
              <w:t>184</w:t>
            </w:r>
          </w:p>
        </w:tc>
        <w:tc>
          <w:tcPr>
            <w:tcW w:w="717" w:type="pct"/>
          </w:tcPr>
          <w:p w14:paraId="6FBDC714" w14:textId="77777777" w:rsidR="00A4454A" w:rsidRPr="008C1137" w:rsidRDefault="00A4454A" w:rsidP="00390380">
            <w:pPr>
              <w:pStyle w:val="TableBody"/>
            </w:pPr>
            <w:r w:rsidRPr="008C1137">
              <w:t>45</w:t>
            </w:r>
          </w:p>
        </w:tc>
        <w:tc>
          <w:tcPr>
            <w:tcW w:w="717" w:type="pct"/>
          </w:tcPr>
          <w:p w14:paraId="5E8B4AD7" w14:textId="77777777" w:rsidR="00A4454A" w:rsidRPr="008C1137" w:rsidRDefault="00A4454A" w:rsidP="00390380">
            <w:pPr>
              <w:pStyle w:val="TableBody"/>
            </w:pPr>
            <w:r w:rsidRPr="008C1137">
              <w:t>11</w:t>
            </w:r>
          </w:p>
        </w:tc>
        <w:tc>
          <w:tcPr>
            <w:tcW w:w="717" w:type="pct"/>
          </w:tcPr>
          <w:p w14:paraId="20C30E9F" w14:textId="77777777" w:rsidR="00A4454A" w:rsidRPr="008C1137" w:rsidRDefault="00A4454A" w:rsidP="00390380">
            <w:pPr>
              <w:pStyle w:val="TableBody"/>
            </w:pPr>
            <w:r w:rsidRPr="008C1137">
              <w:t>19</w:t>
            </w:r>
          </w:p>
        </w:tc>
      </w:tr>
      <w:tr w:rsidR="006A0A62" w:rsidRPr="008C1137" w14:paraId="19CA3B3E" w14:textId="77777777" w:rsidTr="00CF2074">
        <w:trPr>
          <w:trHeight w:val="60"/>
        </w:trPr>
        <w:tc>
          <w:tcPr>
            <w:tcW w:w="700" w:type="pct"/>
          </w:tcPr>
          <w:p w14:paraId="127900F6" w14:textId="77777777" w:rsidR="00A4454A" w:rsidRPr="008C1137" w:rsidRDefault="00A4454A" w:rsidP="00390380">
            <w:pPr>
              <w:pStyle w:val="TableBody"/>
            </w:pPr>
            <w:r w:rsidRPr="008C1137">
              <w:t>2009</w:t>
            </w:r>
          </w:p>
        </w:tc>
        <w:tc>
          <w:tcPr>
            <w:tcW w:w="716" w:type="pct"/>
          </w:tcPr>
          <w:p w14:paraId="47269796" w14:textId="77777777" w:rsidR="00A4454A" w:rsidRPr="008C1137" w:rsidRDefault="00A4454A" w:rsidP="00390380">
            <w:pPr>
              <w:pStyle w:val="TableBody"/>
            </w:pPr>
            <w:r w:rsidRPr="008C1137">
              <w:t>679</w:t>
            </w:r>
          </w:p>
        </w:tc>
        <w:tc>
          <w:tcPr>
            <w:tcW w:w="717" w:type="pct"/>
          </w:tcPr>
          <w:p w14:paraId="2E923481" w14:textId="77777777" w:rsidR="00A4454A" w:rsidRPr="008C1137" w:rsidRDefault="00A4454A" w:rsidP="00390380">
            <w:pPr>
              <w:pStyle w:val="TableBody"/>
            </w:pPr>
            <w:r w:rsidRPr="008C1137">
              <w:t>192</w:t>
            </w:r>
          </w:p>
        </w:tc>
        <w:tc>
          <w:tcPr>
            <w:tcW w:w="717" w:type="pct"/>
          </w:tcPr>
          <w:p w14:paraId="39F4F8A1" w14:textId="77777777" w:rsidR="00A4454A" w:rsidRPr="008C1137" w:rsidRDefault="00A4454A" w:rsidP="00390380">
            <w:pPr>
              <w:pStyle w:val="TableBody"/>
            </w:pPr>
            <w:r w:rsidRPr="008C1137">
              <w:t>193</w:t>
            </w:r>
          </w:p>
        </w:tc>
        <w:tc>
          <w:tcPr>
            <w:tcW w:w="717" w:type="pct"/>
          </w:tcPr>
          <w:p w14:paraId="05F30212" w14:textId="77777777" w:rsidR="00A4454A" w:rsidRPr="008C1137" w:rsidRDefault="00A4454A" w:rsidP="00390380">
            <w:pPr>
              <w:pStyle w:val="TableBody"/>
            </w:pPr>
            <w:r w:rsidRPr="008C1137">
              <w:t>26</w:t>
            </w:r>
          </w:p>
        </w:tc>
        <w:tc>
          <w:tcPr>
            <w:tcW w:w="717" w:type="pct"/>
          </w:tcPr>
          <w:p w14:paraId="56A32E40" w14:textId="77777777" w:rsidR="00A4454A" w:rsidRPr="008C1137" w:rsidRDefault="00A4454A" w:rsidP="00390380">
            <w:pPr>
              <w:pStyle w:val="TableBody"/>
            </w:pPr>
            <w:r w:rsidRPr="008C1137">
              <w:t>22</w:t>
            </w:r>
          </w:p>
        </w:tc>
        <w:tc>
          <w:tcPr>
            <w:tcW w:w="717" w:type="pct"/>
          </w:tcPr>
          <w:p w14:paraId="4D32328D" w14:textId="77777777" w:rsidR="00A4454A" w:rsidRPr="008C1137" w:rsidRDefault="00A4454A" w:rsidP="00390380">
            <w:pPr>
              <w:pStyle w:val="TableBody"/>
            </w:pPr>
            <w:r w:rsidRPr="008C1137">
              <w:t>12</w:t>
            </w:r>
          </w:p>
        </w:tc>
      </w:tr>
      <w:tr w:rsidR="006A0A62" w:rsidRPr="008C1137" w14:paraId="7BD18A8C" w14:textId="77777777" w:rsidTr="00CF2074">
        <w:trPr>
          <w:trHeight w:val="60"/>
        </w:trPr>
        <w:tc>
          <w:tcPr>
            <w:tcW w:w="700" w:type="pct"/>
          </w:tcPr>
          <w:p w14:paraId="7E4F8233" w14:textId="77777777" w:rsidR="00A4454A" w:rsidRPr="008C1137" w:rsidRDefault="00A4454A" w:rsidP="00390380">
            <w:pPr>
              <w:pStyle w:val="TableBody"/>
            </w:pPr>
            <w:r w:rsidRPr="008C1137">
              <w:t>2010</w:t>
            </w:r>
          </w:p>
        </w:tc>
        <w:tc>
          <w:tcPr>
            <w:tcW w:w="716" w:type="pct"/>
          </w:tcPr>
          <w:p w14:paraId="4B42E612" w14:textId="77777777" w:rsidR="00A4454A" w:rsidRPr="008C1137" w:rsidRDefault="00A4454A" w:rsidP="00390380">
            <w:pPr>
              <w:pStyle w:val="TableBody"/>
            </w:pPr>
            <w:r w:rsidRPr="008C1137">
              <w:t>715</w:t>
            </w:r>
          </w:p>
        </w:tc>
        <w:tc>
          <w:tcPr>
            <w:tcW w:w="717" w:type="pct"/>
          </w:tcPr>
          <w:p w14:paraId="60813101" w14:textId="77777777" w:rsidR="00A4454A" w:rsidRPr="008C1137" w:rsidRDefault="00A4454A" w:rsidP="00390380">
            <w:pPr>
              <w:pStyle w:val="TableBody"/>
            </w:pPr>
            <w:r w:rsidRPr="008C1137">
              <w:t>234</w:t>
            </w:r>
          </w:p>
        </w:tc>
        <w:tc>
          <w:tcPr>
            <w:tcW w:w="717" w:type="pct"/>
          </w:tcPr>
          <w:p w14:paraId="5741E5DA" w14:textId="77777777" w:rsidR="00A4454A" w:rsidRPr="008C1137" w:rsidRDefault="00A4454A" w:rsidP="00390380">
            <w:pPr>
              <w:pStyle w:val="TableBody"/>
            </w:pPr>
            <w:r w:rsidRPr="008C1137">
              <w:t>236</w:t>
            </w:r>
          </w:p>
        </w:tc>
        <w:tc>
          <w:tcPr>
            <w:tcW w:w="717" w:type="pct"/>
          </w:tcPr>
          <w:p w14:paraId="161BCB04" w14:textId="77777777" w:rsidR="00A4454A" w:rsidRPr="008C1137" w:rsidRDefault="00A4454A" w:rsidP="00390380">
            <w:pPr>
              <w:pStyle w:val="TableBody"/>
            </w:pPr>
            <w:r w:rsidRPr="008C1137">
              <w:t>14</w:t>
            </w:r>
          </w:p>
        </w:tc>
        <w:tc>
          <w:tcPr>
            <w:tcW w:w="717" w:type="pct"/>
          </w:tcPr>
          <w:p w14:paraId="434824BB" w14:textId="77777777" w:rsidR="00A4454A" w:rsidRPr="008C1137" w:rsidRDefault="00A4454A" w:rsidP="00390380">
            <w:pPr>
              <w:pStyle w:val="TableBody"/>
            </w:pPr>
            <w:r w:rsidRPr="008C1137">
              <w:t>13</w:t>
            </w:r>
          </w:p>
        </w:tc>
        <w:tc>
          <w:tcPr>
            <w:tcW w:w="717" w:type="pct"/>
          </w:tcPr>
          <w:p w14:paraId="41B5F053" w14:textId="77777777" w:rsidR="00A4454A" w:rsidRPr="008C1137" w:rsidRDefault="00A4454A" w:rsidP="00390380">
            <w:pPr>
              <w:pStyle w:val="TableBody"/>
            </w:pPr>
            <w:r w:rsidRPr="008C1137">
              <w:t>5</w:t>
            </w:r>
          </w:p>
        </w:tc>
      </w:tr>
      <w:tr w:rsidR="006A0A62" w:rsidRPr="008C1137" w14:paraId="3A4BEEA4" w14:textId="77777777" w:rsidTr="00CF2074">
        <w:trPr>
          <w:trHeight w:val="60"/>
        </w:trPr>
        <w:tc>
          <w:tcPr>
            <w:tcW w:w="700" w:type="pct"/>
          </w:tcPr>
          <w:p w14:paraId="30BD1A5E" w14:textId="77777777" w:rsidR="00A4454A" w:rsidRPr="008C1137" w:rsidRDefault="00A4454A" w:rsidP="00390380">
            <w:pPr>
              <w:pStyle w:val="TableBody"/>
            </w:pPr>
            <w:r w:rsidRPr="008C1137">
              <w:t>2011</w:t>
            </w:r>
          </w:p>
        </w:tc>
        <w:tc>
          <w:tcPr>
            <w:tcW w:w="716" w:type="pct"/>
          </w:tcPr>
          <w:p w14:paraId="61A94537" w14:textId="77777777" w:rsidR="00A4454A" w:rsidRPr="008C1137" w:rsidRDefault="00A4454A" w:rsidP="00390380">
            <w:pPr>
              <w:pStyle w:val="TableBody"/>
            </w:pPr>
            <w:r w:rsidRPr="008C1137">
              <w:t>724</w:t>
            </w:r>
          </w:p>
        </w:tc>
        <w:tc>
          <w:tcPr>
            <w:tcW w:w="717" w:type="pct"/>
          </w:tcPr>
          <w:p w14:paraId="35D12A3E" w14:textId="77777777" w:rsidR="00A4454A" w:rsidRPr="008C1137" w:rsidRDefault="00A4454A" w:rsidP="00390380">
            <w:pPr>
              <w:pStyle w:val="TableBody"/>
            </w:pPr>
            <w:r w:rsidRPr="008C1137">
              <w:t>236</w:t>
            </w:r>
          </w:p>
        </w:tc>
        <w:tc>
          <w:tcPr>
            <w:tcW w:w="717" w:type="pct"/>
          </w:tcPr>
          <w:p w14:paraId="344E6F81" w14:textId="77777777" w:rsidR="00A4454A" w:rsidRPr="008C1137" w:rsidRDefault="00A4454A" w:rsidP="00390380">
            <w:pPr>
              <w:pStyle w:val="TableBody"/>
            </w:pPr>
            <w:r w:rsidRPr="008C1137">
              <w:t>238</w:t>
            </w:r>
          </w:p>
        </w:tc>
        <w:tc>
          <w:tcPr>
            <w:tcW w:w="717" w:type="pct"/>
          </w:tcPr>
          <w:p w14:paraId="40187FAE" w14:textId="77777777" w:rsidR="00A4454A" w:rsidRPr="008C1137" w:rsidRDefault="00A4454A" w:rsidP="00390380">
            <w:pPr>
              <w:pStyle w:val="TableBody"/>
            </w:pPr>
            <w:r w:rsidRPr="008C1137">
              <w:t>23</w:t>
            </w:r>
          </w:p>
        </w:tc>
        <w:tc>
          <w:tcPr>
            <w:tcW w:w="717" w:type="pct"/>
          </w:tcPr>
          <w:p w14:paraId="06E70B8F" w14:textId="77777777" w:rsidR="00A4454A" w:rsidRPr="008C1137" w:rsidRDefault="00A4454A" w:rsidP="00390380">
            <w:pPr>
              <w:pStyle w:val="TableBody"/>
            </w:pPr>
            <w:r w:rsidRPr="008C1137">
              <w:t>10</w:t>
            </w:r>
          </w:p>
        </w:tc>
        <w:tc>
          <w:tcPr>
            <w:tcW w:w="717" w:type="pct"/>
          </w:tcPr>
          <w:p w14:paraId="68B31C27" w14:textId="77777777" w:rsidR="00A4454A" w:rsidRPr="008C1137" w:rsidRDefault="00A4454A" w:rsidP="00390380">
            <w:pPr>
              <w:pStyle w:val="TableBody"/>
            </w:pPr>
            <w:r w:rsidRPr="008C1137">
              <w:t>9</w:t>
            </w:r>
          </w:p>
        </w:tc>
      </w:tr>
      <w:tr w:rsidR="006A0A62" w:rsidRPr="008C1137" w14:paraId="1222DD53" w14:textId="77777777" w:rsidTr="00CF2074">
        <w:trPr>
          <w:trHeight w:val="60"/>
        </w:trPr>
        <w:tc>
          <w:tcPr>
            <w:tcW w:w="700" w:type="pct"/>
          </w:tcPr>
          <w:p w14:paraId="0E0EE7B1" w14:textId="77777777" w:rsidR="00A4454A" w:rsidRPr="008C1137" w:rsidRDefault="00A4454A" w:rsidP="00390380">
            <w:pPr>
              <w:pStyle w:val="TableBody"/>
            </w:pPr>
            <w:r w:rsidRPr="008C1137">
              <w:t>2012</w:t>
            </w:r>
          </w:p>
        </w:tc>
        <w:tc>
          <w:tcPr>
            <w:tcW w:w="716" w:type="pct"/>
          </w:tcPr>
          <w:p w14:paraId="6CDB2A2B" w14:textId="77777777" w:rsidR="00A4454A" w:rsidRPr="008C1137" w:rsidRDefault="00A4454A" w:rsidP="00390380">
            <w:pPr>
              <w:pStyle w:val="TableBody"/>
            </w:pPr>
            <w:r w:rsidRPr="008C1137">
              <w:t>688</w:t>
            </w:r>
          </w:p>
        </w:tc>
        <w:tc>
          <w:tcPr>
            <w:tcW w:w="717" w:type="pct"/>
          </w:tcPr>
          <w:p w14:paraId="2EEDAEA8" w14:textId="77777777" w:rsidR="00A4454A" w:rsidRPr="008C1137" w:rsidRDefault="00A4454A" w:rsidP="00390380">
            <w:pPr>
              <w:pStyle w:val="TableBody"/>
            </w:pPr>
            <w:r w:rsidRPr="008C1137">
              <w:t>231</w:t>
            </w:r>
          </w:p>
        </w:tc>
        <w:tc>
          <w:tcPr>
            <w:tcW w:w="717" w:type="pct"/>
          </w:tcPr>
          <w:p w14:paraId="6F522065" w14:textId="77777777" w:rsidR="00A4454A" w:rsidRPr="008C1137" w:rsidRDefault="00A4454A" w:rsidP="00390380">
            <w:pPr>
              <w:pStyle w:val="TableBody"/>
            </w:pPr>
            <w:r w:rsidRPr="008C1137">
              <w:t>253</w:t>
            </w:r>
          </w:p>
        </w:tc>
        <w:tc>
          <w:tcPr>
            <w:tcW w:w="717" w:type="pct"/>
          </w:tcPr>
          <w:p w14:paraId="3CB1B9D4" w14:textId="77777777" w:rsidR="00A4454A" w:rsidRPr="008C1137" w:rsidRDefault="00A4454A" w:rsidP="00390380">
            <w:pPr>
              <w:pStyle w:val="TableBody"/>
            </w:pPr>
            <w:r w:rsidRPr="008C1137">
              <w:t>9</w:t>
            </w:r>
          </w:p>
        </w:tc>
        <w:tc>
          <w:tcPr>
            <w:tcW w:w="717" w:type="pct"/>
          </w:tcPr>
          <w:p w14:paraId="0932CCAA" w14:textId="77777777" w:rsidR="00A4454A" w:rsidRPr="008C1137" w:rsidRDefault="00A4454A" w:rsidP="00390380">
            <w:pPr>
              <w:pStyle w:val="TableBody"/>
            </w:pPr>
            <w:r w:rsidRPr="008C1137">
              <w:t>19</w:t>
            </w:r>
          </w:p>
        </w:tc>
        <w:tc>
          <w:tcPr>
            <w:tcW w:w="717" w:type="pct"/>
          </w:tcPr>
          <w:p w14:paraId="7CE256A4" w14:textId="77777777" w:rsidR="00A4454A" w:rsidRPr="008C1137" w:rsidRDefault="00A4454A" w:rsidP="00390380">
            <w:pPr>
              <w:pStyle w:val="TableBody"/>
            </w:pPr>
            <w:r w:rsidRPr="008C1137">
              <w:t>9</w:t>
            </w:r>
          </w:p>
        </w:tc>
      </w:tr>
      <w:tr w:rsidR="006A0A62" w:rsidRPr="008C1137" w14:paraId="506B5D12" w14:textId="77777777" w:rsidTr="00CF2074">
        <w:trPr>
          <w:trHeight w:val="60"/>
        </w:trPr>
        <w:tc>
          <w:tcPr>
            <w:tcW w:w="700" w:type="pct"/>
          </w:tcPr>
          <w:p w14:paraId="5E91637C" w14:textId="77777777" w:rsidR="00A4454A" w:rsidRPr="008C1137" w:rsidRDefault="00A4454A" w:rsidP="00390380">
            <w:pPr>
              <w:pStyle w:val="TableBody"/>
            </w:pPr>
            <w:r w:rsidRPr="008C1137">
              <w:t>2013</w:t>
            </w:r>
          </w:p>
        </w:tc>
        <w:tc>
          <w:tcPr>
            <w:tcW w:w="716" w:type="pct"/>
          </w:tcPr>
          <w:p w14:paraId="0AA27DF1" w14:textId="77777777" w:rsidR="00A4454A" w:rsidRPr="008C1137" w:rsidRDefault="00A4454A" w:rsidP="00390380">
            <w:pPr>
              <w:pStyle w:val="TableBody"/>
            </w:pPr>
            <w:r w:rsidRPr="008C1137">
              <w:t>784</w:t>
            </w:r>
          </w:p>
        </w:tc>
        <w:tc>
          <w:tcPr>
            <w:tcW w:w="717" w:type="pct"/>
          </w:tcPr>
          <w:p w14:paraId="16C63DA0" w14:textId="77777777" w:rsidR="00A4454A" w:rsidRPr="008C1137" w:rsidRDefault="00A4454A" w:rsidP="00390380">
            <w:pPr>
              <w:pStyle w:val="TableBody"/>
            </w:pPr>
            <w:r w:rsidRPr="008C1137">
              <w:t>203</w:t>
            </w:r>
          </w:p>
        </w:tc>
        <w:tc>
          <w:tcPr>
            <w:tcW w:w="717" w:type="pct"/>
          </w:tcPr>
          <w:p w14:paraId="4E36EA02" w14:textId="77777777" w:rsidR="00A4454A" w:rsidRPr="008C1137" w:rsidRDefault="00A4454A" w:rsidP="00390380">
            <w:pPr>
              <w:pStyle w:val="TableBody"/>
            </w:pPr>
            <w:r w:rsidRPr="008C1137">
              <w:t>265</w:t>
            </w:r>
          </w:p>
        </w:tc>
        <w:tc>
          <w:tcPr>
            <w:tcW w:w="717" w:type="pct"/>
          </w:tcPr>
          <w:p w14:paraId="2BBC2220" w14:textId="77777777" w:rsidR="00A4454A" w:rsidRPr="008C1137" w:rsidRDefault="00A4454A" w:rsidP="00390380">
            <w:pPr>
              <w:pStyle w:val="TableBody"/>
            </w:pPr>
            <w:r w:rsidRPr="008C1137">
              <w:t>10</w:t>
            </w:r>
          </w:p>
        </w:tc>
        <w:tc>
          <w:tcPr>
            <w:tcW w:w="717" w:type="pct"/>
          </w:tcPr>
          <w:p w14:paraId="6B75DF78" w14:textId="77777777" w:rsidR="00A4454A" w:rsidRPr="008C1137" w:rsidRDefault="00A4454A" w:rsidP="00390380">
            <w:pPr>
              <w:pStyle w:val="TableBody"/>
            </w:pPr>
            <w:r w:rsidRPr="008C1137">
              <w:t>39</w:t>
            </w:r>
          </w:p>
        </w:tc>
        <w:tc>
          <w:tcPr>
            <w:tcW w:w="717" w:type="pct"/>
          </w:tcPr>
          <w:p w14:paraId="240AE120" w14:textId="77777777" w:rsidR="00A4454A" w:rsidRPr="008C1137" w:rsidRDefault="00A4454A" w:rsidP="00390380">
            <w:pPr>
              <w:pStyle w:val="TableBody"/>
            </w:pPr>
            <w:r w:rsidRPr="008C1137">
              <w:t>5</w:t>
            </w:r>
          </w:p>
        </w:tc>
      </w:tr>
      <w:tr w:rsidR="006A0A62" w:rsidRPr="008C1137" w14:paraId="66E957B0" w14:textId="77777777" w:rsidTr="00CF2074">
        <w:trPr>
          <w:trHeight w:val="60"/>
        </w:trPr>
        <w:tc>
          <w:tcPr>
            <w:tcW w:w="700" w:type="pct"/>
          </w:tcPr>
          <w:p w14:paraId="41DE4A37" w14:textId="77777777" w:rsidR="00A4454A" w:rsidRPr="008C1137" w:rsidRDefault="00A4454A" w:rsidP="00390380">
            <w:pPr>
              <w:pStyle w:val="TableBody"/>
            </w:pPr>
            <w:r w:rsidRPr="008C1137">
              <w:t>2014</w:t>
            </w:r>
          </w:p>
        </w:tc>
        <w:tc>
          <w:tcPr>
            <w:tcW w:w="716" w:type="pct"/>
          </w:tcPr>
          <w:p w14:paraId="07D1EF2F" w14:textId="77777777" w:rsidR="00A4454A" w:rsidRPr="008C1137" w:rsidRDefault="00A4454A" w:rsidP="00390380">
            <w:pPr>
              <w:pStyle w:val="TableBody"/>
            </w:pPr>
            <w:r w:rsidRPr="008C1137">
              <w:t>705</w:t>
            </w:r>
          </w:p>
        </w:tc>
        <w:tc>
          <w:tcPr>
            <w:tcW w:w="717" w:type="pct"/>
          </w:tcPr>
          <w:p w14:paraId="1BD19154" w14:textId="77777777" w:rsidR="00A4454A" w:rsidRPr="008C1137" w:rsidRDefault="00A4454A" w:rsidP="00390380">
            <w:pPr>
              <w:pStyle w:val="TableBody"/>
            </w:pPr>
            <w:r w:rsidRPr="008C1137">
              <w:t>230</w:t>
            </w:r>
          </w:p>
        </w:tc>
        <w:tc>
          <w:tcPr>
            <w:tcW w:w="717" w:type="pct"/>
          </w:tcPr>
          <w:p w14:paraId="51C10048" w14:textId="77777777" w:rsidR="00A4454A" w:rsidRPr="008C1137" w:rsidRDefault="00A4454A" w:rsidP="00390380">
            <w:pPr>
              <w:pStyle w:val="TableBody"/>
            </w:pPr>
            <w:r w:rsidRPr="008C1137">
              <w:t>276</w:t>
            </w:r>
          </w:p>
        </w:tc>
        <w:tc>
          <w:tcPr>
            <w:tcW w:w="717" w:type="pct"/>
          </w:tcPr>
          <w:p w14:paraId="7434AFE8" w14:textId="77777777" w:rsidR="00A4454A" w:rsidRPr="008C1137" w:rsidRDefault="00A4454A" w:rsidP="00390380">
            <w:pPr>
              <w:pStyle w:val="TableBody"/>
            </w:pPr>
            <w:r w:rsidRPr="008C1137">
              <w:t>23</w:t>
            </w:r>
          </w:p>
        </w:tc>
        <w:tc>
          <w:tcPr>
            <w:tcW w:w="717" w:type="pct"/>
          </w:tcPr>
          <w:p w14:paraId="244D4ABF" w14:textId="77777777" w:rsidR="00A4454A" w:rsidRPr="008C1137" w:rsidRDefault="00A4454A" w:rsidP="00390380">
            <w:pPr>
              <w:pStyle w:val="TableBody"/>
            </w:pPr>
            <w:r w:rsidRPr="008C1137">
              <w:t>38</w:t>
            </w:r>
          </w:p>
        </w:tc>
        <w:tc>
          <w:tcPr>
            <w:tcW w:w="717" w:type="pct"/>
          </w:tcPr>
          <w:p w14:paraId="443957C7" w14:textId="77777777" w:rsidR="00A4454A" w:rsidRPr="008C1137" w:rsidRDefault="00A4454A" w:rsidP="00390380">
            <w:pPr>
              <w:pStyle w:val="TableBody"/>
            </w:pPr>
            <w:r w:rsidRPr="008C1137">
              <w:t>7</w:t>
            </w:r>
          </w:p>
        </w:tc>
      </w:tr>
      <w:tr w:rsidR="006A0A62" w:rsidRPr="008C1137" w14:paraId="5BCF51DE" w14:textId="77777777" w:rsidTr="00CF2074">
        <w:trPr>
          <w:trHeight w:val="60"/>
        </w:trPr>
        <w:tc>
          <w:tcPr>
            <w:tcW w:w="700" w:type="pct"/>
          </w:tcPr>
          <w:p w14:paraId="20D5F872" w14:textId="77777777" w:rsidR="00A4454A" w:rsidRPr="008C1137" w:rsidRDefault="00A4454A" w:rsidP="00390380">
            <w:pPr>
              <w:pStyle w:val="TableBody"/>
            </w:pPr>
            <w:r w:rsidRPr="008C1137">
              <w:t>2015</w:t>
            </w:r>
          </w:p>
        </w:tc>
        <w:tc>
          <w:tcPr>
            <w:tcW w:w="716" w:type="pct"/>
          </w:tcPr>
          <w:p w14:paraId="4BA8EA68" w14:textId="77777777" w:rsidR="00A4454A" w:rsidRPr="008C1137" w:rsidRDefault="00A4454A" w:rsidP="00390380">
            <w:pPr>
              <w:pStyle w:val="TableBody"/>
            </w:pPr>
            <w:r w:rsidRPr="008C1137">
              <w:t>700</w:t>
            </w:r>
          </w:p>
        </w:tc>
        <w:tc>
          <w:tcPr>
            <w:tcW w:w="717" w:type="pct"/>
          </w:tcPr>
          <w:p w14:paraId="2A356C14" w14:textId="77777777" w:rsidR="00A4454A" w:rsidRPr="008C1137" w:rsidRDefault="00A4454A" w:rsidP="00390380">
            <w:pPr>
              <w:pStyle w:val="TableBody"/>
            </w:pPr>
            <w:r w:rsidRPr="008C1137">
              <w:t>192</w:t>
            </w:r>
          </w:p>
        </w:tc>
        <w:tc>
          <w:tcPr>
            <w:tcW w:w="717" w:type="pct"/>
          </w:tcPr>
          <w:p w14:paraId="5E7FFC01" w14:textId="77777777" w:rsidR="00A4454A" w:rsidRPr="008C1137" w:rsidRDefault="00A4454A" w:rsidP="00390380">
            <w:pPr>
              <w:pStyle w:val="TableBody"/>
            </w:pPr>
            <w:r w:rsidRPr="008C1137">
              <w:t>228</w:t>
            </w:r>
          </w:p>
        </w:tc>
        <w:tc>
          <w:tcPr>
            <w:tcW w:w="717" w:type="pct"/>
          </w:tcPr>
          <w:p w14:paraId="6EF389CD" w14:textId="77777777" w:rsidR="00A4454A" w:rsidRPr="008C1137" w:rsidRDefault="00A4454A" w:rsidP="00390380">
            <w:pPr>
              <w:pStyle w:val="TableBody"/>
            </w:pPr>
            <w:r w:rsidRPr="008C1137">
              <w:t>9</w:t>
            </w:r>
          </w:p>
        </w:tc>
        <w:tc>
          <w:tcPr>
            <w:tcW w:w="717" w:type="pct"/>
          </w:tcPr>
          <w:p w14:paraId="0FFA7CB4" w14:textId="77777777" w:rsidR="00A4454A" w:rsidRPr="008C1137" w:rsidRDefault="00A4454A" w:rsidP="00390380">
            <w:pPr>
              <w:pStyle w:val="TableBody"/>
            </w:pPr>
            <w:r w:rsidRPr="008C1137">
              <w:t>35</w:t>
            </w:r>
          </w:p>
        </w:tc>
        <w:tc>
          <w:tcPr>
            <w:tcW w:w="717" w:type="pct"/>
          </w:tcPr>
          <w:p w14:paraId="178EC95A" w14:textId="77777777" w:rsidR="00A4454A" w:rsidRPr="008C1137" w:rsidRDefault="00A4454A" w:rsidP="00390380">
            <w:pPr>
              <w:pStyle w:val="TableBody"/>
            </w:pPr>
            <w:r w:rsidRPr="008C1137">
              <w:t>5</w:t>
            </w:r>
          </w:p>
        </w:tc>
      </w:tr>
      <w:tr w:rsidR="006A0A62" w:rsidRPr="008C1137" w14:paraId="438021AA" w14:textId="77777777" w:rsidTr="00CF2074">
        <w:trPr>
          <w:trHeight w:val="60"/>
        </w:trPr>
        <w:tc>
          <w:tcPr>
            <w:tcW w:w="700" w:type="pct"/>
          </w:tcPr>
          <w:p w14:paraId="3B849920" w14:textId="77777777" w:rsidR="00A4454A" w:rsidRPr="008C1137" w:rsidRDefault="00A4454A" w:rsidP="00390380">
            <w:pPr>
              <w:pStyle w:val="TableBody"/>
            </w:pPr>
            <w:r w:rsidRPr="008C1137">
              <w:t>2016</w:t>
            </w:r>
          </w:p>
        </w:tc>
        <w:tc>
          <w:tcPr>
            <w:tcW w:w="716" w:type="pct"/>
          </w:tcPr>
          <w:p w14:paraId="68F3348B" w14:textId="77777777" w:rsidR="00A4454A" w:rsidRPr="008C1137" w:rsidRDefault="00A4454A" w:rsidP="00390380">
            <w:pPr>
              <w:pStyle w:val="TableBody"/>
            </w:pPr>
            <w:r w:rsidRPr="008C1137">
              <w:t>662</w:t>
            </w:r>
          </w:p>
        </w:tc>
        <w:tc>
          <w:tcPr>
            <w:tcW w:w="717" w:type="pct"/>
          </w:tcPr>
          <w:p w14:paraId="5533A31E" w14:textId="77777777" w:rsidR="00A4454A" w:rsidRPr="008C1137" w:rsidRDefault="00A4454A" w:rsidP="00390380">
            <w:pPr>
              <w:pStyle w:val="TableBody"/>
            </w:pPr>
            <w:r w:rsidRPr="008C1137">
              <w:t>189</w:t>
            </w:r>
          </w:p>
        </w:tc>
        <w:tc>
          <w:tcPr>
            <w:tcW w:w="717" w:type="pct"/>
          </w:tcPr>
          <w:p w14:paraId="3905A1F2" w14:textId="77777777" w:rsidR="00A4454A" w:rsidRPr="008C1137" w:rsidRDefault="00A4454A" w:rsidP="00390380">
            <w:pPr>
              <w:pStyle w:val="TableBody"/>
            </w:pPr>
            <w:r w:rsidRPr="008C1137">
              <w:t>289</w:t>
            </w:r>
          </w:p>
        </w:tc>
        <w:tc>
          <w:tcPr>
            <w:tcW w:w="717" w:type="pct"/>
          </w:tcPr>
          <w:p w14:paraId="282297E8" w14:textId="77777777" w:rsidR="00A4454A" w:rsidRPr="008C1137" w:rsidRDefault="00A4454A" w:rsidP="00390380">
            <w:pPr>
              <w:pStyle w:val="TableBody"/>
            </w:pPr>
            <w:r w:rsidRPr="008C1137">
              <w:t>14</w:t>
            </w:r>
          </w:p>
        </w:tc>
        <w:tc>
          <w:tcPr>
            <w:tcW w:w="717" w:type="pct"/>
          </w:tcPr>
          <w:p w14:paraId="522A74B3" w14:textId="77777777" w:rsidR="00A4454A" w:rsidRPr="008C1137" w:rsidRDefault="00A4454A" w:rsidP="00390380">
            <w:pPr>
              <w:pStyle w:val="TableBody"/>
            </w:pPr>
            <w:r w:rsidRPr="008C1137">
              <w:t>40</w:t>
            </w:r>
          </w:p>
        </w:tc>
        <w:tc>
          <w:tcPr>
            <w:tcW w:w="717" w:type="pct"/>
          </w:tcPr>
          <w:p w14:paraId="41CBD390" w14:textId="77777777" w:rsidR="00A4454A" w:rsidRPr="008C1137" w:rsidRDefault="00A4454A" w:rsidP="00390380">
            <w:pPr>
              <w:pStyle w:val="TableBody"/>
            </w:pPr>
            <w:r w:rsidRPr="008C1137">
              <w:t>10</w:t>
            </w:r>
          </w:p>
        </w:tc>
      </w:tr>
      <w:tr w:rsidR="006A0A62" w:rsidRPr="008C1137" w14:paraId="59E32BF3" w14:textId="77777777" w:rsidTr="00CF2074">
        <w:trPr>
          <w:trHeight w:val="60"/>
        </w:trPr>
        <w:tc>
          <w:tcPr>
            <w:tcW w:w="700" w:type="pct"/>
          </w:tcPr>
          <w:p w14:paraId="2598553F" w14:textId="77777777" w:rsidR="00A4454A" w:rsidRPr="008C1137" w:rsidRDefault="00A4454A" w:rsidP="00390380">
            <w:pPr>
              <w:pStyle w:val="TableBody"/>
            </w:pPr>
            <w:r w:rsidRPr="008C1137">
              <w:t>2017</w:t>
            </w:r>
          </w:p>
        </w:tc>
        <w:tc>
          <w:tcPr>
            <w:tcW w:w="716" w:type="pct"/>
          </w:tcPr>
          <w:p w14:paraId="600B073C" w14:textId="77777777" w:rsidR="00A4454A" w:rsidRPr="008C1137" w:rsidRDefault="00A4454A" w:rsidP="00390380">
            <w:pPr>
              <w:pStyle w:val="TableBody"/>
            </w:pPr>
            <w:r w:rsidRPr="008C1137">
              <w:t>714</w:t>
            </w:r>
          </w:p>
        </w:tc>
        <w:tc>
          <w:tcPr>
            <w:tcW w:w="717" w:type="pct"/>
          </w:tcPr>
          <w:p w14:paraId="22216F3A" w14:textId="77777777" w:rsidR="00A4454A" w:rsidRPr="008C1137" w:rsidRDefault="00A4454A" w:rsidP="00390380">
            <w:pPr>
              <w:pStyle w:val="TableBody"/>
            </w:pPr>
            <w:r w:rsidRPr="008C1137">
              <w:t>226</w:t>
            </w:r>
          </w:p>
        </w:tc>
        <w:tc>
          <w:tcPr>
            <w:tcW w:w="717" w:type="pct"/>
          </w:tcPr>
          <w:p w14:paraId="77B4C328" w14:textId="77777777" w:rsidR="00A4454A" w:rsidRPr="008C1137" w:rsidRDefault="00A4454A" w:rsidP="00390380">
            <w:pPr>
              <w:pStyle w:val="TableBody"/>
            </w:pPr>
            <w:r w:rsidRPr="008C1137">
              <w:t>271</w:t>
            </w:r>
          </w:p>
        </w:tc>
        <w:tc>
          <w:tcPr>
            <w:tcW w:w="717" w:type="pct"/>
          </w:tcPr>
          <w:p w14:paraId="6CAFD37C" w14:textId="77777777" w:rsidR="00A4454A" w:rsidRPr="008C1137" w:rsidRDefault="00A4454A" w:rsidP="00390380">
            <w:pPr>
              <w:pStyle w:val="TableBody"/>
            </w:pPr>
            <w:r w:rsidRPr="008C1137">
              <w:t>43</w:t>
            </w:r>
          </w:p>
        </w:tc>
        <w:tc>
          <w:tcPr>
            <w:tcW w:w="717" w:type="pct"/>
          </w:tcPr>
          <w:p w14:paraId="305122ED" w14:textId="77777777" w:rsidR="00A4454A" w:rsidRPr="008C1137" w:rsidRDefault="00A4454A" w:rsidP="00390380">
            <w:pPr>
              <w:pStyle w:val="TableBody"/>
            </w:pPr>
            <w:r w:rsidRPr="008C1137">
              <w:t>57</w:t>
            </w:r>
          </w:p>
        </w:tc>
        <w:tc>
          <w:tcPr>
            <w:tcW w:w="717" w:type="pct"/>
          </w:tcPr>
          <w:p w14:paraId="33B5A0B6" w14:textId="77777777" w:rsidR="00A4454A" w:rsidRPr="008C1137" w:rsidRDefault="00A4454A" w:rsidP="00390380">
            <w:pPr>
              <w:pStyle w:val="TableBody"/>
            </w:pPr>
            <w:r w:rsidRPr="008C1137">
              <w:t>4</w:t>
            </w:r>
          </w:p>
        </w:tc>
      </w:tr>
      <w:tr w:rsidR="006A0A62" w:rsidRPr="008C1137" w14:paraId="314BD910" w14:textId="77777777" w:rsidTr="00CF2074">
        <w:trPr>
          <w:trHeight w:val="60"/>
        </w:trPr>
        <w:tc>
          <w:tcPr>
            <w:tcW w:w="700" w:type="pct"/>
          </w:tcPr>
          <w:p w14:paraId="7B19EE34" w14:textId="77777777" w:rsidR="00A4454A" w:rsidRPr="008C1137" w:rsidRDefault="00A4454A" w:rsidP="00390380">
            <w:pPr>
              <w:pStyle w:val="TableBody"/>
            </w:pPr>
            <w:r w:rsidRPr="008C1137">
              <w:t>2018</w:t>
            </w:r>
          </w:p>
        </w:tc>
        <w:tc>
          <w:tcPr>
            <w:tcW w:w="716" w:type="pct"/>
          </w:tcPr>
          <w:p w14:paraId="2CD4346E" w14:textId="77777777" w:rsidR="00A4454A" w:rsidRPr="008C1137" w:rsidRDefault="00A4454A" w:rsidP="00390380">
            <w:pPr>
              <w:pStyle w:val="TableBody"/>
            </w:pPr>
            <w:r w:rsidRPr="008C1137">
              <w:t>713</w:t>
            </w:r>
          </w:p>
        </w:tc>
        <w:tc>
          <w:tcPr>
            <w:tcW w:w="717" w:type="pct"/>
          </w:tcPr>
          <w:p w14:paraId="63EC3D65" w14:textId="77777777" w:rsidR="00A4454A" w:rsidRPr="008C1137" w:rsidRDefault="00A4454A" w:rsidP="00390380">
            <w:pPr>
              <w:pStyle w:val="TableBody"/>
            </w:pPr>
            <w:r w:rsidRPr="008C1137">
              <w:t>219</w:t>
            </w:r>
          </w:p>
        </w:tc>
        <w:tc>
          <w:tcPr>
            <w:tcW w:w="717" w:type="pct"/>
          </w:tcPr>
          <w:p w14:paraId="78FC38EF" w14:textId="77777777" w:rsidR="00A4454A" w:rsidRPr="008C1137" w:rsidRDefault="00A4454A" w:rsidP="00390380">
            <w:pPr>
              <w:pStyle w:val="TableBody"/>
            </w:pPr>
            <w:r w:rsidRPr="008C1137">
              <w:t>230</w:t>
            </w:r>
          </w:p>
        </w:tc>
        <w:tc>
          <w:tcPr>
            <w:tcW w:w="717" w:type="pct"/>
          </w:tcPr>
          <w:p w14:paraId="7F212294" w14:textId="77777777" w:rsidR="00A4454A" w:rsidRPr="008C1137" w:rsidRDefault="00A4454A" w:rsidP="00390380">
            <w:pPr>
              <w:pStyle w:val="TableBody"/>
            </w:pPr>
            <w:r w:rsidRPr="008C1137">
              <w:t>78</w:t>
            </w:r>
          </w:p>
        </w:tc>
        <w:tc>
          <w:tcPr>
            <w:tcW w:w="717" w:type="pct"/>
          </w:tcPr>
          <w:p w14:paraId="35388E6A" w14:textId="77777777" w:rsidR="00A4454A" w:rsidRPr="008C1137" w:rsidRDefault="00A4454A" w:rsidP="00390380">
            <w:pPr>
              <w:pStyle w:val="TableBody"/>
            </w:pPr>
            <w:r w:rsidRPr="008C1137">
              <w:t>54</w:t>
            </w:r>
          </w:p>
        </w:tc>
        <w:tc>
          <w:tcPr>
            <w:tcW w:w="717" w:type="pct"/>
          </w:tcPr>
          <w:p w14:paraId="55BC3BB8" w14:textId="77777777" w:rsidR="00A4454A" w:rsidRPr="008C1137" w:rsidRDefault="00A4454A" w:rsidP="00390380">
            <w:pPr>
              <w:pStyle w:val="TableBody"/>
            </w:pPr>
            <w:r w:rsidRPr="008C1137">
              <w:t>7</w:t>
            </w:r>
          </w:p>
        </w:tc>
      </w:tr>
      <w:tr w:rsidR="006A0A62" w:rsidRPr="008C1137" w14:paraId="2C3F2A8F" w14:textId="77777777" w:rsidTr="00CF2074">
        <w:trPr>
          <w:trHeight w:val="60"/>
        </w:trPr>
        <w:tc>
          <w:tcPr>
            <w:tcW w:w="700" w:type="pct"/>
          </w:tcPr>
          <w:p w14:paraId="45D2FEC6" w14:textId="77777777" w:rsidR="00A4454A" w:rsidRPr="008C1137" w:rsidRDefault="00A4454A" w:rsidP="00390380">
            <w:pPr>
              <w:pStyle w:val="TableBody"/>
            </w:pPr>
            <w:r w:rsidRPr="008C1137">
              <w:t>2019</w:t>
            </w:r>
          </w:p>
        </w:tc>
        <w:tc>
          <w:tcPr>
            <w:tcW w:w="716" w:type="pct"/>
          </w:tcPr>
          <w:p w14:paraId="4A84C21A" w14:textId="77777777" w:rsidR="00A4454A" w:rsidRPr="008C1137" w:rsidRDefault="00A4454A" w:rsidP="00390380">
            <w:pPr>
              <w:pStyle w:val="TableBody"/>
            </w:pPr>
            <w:r w:rsidRPr="008C1137">
              <w:t>750</w:t>
            </w:r>
          </w:p>
        </w:tc>
        <w:tc>
          <w:tcPr>
            <w:tcW w:w="717" w:type="pct"/>
          </w:tcPr>
          <w:p w14:paraId="621746EB" w14:textId="77777777" w:rsidR="00A4454A" w:rsidRPr="008C1137" w:rsidRDefault="00A4454A" w:rsidP="00390380">
            <w:pPr>
              <w:pStyle w:val="TableBody"/>
            </w:pPr>
            <w:r w:rsidRPr="008C1137">
              <w:t>305</w:t>
            </w:r>
          </w:p>
        </w:tc>
        <w:tc>
          <w:tcPr>
            <w:tcW w:w="717" w:type="pct"/>
          </w:tcPr>
          <w:p w14:paraId="32089FA8" w14:textId="77777777" w:rsidR="00A4454A" w:rsidRPr="008C1137" w:rsidRDefault="00A4454A" w:rsidP="00390380">
            <w:pPr>
              <w:pStyle w:val="TableBody"/>
            </w:pPr>
            <w:r w:rsidRPr="008C1137">
              <w:t>270</w:t>
            </w:r>
          </w:p>
        </w:tc>
        <w:tc>
          <w:tcPr>
            <w:tcW w:w="717" w:type="pct"/>
          </w:tcPr>
          <w:p w14:paraId="0FE1B44B" w14:textId="77777777" w:rsidR="00A4454A" w:rsidRPr="008C1137" w:rsidRDefault="00A4454A" w:rsidP="00390380">
            <w:pPr>
              <w:pStyle w:val="TableBody"/>
            </w:pPr>
            <w:r w:rsidRPr="008C1137">
              <w:t>42</w:t>
            </w:r>
          </w:p>
        </w:tc>
        <w:tc>
          <w:tcPr>
            <w:tcW w:w="717" w:type="pct"/>
          </w:tcPr>
          <w:p w14:paraId="60CE66ED" w14:textId="77777777" w:rsidR="00A4454A" w:rsidRPr="008C1137" w:rsidRDefault="00A4454A" w:rsidP="00390380">
            <w:pPr>
              <w:pStyle w:val="TableBody"/>
            </w:pPr>
            <w:r w:rsidRPr="008C1137">
              <w:t>77</w:t>
            </w:r>
          </w:p>
        </w:tc>
        <w:tc>
          <w:tcPr>
            <w:tcW w:w="717" w:type="pct"/>
          </w:tcPr>
          <w:p w14:paraId="694F8F73" w14:textId="77777777" w:rsidR="00A4454A" w:rsidRPr="008C1137" w:rsidRDefault="00A4454A" w:rsidP="00390380">
            <w:pPr>
              <w:pStyle w:val="TableBody"/>
            </w:pPr>
            <w:r w:rsidRPr="008C1137">
              <w:t>13</w:t>
            </w:r>
          </w:p>
        </w:tc>
      </w:tr>
      <w:tr w:rsidR="006A0A62" w:rsidRPr="008C1137" w14:paraId="2E452236" w14:textId="77777777" w:rsidTr="00CF2074">
        <w:trPr>
          <w:trHeight w:val="60"/>
        </w:trPr>
        <w:tc>
          <w:tcPr>
            <w:tcW w:w="700" w:type="pct"/>
          </w:tcPr>
          <w:p w14:paraId="0E508C7D" w14:textId="77777777" w:rsidR="00A4454A" w:rsidRPr="008C1137" w:rsidRDefault="00A4454A" w:rsidP="00390380">
            <w:pPr>
              <w:pStyle w:val="TableBody"/>
            </w:pPr>
            <w:r w:rsidRPr="008C1137">
              <w:t>2020</w:t>
            </w:r>
          </w:p>
        </w:tc>
        <w:tc>
          <w:tcPr>
            <w:tcW w:w="716" w:type="pct"/>
          </w:tcPr>
          <w:p w14:paraId="432A5766" w14:textId="77777777" w:rsidR="00A4454A" w:rsidRPr="008C1137" w:rsidRDefault="00A4454A" w:rsidP="00390380">
            <w:pPr>
              <w:pStyle w:val="TableBody"/>
            </w:pPr>
            <w:r w:rsidRPr="008C1137">
              <w:t>700</w:t>
            </w:r>
          </w:p>
        </w:tc>
        <w:tc>
          <w:tcPr>
            <w:tcW w:w="717" w:type="pct"/>
          </w:tcPr>
          <w:p w14:paraId="4A67C28A" w14:textId="77777777" w:rsidR="00A4454A" w:rsidRPr="008C1137" w:rsidRDefault="00A4454A" w:rsidP="00390380">
            <w:pPr>
              <w:pStyle w:val="TableBody"/>
            </w:pPr>
            <w:r w:rsidRPr="008C1137">
              <w:t>291</w:t>
            </w:r>
          </w:p>
        </w:tc>
        <w:tc>
          <w:tcPr>
            <w:tcW w:w="717" w:type="pct"/>
          </w:tcPr>
          <w:p w14:paraId="099F03D9" w14:textId="77777777" w:rsidR="00A4454A" w:rsidRPr="008C1137" w:rsidRDefault="00A4454A" w:rsidP="00390380">
            <w:pPr>
              <w:pStyle w:val="TableBody"/>
            </w:pPr>
            <w:r w:rsidRPr="008C1137">
              <w:t>249</w:t>
            </w:r>
          </w:p>
        </w:tc>
        <w:tc>
          <w:tcPr>
            <w:tcW w:w="717" w:type="pct"/>
          </w:tcPr>
          <w:p w14:paraId="34635BE6" w14:textId="77777777" w:rsidR="00A4454A" w:rsidRPr="008C1137" w:rsidRDefault="00A4454A" w:rsidP="00390380">
            <w:pPr>
              <w:pStyle w:val="TableBody"/>
            </w:pPr>
            <w:r w:rsidRPr="008C1137">
              <w:t>34</w:t>
            </w:r>
          </w:p>
        </w:tc>
        <w:tc>
          <w:tcPr>
            <w:tcW w:w="717" w:type="pct"/>
          </w:tcPr>
          <w:p w14:paraId="62C945A4" w14:textId="77777777" w:rsidR="00A4454A" w:rsidRPr="008C1137" w:rsidRDefault="00A4454A" w:rsidP="00390380">
            <w:pPr>
              <w:pStyle w:val="TableBody"/>
            </w:pPr>
            <w:r w:rsidRPr="008C1137">
              <w:t>67</w:t>
            </w:r>
          </w:p>
        </w:tc>
        <w:tc>
          <w:tcPr>
            <w:tcW w:w="717" w:type="pct"/>
          </w:tcPr>
          <w:p w14:paraId="5E81A288" w14:textId="77777777" w:rsidR="00A4454A" w:rsidRPr="008C1137" w:rsidRDefault="00A4454A" w:rsidP="00390380">
            <w:pPr>
              <w:pStyle w:val="TableBody"/>
            </w:pPr>
            <w:r w:rsidRPr="008C1137">
              <w:t>21</w:t>
            </w:r>
          </w:p>
        </w:tc>
      </w:tr>
      <w:tr w:rsidR="006A0A62" w:rsidRPr="008C1137" w14:paraId="4C189412" w14:textId="77777777" w:rsidTr="00CF2074">
        <w:trPr>
          <w:trHeight w:val="60"/>
        </w:trPr>
        <w:tc>
          <w:tcPr>
            <w:tcW w:w="700" w:type="pct"/>
          </w:tcPr>
          <w:p w14:paraId="2D3E2D30" w14:textId="77777777" w:rsidR="00A4454A" w:rsidRPr="008C1137" w:rsidRDefault="00A4454A" w:rsidP="00390380">
            <w:pPr>
              <w:pStyle w:val="TableBody"/>
            </w:pPr>
            <w:r w:rsidRPr="008C1137">
              <w:t>2021</w:t>
            </w:r>
          </w:p>
        </w:tc>
        <w:tc>
          <w:tcPr>
            <w:tcW w:w="716" w:type="pct"/>
          </w:tcPr>
          <w:p w14:paraId="45584D6C" w14:textId="77777777" w:rsidR="00A4454A" w:rsidRPr="008C1137" w:rsidRDefault="00A4454A" w:rsidP="00390380">
            <w:pPr>
              <w:pStyle w:val="TableBody"/>
            </w:pPr>
            <w:r w:rsidRPr="008C1137">
              <w:t>519</w:t>
            </w:r>
          </w:p>
        </w:tc>
        <w:tc>
          <w:tcPr>
            <w:tcW w:w="717" w:type="pct"/>
          </w:tcPr>
          <w:p w14:paraId="679F10E8" w14:textId="77777777" w:rsidR="00A4454A" w:rsidRPr="008C1137" w:rsidRDefault="00A4454A" w:rsidP="00390380">
            <w:pPr>
              <w:pStyle w:val="TableBody"/>
            </w:pPr>
            <w:r w:rsidRPr="008C1137">
              <w:t>239</w:t>
            </w:r>
          </w:p>
        </w:tc>
        <w:tc>
          <w:tcPr>
            <w:tcW w:w="717" w:type="pct"/>
          </w:tcPr>
          <w:p w14:paraId="5C588AF7" w14:textId="77777777" w:rsidR="00A4454A" w:rsidRPr="008C1137" w:rsidRDefault="00A4454A" w:rsidP="00390380">
            <w:pPr>
              <w:pStyle w:val="TableBody"/>
            </w:pPr>
            <w:r w:rsidRPr="008C1137">
              <w:t>211</w:t>
            </w:r>
          </w:p>
        </w:tc>
        <w:tc>
          <w:tcPr>
            <w:tcW w:w="717" w:type="pct"/>
          </w:tcPr>
          <w:p w14:paraId="4BD81B25" w14:textId="77777777" w:rsidR="00A4454A" w:rsidRPr="008C1137" w:rsidRDefault="00A4454A" w:rsidP="00390380">
            <w:pPr>
              <w:pStyle w:val="TableBody"/>
            </w:pPr>
            <w:r w:rsidRPr="008C1137">
              <w:t>29</w:t>
            </w:r>
          </w:p>
        </w:tc>
        <w:tc>
          <w:tcPr>
            <w:tcW w:w="717" w:type="pct"/>
          </w:tcPr>
          <w:p w14:paraId="3C96261F" w14:textId="77777777" w:rsidR="00A4454A" w:rsidRPr="008C1137" w:rsidRDefault="00A4454A" w:rsidP="00390380">
            <w:pPr>
              <w:pStyle w:val="TableBody"/>
            </w:pPr>
            <w:r w:rsidRPr="008C1137">
              <w:t>41</w:t>
            </w:r>
          </w:p>
        </w:tc>
        <w:tc>
          <w:tcPr>
            <w:tcW w:w="717" w:type="pct"/>
          </w:tcPr>
          <w:p w14:paraId="67413845" w14:textId="77777777" w:rsidR="00A4454A" w:rsidRPr="008C1137" w:rsidRDefault="00A4454A" w:rsidP="00390380">
            <w:pPr>
              <w:pStyle w:val="TableBody"/>
            </w:pPr>
            <w:r w:rsidRPr="008C1137">
              <w:t>34</w:t>
            </w:r>
          </w:p>
        </w:tc>
      </w:tr>
      <w:tr w:rsidR="006A0A62" w:rsidRPr="008C1137" w14:paraId="5BBC1DF2" w14:textId="77777777" w:rsidTr="00CF2074">
        <w:trPr>
          <w:trHeight w:val="60"/>
        </w:trPr>
        <w:tc>
          <w:tcPr>
            <w:tcW w:w="700" w:type="pct"/>
          </w:tcPr>
          <w:p w14:paraId="65F54AAE" w14:textId="77777777" w:rsidR="00A4454A" w:rsidRPr="008C1137" w:rsidRDefault="00A4454A" w:rsidP="00390380">
            <w:pPr>
              <w:pStyle w:val="TableBody"/>
            </w:pPr>
            <w:r w:rsidRPr="008C1137">
              <w:t>2022</w:t>
            </w:r>
          </w:p>
        </w:tc>
        <w:tc>
          <w:tcPr>
            <w:tcW w:w="716" w:type="pct"/>
          </w:tcPr>
          <w:p w14:paraId="0E3EF4BE" w14:textId="77777777" w:rsidR="00A4454A" w:rsidRPr="008C1137" w:rsidRDefault="00A4454A" w:rsidP="00390380">
            <w:pPr>
              <w:pStyle w:val="TableBody"/>
            </w:pPr>
            <w:r w:rsidRPr="008C1137">
              <w:t>665</w:t>
            </w:r>
          </w:p>
        </w:tc>
        <w:tc>
          <w:tcPr>
            <w:tcW w:w="717" w:type="pct"/>
          </w:tcPr>
          <w:p w14:paraId="203FD659" w14:textId="77777777" w:rsidR="00A4454A" w:rsidRPr="008C1137" w:rsidRDefault="00A4454A" w:rsidP="00390380">
            <w:pPr>
              <w:pStyle w:val="TableBody"/>
            </w:pPr>
            <w:r w:rsidRPr="008C1137">
              <w:t>258</w:t>
            </w:r>
          </w:p>
        </w:tc>
        <w:tc>
          <w:tcPr>
            <w:tcW w:w="717" w:type="pct"/>
          </w:tcPr>
          <w:p w14:paraId="4C0EC616" w14:textId="77777777" w:rsidR="00A4454A" w:rsidRPr="008C1137" w:rsidRDefault="00A4454A" w:rsidP="00390380">
            <w:pPr>
              <w:pStyle w:val="TableBody"/>
            </w:pPr>
            <w:r w:rsidRPr="008C1137">
              <w:t>212</w:t>
            </w:r>
          </w:p>
        </w:tc>
        <w:tc>
          <w:tcPr>
            <w:tcW w:w="717" w:type="pct"/>
          </w:tcPr>
          <w:p w14:paraId="6DD204D8" w14:textId="77777777" w:rsidR="00A4454A" w:rsidRPr="008C1137" w:rsidRDefault="00A4454A" w:rsidP="00390380">
            <w:pPr>
              <w:pStyle w:val="TableBody"/>
            </w:pPr>
            <w:r w:rsidRPr="008C1137">
              <w:t>33</w:t>
            </w:r>
          </w:p>
        </w:tc>
        <w:tc>
          <w:tcPr>
            <w:tcW w:w="717" w:type="pct"/>
          </w:tcPr>
          <w:p w14:paraId="2D10BDEB" w14:textId="77777777" w:rsidR="00A4454A" w:rsidRPr="008C1137" w:rsidRDefault="00A4454A" w:rsidP="00390380">
            <w:pPr>
              <w:pStyle w:val="TableBody"/>
            </w:pPr>
            <w:r w:rsidRPr="008C1137">
              <w:t>58</w:t>
            </w:r>
          </w:p>
        </w:tc>
        <w:tc>
          <w:tcPr>
            <w:tcW w:w="717" w:type="pct"/>
          </w:tcPr>
          <w:p w14:paraId="7652A620" w14:textId="77777777" w:rsidR="00A4454A" w:rsidRPr="008C1137" w:rsidRDefault="00A4454A" w:rsidP="00390380">
            <w:pPr>
              <w:pStyle w:val="TableBody"/>
            </w:pPr>
            <w:r w:rsidRPr="008C1137">
              <w:t>19</w:t>
            </w:r>
          </w:p>
        </w:tc>
      </w:tr>
      <w:tr w:rsidR="006A0A62" w:rsidRPr="008C1137" w14:paraId="4DF05B38" w14:textId="77777777" w:rsidTr="00CF2074">
        <w:trPr>
          <w:trHeight w:val="60"/>
        </w:trPr>
        <w:tc>
          <w:tcPr>
            <w:tcW w:w="700" w:type="pct"/>
          </w:tcPr>
          <w:p w14:paraId="5AD5C4B9" w14:textId="77777777" w:rsidR="00A4454A" w:rsidRPr="008C1137" w:rsidRDefault="00A4454A" w:rsidP="00390380">
            <w:pPr>
              <w:pStyle w:val="TableBody"/>
            </w:pPr>
            <w:r w:rsidRPr="008C1137">
              <w:t>2023</w:t>
            </w:r>
          </w:p>
        </w:tc>
        <w:tc>
          <w:tcPr>
            <w:tcW w:w="716" w:type="pct"/>
          </w:tcPr>
          <w:p w14:paraId="55E8D80E" w14:textId="77777777" w:rsidR="00A4454A" w:rsidRPr="008C1137" w:rsidRDefault="00A4454A" w:rsidP="00390380">
            <w:pPr>
              <w:pStyle w:val="TableBody"/>
            </w:pPr>
            <w:r w:rsidRPr="008C1137">
              <w:t>792</w:t>
            </w:r>
          </w:p>
        </w:tc>
        <w:tc>
          <w:tcPr>
            <w:tcW w:w="717" w:type="pct"/>
          </w:tcPr>
          <w:p w14:paraId="60B56BAC" w14:textId="77777777" w:rsidR="00A4454A" w:rsidRPr="008C1137" w:rsidRDefault="00A4454A" w:rsidP="00390380">
            <w:pPr>
              <w:pStyle w:val="TableBody"/>
            </w:pPr>
            <w:r w:rsidRPr="008C1137">
              <w:t>277</w:t>
            </w:r>
          </w:p>
        </w:tc>
        <w:tc>
          <w:tcPr>
            <w:tcW w:w="717" w:type="pct"/>
          </w:tcPr>
          <w:p w14:paraId="2AF0967A" w14:textId="77777777" w:rsidR="00A4454A" w:rsidRPr="008C1137" w:rsidRDefault="00A4454A" w:rsidP="00390380">
            <w:pPr>
              <w:pStyle w:val="TableBody"/>
            </w:pPr>
            <w:r w:rsidRPr="008C1137">
              <w:t>207</w:t>
            </w:r>
          </w:p>
        </w:tc>
        <w:tc>
          <w:tcPr>
            <w:tcW w:w="717" w:type="pct"/>
          </w:tcPr>
          <w:p w14:paraId="6AC99CDC" w14:textId="77777777" w:rsidR="00A4454A" w:rsidRPr="008C1137" w:rsidRDefault="00A4454A" w:rsidP="00390380">
            <w:pPr>
              <w:pStyle w:val="TableBody"/>
            </w:pPr>
            <w:r w:rsidRPr="008C1137">
              <w:t>55</w:t>
            </w:r>
          </w:p>
        </w:tc>
        <w:tc>
          <w:tcPr>
            <w:tcW w:w="717" w:type="pct"/>
          </w:tcPr>
          <w:p w14:paraId="53939C41" w14:textId="77777777" w:rsidR="00A4454A" w:rsidRPr="008C1137" w:rsidRDefault="00A4454A" w:rsidP="00390380">
            <w:pPr>
              <w:pStyle w:val="TableBody"/>
            </w:pPr>
            <w:r w:rsidRPr="008C1137">
              <w:t>57</w:t>
            </w:r>
          </w:p>
        </w:tc>
        <w:tc>
          <w:tcPr>
            <w:tcW w:w="717" w:type="pct"/>
          </w:tcPr>
          <w:p w14:paraId="60DE5F06" w14:textId="77777777" w:rsidR="00A4454A" w:rsidRPr="008C1137" w:rsidRDefault="00A4454A" w:rsidP="00390380">
            <w:pPr>
              <w:pStyle w:val="TableBody"/>
            </w:pPr>
            <w:r w:rsidRPr="008C1137">
              <w:t>24</w:t>
            </w:r>
          </w:p>
        </w:tc>
      </w:tr>
      <w:tr w:rsidR="006A0A62" w:rsidRPr="008C1137" w14:paraId="4FA41344" w14:textId="77777777" w:rsidTr="00CF2074">
        <w:trPr>
          <w:trHeight w:val="60"/>
        </w:trPr>
        <w:tc>
          <w:tcPr>
            <w:tcW w:w="700" w:type="pct"/>
          </w:tcPr>
          <w:p w14:paraId="18E85EB8" w14:textId="77777777" w:rsidR="00A4454A" w:rsidRPr="008C1137" w:rsidRDefault="00A4454A" w:rsidP="00390380">
            <w:pPr>
              <w:pStyle w:val="TableBody"/>
            </w:pPr>
            <w:r w:rsidRPr="008C1137">
              <w:t>2024</w:t>
            </w:r>
          </w:p>
        </w:tc>
        <w:tc>
          <w:tcPr>
            <w:tcW w:w="716" w:type="pct"/>
          </w:tcPr>
          <w:p w14:paraId="2586777C" w14:textId="77777777" w:rsidR="00A4454A" w:rsidRPr="008C1137" w:rsidRDefault="00A4454A" w:rsidP="00390380">
            <w:pPr>
              <w:pStyle w:val="TableBody"/>
            </w:pPr>
            <w:r w:rsidRPr="008C1137">
              <w:t>688</w:t>
            </w:r>
          </w:p>
        </w:tc>
        <w:tc>
          <w:tcPr>
            <w:tcW w:w="717" w:type="pct"/>
          </w:tcPr>
          <w:p w14:paraId="32A2A431" w14:textId="77777777" w:rsidR="00A4454A" w:rsidRPr="008C1137" w:rsidRDefault="00A4454A" w:rsidP="00390380">
            <w:pPr>
              <w:pStyle w:val="TableBody"/>
            </w:pPr>
            <w:r w:rsidRPr="008C1137">
              <w:t>284</w:t>
            </w:r>
          </w:p>
        </w:tc>
        <w:tc>
          <w:tcPr>
            <w:tcW w:w="717" w:type="pct"/>
          </w:tcPr>
          <w:p w14:paraId="2481C4F8" w14:textId="77777777" w:rsidR="00A4454A" w:rsidRPr="008C1137" w:rsidRDefault="00A4454A" w:rsidP="00390380">
            <w:pPr>
              <w:pStyle w:val="TableBody"/>
            </w:pPr>
            <w:r w:rsidRPr="008C1137">
              <w:t>161</w:t>
            </w:r>
          </w:p>
        </w:tc>
        <w:tc>
          <w:tcPr>
            <w:tcW w:w="717" w:type="pct"/>
          </w:tcPr>
          <w:p w14:paraId="216E176B" w14:textId="77777777" w:rsidR="00A4454A" w:rsidRPr="008C1137" w:rsidRDefault="00A4454A" w:rsidP="00390380">
            <w:pPr>
              <w:pStyle w:val="TableBody"/>
            </w:pPr>
            <w:r w:rsidRPr="008C1137">
              <w:t>46</w:t>
            </w:r>
          </w:p>
        </w:tc>
        <w:tc>
          <w:tcPr>
            <w:tcW w:w="717" w:type="pct"/>
          </w:tcPr>
          <w:p w14:paraId="178515A0" w14:textId="77777777" w:rsidR="00A4454A" w:rsidRPr="008C1137" w:rsidRDefault="00A4454A" w:rsidP="00390380">
            <w:pPr>
              <w:pStyle w:val="TableBody"/>
            </w:pPr>
            <w:r w:rsidRPr="008C1137">
              <w:t>45</w:t>
            </w:r>
          </w:p>
        </w:tc>
        <w:tc>
          <w:tcPr>
            <w:tcW w:w="717" w:type="pct"/>
          </w:tcPr>
          <w:p w14:paraId="679B65FA" w14:textId="77777777" w:rsidR="00A4454A" w:rsidRPr="008C1137" w:rsidRDefault="00A4454A" w:rsidP="00390380">
            <w:pPr>
              <w:pStyle w:val="TableBody"/>
            </w:pPr>
            <w:r w:rsidRPr="008C1137">
              <w:t>22</w:t>
            </w:r>
          </w:p>
        </w:tc>
      </w:tr>
      <w:tr w:rsidR="006A0A62" w:rsidRPr="008C1137" w14:paraId="4D9E5A33" w14:textId="77777777" w:rsidTr="00CF2074">
        <w:trPr>
          <w:trHeight w:val="60"/>
        </w:trPr>
        <w:tc>
          <w:tcPr>
            <w:tcW w:w="700" w:type="pct"/>
          </w:tcPr>
          <w:p w14:paraId="648403AC" w14:textId="77777777" w:rsidR="00A4454A" w:rsidRPr="000C258A" w:rsidRDefault="00A4454A" w:rsidP="00390380">
            <w:pPr>
              <w:pStyle w:val="TableBody"/>
              <w:rPr>
                <w:rStyle w:val="Strong"/>
              </w:rPr>
            </w:pPr>
            <w:r w:rsidRPr="000C258A">
              <w:rPr>
                <w:rStyle w:val="Strong"/>
              </w:rPr>
              <w:t>Percentage change</w:t>
            </w:r>
          </w:p>
        </w:tc>
        <w:tc>
          <w:tcPr>
            <w:tcW w:w="716" w:type="pct"/>
          </w:tcPr>
          <w:p w14:paraId="378DD3DF" w14:textId="77777777" w:rsidR="00A4454A" w:rsidRPr="000C258A" w:rsidRDefault="00A4454A" w:rsidP="00390380">
            <w:pPr>
              <w:pStyle w:val="TableBody"/>
              <w:rPr>
                <w:rStyle w:val="Strong"/>
              </w:rPr>
            </w:pPr>
            <w:r w:rsidRPr="000C258A">
              <w:rPr>
                <w:rStyle w:val="Strong"/>
              </w:rPr>
              <w:t>23.1%</w:t>
            </w:r>
          </w:p>
        </w:tc>
        <w:tc>
          <w:tcPr>
            <w:tcW w:w="717" w:type="pct"/>
          </w:tcPr>
          <w:p w14:paraId="5705EB8D" w14:textId="77777777" w:rsidR="00A4454A" w:rsidRPr="000C258A" w:rsidRDefault="00A4454A" w:rsidP="00390380">
            <w:pPr>
              <w:pStyle w:val="TableBody"/>
              <w:rPr>
                <w:rStyle w:val="Strong"/>
              </w:rPr>
            </w:pPr>
            <w:r w:rsidRPr="000C258A">
              <w:rPr>
                <w:rStyle w:val="Strong"/>
              </w:rPr>
              <w:t>14.1%</w:t>
            </w:r>
          </w:p>
        </w:tc>
        <w:tc>
          <w:tcPr>
            <w:tcW w:w="717" w:type="pct"/>
          </w:tcPr>
          <w:p w14:paraId="192A5C63" w14:textId="77777777" w:rsidR="00A4454A" w:rsidRPr="000C258A" w:rsidRDefault="00A4454A" w:rsidP="00390380">
            <w:pPr>
              <w:pStyle w:val="TableBody"/>
              <w:rPr>
                <w:rStyle w:val="Strong"/>
              </w:rPr>
            </w:pPr>
            <w:r w:rsidRPr="000C258A">
              <w:rPr>
                <w:rStyle w:val="Strong"/>
              </w:rPr>
              <w:t>5.2%</w:t>
            </w:r>
          </w:p>
        </w:tc>
        <w:tc>
          <w:tcPr>
            <w:tcW w:w="717" w:type="pct"/>
          </w:tcPr>
          <w:p w14:paraId="0927057B" w14:textId="77777777" w:rsidR="00A4454A" w:rsidRPr="000C258A" w:rsidRDefault="00A4454A" w:rsidP="00390380">
            <w:pPr>
              <w:pStyle w:val="TableBody"/>
              <w:rPr>
                <w:rStyle w:val="Strong"/>
              </w:rPr>
            </w:pPr>
            <w:r w:rsidRPr="000C258A">
              <w:rPr>
                <w:rStyle w:val="Strong"/>
              </w:rPr>
              <w:t>70.4%</w:t>
            </w:r>
          </w:p>
        </w:tc>
        <w:tc>
          <w:tcPr>
            <w:tcW w:w="717" w:type="pct"/>
          </w:tcPr>
          <w:p w14:paraId="3909E60C" w14:textId="77777777" w:rsidR="00A4454A" w:rsidRPr="000C258A" w:rsidRDefault="00A4454A" w:rsidP="00390380">
            <w:pPr>
              <w:pStyle w:val="TableBody"/>
              <w:rPr>
                <w:rStyle w:val="Strong"/>
              </w:rPr>
            </w:pPr>
            <w:r w:rsidRPr="000C258A">
              <w:rPr>
                <w:rStyle w:val="Strong"/>
              </w:rPr>
              <w:t>200.0%</w:t>
            </w:r>
          </w:p>
        </w:tc>
        <w:tc>
          <w:tcPr>
            <w:tcW w:w="717" w:type="pct"/>
          </w:tcPr>
          <w:p w14:paraId="4BCB3433" w14:textId="77777777" w:rsidR="00A4454A" w:rsidRPr="000C258A" w:rsidRDefault="00A4454A" w:rsidP="00390380">
            <w:pPr>
              <w:pStyle w:val="TableBody"/>
              <w:rPr>
                <w:rStyle w:val="Strong"/>
              </w:rPr>
            </w:pPr>
            <w:r w:rsidRPr="000C258A">
              <w:rPr>
                <w:rStyle w:val="Strong"/>
              </w:rPr>
              <w:t>−42.1%</w:t>
            </w:r>
          </w:p>
        </w:tc>
      </w:tr>
    </w:tbl>
    <w:p w14:paraId="7BF61898" w14:textId="77777777" w:rsidR="00A4454A" w:rsidRPr="008C1137" w:rsidRDefault="00A4454A" w:rsidP="00BE4EDC">
      <w:pPr>
        <w:pStyle w:val="Caption"/>
      </w:pPr>
      <w:r w:rsidRPr="00157502">
        <w:t>Table A3</w:t>
      </w:r>
      <w:r w:rsidRPr="008C1137">
        <w:t>: Proportion (%) of cases resulting in imprisonment in the higher courts</w:t>
      </w:r>
    </w:p>
    <w:tbl>
      <w:tblPr>
        <w:tblStyle w:val="Table"/>
        <w:tblW w:w="5000" w:type="pct"/>
        <w:tblLook w:val="0020" w:firstRow="1" w:lastRow="0" w:firstColumn="0" w:lastColumn="0" w:noHBand="0" w:noVBand="0"/>
      </w:tblPr>
      <w:tblGrid>
        <w:gridCol w:w="1251"/>
        <w:gridCol w:w="1280"/>
        <w:gridCol w:w="1282"/>
        <w:gridCol w:w="1282"/>
        <w:gridCol w:w="1282"/>
        <w:gridCol w:w="1358"/>
        <w:gridCol w:w="1281"/>
      </w:tblGrid>
      <w:tr w:rsidR="006A0A62" w:rsidRPr="008C1137" w14:paraId="5F9371F8" w14:textId="77777777" w:rsidTr="00CF2074">
        <w:trPr>
          <w:trHeight w:val="60"/>
          <w:tblHeader/>
        </w:trPr>
        <w:tc>
          <w:tcPr>
            <w:tcW w:w="700" w:type="pct"/>
          </w:tcPr>
          <w:p w14:paraId="2B1A7156" w14:textId="77777777" w:rsidR="00A4454A" w:rsidRPr="00281603" w:rsidRDefault="00A4454A" w:rsidP="00281603">
            <w:pPr>
              <w:pStyle w:val="TableHeading"/>
            </w:pPr>
            <w:r w:rsidRPr="00281603">
              <w:t>Financial year</w:t>
            </w:r>
          </w:p>
        </w:tc>
        <w:tc>
          <w:tcPr>
            <w:tcW w:w="716" w:type="pct"/>
          </w:tcPr>
          <w:p w14:paraId="307ABC4C" w14:textId="77777777" w:rsidR="00A4454A" w:rsidRPr="00281603" w:rsidRDefault="00A4454A" w:rsidP="00281603">
            <w:pPr>
              <w:pStyle w:val="TableHeading"/>
            </w:pPr>
            <w:r w:rsidRPr="00281603">
              <w:t>Offences against the person</w:t>
            </w:r>
          </w:p>
        </w:tc>
        <w:tc>
          <w:tcPr>
            <w:tcW w:w="717" w:type="pct"/>
          </w:tcPr>
          <w:p w14:paraId="6F967118" w14:textId="77777777" w:rsidR="00A4454A" w:rsidRPr="00281603" w:rsidRDefault="00A4454A" w:rsidP="00281603">
            <w:pPr>
              <w:pStyle w:val="TableHeading"/>
            </w:pPr>
            <w:r w:rsidRPr="00281603">
              <w:t>Property offences</w:t>
            </w:r>
          </w:p>
        </w:tc>
        <w:tc>
          <w:tcPr>
            <w:tcW w:w="717" w:type="pct"/>
          </w:tcPr>
          <w:p w14:paraId="797D9C7A" w14:textId="77777777" w:rsidR="00A4454A" w:rsidRPr="00281603" w:rsidRDefault="00A4454A" w:rsidP="00281603">
            <w:pPr>
              <w:pStyle w:val="TableHeading"/>
            </w:pPr>
            <w:r w:rsidRPr="00281603">
              <w:t>Drug offences</w:t>
            </w:r>
          </w:p>
        </w:tc>
        <w:tc>
          <w:tcPr>
            <w:tcW w:w="717" w:type="pct"/>
          </w:tcPr>
          <w:p w14:paraId="62E8F0C6" w14:textId="77777777" w:rsidR="00A4454A" w:rsidRPr="00281603" w:rsidRDefault="00A4454A" w:rsidP="00281603">
            <w:pPr>
              <w:pStyle w:val="TableHeading"/>
            </w:pPr>
            <w:r w:rsidRPr="00281603">
              <w:t>Public order offences</w:t>
            </w:r>
          </w:p>
        </w:tc>
        <w:tc>
          <w:tcPr>
            <w:tcW w:w="717" w:type="pct"/>
          </w:tcPr>
          <w:p w14:paraId="1D69D0E5" w14:textId="77777777" w:rsidR="00A4454A" w:rsidRPr="00281603" w:rsidRDefault="00A4454A" w:rsidP="00281603">
            <w:pPr>
              <w:pStyle w:val="TableHeading"/>
            </w:pPr>
            <w:r w:rsidRPr="00281603">
              <w:t>Justice procedure offences</w:t>
            </w:r>
          </w:p>
        </w:tc>
        <w:tc>
          <w:tcPr>
            <w:tcW w:w="717" w:type="pct"/>
          </w:tcPr>
          <w:p w14:paraId="7F7FA96B" w14:textId="77777777" w:rsidR="00A4454A" w:rsidRPr="00281603" w:rsidRDefault="00A4454A" w:rsidP="00281603">
            <w:pPr>
              <w:pStyle w:val="TableHeading"/>
            </w:pPr>
            <w:r w:rsidRPr="00281603">
              <w:t>Other offences</w:t>
            </w:r>
          </w:p>
        </w:tc>
      </w:tr>
      <w:tr w:rsidR="006A0A62" w:rsidRPr="008C1137" w14:paraId="3E322087" w14:textId="77777777" w:rsidTr="00CF2074">
        <w:trPr>
          <w:trHeight w:val="60"/>
        </w:trPr>
        <w:tc>
          <w:tcPr>
            <w:tcW w:w="700" w:type="pct"/>
          </w:tcPr>
          <w:p w14:paraId="368819ED" w14:textId="77777777" w:rsidR="00A4454A" w:rsidRPr="008C1137" w:rsidRDefault="00A4454A" w:rsidP="00390380">
            <w:pPr>
              <w:pStyle w:val="TableBody"/>
            </w:pPr>
            <w:r w:rsidRPr="008C1137">
              <w:t>2005</w:t>
            </w:r>
          </w:p>
        </w:tc>
        <w:tc>
          <w:tcPr>
            <w:tcW w:w="716" w:type="pct"/>
          </w:tcPr>
          <w:p w14:paraId="1E5762FB" w14:textId="77777777" w:rsidR="00A4454A" w:rsidRPr="008C1137" w:rsidRDefault="00A4454A" w:rsidP="00390380">
            <w:pPr>
              <w:pStyle w:val="TableBody"/>
            </w:pPr>
            <w:r w:rsidRPr="008C1137">
              <w:t>53.2</w:t>
            </w:r>
          </w:p>
        </w:tc>
        <w:tc>
          <w:tcPr>
            <w:tcW w:w="717" w:type="pct"/>
          </w:tcPr>
          <w:p w14:paraId="197CEE69" w14:textId="77777777" w:rsidR="00A4454A" w:rsidRPr="008C1137" w:rsidRDefault="00A4454A" w:rsidP="00390380">
            <w:pPr>
              <w:pStyle w:val="TableBody"/>
            </w:pPr>
            <w:r w:rsidRPr="008C1137">
              <w:t>44.9</w:t>
            </w:r>
          </w:p>
        </w:tc>
        <w:tc>
          <w:tcPr>
            <w:tcW w:w="717" w:type="pct"/>
          </w:tcPr>
          <w:p w14:paraId="68D2E099" w14:textId="77777777" w:rsidR="00A4454A" w:rsidRPr="008C1137" w:rsidRDefault="00A4454A" w:rsidP="00390380">
            <w:pPr>
              <w:pStyle w:val="TableBody"/>
            </w:pPr>
            <w:r w:rsidRPr="008C1137">
              <w:t>62.7</w:t>
            </w:r>
          </w:p>
        </w:tc>
        <w:tc>
          <w:tcPr>
            <w:tcW w:w="717" w:type="pct"/>
          </w:tcPr>
          <w:p w14:paraId="7CFF3F18" w14:textId="77777777" w:rsidR="00A4454A" w:rsidRPr="008C1137" w:rsidRDefault="00A4454A" w:rsidP="00390380">
            <w:pPr>
              <w:pStyle w:val="TableBody"/>
            </w:pPr>
            <w:r w:rsidRPr="008C1137">
              <w:t>34.6</w:t>
            </w:r>
          </w:p>
        </w:tc>
        <w:tc>
          <w:tcPr>
            <w:tcW w:w="717" w:type="pct"/>
          </w:tcPr>
          <w:p w14:paraId="6724830A" w14:textId="77777777" w:rsidR="00A4454A" w:rsidRPr="008C1137" w:rsidRDefault="00A4454A" w:rsidP="00390380">
            <w:pPr>
              <w:pStyle w:val="TableBody"/>
            </w:pPr>
            <w:r w:rsidRPr="008C1137">
              <w:t>27.3</w:t>
            </w:r>
          </w:p>
        </w:tc>
        <w:tc>
          <w:tcPr>
            <w:tcW w:w="717" w:type="pct"/>
          </w:tcPr>
          <w:p w14:paraId="7EC3F244" w14:textId="77777777" w:rsidR="00A4454A" w:rsidRPr="008C1137" w:rsidRDefault="00A4454A" w:rsidP="00390380">
            <w:pPr>
              <w:pStyle w:val="TableBody"/>
            </w:pPr>
            <w:r w:rsidRPr="008C1137">
              <w:t>51.4</w:t>
            </w:r>
          </w:p>
        </w:tc>
      </w:tr>
      <w:tr w:rsidR="006A0A62" w:rsidRPr="008C1137" w14:paraId="7E401D16" w14:textId="77777777" w:rsidTr="00CF2074">
        <w:trPr>
          <w:trHeight w:val="60"/>
        </w:trPr>
        <w:tc>
          <w:tcPr>
            <w:tcW w:w="700" w:type="pct"/>
          </w:tcPr>
          <w:p w14:paraId="24169E68" w14:textId="77777777" w:rsidR="00A4454A" w:rsidRPr="008C1137" w:rsidRDefault="00A4454A" w:rsidP="00390380">
            <w:pPr>
              <w:pStyle w:val="TableBody"/>
            </w:pPr>
            <w:r w:rsidRPr="008C1137">
              <w:t>2006</w:t>
            </w:r>
          </w:p>
        </w:tc>
        <w:tc>
          <w:tcPr>
            <w:tcW w:w="716" w:type="pct"/>
          </w:tcPr>
          <w:p w14:paraId="12C7BA93" w14:textId="77777777" w:rsidR="00A4454A" w:rsidRPr="008C1137" w:rsidRDefault="00A4454A" w:rsidP="00390380">
            <w:pPr>
              <w:pStyle w:val="TableBody"/>
            </w:pPr>
            <w:r w:rsidRPr="008C1137">
              <w:t>58.5</w:t>
            </w:r>
          </w:p>
        </w:tc>
        <w:tc>
          <w:tcPr>
            <w:tcW w:w="717" w:type="pct"/>
          </w:tcPr>
          <w:p w14:paraId="134D5520" w14:textId="77777777" w:rsidR="00A4454A" w:rsidRPr="008C1137" w:rsidRDefault="00A4454A" w:rsidP="00390380">
            <w:pPr>
              <w:pStyle w:val="TableBody"/>
            </w:pPr>
            <w:r w:rsidRPr="008C1137">
              <w:t>45.4</w:t>
            </w:r>
          </w:p>
        </w:tc>
        <w:tc>
          <w:tcPr>
            <w:tcW w:w="717" w:type="pct"/>
          </w:tcPr>
          <w:p w14:paraId="18C75730" w14:textId="77777777" w:rsidR="00A4454A" w:rsidRPr="008C1137" w:rsidRDefault="00A4454A" w:rsidP="00390380">
            <w:pPr>
              <w:pStyle w:val="TableBody"/>
            </w:pPr>
            <w:r w:rsidRPr="008C1137">
              <w:t>57.7</w:t>
            </w:r>
          </w:p>
        </w:tc>
        <w:tc>
          <w:tcPr>
            <w:tcW w:w="717" w:type="pct"/>
          </w:tcPr>
          <w:p w14:paraId="32688682" w14:textId="77777777" w:rsidR="00A4454A" w:rsidRPr="008C1137" w:rsidRDefault="00A4454A" w:rsidP="00390380">
            <w:pPr>
              <w:pStyle w:val="TableBody"/>
            </w:pPr>
            <w:r w:rsidRPr="008C1137">
              <w:t>17.9</w:t>
            </w:r>
          </w:p>
        </w:tc>
        <w:tc>
          <w:tcPr>
            <w:tcW w:w="717" w:type="pct"/>
          </w:tcPr>
          <w:p w14:paraId="6EFCFA4C" w14:textId="77777777" w:rsidR="00A4454A" w:rsidRPr="008C1137" w:rsidRDefault="00A4454A" w:rsidP="00390380">
            <w:pPr>
              <w:pStyle w:val="TableBody"/>
            </w:pPr>
            <w:r w:rsidRPr="008C1137">
              <w:t>31.1</w:t>
            </w:r>
          </w:p>
        </w:tc>
        <w:tc>
          <w:tcPr>
            <w:tcW w:w="717" w:type="pct"/>
          </w:tcPr>
          <w:p w14:paraId="7A1B23FA" w14:textId="77777777" w:rsidR="00A4454A" w:rsidRPr="008C1137" w:rsidRDefault="00A4454A" w:rsidP="00390380">
            <w:pPr>
              <w:pStyle w:val="TableBody"/>
            </w:pPr>
            <w:r w:rsidRPr="008C1137">
              <w:t>52.7</w:t>
            </w:r>
          </w:p>
        </w:tc>
      </w:tr>
      <w:tr w:rsidR="006A0A62" w:rsidRPr="008C1137" w14:paraId="487B6F64" w14:textId="77777777" w:rsidTr="00CF2074">
        <w:trPr>
          <w:trHeight w:val="60"/>
        </w:trPr>
        <w:tc>
          <w:tcPr>
            <w:tcW w:w="700" w:type="pct"/>
          </w:tcPr>
          <w:p w14:paraId="7CA8CB27" w14:textId="77777777" w:rsidR="00A4454A" w:rsidRPr="008C1137" w:rsidRDefault="00A4454A" w:rsidP="00390380">
            <w:pPr>
              <w:pStyle w:val="TableBody"/>
            </w:pPr>
            <w:r w:rsidRPr="008C1137">
              <w:t>2007</w:t>
            </w:r>
          </w:p>
        </w:tc>
        <w:tc>
          <w:tcPr>
            <w:tcW w:w="716" w:type="pct"/>
          </w:tcPr>
          <w:p w14:paraId="7286823D" w14:textId="77777777" w:rsidR="00A4454A" w:rsidRPr="008C1137" w:rsidRDefault="00A4454A" w:rsidP="00390380">
            <w:pPr>
              <w:pStyle w:val="TableBody"/>
            </w:pPr>
            <w:r w:rsidRPr="008C1137">
              <w:t>57.9</w:t>
            </w:r>
          </w:p>
        </w:tc>
        <w:tc>
          <w:tcPr>
            <w:tcW w:w="717" w:type="pct"/>
          </w:tcPr>
          <w:p w14:paraId="2D3F4DBB" w14:textId="77777777" w:rsidR="00A4454A" w:rsidRPr="008C1137" w:rsidRDefault="00A4454A" w:rsidP="00390380">
            <w:pPr>
              <w:pStyle w:val="TableBody"/>
            </w:pPr>
            <w:r w:rsidRPr="008C1137">
              <w:t>49.7</w:t>
            </w:r>
          </w:p>
        </w:tc>
        <w:tc>
          <w:tcPr>
            <w:tcW w:w="717" w:type="pct"/>
          </w:tcPr>
          <w:p w14:paraId="7095C43D" w14:textId="77777777" w:rsidR="00A4454A" w:rsidRPr="008C1137" w:rsidRDefault="00A4454A" w:rsidP="00390380">
            <w:pPr>
              <w:pStyle w:val="TableBody"/>
            </w:pPr>
            <w:r w:rsidRPr="008C1137">
              <w:t>67.0</w:t>
            </w:r>
          </w:p>
        </w:tc>
        <w:tc>
          <w:tcPr>
            <w:tcW w:w="717" w:type="pct"/>
          </w:tcPr>
          <w:p w14:paraId="3C96590A" w14:textId="77777777" w:rsidR="00A4454A" w:rsidRPr="008C1137" w:rsidRDefault="00A4454A" w:rsidP="00390380">
            <w:pPr>
              <w:pStyle w:val="TableBody"/>
            </w:pPr>
            <w:r w:rsidRPr="008C1137">
              <w:t>29.6</w:t>
            </w:r>
          </w:p>
        </w:tc>
        <w:tc>
          <w:tcPr>
            <w:tcW w:w="717" w:type="pct"/>
          </w:tcPr>
          <w:p w14:paraId="6EE2984A" w14:textId="77777777" w:rsidR="00A4454A" w:rsidRPr="008C1137" w:rsidRDefault="00A4454A" w:rsidP="00390380">
            <w:pPr>
              <w:pStyle w:val="TableBody"/>
            </w:pPr>
            <w:r w:rsidRPr="008C1137">
              <w:t>18.2</w:t>
            </w:r>
          </w:p>
        </w:tc>
        <w:tc>
          <w:tcPr>
            <w:tcW w:w="717" w:type="pct"/>
          </w:tcPr>
          <w:p w14:paraId="05F94FEA" w14:textId="77777777" w:rsidR="00A4454A" w:rsidRPr="008C1137" w:rsidRDefault="00A4454A" w:rsidP="00390380">
            <w:pPr>
              <w:pStyle w:val="TableBody"/>
            </w:pPr>
            <w:r w:rsidRPr="008C1137">
              <w:t>40.5</w:t>
            </w:r>
          </w:p>
        </w:tc>
      </w:tr>
      <w:tr w:rsidR="006A0A62" w:rsidRPr="008C1137" w14:paraId="53F96B06" w14:textId="77777777" w:rsidTr="00CF2074">
        <w:trPr>
          <w:trHeight w:val="60"/>
        </w:trPr>
        <w:tc>
          <w:tcPr>
            <w:tcW w:w="700" w:type="pct"/>
          </w:tcPr>
          <w:p w14:paraId="426D2FB0" w14:textId="77777777" w:rsidR="00A4454A" w:rsidRPr="008C1137" w:rsidRDefault="00A4454A" w:rsidP="00390380">
            <w:pPr>
              <w:pStyle w:val="TableBody"/>
            </w:pPr>
            <w:r w:rsidRPr="008C1137">
              <w:t>2008</w:t>
            </w:r>
          </w:p>
        </w:tc>
        <w:tc>
          <w:tcPr>
            <w:tcW w:w="716" w:type="pct"/>
          </w:tcPr>
          <w:p w14:paraId="71CB3D0A" w14:textId="77777777" w:rsidR="00A4454A" w:rsidRPr="008C1137" w:rsidRDefault="00A4454A" w:rsidP="00390380">
            <w:pPr>
              <w:pStyle w:val="TableBody"/>
            </w:pPr>
            <w:r w:rsidRPr="008C1137">
              <w:t>57.1</w:t>
            </w:r>
          </w:p>
        </w:tc>
        <w:tc>
          <w:tcPr>
            <w:tcW w:w="717" w:type="pct"/>
          </w:tcPr>
          <w:p w14:paraId="1CF19B20" w14:textId="77777777" w:rsidR="00A4454A" w:rsidRPr="008C1137" w:rsidRDefault="00A4454A" w:rsidP="00390380">
            <w:pPr>
              <w:pStyle w:val="TableBody"/>
            </w:pPr>
            <w:r w:rsidRPr="008C1137">
              <w:t>52.1</w:t>
            </w:r>
          </w:p>
        </w:tc>
        <w:tc>
          <w:tcPr>
            <w:tcW w:w="717" w:type="pct"/>
          </w:tcPr>
          <w:p w14:paraId="7BD8E314" w14:textId="77777777" w:rsidR="00A4454A" w:rsidRPr="008C1137" w:rsidRDefault="00A4454A" w:rsidP="00390380">
            <w:pPr>
              <w:pStyle w:val="TableBody"/>
            </w:pPr>
            <w:r w:rsidRPr="008C1137">
              <w:t>61.3</w:t>
            </w:r>
          </w:p>
        </w:tc>
        <w:tc>
          <w:tcPr>
            <w:tcW w:w="717" w:type="pct"/>
          </w:tcPr>
          <w:p w14:paraId="4A8C68E8" w14:textId="77777777" w:rsidR="00A4454A" w:rsidRPr="008C1137" w:rsidRDefault="00A4454A" w:rsidP="00390380">
            <w:pPr>
              <w:pStyle w:val="TableBody"/>
            </w:pPr>
            <w:r w:rsidRPr="008C1137">
              <w:t>36.6</w:t>
            </w:r>
          </w:p>
        </w:tc>
        <w:tc>
          <w:tcPr>
            <w:tcW w:w="717" w:type="pct"/>
          </w:tcPr>
          <w:p w14:paraId="07A162D4" w14:textId="77777777" w:rsidR="00A4454A" w:rsidRPr="008C1137" w:rsidRDefault="00A4454A" w:rsidP="00390380">
            <w:pPr>
              <w:pStyle w:val="TableBody"/>
            </w:pPr>
            <w:r w:rsidRPr="008C1137">
              <w:t>39.3</w:t>
            </w:r>
          </w:p>
        </w:tc>
        <w:tc>
          <w:tcPr>
            <w:tcW w:w="717" w:type="pct"/>
          </w:tcPr>
          <w:p w14:paraId="55590A9F" w14:textId="77777777" w:rsidR="00A4454A" w:rsidRPr="008C1137" w:rsidRDefault="00A4454A" w:rsidP="00390380">
            <w:pPr>
              <w:pStyle w:val="TableBody"/>
            </w:pPr>
            <w:r w:rsidRPr="008C1137">
              <w:t>37.3</w:t>
            </w:r>
          </w:p>
        </w:tc>
      </w:tr>
      <w:tr w:rsidR="006A0A62" w:rsidRPr="008C1137" w14:paraId="405A4E6E" w14:textId="77777777" w:rsidTr="00CF2074">
        <w:trPr>
          <w:trHeight w:val="60"/>
        </w:trPr>
        <w:tc>
          <w:tcPr>
            <w:tcW w:w="700" w:type="pct"/>
          </w:tcPr>
          <w:p w14:paraId="228BA949" w14:textId="77777777" w:rsidR="00A4454A" w:rsidRPr="008C1137" w:rsidRDefault="00A4454A" w:rsidP="00390380">
            <w:pPr>
              <w:pStyle w:val="TableBody"/>
            </w:pPr>
            <w:r w:rsidRPr="008C1137">
              <w:t>2009</w:t>
            </w:r>
          </w:p>
        </w:tc>
        <w:tc>
          <w:tcPr>
            <w:tcW w:w="716" w:type="pct"/>
          </w:tcPr>
          <w:p w14:paraId="62EA22C5" w14:textId="77777777" w:rsidR="00A4454A" w:rsidRPr="008C1137" w:rsidRDefault="00A4454A" w:rsidP="00390380">
            <w:pPr>
              <w:pStyle w:val="TableBody"/>
            </w:pPr>
            <w:r w:rsidRPr="008C1137">
              <w:t>59.4</w:t>
            </w:r>
          </w:p>
        </w:tc>
        <w:tc>
          <w:tcPr>
            <w:tcW w:w="717" w:type="pct"/>
          </w:tcPr>
          <w:p w14:paraId="4B44C3D2" w14:textId="77777777" w:rsidR="00A4454A" w:rsidRPr="008C1137" w:rsidRDefault="00A4454A" w:rsidP="00390380">
            <w:pPr>
              <w:pStyle w:val="TableBody"/>
            </w:pPr>
            <w:r w:rsidRPr="008C1137">
              <w:t>53.3</w:t>
            </w:r>
          </w:p>
        </w:tc>
        <w:tc>
          <w:tcPr>
            <w:tcW w:w="717" w:type="pct"/>
          </w:tcPr>
          <w:p w14:paraId="28192A7B" w14:textId="77777777" w:rsidR="00A4454A" w:rsidRPr="008C1137" w:rsidRDefault="00A4454A" w:rsidP="00390380">
            <w:pPr>
              <w:pStyle w:val="TableBody"/>
            </w:pPr>
            <w:r w:rsidRPr="008C1137">
              <w:t>67.7</w:t>
            </w:r>
          </w:p>
        </w:tc>
        <w:tc>
          <w:tcPr>
            <w:tcW w:w="717" w:type="pct"/>
          </w:tcPr>
          <w:p w14:paraId="687F6655" w14:textId="77777777" w:rsidR="00A4454A" w:rsidRPr="008C1137" w:rsidRDefault="00A4454A" w:rsidP="00390380">
            <w:pPr>
              <w:pStyle w:val="TableBody"/>
            </w:pPr>
            <w:r w:rsidRPr="008C1137">
              <w:t>33.8</w:t>
            </w:r>
          </w:p>
        </w:tc>
        <w:tc>
          <w:tcPr>
            <w:tcW w:w="717" w:type="pct"/>
          </w:tcPr>
          <w:p w14:paraId="7A85A6D0" w14:textId="77777777" w:rsidR="00A4454A" w:rsidRPr="008C1137" w:rsidRDefault="00A4454A" w:rsidP="00390380">
            <w:pPr>
              <w:pStyle w:val="TableBody"/>
            </w:pPr>
            <w:r w:rsidRPr="008C1137">
              <w:t>50.0</w:t>
            </w:r>
          </w:p>
        </w:tc>
        <w:tc>
          <w:tcPr>
            <w:tcW w:w="717" w:type="pct"/>
          </w:tcPr>
          <w:p w14:paraId="745D74E4" w14:textId="77777777" w:rsidR="00A4454A" w:rsidRPr="008C1137" w:rsidRDefault="00A4454A" w:rsidP="00390380">
            <w:pPr>
              <w:pStyle w:val="TableBody"/>
            </w:pPr>
            <w:r w:rsidRPr="008C1137">
              <w:t>24.0</w:t>
            </w:r>
          </w:p>
        </w:tc>
      </w:tr>
      <w:tr w:rsidR="006A0A62" w:rsidRPr="008C1137" w14:paraId="01BC20E4" w14:textId="77777777" w:rsidTr="00CF2074">
        <w:trPr>
          <w:trHeight w:val="60"/>
        </w:trPr>
        <w:tc>
          <w:tcPr>
            <w:tcW w:w="700" w:type="pct"/>
          </w:tcPr>
          <w:p w14:paraId="637FB8B0" w14:textId="77777777" w:rsidR="00A4454A" w:rsidRPr="008C1137" w:rsidRDefault="00A4454A" w:rsidP="00390380">
            <w:pPr>
              <w:pStyle w:val="TableBody"/>
            </w:pPr>
            <w:r w:rsidRPr="008C1137">
              <w:t>2010</w:t>
            </w:r>
          </w:p>
        </w:tc>
        <w:tc>
          <w:tcPr>
            <w:tcW w:w="716" w:type="pct"/>
          </w:tcPr>
          <w:p w14:paraId="35DD12E7" w14:textId="77777777" w:rsidR="00A4454A" w:rsidRPr="008C1137" w:rsidRDefault="00A4454A" w:rsidP="00390380">
            <w:pPr>
              <w:pStyle w:val="TableBody"/>
            </w:pPr>
            <w:r w:rsidRPr="008C1137">
              <w:t>67.6</w:t>
            </w:r>
          </w:p>
        </w:tc>
        <w:tc>
          <w:tcPr>
            <w:tcW w:w="717" w:type="pct"/>
          </w:tcPr>
          <w:p w14:paraId="7D2AEF06" w14:textId="77777777" w:rsidR="00A4454A" w:rsidRPr="008C1137" w:rsidRDefault="00A4454A" w:rsidP="00390380">
            <w:pPr>
              <w:pStyle w:val="TableBody"/>
            </w:pPr>
            <w:r w:rsidRPr="008C1137">
              <w:t>60.6</w:t>
            </w:r>
          </w:p>
        </w:tc>
        <w:tc>
          <w:tcPr>
            <w:tcW w:w="717" w:type="pct"/>
          </w:tcPr>
          <w:p w14:paraId="7320A17A" w14:textId="77777777" w:rsidR="00A4454A" w:rsidRPr="008C1137" w:rsidRDefault="00A4454A" w:rsidP="00390380">
            <w:pPr>
              <w:pStyle w:val="TableBody"/>
            </w:pPr>
            <w:r w:rsidRPr="008C1137">
              <w:t>67.8</w:t>
            </w:r>
          </w:p>
        </w:tc>
        <w:tc>
          <w:tcPr>
            <w:tcW w:w="717" w:type="pct"/>
          </w:tcPr>
          <w:p w14:paraId="45DFBF87" w14:textId="77777777" w:rsidR="00A4454A" w:rsidRPr="008C1137" w:rsidRDefault="00A4454A" w:rsidP="00390380">
            <w:pPr>
              <w:pStyle w:val="TableBody"/>
            </w:pPr>
            <w:r w:rsidRPr="008C1137">
              <w:t>28.6</w:t>
            </w:r>
          </w:p>
        </w:tc>
        <w:tc>
          <w:tcPr>
            <w:tcW w:w="717" w:type="pct"/>
          </w:tcPr>
          <w:p w14:paraId="33C381C6" w14:textId="77777777" w:rsidR="00A4454A" w:rsidRPr="008C1137" w:rsidRDefault="00A4454A" w:rsidP="00390380">
            <w:pPr>
              <w:pStyle w:val="TableBody"/>
            </w:pPr>
            <w:r w:rsidRPr="008C1137">
              <w:t>37.1</w:t>
            </w:r>
          </w:p>
        </w:tc>
        <w:tc>
          <w:tcPr>
            <w:tcW w:w="717" w:type="pct"/>
          </w:tcPr>
          <w:p w14:paraId="6E5659B3" w14:textId="77777777" w:rsidR="00A4454A" w:rsidRPr="008C1137" w:rsidRDefault="00A4454A" w:rsidP="00390380">
            <w:pPr>
              <w:pStyle w:val="TableBody"/>
            </w:pPr>
            <w:r w:rsidRPr="008C1137">
              <w:t>18.5</w:t>
            </w:r>
          </w:p>
        </w:tc>
      </w:tr>
      <w:tr w:rsidR="006A0A62" w:rsidRPr="008C1137" w14:paraId="36431ABF" w14:textId="77777777" w:rsidTr="00CF2074">
        <w:trPr>
          <w:trHeight w:val="60"/>
        </w:trPr>
        <w:tc>
          <w:tcPr>
            <w:tcW w:w="700" w:type="pct"/>
          </w:tcPr>
          <w:p w14:paraId="29467DDB" w14:textId="77777777" w:rsidR="00A4454A" w:rsidRPr="008C1137" w:rsidRDefault="00A4454A" w:rsidP="00390380">
            <w:pPr>
              <w:pStyle w:val="TableBody"/>
            </w:pPr>
            <w:r w:rsidRPr="008C1137">
              <w:t>2011</w:t>
            </w:r>
          </w:p>
        </w:tc>
        <w:tc>
          <w:tcPr>
            <w:tcW w:w="716" w:type="pct"/>
          </w:tcPr>
          <w:p w14:paraId="105708CA" w14:textId="77777777" w:rsidR="00A4454A" w:rsidRPr="008C1137" w:rsidRDefault="00A4454A" w:rsidP="00390380">
            <w:pPr>
              <w:pStyle w:val="TableBody"/>
            </w:pPr>
            <w:r w:rsidRPr="008C1137">
              <w:t>65.8</w:t>
            </w:r>
          </w:p>
        </w:tc>
        <w:tc>
          <w:tcPr>
            <w:tcW w:w="717" w:type="pct"/>
          </w:tcPr>
          <w:p w14:paraId="75F8E9C6" w14:textId="77777777" w:rsidR="00A4454A" w:rsidRPr="008C1137" w:rsidRDefault="00A4454A" w:rsidP="00390380">
            <w:pPr>
              <w:pStyle w:val="TableBody"/>
            </w:pPr>
            <w:r w:rsidRPr="008C1137">
              <w:t>56.6</w:t>
            </w:r>
          </w:p>
        </w:tc>
        <w:tc>
          <w:tcPr>
            <w:tcW w:w="717" w:type="pct"/>
          </w:tcPr>
          <w:p w14:paraId="692D3A34" w14:textId="77777777" w:rsidR="00A4454A" w:rsidRPr="008C1137" w:rsidRDefault="00A4454A" w:rsidP="00390380">
            <w:pPr>
              <w:pStyle w:val="TableBody"/>
            </w:pPr>
            <w:r w:rsidRPr="008C1137">
              <w:t>68.2</w:t>
            </w:r>
          </w:p>
        </w:tc>
        <w:tc>
          <w:tcPr>
            <w:tcW w:w="717" w:type="pct"/>
          </w:tcPr>
          <w:p w14:paraId="071EBEAD" w14:textId="77777777" w:rsidR="00A4454A" w:rsidRPr="008C1137" w:rsidRDefault="00A4454A" w:rsidP="00390380">
            <w:pPr>
              <w:pStyle w:val="TableBody"/>
            </w:pPr>
            <w:r w:rsidRPr="008C1137">
              <w:t>42.6</w:t>
            </w:r>
          </w:p>
        </w:tc>
        <w:tc>
          <w:tcPr>
            <w:tcW w:w="717" w:type="pct"/>
          </w:tcPr>
          <w:p w14:paraId="4185A7E6" w14:textId="77777777" w:rsidR="00A4454A" w:rsidRPr="008C1137" w:rsidRDefault="00A4454A" w:rsidP="00390380">
            <w:pPr>
              <w:pStyle w:val="TableBody"/>
            </w:pPr>
            <w:r w:rsidRPr="008C1137">
              <w:t>28.6</w:t>
            </w:r>
          </w:p>
        </w:tc>
        <w:tc>
          <w:tcPr>
            <w:tcW w:w="717" w:type="pct"/>
          </w:tcPr>
          <w:p w14:paraId="3F86ED1C" w14:textId="77777777" w:rsidR="00A4454A" w:rsidRPr="008C1137" w:rsidRDefault="00A4454A" w:rsidP="00390380">
            <w:pPr>
              <w:pStyle w:val="TableBody"/>
            </w:pPr>
            <w:r w:rsidRPr="008C1137">
              <w:t>30.0</w:t>
            </w:r>
          </w:p>
        </w:tc>
      </w:tr>
      <w:tr w:rsidR="006A0A62" w:rsidRPr="008C1137" w14:paraId="66D39902" w14:textId="77777777" w:rsidTr="00CF2074">
        <w:trPr>
          <w:trHeight w:val="60"/>
        </w:trPr>
        <w:tc>
          <w:tcPr>
            <w:tcW w:w="700" w:type="pct"/>
          </w:tcPr>
          <w:p w14:paraId="4765E77B" w14:textId="77777777" w:rsidR="00A4454A" w:rsidRPr="008C1137" w:rsidRDefault="00A4454A" w:rsidP="00390380">
            <w:pPr>
              <w:pStyle w:val="TableBody"/>
            </w:pPr>
            <w:r w:rsidRPr="008C1137">
              <w:t>2012</w:t>
            </w:r>
          </w:p>
        </w:tc>
        <w:tc>
          <w:tcPr>
            <w:tcW w:w="716" w:type="pct"/>
          </w:tcPr>
          <w:p w14:paraId="2B6E2836" w14:textId="77777777" w:rsidR="00A4454A" w:rsidRPr="008C1137" w:rsidRDefault="00A4454A" w:rsidP="00390380">
            <w:pPr>
              <w:pStyle w:val="TableBody"/>
            </w:pPr>
            <w:r w:rsidRPr="008C1137">
              <w:t>62.1</w:t>
            </w:r>
          </w:p>
        </w:tc>
        <w:tc>
          <w:tcPr>
            <w:tcW w:w="717" w:type="pct"/>
          </w:tcPr>
          <w:p w14:paraId="3C0960E1" w14:textId="77777777" w:rsidR="00A4454A" w:rsidRPr="008C1137" w:rsidRDefault="00A4454A" w:rsidP="00390380">
            <w:pPr>
              <w:pStyle w:val="TableBody"/>
            </w:pPr>
            <w:r w:rsidRPr="008C1137">
              <w:t>60.9</w:t>
            </w:r>
          </w:p>
        </w:tc>
        <w:tc>
          <w:tcPr>
            <w:tcW w:w="717" w:type="pct"/>
          </w:tcPr>
          <w:p w14:paraId="4ED67998" w14:textId="77777777" w:rsidR="00A4454A" w:rsidRPr="008C1137" w:rsidRDefault="00A4454A" w:rsidP="00390380">
            <w:pPr>
              <w:pStyle w:val="TableBody"/>
            </w:pPr>
            <w:r w:rsidRPr="008C1137">
              <w:t>71.5</w:t>
            </w:r>
          </w:p>
        </w:tc>
        <w:tc>
          <w:tcPr>
            <w:tcW w:w="717" w:type="pct"/>
          </w:tcPr>
          <w:p w14:paraId="15039E9A" w14:textId="77777777" w:rsidR="00A4454A" w:rsidRPr="008C1137" w:rsidRDefault="00A4454A" w:rsidP="00390380">
            <w:pPr>
              <w:pStyle w:val="TableBody"/>
            </w:pPr>
            <w:r w:rsidRPr="008C1137">
              <w:t>27.3</w:t>
            </w:r>
          </w:p>
        </w:tc>
        <w:tc>
          <w:tcPr>
            <w:tcW w:w="717" w:type="pct"/>
          </w:tcPr>
          <w:p w14:paraId="46E84061" w14:textId="77777777" w:rsidR="00A4454A" w:rsidRPr="008C1137" w:rsidRDefault="00A4454A" w:rsidP="00390380">
            <w:pPr>
              <w:pStyle w:val="TableBody"/>
            </w:pPr>
            <w:r w:rsidRPr="008C1137">
              <w:t>39.6</w:t>
            </w:r>
          </w:p>
        </w:tc>
        <w:tc>
          <w:tcPr>
            <w:tcW w:w="717" w:type="pct"/>
          </w:tcPr>
          <w:p w14:paraId="56FA9930" w14:textId="77777777" w:rsidR="00A4454A" w:rsidRPr="008C1137" w:rsidRDefault="00A4454A" w:rsidP="00390380">
            <w:pPr>
              <w:pStyle w:val="TableBody"/>
            </w:pPr>
            <w:r w:rsidRPr="008C1137">
              <w:t>31.0</w:t>
            </w:r>
          </w:p>
        </w:tc>
      </w:tr>
      <w:tr w:rsidR="006A0A62" w:rsidRPr="008C1137" w14:paraId="457B4985" w14:textId="77777777" w:rsidTr="00CF2074">
        <w:trPr>
          <w:trHeight w:val="60"/>
        </w:trPr>
        <w:tc>
          <w:tcPr>
            <w:tcW w:w="700" w:type="pct"/>
          </w:tcPr>
          <w:p w14:paraId="5EA1C202" w14:textId="77777777" w:rsidR="00A4454A" w:rsidRPr="008C1137" w:rsidRDefault="00A4454A" w:rsidP="00390380">
            <w:pPr>
              <w:pStyle w:val="TableBody"/>
            </w:pPr>
            <w:r w:rsidRPr="008C1137">
              <w:t>2013</w:t>
            </w:r>
          </w:p>
        </w:tc>
        <w:tc>
          <w:tcPr>
            <w:tcW w:w="716" w:type="pct"/>
          </w:tcPr>
          <w:p w14:paraId="7E9CB039" w14:textId="77777777" w:rsidR="00A4454A" w:rsidRPr="008C1137" w:rsidRDefault="00A4454A" w:rsidP="00390380">
            <w:pPr>
              <w:pStyle w:val="TableBody"/>
            </w:pPr>
            <w:r w:rsidRPr="008C1137">
              <w:t>66.6</w:t>
            </w:r>
          </w:p>
        </w:tc>
        <w:tc>
          <w:tcPr>
            <w:tcW w:w="717" w:type="pct"/>
          </w:tcPr>
          <w:p w14:paraId="5C217151" w14:textId="77777777" w:rsidR="00A4454A" w:rsidRPr="008C1137" w:rsidRDefault="00A4454A" w:rsidP="00390380">
            <w:pPr>
              <w:pStyle w:val="TableBody"/>
            </w:pPr>
            <w:r w:rsidRPr="008C1137">
              <w:t>65.5</w:t>
            </w:r>
          </w:p>
        </w:tc>
        <w:tc>
          <w:tcPr>
            <w:tcW w:w="717" w:type="pct"/>
          </w:tcPr>
          <w:p w14:paraId="0A051EF3" w14:textId="77777777" w:rsidR="00A4454A" w:rsidRPr="008C1137" w:rsidRDefault="00A4454A" w:rsidP="00390380">
            <w:pPr>
              <w:pStyle w:val="TableBody"/>
            </w:pPr>
            <w:r w:rsidRPr="008C1137">
              <w:t>81.3</w:t>
            </w:r>
          </w:p>
        </w:tc>
        <w:tc>
          <w:tcPr>
            <w:tcW w:w="717" w:type="pct"/>
          </w:tcPr>
          <w:p w14:paraId="018100AF" w14:textId="77777777" w:rsidR="00A4454A" w:rsidRPr="008C1137" w:rsidRDefault="00A4454A" w:rsidP="00390380">
            <w:pPr>
              <w:pStyle w:val="TableBody"/>
            </w:pPr>
            <w:r w:rsidRPr="008C1137">
              <w:t>43.5</w:t>
            </w:r>
          </w:p>
        </w:tc>
        <w:tc>
          <w:tcPr>
            <w:tcW w:w="717" w:type="pct"/>
          </w:tcPr>
          <w:p w14:paraId="4D03FA16" w14:textId="77777777" w:rsidR="00A4454A" w:rsidRPr="008C1137" w:rsidRDefault="00A4454A" w:rsidP="00390380">
            <w:pPr>
              <w:pStyle w:val="TableBody"/>
            </w:pPr>
            <w:r w:rsidRPr="008C1137">
              <w:t>63.9</w:t>
            </w:r>
          </w:p>
        </w:tc>
        <w:tc>
          <w:tcPr>
            <w:tcW w:w="717" w:type="pct"/>
          </w:tcPr>
          <w:p w14:paraId="2C9E06E5" w14:textId="77777777" w:rsidR="00A4454A" w:rsidRPr="008C1137" w:rsidRDefault="00A4454A" w:rsidP="00390380">
            <w:pPr>
              <w:pStyle w:val="TableBody"/>
            </w:pPr>
            <w:r w:rsidRPr="008C1137">
              <w:t>33.3</w:t>
            </w:r>
          </w:p>
        </w:tc>
      </w:tr>
      <w:tr w:rsidR="006A0A62" w:rsidRPr="008C1137" w14:paraId="6C66B24D" w14:textId="77777777" w:rsidTr="00CF2074">
        <w:trPr>
          <w:trHeight w:val="60"/>
        </w:trPr>
        <w:tc>
          <w:tcPr>
            <w:tcW w:w="700" w:type="pct"/>
          </w:tcPr>
          <w:p w14:paraId="25C0545A" w14:textId="77777777" w:rsidR="00A4454A" w:rsidRPr="008C1137" w:rsidRDefault="00A4454A" w:rsidP="00390380">
            <w:pPr>
              <w:pStyle w:val="TableBody"/>
            </w:pPr>
            <w:r w:rsidRPr="008C1137">
              <w:t>2014</w:t>
            </w:r>
          </w:p>
        </w:tc>
        <w:tc>
          <w:tcPr>
            <w:tcW w:w="716" w:type="pct"/>
          </w:tcPr>
          <w:p w14:paraId="5E70BCC9" w14:textId="77777777" w:rsidR="00A4454A" w:rsidRPr="008C1137" w:rsidRDefault="00A4454A" w:rsidP="00390380">
            <w:pPr>
              <w:pStyle w:val="TableBody"/>
            </w:pPr>
            <w:r w:rsidRPr="008C1137">
              <w:t>63.1</w:t>
            </w:r>
          </w:p>
        </w:tc>
        <w:tc>
          <w:tcPr>
            <w:tcW w:w="717" w:type="pct"/>
          </w:tcPr>
          <w:p w14:paraId="26075EC9" w14:textId="77777777" w:rsidR="00A4454A" w:rsidRPr="008C1137" w:rsidRDefault="00A4454A" w:rsidP="00390380">
            <w:pPr>
              <w:pStyle w:val="TableBody"/>
            </w:pPr>
            <w:r w:rsidRPr="008C1137">
              <w:t>66.7</w:t>
            </w:r>
          </w:p>
        </w:tc>
        <w:tc>
          <w:tcPr>
            <w:tcW w:w="717" w:type="pct"/>
          </w:tcPr>
          <w:p w14:paraId="03CC10DA" w14:textId="77777777" w:rsidR="00A4454A" w:rsidRPr="008C1137" w:rsidRDefault="00A4454A" w:rsidP="00390380">
            <w:pPr>
              <w:pStyle w:val="TableBody"/>
            </w:pPr>
            <w:r w:rsidRPr="008C1137">
              <w:t>80.9</w:t>
            </w:r>
          </w:p>
        </w:tc>
        <w:tc>
          <w:tcPr>
            <w:tcW w:w="717" w:type="pct"/>
          </w:tcPr>
          <w:p w14:paraId="46AF27C7" w14:textId="77777777" w:rsidR="00A4454A" w:rsidRPr="008C1137" w:rsidRDefault="00A4454A" w:rsidP="00390380">
            <w:pPr>
              <w:pStyle w:val="TableBody"/>
            </w:pPr>
            <w:r w:rsidRPr="008C1137">
              <w:t>52.3</w:t>
            </w:r>
          </w:p>
        </w:tc>
        <w:tc>
          <w:tcPr>
            <w:tcW w:w="717" w:type="pct"/>
          </w:tcPr>
          <w:p w14:paraId="4895DA0E" w14:textId="77777777" w:rsidR="00A4454A" w:rsidRPr="008C1137" w:rsidRDefault="00A4454A" w:rsidP="00390380">
            <w:pPr>
              <w:pStyle w:val="TableBody"/>
            </w:pPr>
            <w:r w:rsidRPr="008C1137">
              <w:t>54.3</w:t>
            </w:r>
          </w:p>
        </w:tc>
        <w:tc>
          <w:tcPr>
            <w:tcW w:w="717" w:type="pct"/>
          </w:tcPr>
          <w:p w14:paraId="37DB1FFB" w14:textId="77777777" w:rsidR="00A4454A" w:rsidRPr="008C1137" w:rsidRDefault="00A4454A" w:rsidP="00390380">
            <w:pPr>
              <w:pStyle w:val="TableBody"/>
            </w:pPr>
            <w:r w:rsidRPr="008C1137">
              <w:t>41.2</w:t>
            </w:r>
          </w:p>
        </w:tc>
      </w:tr>
      <w:tr w:rsidR="006A0A62" w:rsidRPr="008C1137" w14:paraId="5EB178E1" w14:textId="77777777" w:rsidTr="00CF2074">
        <w:trPr>
          <w:trHeight w:val="60"/>
        </w:trPr>
        <w:tc>
          <w:tcPr>
            <w:tcW w:w="700" w:type="pct"/>
          </w:tcPr>
          <w:p w14:paraId="3AD3372C" w14:textId="77777777" w:rsidR="00A4454A" w:rsidRPr="008C1137" w:rsidRDefault="00A4454A" w:rsidP="00390380">
            <w:pPr>
              <w:pStyle w:val="TableBody"/>
            </w:pPr>
            <w:r w:rsidRPr="008C1137">
              <w:t>2015</w:t>
            </w:r>
          </w:p>
        </w:tc>
        <w:tc>
          <w:tcPr>
            <w:tcW w:w="716" w:type="pct"/>
          </w:tcPr>
          <w:p w14:paraId="53F86EEC" w14:textId="77777777" w:rsidR="00A4454A" w:rsidRPr="008C1137" w:rsidRDefault="00A4454A" w:rsidP="00390380">
            <w:pPr>
              <w:pStyle w:val="TableBody"/>
            </w:pPr>
            <w:r w:rsidRPr="008C1137">
              <w:t>63.7</w:t>
            </w:r>
          </w:p>
        </w:tc>
        <w:tc>
          <w:tcPr>
            <w:tcW w:w="717" w:type="pct"/>
          </w:tcPr>
          <w:p w14:paraId="7CC428B3" w14:textId="77777777" w:rsidR="00A4454A" w:rsidRPr="008C1137" w:rsidRDefault="00A4454A" w:rsidP="00390380">
            <w:pPr>
              <w:pStyle w:val="TableBody"/>
            </w:pPr>
            <w:r w:rsidRPr="008C1137">
              <w:t>63.6</w:t>
            </w:r>
          </w:p>
        </w:tc>
        <w:tc>
          <w:tcPr>
            <w:tcW w:w="717" w:type="pct"/>
          </w:tcPr>
          <w:p w14:paraId="0C5A5A7C" w14:textId="77777777" w:rsidR="00A4454A" w:rsidRPr="008C1137" w:rsidRDefault="00A4454A" w:rsidP="00390380">
            <w:pPr>
              <w:pStyle w:val="TableBody"/>
            </w:pPr>
            <w:r w:rsidRPr="008C1137">
              <w:t>78.6</w:t>
            </w:r>
          </w:p>
        </w:tc>
        <w:tc>
          <w:tcPr>
            <w:tcW w:w="717" w:type="pct"/>
          </w:tcPr>
          <w:p w14:paraId="014DF97A" w14:textId="77777777" w:rsidR="00A4454A" w:rsidRPr="008C1137" w:rsidRDefault="00A4454A" w:rsidP="00390380">
            <w:pPr>
              <w:pStyle w:val="TableBody"/>
            </w:pPr>
            <w:r w:rsidRPr="008C1137">
              <w:t>37.5</w:t>
            </w:r>
          </w:p>
        </w:tc>
        <w:tc>
          <w:tcPr>
            <w:tcW w:w="717" w:type="pct"/>
          </w:tcPr>
          <w:p w14:paraId="27687A2A" w14:textId="77777777" w:rsidR="00A4454A" w:rsidRPr="008C1137" w:rsidRDefault="00A4454A" w:rsidP="00390380">
            <w:pPr>
              <w:pStyle w:val="TableBody"/>
            </w:pPr>
            <w:r w:rsidRPr="008C1137">
              <w:t>53.0</w:t>
            </w:r>
          </w:p>
        </w:tc>
        <w:tc>
          <w:tcPr>
            <w:tcW w:w="717" w:type="pct"/>
          </w:tcPr>
          <w:p w14:paraId="6E23639D" w14:textId="77777777" w:rsidR="00A4454A" w:rsidRPr="008C1137" w:rsidRDefault="00A4454A" w:rsidP="00390380">
            <w:pPr>
              <w:pStyle w:val="TableBody"/>
            </w:pPr>
            <w:r w:rsidRPr="008C1137">
              <w:t>29.4</w:t>
            </w:r>
          </w:p>
        </w:tc>
      </w:tr>
      <w:tr w:rsidR="006A0A62" w:rsidRPr="008C1137" w14:paraId="1BF948B5" w14:textId="77777777" w:rsidTr="00CF2074">
        <w:trPr>
          <w:trHeight w:val="60"/>
        </w:trPr>
        <w:tc>
          <w:tcPr>
            <w:tcW w:w="700" w:type="pct"/>
          </w:tcPr>
          <w:p w14:paraId="5977351D" w14:textId="77777777" w:rsidR="00A4454A" w:rsidRPr="008C1137" w:rsidRDefault="00A4454A" w:rsidP="00390380">
            <w:pPr>
              <w:pStyle w:val="TableBody"/>
            </w:pPr>
            <w:r w:rsidRPr="008C1137">
              <w:t>2016</w:t>
            </w:r>
          </w:p>
        </w:tc>
        <w:tc>
          <w:tcPr>
            <w:tcW w:w="716" w:type="pct"/>
          </w:tcPr>
          <w:p w14:paraId="4D3D9085" w14:textId="77777777" w:rsidR="00A4454A" w:rsidRPr="008C1137" w:rsidRDefault="00A4454A" w:rsidP="00390380">
            <w:pPr>
              <w:pStyle w:val="TableBody"/>
            </w:pPr>
            <w:r w:rsidRPr="008C1137">
              <w:t>63.8</w:t>
            </w:r>
          </w:p>
        </w:tc>
        <w:tc>
          <w:tcPr>
            <w:tcW w:w="717" w:type="pct"/>
          </w:tcPr>
          <w:p w14:paraId="4DDE293D" w14:textId="77777777" w:rsidR="00A4454A" w:rsidRPr="008C1137" w:rsidRDefault="00A4454A" w:rsidP="00390380">
            <w:pPr>
              <w:pStyle w:val="TableBody"/>
            </w:pPr>
            <w:r w:rsidRPr="008C1137">
              <w:t>70.5</w:t>
            </w:r>
          </w:p>
        </w:tc>
        <w:tc>
          <w:tcPr>
            <w:tcW w:w="717" w:type="pct"/>
          </w:tcPr>
          <w:p w14:paraId="5EE0EAB7" w14:textId="77777777" w:rsidR="00A4454A" w:rsidRPr="008C1137" w:rsidRDefault="00A4454A" w:rsidP="00390380">
            <w:pPr>
              <w:pStyle w:val="TableBody"/>
            </w:pPr>
            <w:r w:rsidRPr="008C1137">
              <w:t>83.5</w:t>
            </w:r>
          </w:p>
        </w:tc>
        <w:tc>
          <w:tcPr>
            <w:tcW w:w="717" w:type="pct"/>
          </w:tcPr>
          <w:p w14:paraId="75995B59" w14:textId="77777777" w:rsidR="00A4454A" w:rsidRPr="008C1137" w:rsidRDefault="00A4454A" w:rsidP="00390380">
            <w:pPr>
              <w:pStyle w:val="TableBody"/>
            </w:pPr>
            <w:r w:rsidRPr="008C1137">
              <w:t>60.9</w:t>
            </w:r>
          </w:p>
        </w:tc>
        <w:tc>
          <w:tcPr>
            <w:tcW w:w="717" w:type="pct"/>
          </w:tcPr>
          <w:p w14:paraId="1752629D" w14:textId="77777777" w:rsidR="00A4454A" w:rsidRPr="008C1137" w:rsidRDefault="00A4454A" w:rsidP="00390380">
            <w:pPr>
              <w:pStyle w:val="TableBody"/>
            </w:pPr>
            <w:r w:rsidRPr="008C1137">
              <w:t>53.3</w:t>
            </w:r>
          </w:p>
        </w:tc>
        <w:tc>
          <w:tcPr>
            <w:tcW w:w="717" w:type="pct"/>
          </w:tcPr>
          <w:p w14:paraId="4E9DEF7C" w14:textId="77777777" w:rsidR="00A4454A" w:rsidRPr="008C1137" w:rsidRDefault="00A4454A" w:rsidP="00390380">
            <w:pPr>
              <w:pStyle w:val="TableBody"/>
            </w:pPr>
            <w:r w:rsidRPr="008C1137">
              <w:t>50.0</w:t>
            </w:r>
          </w:p>
        </w:tc>
      </w:tr>
      <w:tr w:rsidR="006A0A62" w:rsidRPr="008C1137" w14:paraId="63556BC9" w14:textId="77777777" w:rsidTr="00CF2074">
        <w:trPr>
          <w:trHeight w:val="60"/>
        </w:trPr>
        <w:tc>
          <w:tcPr>
            <w:tcW w:w="700" w:type="pct"/>
          </w:tcPr>
          <w:p w14:paraId="4567075E" w14:textId="77777777" w:rsidR="00A4454A" w:rsidRPr="008C1137" w:rsidRDefault="00A4454A" w:rsidP="00390380">
            <w:pPr>
              <w:pStyle w:val="TableBody"/>
            </w:pPr>
            <w:r w:rsidRPr="008C1137">
              <w:t>2017</w:t>
            </w:r>
          </w:p>
        </w:tc>
        <w:tc>
          <w:tcPr>
            <w:tcW w:w="716" w:type="pct"/>
          </w:tcPr>
          <w:p w14:paraId="1C928328" w14:textId="77777777" w:rsidR="00A4454A" w:rsidRPr="008C1137" w:rsidRDefault="00A4454A" w:rsidP="00390380">
            <w:pPr>
              <w:pStyle w:val="TableBody"/>
            </w:pPr>
            <w:r w:rsidRPr="008C1137">
              <w:t>73.1</w:t>
            </w:r>
          </w:p>
        </w:tc>
        <w:tc>
          <w:tcPr>
            <w:tcW w:w="717" w:type="pct"/>
          </w:tcPr>
          <w:p w14:paraId="3BBE5F7C" w14:textId="77777777" w:rsidR="00A4454A" w:rsidRPr="008C1137" w:rsidRDefault="00A4454A" w:rsidP="00390380">
            <w:pPr>
              <w:pStyle w:val="TableBody"/>
            </w:pPr>
            <w:r w:rsidRPr="008C1137">
              <w:t>80.7</w:t>
            </w:r>
          </w:p>
        </w:tc>
        <w:tc>
          <w:tcPr>
            <w:tcW w:w="717" w:type="pct"/>
          </w:tcPr>
          <w:p w14:paraId="1161FC9B" w14:textId="77777777" w:rsidR="00A4454A" w:rsidRPr="008C1137" w:rsidRDefault="00A4454A" w:rsidP="00390380">
            <w:pPr>
              <w:pStyle w:val="TableBody"/>
            </w:pPr>
            <w:r w:rsidRPr="008C1137">
              <w:t>85.2</w:t>
            </w:r>
          </w:p>
        </w:tc>
        <w:tc>
          <w:tcPr>
            <w:tcW w:w="717" w:type="pct"/>
          </w:tcPr>
          <w:p w14:paraId="772470A4" w14:textId="77777777" w:rsidR="00A4454A" w:rsidRPr="008C1137" w:rsidRDefault="00A4454A" w:rsidP="00390380">
            <w:pPr>
              <w:pStyle w:val="TableBody"/>
            </w:pPr>
            <w:r w:rsidRPr="008C1137">
              <w:t>89.6</w:t>
            </w:r>
          </w:p>
        </w:tc>
        <w:tc>
          <w:tcPr>
            <w:tcW w:w="717" w:type="pct"/>
          </w:tcPr>
          <w:p w14:paraId="4C023578" w14:textId="77777777" w:rsidR="00A4454A" w:rsidRPr="008C1137" w:rsidRDefault="00A4454A" w:rsidP="00390380">
            <w:pPr>
              <w:pStyle w:val="TableBody"/>
            </w:pPr>
            <w:r w:rsidRPr="008C1137">
              <w:t>68.7</w:t>
            </w:r>
          </w:p>
        </w:tc>
        <w:tc>
          <w:tcPr>
            <w:tcW w:w="717" w:type="pct"/>
          </w:tcPr>
          <w:p w14:paraId="0BCA1A08" w14:textId="77777777" w:rsidR="00A4454A" w:rsidRPr="008C1137" w:rsidRDefault="00A4454A" w:rsidP="00390380">
            <w:pPr>
              <w:pStyle w:val="TableBody"/>
            </w:pPr>
            <w:r w:rsidRPr="008C1137">
              <w:t>25.0</w:t>
            </w:r>
          </w:p>
        </w:tc>
      </w:tr>
      <w:tr w:rsidR="006A0A62" w:rsidRPr="008C1137" w14:paraId="275887B2" w14:textId="77777777" w:rsidTr="00CF2074">
        <w:trPr>
          <w:trHeight w:val="60"/>
        </w:trPr>
        <w:tc>
          <w:tcPr>
            <w:tcW w:w="700" w:type="pct"/>
          </w:tcPr>
          <w:p w14:paraId="5F14F7C7" w14:textId="77777777" w:rsidR="00A4454A" w:rsidRPr="008C1137" w:rsidRDefault="00A4454A" w:rsidP="00390380">
            <w:pPr>
              <w:pStyle w:val="TableBody"/>
            </w:pPr>
            <w:r w:rsidRPr="008C1137">
              <w:t>2018</w:t>
            </w:r>
          </w:p>
        </w:tc>
        <w:tc>
          <w:tcPr>
            <w:tcW w:w="716" w:type="pct"/>
          </w:tcPr>
          <w:p w14:paraId="42726D80" w14:textId="77777777" w:rsidR="00A4454A" w:rsidRPr="008C1137" w:rsidRDefault="00A4454A" w:rsidP="00390380">
            <w:pPr>
              <w:pStyle w:val="TableBody"/>
            </w:pPr>
            <w:r w:rsidRPr="008C1137">
              <w:t>71.8</w:t>
            </w:r>
          </w:p>
        </w:tc>
        <w:tc>
          <w:tcPr>
            <w:tcW w:w="717" w:type="pct"/>
          </w:tcPr>
          <w:p w14:paraId="3ADFAA08" w14:textId="77777777" w:rsidR="00A4454A" w:rsidRPr="008C1137" w:rsidRDefault="00A4454A" w:rsidP="00390380">
            <w:pPr>
              <w:pStyle w:val="TableBody"/>
            </w:pPr>
            <w:r w:rsidRPr="008C1137">
              <w:t>75.0</w:t>
            </w:r>
          </w:p>
        </w:tc>
        <w:tc>
          <w:tcPr>
            <w:tcW w:w="717" w:type="pct"/>
          </w:tcPr>
          <w:p w14:paraId="318AC947" w14:textId="77777777" w:rsidR="00A4454A" w:rsidRPr="008C1137" w:rsidRDefault="00A4454A" w:rsidP="00390380">
            <w:pPr>
              <w:pStyle w:val="TableBody"/>
            </w:pPr>
            <w:r w:rsidRPr="008C1137">
              <w:t>91.6</w:t>
            </w:r>
          </w:p>
        </w:tc>
        <w:tc>
          <w:tcPr>
            <w:tcW w:w="717" w:type="pct"/>
          </w:tcPr>
          <w:p w14:paraId="34587080" w14:textId="77777777" w:rsidR="00A4454A" w:rsidRPr="008C1137" w:rsidRDefault="00A4454A" w:rsidP="00390380">
            <w:pPr>
              <w:pStyle w:val="TableBody"/>
            </w:pPr>
            <w:r w:rsidRPr="008C1137">
              <w:t>90.7</w:t>
            </w:r>
          </w:p>
        </w:tc>
        <w:tc>
          <w:tcPr>
            <w:tcW w:w="717" w:type="pct"/>
          </w:tcPr>
          <w:p w14:paraId="3FE0B1D2" w14:textId="77777777" w:rsidR="00A4454A" w:rsidRPr="008C1137" w:rsidRDefault="00A4454A" w:rsidP="00390380">
            <w:pPr>
              <w:pStyle w:val="TableBody"/>
            </w:pPr>
            <w:r w:rsidRPr="008C1137">
              <w:t>64.3</w:t>
            </w:r>
          </w:p>
        </w:tc>
        <w:tc>
          <w:tcPr>
            <w:tcW w:w="717" w:type="pct"/>
          </w:tcPr>
          <w:p w14:paraId="2A129E88" w14:textId="77777777" w:rsidR="00A4454A" w:rsidRPr="008C1137" w:rsidRDefault="00A4454A" w:rsidP="00390380">
            <w:pPr>
              <w:pStyle w:val="TableBody"/>
            </w:pPr>
            <w:r w:rsidRPr="008C1137">
              <w:t>31.8</w:t>
            </w:r>
          </w:p>
        </w:tc>
      </w:tr>
      <w:tr w:rsidR="006A0A62" w:rsidRPr="008C1137" w14:paraId="30FE3BFD" w14:textId="77777777" w:rsidTr="00CF2074">
        <w:trPr>
          <w:trHeight w:val="60"/>
        </w:trPr>
        <w:tc>
          <w:tcPr>
            <w:tcW w:w="700" w:type="pct"/>
          </w:tcPr>
          <w:p w14:paraId="0A5A8BAA" w14:textId="77777777" w:rsidR="00A4454A" w:rsidRPr="008C1137" w:rsidRDefault="00A4454A" w:rsidP="00390380">
            <w:pPr>
              <w:pStyle w:val="TableBody"/>
            </w:pPr>
            <w:r w:rsidRPr="008C1137">
              <w:t>2019</w:t>
            </w:r>
          </w:p>
        </w:tc>
        <w:tc>
          <w:tcPr>
            <w:tcW w:w="716" w:type="pct"/>
          </w:tcPr>
          <w:p w14:paraId="4EAC9D9F" w14:textId="77777777" w:rsidR="00A4454A" w:rsidRPr="008C1137" w:rsidRDefault="00A4454A" w:rsidP="00390380">
            <w:pPr>
              <w:pStyle w:val="TableBody"/>
            </w:pPr>
            <w:r w:rsidRPr="008C1137">
              <w:t>75.1</w:t>
            </w:r>
          </w:p>
        </w:tc>
        <w:tc>
          <w:tcPr>
            <w:tcW w:w="717" w:type="pct"/>
          </w:tcPr>
          <w:p w14:paraId="4F27C4B0" w14:textId="77777777" w:rsidR="00A4454A" w:rsidRPr="008C1137" w:rsidRDefault="00A4454A" w:rsidP="00390380">
            <w:pPr>
              <w:pStyle w:val="TableBody"/>
            </w:pPr>
            <w:r w:rsidRPr="008C1137">
              <w:t>77.6</w:t>
            </w:r>
          </w:p>
        </w:tc>
        <w:tc>
          <w:tcPr>
            <w:tcW w:w="717" w:type="pct"/>
          </w:tcPr>
          <w:p w14:paraId="43B16B4E" w14:textId="77777777" w:rsidR="00A4454A" w:rsidRPr="008C1137" w:rsidRDefault="00A4454A" w:rsidP="00390380">
            <w:pPr>
              <w:pStyle w:val="TableBody"/>
            </w:pPr>
            <w:r w:rsidRPr="008C1137">
              <w:t>91.2</w:t>
            </w:r>
          </w:p>
        </w:tc>
        <w:tc>
          <w:tcPr>
            <w:tcW w:w="717" w:type="pct"/>
          </w:tcPr>
          <w:p w14:paraId="086E613C" w14:textId="77777777" w:rsidR="00A4454A" w:rsidRPr="008C1137" w:rsidRDefault="00A4454A" w:rsidP="00390380">
            <w:pPr>
              <w:pStyle w:val="TableBody"/>
            </w:pPr>
            <w:r w:rsidRPr="008C1137">
              <w:t>72.4</w:t>
            </w:r>
          </w:p>
        </w:tc>
        <w:tc>
          <w:tcPr>
            <w:tcW w:w="717" w:type="pct"/>
          </w:tcPr>
          <w:p w14:paraId="0D9502BB" w14:textId="77777777" w:rsidR="00A4454A" w:rsidRPr="008C1137" w:rsidRDefault="00A4454A" w:rsidP="00390380">
            <w:pPr>
              <w:pStyle w:val="TableBody"/>
            </w:pPr>
            <w:r w:rsidRPr="008C1137">
              <w:t>68.8</w:t>
            </w:r>
          </w:p>
        </w:tc>
        <w:tc>
          <w:tcPr>
            <w:tcW w:w="717" w:type="pct"/>
          </w:tcPr>
          <w:p w14:paraId="289681CC" w14:textId="77777777" w:rsidR="00A4454A" w:rsidRPr="008C1137" w:rsidRDefault="00A4454A" w:rsidP="00390380">
            <w:pPr>
              <w:pStyle w:val="TableBody"/>
            </w:pPr>
            <w:r w:rsidRPr="008C1137">
              <w:t>40.6</w:t>
            </w:r>
          </w:p>
        </w:tc>
      </w:tr>
      <w:tr w:rsidR="006A0A62" w:rsidRPr="008C1137" w14:paraId="1E37624D" w14:textId="77777777" w:rsidTr="00CF2074">
        <w:trPr>
          <w:trHeight w:val="60"/>
        </w:trPr>
        <w:tc>
          <w:tcPr>
            <w:tcW w:w="700" w:type="pct"/>
          </w:tcPr>
          <w:p w14:paraId="24501A53" w14:textId="77777777" w:rsidR="00A4454A" w:rsidRPr="008C1137" w:rsidRDefault="00A4454A" w:rsidP="00390380">
            <w:pPr>
              <w:pStyle w:val="TableBody"/>
            </w:pPr>
            <w:r w:rsidRPr="008C1137">
              <w:t>2020</w:t>
            </w:r>
          </w:p>
        </w:tc>
        <w:tc>
          <w:tcPr>
            <w:tcW w:w="716" w:type="pct"/>
          </w:tcPr>
          <w:p w14:paraId="300EAB95" w14:textId="77777777" w:rsidR="00A4454A" w:rsidRPr="008C1137" w:rsidRDefault="00A4454A" w:rsidP="00390380">
            <w:pPr>
              <w:pStyle w:val="TableBody"/>
            </w:pPr>
            <w:r w:rsidRPr="008C1137">
              <w:t>74.9</w:t>
            </w:r>
          </w:p>
        </w:tc>
        <w:tc>
          <w:tcPr>
            <w:tcW w:w="717" w:type="pct"/>
          </w:tcPr>
          <w:p w14:paraId="3DD94D45" w14:textId="77777777" w:rsidR="00A4454A" w:rsidRPr="008C1137" w:rsidRDefault="00A4454A" w:rsidP="00390380">
            <w:pPr>
              <w:pStyle w:val="TableBody"/>
            </w:pPr>
            <w:r w:rsidRPr="008C1137">
              <w:t>78.6</w:t>
            </w:r>
          </w:p>
        </w:tc>
        <w:tc>
          <w:tcPr>
            <w:tcW w:w="717" w:type="pct"/>
          </w:tcPr>
          <w:p w14:paraId="5476173F" w14:textId="77777777" w:rsidR="00A4454A" w:rsidRPr="008C1137" w:rsidRDefault="00A4454A" w:rsidP="00390380">
            <w:pPr>
              <w:pStyle w:val="TableBody"/>
            </w:pPr>
            <w:r w:rsidRPr="008C1137">
              <w:t>89.6</w:t>
            </w:r>
          </w:p>
        </w:tc>
        <w:tc>
          <w:tcPr>
            <w:tcW w:w="717" w:type="pct"/>
          </w:tcPr>
          <w:p w14:paraId="5166BB28" w14:textId="77777777" w:rsidR="00A4454A" w:rsidRPr="008C1137" w:rsidRDefault="00A4454A" w:rsidP="00390380">
            <w:pPr>
              <w:pStyle w:val="TableBody"/>
            </w:pPr>
            <w:r w:rsidRPr="008C1137">
              <w:t>73.9</w:t>
            </w:r>
          </w:p>
        </w:tc>
        <w:tc>
          <w:tcPr>
            <w:tcW w:w="717" w:type="pct"/>
          </w:tcPr>
          <w:p w14:paraId="6D26BD41" w14:textId="77777777" w:rsidR="00A4454A" w:rsidRPr="008C1137" w:rsidRDefault="00A4454A" w:rsidP="00390380">
            <w:pPr>
              <w:pStyle w:val="TableBody"/>
            </w:pPr>
            <w:r w:rsidRPr="008C1137">
              <w:t>64.4</w:t>
            </w:r>
          </w:p>
        </w:tc>
        <w:tc>
          <w:tcPr>
            <w:tcW w:w="717" w:type="pct"/>
          </w:tcPr>
          <w:p w14:paraId="02374AA6" w14:textId="77777777" w:rsidR="00A4454A" w:rsidRPr="008C1137" w:rsidRDefault="00A4454A" w:rsidP="00390380">
            <w:pPr>
              <w:pStyle w:val="TableBody"/>
            </w:pPr>
            <w:r w:rsidRPr="008C1137">
              <w:t>70.0</w:t>
            </w:r>
          </w:p>
        </w:tc>
      </w:tr>
      <w:tr w:rsidR="006A0A62" w:rsidRPr="008C1137" w14:paraId="2EA40D15" w14:textId="77777777" w:rsidTr="00CF2074">
        <w:trPr>
          <w:trHeight w:val="60"/>
        </w:trPr>
        <w:tc>
          <w:tcPr>
            <w:tcW w:w="700" w:type="pct"/>
          </w:tcPr>
          <w:p w14:paraId="4DC2ECF4" w14:textId="77777777" w:rsidR="00A4454A" w:rsidRPr="008C1137" w:rsidRDefault="00A4454A" w:rsidP="00390380">
            <w:pPr>
              <w:pStyle w:val="TableBody"/>
            </w:pPr>
            <w:r w:rsidRPr="008C1137">
              <w:lastRenderedPageBreak/>
              <w:t>2021</w:t>
            </w:r>
          </w:p>
        </w:tc>
        <w:tc>
          <w:tcPr>
            <w:tcW w:w="716" w:type="pct"/>
          </w:tcPr>
          <w:p w14:paraId="4A093A56" w14:textId="77777777" w:rsidR="00A4454A" w:rsidRPr="008C1137" w:rsidRDefault="00A4454A" w:rsidP="00390380">
            <w:pPr>
              <w:pStyle w:val="TableBody"/>
            </w:pPr>
            <w:r w:rsidRPr="008C1137">
              <w:t>73.4</w:t>
            </w:r>
          </w:p>
        </w:tc>
        <w:tc>
          <w:tcPr>
            <w:tcW w:w="717" w:type="pct"/>
          </w:tcPr>
          <w:p w14:paraId="5F0FCC15" w14:textId="77777777" w:rsidR="00A4454A" w:rsidRPr="008C1137" w:rsidRDefault="00A4454A" w:rsidP="00390380">
            <w:pPr>
              <w:pStyle w:val="TableBody"/>
            </w:pPr>
            <w:r w:rsidRPr="008C1137">
              <w:t>79.7</w:t>
            </w:r>
          </w:p>
        </w:tc>
        <w:tc>
          <w:tcPr>
            <w:tcW w:w="717" w:type="pct"/>
          </w:tcPr>
          <w:p w14:paraId="7C152F78" w14:textId="77777777" w:rsidR="00A4454A" w:rsidRPr="008C1137" w:rsidRDefault="00A4454A" w:rsidP="00390380">
            <w:pPr>
              <w:pStyle w:val="TableBody"/>
            </w:pPr>
            <w:r w:rsidRPr="008C1137">
              <w:t>92.1</w:t>
            </w:r>
          </w:p>
        </w:tc>
        <w:tc>
          <w:tcPr>
            <w:tcW w:w="717" w:type="pct"/>
          </w:tcPr>
          <w:p w14:paraId="53CB19BC" w14:textId="77777777" w:rsidR="00A4454A" w:rsidRPr="008C1137" w:rsidRDefault="00A4454A" w:rsidP="00390380">
            <w:pPr>
              <w:pStyle w:val="TableBody"/>
            </w:pPr>
            <w:r w:rsidRPr="008C1137">
              <w:t>85.3</w:t>
            </w:r>
          </w:p>
        </w:tc>
        <w:tc>
          <w:tcPr>
            <w:tcW w:w="717" w:type="pct"/>
          </w:tcPr>
          <w:p w14:paraId="31A726FA" w14:textId="77777777" w:rsidR="00A4454A" w:rsidRPr="008C1137" w:rsidRDefault="00A4454A" w:rsidP="00390380">
            <w:pPr>
              <w:pStyle w:val="TableBody"/>
            </w:pPr>
            <w:r w:rsidRPr="008C1137">
              <w:t>58.6</w:t>
            </w:r>
          </w:p>
        </w:tc>
        <w:tc>
          <w:tcPr>
            <w:tcW w:w="717" w:type="pct"/>
          </w:tcPr>
          <w:p w14:paraId="748F0AF3" w14:textId="77777777" w:rsidR="00A4454A" w:rsidRPr="008C1137" w:rsidRDefault="00A4454A" w:rsidP="00390380">
            <w:pPr>
              <w:pStyle w:val="TableBody"/>
            </w:pPr>
            <w:r w:rsidRPr="008C1137">
              <w:t>79.1</w:t>
            </w:r>
          </w:p>
        </w:tc>
      </w:tr>
      <w:tr w:rsidR="006A0A62" w:rsidRPr="008C1137" w14:paraId="77784115" w14:textId="77777777" w:rsidTr="00CF2074">
        <w:trPr>
          <w:trHeight w:val="60"/>
        </w:trPr>
        <w:tc>
          <w:tcPr>
            <w:tcW w:w="700" w:type="pct"/>
          </w:tcPr>
          <w:p w14:paraId="66969B65" w14:textId="77777777" w:rsidR="00A4454A" w:rsidRPr="008C1137" w:rsidRDefault="00A4454A" w:rsidP="00390380">
            <w:pPr>
              <w:pStyle w:val="TableBody"/>
            </w:pPr>
            <w:r w:rsidRPr="008C1137">
              <w:t>2022</w:t>
            </w:r>
          </w:p>
        </w:tc>
        <w:tc>
          <w:tcPr>
            <w:tcW w:w="716" w:type="pct"/>
          </w:tcPr>
          <w:p w14:paraId="3AD45772" w14:textId="77777777" w:rsidR="00A4454A" w:rsidRPr="008C1137" w:rsidRDefault="00A4454A" w:rsidP="00390380">
            <w:pPr>
              <w:pStyle w:val="TableBody"/>
            </w:pPr>
            <w:r w:rsidRPr="008C1137">
              <w:t>73.6</w:t>
            </w:r>
          </w:p>
        </w:tc>
        <w:tc>
          <w:tcPr>
            <w:tcW w:w="717" w:type="pct"/>
          </w:tcPr>
          <w:p w14:paraId="7F2B7D83" w14:textId="77777777" w:rsidR="00A4454A" w:rsidRPr="008C1137" w:rsidRDefault="00A4454A" w:rsidP="00390380">
            <w:pPr>
              <w:pStyle w:val="TableBody"/>
            </w:pPr>
            <w:r w:rsidRPr="008C1137">
              <w:t>78.2</w:t>
            </w:r>
          </w:p>
        </w:tc>
        <w:tc>
          <w:tcPr>
            <w:tcW w:w="717" w:type="pct"/>
          </w:tcPr>
          <w:p w14:paraId="427B0745" w14:textId="77777777" w:rsidR="00A4454A" w:rsidRPr="008C1137" w:rsidRDefault="00A4454A" w:rsidP="00390380">
            <w:pPr>
              <w:pStyle w:val="TableBody"/>
            </w:pPr>
            <w:r w:rsidRPr="008C1137">
              <w:t>84.5</w:t>
            </w:r>
          </w:p>
        </w:tc>
        <w:tc>
          <w:tcPr>
            <w:tcW w:w="717" w:type="pct"/>
          </w:tcPr>
          <w:p w14:paraId="04D2C580" w14:textId="77777777" w:rsidR="00A4454A" w:rsidRPr="008C1137" w:rsidRDefault="00A4454A" w:rsidP="00390380">
            <w:pPr>
              <w:pStyle w:val="TableBody"/>
            </w:pPr>
            <w:r w:rsidRPr="008C1137">
              <w:t>73.3</w:t>
            </w:r>
          </w:p>
        </w:tc>
        <w:tc>
          <w:tcPr>
            <w:tcW w:w="717" w:type="pct"/>
          </w:tcPr>
          <w:p w14:paraId="24EF7467" w14:textId="77777777" w:rsidR="00A4454A" w:rsidRPr="008C1137" w:rsidRDefault="00A4454A" w:rsidP="00390380">
            <w:pPr>
              <w:pStyle w:val="TableBody"/>
            </w:pPr>
            <w:r w:rsidRPr="008C1137">
              <w:t>60.4</w:t>
            </w:r>
          </w:p>
        </w:tc>
        <w:tc>
          <w:tcPr>
            <w:tcW w:w="717" w:type="pct"/>
          </w:tcPr>
          <w:p w14:paraId="1151500A" w14:textId="77777777" w:rsidR="00A4454A" w:rsidRPr="008C1137" w:rsidRDefault="00A4454A" w:rsidP="00390380">
            <w:pPr>
              <w:pStyle w:val="TableBody"/>
            </w:pPr>
            <w:r w:rsidRPr="008C1137">
              <w:t>42.2</w:t>
            </w:r>
          </w:p>
        </w:tc>
      </w:tr>
      <w:tr w:rsidR="006A0A62" w:rsidRPr="008C1137" w14:paraId="2B511CA6" w14:textId="77777777" w:rsidTr="00CF2074">
        <w:trPr>
          <w:trHeight w:val="60"/>
        </w:trPr>
        <w:tc>
          <w:tcPr>
            <w:tcW w:w="700" w:type="pct"/>
          </w:tcPr>
          <w:p w14:paraId="5B65BE56" w14:textId="77777777" w:rsidR="00A4454A" w:rsidRPr="008C1137" w:rsidRDefault="00A4454A" w:rsidP="00390380">
            <w:pPr>
              <w:pStyle w:val="TableBody"/>
            </w:pPr>
            <w:r w:rsidRPr="008C1137">
              <w:t>2023</w:t>
            </w:r>
          </w:p>
        </w:tc>
        <w:tc>
          <w:tcPr>
            <w:tcW w:w="716" w:type="pct"/>
          </w:tcPr>
          <w:p w14:paraId="6943BEE2" w14:textId="77777777" w:rsidR="00A4454A" w:rsidRPr="008C1137" w:rsidRDefault="00A4454A" w:rsidP="00390380">
            <w:pPr>
              <w:pStyle w:val="TableBody"/>
            </w:pPr>
            <w:r w:rsidRPr="008C1137">
              <w:t>74.9</w:t>
            </w:r>
          </w:p>
        </w:tc>
        <w:tc>
          <w:tcPr>
            <w:tcW w:w="717" w:type="pct"/>
          </w:tcPr>
          <w:p w14:paraId="66FED58A" w14:textId="77777777" w:rsidR="00A4454A" w:rsidRPr="008C1137" w:rsidRDefault="00A4454A" w:rsidP="00390380">
            <w:pPr>
              <w:pStyle w:val="TableBody"/>
            </w:pPr>
            <w:r w:rsidRPr="008C1137">
              <w:t>80.3</w:t>
            </w:r>
          </w:p>
        </w:tc>
        <w:tc>
          <w:tcPr>
            <w:tcW w:w="717" w:type="pct"/>
          </w:tcPr>
          <w:p w14:paraId="59530F7C" w14:textId="77777777" w:rsidR="00A4454A" w:rsidRPr="008C1137" w:rsidRDefault="00A4454A" w:rsidP="00390380">
            <w:pPr>
              <w:pStyle w:val="TableBody"/>
            </w:pPr>
            <w:r w:rsidRPr="008C1137">
              <w:t>81.8</w:t>
            </w:r>
          </w:p>
        </w:tc>
        <w:tc>
          <w:tcPr>
            <w:tcW w:w="717" w:type="pct"/>
          </w:tcPr>
          <w:p w14:paraId="6285E7A7" w14:textId="77777777" w:rsidR="00A4454A" w:rsidRPr="008C1137" w:rsidRDefault="00A4454A" w:rsidP="00390380">
            <w:pPr>
              <w:pStyle w:val="TableBody"/>
            </w:pPr>
            <w:r w:rsidRPr="008C1137">
              <w:t>80.9</w:t>
            </w:r>
          </w:p>
        </w:tc>
        <w:tc>
          <w:tcPr>
            <w:tcW w:w="717" w:type="pct"/>
          </w:tcPr>
          <w:p w14:paraId="4614E92E" w14:textId="77777777" w:rsidR="00A4454A" w:rsidRPr="008C1137" w:rsidRDefault="00A4454A" w:rsidP="00390380">
            <w:pPr>
              <w:pStyle w:val="TableBody"/>
            </w:pPr>
            <w:r w:rsidRPr="008C1137">
              <w:t>62.6</w:t>
            </w:r>
          </w:p>
        </w:tc>
        <w:tc>
          <w:tcPr>
            <w:tcW w:w="717" w:type="pct"/>
          </w:tcPr>
          <w:p w14:paraId="2B4258B0" w14:textId="77777777" w:rsidR="00A4454A" w:rsidRPr="008C1137" w:rsidRDefault="00A4454A" w:rsidP="00390380">
            <w:pPr>
              <w:pStyle w:val="TableBody"/>
            </w:pPr>
            <w:r w:rsidRPr="008C1137">
              <w:t>53.3</w:t>
            </w:r>
          </w:p>
        </w:tc>
      </w:tr>
      <w:tr w:rsidR="006A0A62" w:rsidRPr="008C1137" w14:paraId="3EF4D797" w14:textId="77777777" w:rsidTr="00CF2074">
        <w:trPr>
          <w:trHeight w:val="60"/>
        </w:trPr>
        <w:tc>
          <w:tcPr>
            <w:tcW w:w="700" w:type="pct"/>
          </w:tcPr>
          <w:p w14:paraId="61C4D56F" w14:textId="77777777" w:rsidR="00A4454A" w:rsidRPr="008C1137" w:rsidRDefault="00A4454A" w:rsidP="00390380">
            <w:pPr>
              <w:pStyle w:val="TableBody"/>
            </w:pPr>
            <w:r w:rsidRPr="008C1137">
              <w:t>2024</w:t>
            </w:r>
          </w:p>
        </w:tc>
        <w:tc>
          <w:tcPr>
            <w:tcW w:w="716" w:type="pct"/>
          </w:tcPr>
          <w:p w14:paraId="573CE7F4" w14:textId="77777777" w:rsidR="00A4454A" w:rsidRPr="008C1137" w:rsidRDefault="00A4454A" w:rsidP="00390380">
            <w:pPr>
              <w:pStyle w:val="TableBody"/>
            </w:pPr>
            <w:r w:rsidRPr="008C1137">
              <w:t>77.3</w:t>
            </w:r>
          </w:p>
        </w:tc>
        <w:tc>
          <w:tcPr>
            <w:tcW w:w="717" w:type="pct"/>
          </w:tcPr>
          <w:p w14:paraId="569B534E" w14:textId="77777777" w:rsidR="00A4454A" w:rsidRPr="008C1137" w:rsidRDefault="00A4454A" w:rsidP="00390380">
            <w:pPr>
              <w:pStyle w:val="TableBody"/>
            </w:pPr>
            <w:r w:rsidRPr="008C1137">
              <w:t>77.8</w:t>
            </w:r>
          </w:p>
        </w:tc>
        <w:tc>
          <w:tcPr>
            <w:tcW w:w="717" w:type="pct"/>
          </w:tcPr>
          <w:p w14:paraId="1FD7C51C" w14:textId="77777777" w:rsidR="00A4454A" w:rsidRPr="008C1137" w:rsidRDefault="00A4454A" w:rsidP="00390380">
            <w:pPr>
              <w:pStyle w:val="TableBody"/>
            </w:pPr>
            <w:r w:rsidRPr="008C1137">
              <w:t>84.3</w:t>
            </w:r>
          </w:p>
        </w:tc>
        <w:tc>
          <w:tcPr>
            <w:tcW w:w="717" w:type="pct"/>
          </w:tcPr>
          <w:p w14:paraId="33B17A9F" w14:textId="77777777" w:rsidR="00A4454A" w:rsidRPr="008C1137" w:rsidRDefault="00A4454A" w:rsidP="00390380">
            <w:pPr>
              <w:pStyle w:val="TableBody"/>
            </w:pPr>
            <w:r w:rsidRPr="008C1137">
              <w:t>82.1</w:t>
            </w:r>
          </w:p>
        </w:tc>
        <w:tc>
          <w:tcPr>
            <w:tcW w:w="717" w:type="pct"/>
          </w:tcPr>
          <w:p w14:paraId="3AB9E91F" w14:textId="77777777" w:rsidR="00A4454A" w:rsidRPr="008C1137" w:rsidRDefault="00A4454A" w:rsidP="00390380">
            <w:pPr>
              <w:pStyle w:val="TableBody"/>
            </w:pPr>
            <w:r w:rsidRPr="008C1137">
              <w:t>68.2</w:t>
            </w:r>
          </w:p>
        </w:tc>
        <w:tc>
          <w:tcPr>
            <w:tcW w:w="717" w:type="pct"/>
          </w:tcPr>
          <w:p w14:paraId="09312F6B" w14:textId="77777777" w:rsidR="00A4454A" w:rsidRPr="008C1137" w:rsidRDefault="00A4454A" w:rsidP="00390380">
            <w:pPr>
              <w:pStyle w:val="TableBody"/>
            </w:pPr>
            <w:r w:rsidRPr="008C1137">
              <w:t>48.9</w:t>
            </w:r>
          </w:p>
        </w:tc>
      </w:tr>
      <w:tr w:rsidR="006A0A62" w:rsidRPr="008C1137" w14:paraId="69D00128" w14:textId="77777777" w:rsidTr="00CF2074">
        <w:trPr>
          <w:trHeight w:val="60"/>
        </w:trPr>
        <w:tc>
          <w:tcPr>
            <w:tcW w:w="700" w:type="pct"/>
          </w:tcPr>
          <w:p w14:paraId="51FF8CC7" w14:textId="77777777" w:rsidR="00A4454A" w:rsidRPr="000C258A" w:rsidRDefault="00A4454A" w:rsidP="00390380">
            <w:pPr>
              <w:pStyle w:val="TableBody"/>
              <w:rPr>
                <w:rStyle w:val="Strong"/>
              </w:rPr>
            </w:pPr>
            <w:r w:rsidRPr="000C258A">
              <w:rPr>
                <w:rStyle w:val="Strong"/>
              </w:rPr>
              <w:t>Change in rate</w:t>
            </w:r>
          </w:p>
        </w:tc>
        <w:tc>
          <w:tcPr>
            <w:tcW w:w="716" w:type="pct"/>
          </w:tcPr>
          <w:p w14:paraId="53C88EBA" w14:textId="77777777" w:rsidR="00A4454A" w:rsidRPr="000C258A" w:rsidRDefault="00A4454A" w:rsidP="00390380">
            <w:pPr>
              <w:pStyle w:val="TableBody"/>
              <w:rPr>
                <w:rStyle w:val="Strong"/>
              </w:rPr>
            </w:pPr>
            <w:r w:rsidRPr="000C258A">
              <w:rPr>
                <w:rStyle w:val="Strong"/>
              </w:rPr>
              <w:t>24.1</w:t>
            </w:r>
          </w:p>
        </w:tc>
        <w:tc>
          <w:tcPr>
            <w:tcW w:w="717" w:type="pct"/>
          </w:tcPr>
          <w:p w14:paraId="501846A4" w14:textId="77777777" w:rsidR="00A4454A" w:rsidRPr="000C258A" w:rsidRDefault="00A4454A" w:rsidP="00390380">
            <w:pPr>
              <w:pStyle w:val="TableBody"/>
              <w:rPr>
                <w:rStyle w:val="Strong"/>
              </w:rPr>
            </w:pPr>
            <w:r w:rsidRPr="000C258A">
              <w:rPr>
                <w:rStyle w:val="Strong"/>
              </w:rPr>
              <w:t>32.9</w:t>
            </w:r>
          </w:p>
        </w:tc>
        <w:tc>
          <w:tcPr>
            <w:tcW w:w="717" w:type="pct"/>
          </w:tcPr>
          <w:p w14:paraId="4E5AEFF2" w14:textId="77777777" w:rsidR="00A4454A" w:rsidRPr="000C258A" w:rsidRDefault="00A4454A" w:rsidP="00390380">
            <w:pPr>
              <w:pStyle w:val="TableBody"/>
              <w:rPr>
                <w:rStyle w:val="Strong"/>
              </w:rPr>
            </w:pPr>
            <w:r w:rsidRPr="000C258A">
              <w:rPr>
                <w:rStyle w:val="Strong"/>
              </w:rPr>
              <w:t>21.6</w:t>
            </w:r>
          </w:p>
        </w:tc>
        <w:tc>
          <w:tcPr>
            <w:tcW w:w="717" w:type="pct"/>
          </w:tcPr>
          <w:p w14:paraId="11B4061C" w14:textId="77777777" w:rsidR="00A4454A" w:rsidRPr="000C258A" w:rsidRDefault="00A4454A" w:rsidP="00390380">
            <w:pPr>
              <w:pStyle w:val="TableBody"/>
              <w:rPr>
                <w:rStyle w:val="Strong"/>
              </w:rPr>
            </w:pPr>
            <w:r w:rsidRPr="000C258A">
              <w:rPr>
                <w:rStyle w:val="Strong"/>
              </w:rPr>
              <w:t>47.5</w:t>
            </w:r>
          </w:p>
        </w:tc>
        <w:tc>
          <w:tcPr>
            <w:tcW w:w="717" w:type="pct"/>
          </w:tcPr>
          <w:p w14:paraId="425B28ED" w14:textId="77777777" w:rsidR="00A4454A" w:rsidRPr="000C258A" w:rsidRDefault="00A4454A" w:rsidP="00390380">
            <w:pPr>
              <w:pStyle w:val="TableBody"/>
              <w:rPr>
                <w:rStyle w:val="Strong"/>
              </w:rPr>
            </w:pPr>
            <w:r w:rsidRPr="000C258A">
              <w:rPr>
                <w:rStyle w:val="Strong"/>
              </w:rPr>
              <w:t>40.9</w:t>
            </w:r>
          </w:p>
        </w:tc>
        <w:tc>
          <w:tcPr>
            <w:tcW w:w="717" w:type="pct"/>
          </w:tcPr>
          <w:p w14:paraId="3E3DF440" w14:textId="77777777" w:rsidR="00A4454A" w:rsidRPr="000C258A" w:rsidRDefault="00A4454A" w:rsidP="00390380">
            <w:pPr>
              <w:pStyle w:val="TableBody"/>
              <w:rPr>
                <w:rStyle w:val="Strong"/>
              </w:rPr>
            </w:pPr>
            <w:r w:rsidRPr="000C258A">
              <w:rPr>
                <w:rStyle w:val="Strong"/>
              </w:rPr>
              <w:t>−2.5</w:t>
            </w:r>
          </w:p>
        </w:tc>
      </w:tr>
    </w:tbl>
    <w:p w14:paraId="23C61005" w14:textId="77777777" w:rsidR="00A4454A" w:rsidRPr="008C1137" w:rsidRDefault="00A4454A" w:rsidP="00BE4EDC">
      <w:pPr>
        <w:pStyle w:val="Caption"/>
      </w:pPr>
      <w:r w:rsidRPr="00157502">
        <w:t>Table A4</w:t>
      </w:r>
      <w:r w:rsidRPr="008C1137">
        <w:t>: Average custodial sentence length (years) in the higher courts</w:t>
      </w:r>
    </w:p>
    <w:tbl>
      <w:tblPr>
        <w:tblStyle w:val="Table"/>
        <w:tblW w:w="5000" w:type="pct"/>
        <w:tblLook w:val="0020" w:firstRow="1" w:lastRow="0" w:firstColumn="0" w:lastColumn="0" w:noHBand="0" w:noVBand="0"/>
      </w:tblPr>
      <w:tblGrid>
        <w:gridCol w:w="1486"/>
        <w:gridCol w:w="1233"/>
        <w:gridCol w:w="1235"/>
        <w:gridCol w:w="1235"/>
        <w:gridCol w:w="1235"/>
        <w:gridCol w:w="1358"/>
        <w:gridCol w:w="1234"/>
      </w:tblGrid>
      <w:tr w:rsidR="006A0A62" w:rsidRPr="008C1137" w14:paraId="04707AD8" w14:textId="77777777" w:rsidTr="00CF2074">
        <w:trPr>
          <w:trHeight w:val="60"/>
          <w:tblHeader/>
        </w:trPr>
        <w:tc>
          <w:tcPr>
            <w:tcW w:w="700" w:type="pct"/>
          </w:tcPr>
          <w:p w14:paraId="00614731" w14:textId="77777777" w:rsidR="00A4454A" w:rsidRPr="00281603" w:rsidRDefault="00A4454A" w:rsidP="00281603">
            <w:pPr>
              <w:pStyle w:val="TableHeading"/>
            </w:pPr>
            <w:r w:rsidRPr="00281603">
              <w:t>Financial year</w:t>
            </w:r>
          </w:p>
        </w:tc>
        <w:tc>
          <w:tcPr>
            <w:tcW w:w="716" w:type="pct"/>
          </w:tcPr>
          <w:p w14:paraId="2EF4DF32" w14:textId="77777777" w:rsidR="00A4454A" w:rsidRPr="00281603" w:rsidRDefault="00A4454A" w:rsidP="00281603">
            <w:pPr>
              <w:pStyle w:val="TableHeading"/>
            </w:pPr>
            <w:r w:rsidRPr="00281603">
              <w:t>Offences against the person</w:t>
            </w:r>
          </w:p>
        </w:tc>
        <w:tc>
          <w:tcPr>
            <w:tcW w:w="717" w:type="pct"/>
          </w:tcPr>
          <w:p w14:paraId="03234415" w14:textId="77777777" w:rsidR="00A4454A" w:rsidRPr="00281603" w:rsidRDefault="00A4454A" w:rsidP="00281603">
            <w:pPr>
              <w:pStyle w:val="TableHeading"/>
            </w:pPr>
            <w:r w:rsidRPr="00281603">
              <w:t>Property offences</w:t>
            </w:r>
          </w:p>
        </w:tc>
        <w:tc>
          <w:tcPr>
            <w:tcW w:w="717" w:type="pct"/>
          </w:tcPr>
          <w:p w14:paraId="7AF77CFE" w14:textId="77777777" w:rsidR="00A4454A" w:rsidRPr="00281603" w:rsidRDefault="00A4454A" w:rsidP="00281603">
            <w:pPr>
              <w:pStyle w:val="TableHeading"/>
            </w:pPr>
            <w:r w:rsidRPr="00281603">
              <w:t>Drug offences</w:t>
            </w:r>
          </w:p>
        </w:tc>
        <w:tc>
          <w:tcPr>
            <w:tcW w:w="717" w:type="pct"/>
          </w:tcPr>
          <w:p w14:paraId="0383124B" w14:textId="77777777" w:rsidR="00A4454A" w:rsidRPr="00281603" w:rsidRDefault="00A4454A" w:rsidP="00281603">
            <w:pPr>
              <w:pStyle w:val="TableHeading"/>
            </w:pPr>
            <w:r w:rsidRPr="00281603">
              <w:t>Public order offences</w:t>
            </w:r>
          </w:p>
        </w:tc>
        <w:tc>
          <w:tcPr>
            <w:tcW w:w="717" w:type="pct"/>
          </w:tcPr>
          <w:p w14:paraId="56616E95" w14:textId="77777777" w:rsidR="00A4454A" w:rsidRPr="00281603" w:rsidRDefault="00A4454A" w:rsidP="00281603">
            <w:pPr>
              <w:pStyle w:val="TableHeading"/>
            </w:pPr>
            <w:r w:rsidRPr="00281603">
              <w:t>Justice procedure offences</w:t>
            </w:r>
          </w:p>
        </w:tc>
        <w:tc>
          <w:tcPr>
            <w:tcW w:w="717" w:type="pct"/>
          </w:tcPr>
          <w:p w14:paraId="72DC31D4" w14:textId="77777777" w:rsidR="00A4454A" w:rsidRPr="00281603" w:rsidRDefault="00A4454A" w:rsidP="00281603">
            <w:pPr>
              <w:pStyle w:val="TableHeading"/>
            </w:pPr>
            <w:r w:rsidRPr="00281603">
              <w:t>Other offences</w:t>
            </w:r>
          </w:p>
        </w:tc>
      </w:tr>
      <w:tr w:rsidR="006A0A62" w:rsidRPr="008C1137" w14:paraId="6B8595B7" w14:textId="77777777" w:rsidTr="00CF2074">
        <w:trPr>
          <w:trHeight w:val="60"/>
        </w:trPr>
        <w:tc>
          <w:tcPr>
            <w:tcW w:w="700" w:type="pct"/>
          </w:tcPr>
          <w:p w14:paraId="6A256870" w14:textId="77777777" w:rsidR="00A4454A" w:rsidRPr="008C1137" w:rsidRDefault="00A4454A" w:rsidP="00390380">
            <w:pPr>
              <w:pStyle w:val="TableBody"/>
            </w:pPr>
            <w:r w:rsidRPr="008C1137">
              <w:t>2007</w:t>
            </w:r>
          </w:p>
        </w:tc>
        <w:tc>
          <w:tcPr>
            <w:tcW w:w="716" w:type="pct"/>
          </w:tcPr>
          <w:p w14:paraId="382484D4" w14:textId="77777777" w:rsidR="00A4454A" w:rsidRPr="008C1137" w:rsidRDefault="00A4454A" w:rsidP="00390380">
            <w:pPr>
              <w:pStyle w:val="TableBody"/>
            </w:pPr>
            <w:r w:rsidRPr="008C1137">
              <w:t>4.6</w:t>
            </w:r>
          </w:p>
        </w:tc>
        <w:tc>
          <w:tcPr>
            <w:tcW w:w="717" w:type="pct"/>
          </w:tcPr>
          <w:p w14:paraId="6C088152" w14:textId="77777777" w:rsidR="00A4454A" w:rsidRPr="008C1137" w:rsidRDefault="00A4454A" w:rsidP="00390380">
            <w:pPr>
              <w:pStyle w:val="TableBody"/>
            </w:pPr>
            <w:r w:rsidRPr="008C1137">
              <w:t>2.2</w:t>
            </w:r>
          </w:p>
        </w:tc>
        <w:tc>
          <w:tcPr>
            <w:tcW w:w="717" w:type="pct"/>
          </w:tcPr>
          <w:p w14:paraId="1D560B7F" w14:textId="77777777" w:rsidR="00A4454A" w:rsidRPr="008C1137" w:rsidRDefault="00A4454A" w:rsidP="00390380">
            <w:pPr>
              <w:pStyle w:val="TableBody"/>
            </w:pPr>
            <w:r w:rsidRPr="008C1137">
              <w:t>3.7</w:t>
            </w:r>
          </w:p>
        </w:tc>
        <w:tc>
          <w:tcPr>
            <w:tcW w:w="717" w:type="pct"/>
          </w:tcPr>
          <w:p w14:paraId="0903BF69" w14:textId="77777777" w:rsidR="00A4454A" w:rsidRPr="008C1137" w:rsidRDefault="00A4454A" w:rsidP="00390380">
            <w:pPr>
              <w:pStyle w:val="TableBody"/>
            </w:pPr>
            <w:r w:rsidRPr="008C1137">
              <w:t>2.1</w:t>
            </w:r>
          </w:p>
        </w:tc>
        <w:tc>
          <w:tcPr>
            <w:tcW w:w="717" w:type="pct"/>
          </w:tcPr>
          <w:p w14:paraId="6FD2E26D" w14:textId="77777777" w:rsidR="00A4454A" w:rsidRPr="008C1137" w:rsidRDefault="00A4454A" w:rsidP="00390380">
            <w:pPr>
              <w:pStyle w:val="TableBody"/>
            </w:pPr>
            <w:r w:rsidRPr="008C1137">
              <w:t>1.4</w:t>
            </w:r>
          </w:p>
        </w:tc>
        <w:tc>
          <w:tcPr>
            <w:tcW w:w="717" w:type="pct"/>
          </w:tcPr>
          <w:p w14:paraId="08457426" w14:textId="77777777" w:rsidR="00A4454A" w:rsidRPr="008C1137" w:rsidRDefault="00A4454A" w:rsidP="00390380">
            <w:pPr>
              <w:pStyle w:val="TableBody"/>
            </w:pPr>
            <w:r w:rsidRPr="008C1137">
              <w:t>2.6</w:t>
            </w:r>
          </w:p>
        </w:tc>
      </w:tr>
      <w:tr w:rsidR="006A0A62" w:rsidRPr="008C1137" w14:paraId="34680A38" w14:textId="77777777" w:rsidTr="00CF2074">
        <w:trPr>
          <w:trHeight w:val="60"/>
        </w:trPr>
        <w:tc>
          <w:tcPr>
            <w:tcW w:w="700" w:type="pct"/>
          </w:tcPr>
          <w:p w14:paraId="7ECD8B5B" w14:textId="77777777" w:rsidR="00A4454A" w:rsidRPr="008C1137" w:rsidRDefault="00A4454A" w:rsidP="00390380">
            <w:pPr>
              <w:pStyle w:val="TableBody"/>
            </w:pPr>
            <w:r w:rsidRPr="008C1137">
              <w:t>2008</w:t>
            </w:r>
          </w:p>
        </w:tc>
        <w:tc>
          <w:tcPr>
            <w:tcW w:w="716" w:type="pct"/>
          </w:tcPr>
          <w:p w14:paraId="2E682842" w14:textId="77777777" w:rsidR="00A4454A" w:rsidRPr="008C1137" w:rsidRDefault="00A4454A" w:rsidP="00390380">
            <w:pPr>
              <w:pStyle w:val="TableBody"/>
            </w:pPr>
            <w:r w:rsidRPr="008C1137">
              <w:t>4.3</w:t>
            </w:r>
          </w:p>
        </w:tc>
        <w:tc>
          <w:tcPr>
            <w:tcW w:w="717" w:type="pct"/>
          </w:tcPr>
          <w:p w14:paraId="6CDD2BBD" w14:textId="77777777" w:rsidR="00A4454A" w:rsidRPr="008C1137" w:rsidRDefault="00A4454A" w:rsidP="00390380">
            <w:pPr>
              <w:pStyle w:val="TableBody"/>
            </w:pPr>
            <w:r w:rsidRPr="008C1137">
              <w:t>2.6</w:t>
            </w:r>
          </w:p>
        </w:tc>
        <w:tc>
          <w:tcPr>
            <w:tcW w:w="717" w:type="pct"/>
          </w:tcPr>
          <w:p w14:paraId="7BE3E19A" w14:textId="77777777" w:rsidR="00A4454A" w:rsidRPr="008C1137" w:rsidRDefault="00A4454A" w:rsidP="00390380">
            <w:pPr>
              <w:pStyle w:val="TableBody"/>
            </w:pPr>
            <w:r w:rsidRPr="008C1137">
              <w:t>3.2</w:t>
            </w:r>
          </w:p>
        </w:tc>
        <w:tc>
          <w:tcPr>
            <w:tcW w:w="717" w:type="pct"/>
          </w:tcPr>
          <w:p w14:paraId="7052B92B" w14:textId="77777777" w:rsidR="00A4454A" w:rsidRPr="008C1137" w:rsidRDefault="00A4454A" w:rsidP="00390380">
            <w:pPr>
              <w:pStyle w:val="TableBody"/>
            </w:pPr>
            <w:r w:rsidRPr="008C1137">
              <w:t>1.6</w:t>
            </w:r>
          </w:p>
        </w:tc>
        <w:tc>
          <w:tcPr>
            <w:tcW w:w="717" w:type="pct"/>
          </w:tcPr>
          <w:p w14:paraId="309699F0" w14:textId="77777777" w:rsidR="00A4454A" w:rsidRPr="008C1137" w:rsidRDefault="00A4454A" w:rsidP="00390380">
            <w:pPr>
              <w:pStyle w:val="TableBody"/>
            </w:pPr>
            <w:r w:rsidRPr="008C1137">
              <w:t>2.0</w:t>
            </w:r>
          </w:p>
        </w:tc>
        <w:tc>
          <w:tcPr>
            <w:tcW w:w="717" w:type="pct"/>
          </w:tcPr>
          <w:p w14:paraId="1C9C54A5" w14:textId="77777777" w:rsidR="00A4454A" w:rsidRPr="008C1137" w:rsidRDefault="00A4454A" w:rsidP="00390380">
            <w:pPr>
              <w:pStyle w:val="TableBody"/>
            </w:pPr>
            <w:r w:rsidRPr="008C1137">
              <w:t>3.0</w:t>
            </w:r>
          </w:p>
        </w:tc>
      </w:tr>
      <w:tr w:rsidR="006A0A62" w:rsidRPr="008C1137" w14:paraId="7A6BFFCC" w14:textId="77777777" w:rsidTr="00CF2074">
        <w:trPr>
          <w:trHeight w:val="60"/>
        </w:trPr>
        <w:tc>
          <w:tcPr>
            <w:tcW w:w="700" w:type="pct"/>
          </w:tcPr>
          <w:p w14:paraId="165CDCBD" w14:textId="77777777" w:rsidR="00A4454A" w:rsidRPr="008C1137" w:rsidRDefault="00A4454A" w:rsidP="00390380">
            <w:pPr>
              <w:pStyle w:val="TableBody"/>
            </w:pPr>
            <w:r w:rsidRPr="008C1137">
              <w:t>2009</w:t>
            </w:r>
          </w:p>
        </w:tc>
        <w:tc>
          <w:tcPr>
            <w:tcW w:w="716" w:type="pct"/>
          </w:tcPr>
          <w:p w14:paraId="038D02B3" w14:textId="77777777" w:rsidR="00A4454A" w:rsidRPr="008C1137" w:rsidRDefault="00A4454A" w:rsidP="00390380">
            <w:pPr>
              <w:pStyle w:val="TableBody"/>
            </w:pPr>
            <w:r w:rsidRPr="008C1137">
              <w:t>4.6</w:t>
            </w:r>
          </w:p>
        </w:tc>
        <w:tc>
          <w:tcPr>
            <w:tcW w:w="717" w:type="pct"/>
          </w:tcPr>
          <w:p w14:paraId="53AD3DCE" w14:textId="77777777" w:rsidR="00A4454A" w:rsidRPr="008C1137" w:rsidRDefault="00A4454A" w:rsidP="00390380">
            <w:pPr>
              <w:pStyle w:val="TableBody"/>
            </w:pPr>
            <w:r w:rsidRPr="008C1137">
              <w:t>2.7</w:t>
            </w:r>
          </w:p>
        </w:tc>
        <w:tc>
          <w:tcPr>
            <w:tcW w:w="717" w:type="pct"/>
          </w:tcPr>
          <w:p w14:paraId="3828EB31" w14:textId="77777777" w:rsidR="00A4454A" w:rsidRPr="008C1137" w:rsidRDefault="00A4454A" w:rsidP="00390380">
            <w:pPr>
              <w:pStyle w:val="TableBody"/>
            </w:pPr>
            <w:r w:rsidRPr="008C1137">
              <w:t>3.0</w:t>
            </w:r>
          </w:p>
        </w:tc>
        <w:tc>
          <w:tcPr>
            <w:tcW w:w="717" w:type="pct"/>
          </w:tcPr>
          <w:p w14:paraId="14D38B19" w14:textId="77777777" w:rsidR="00A4454A" w:rsidRPr="008C1137" w:rsidRDefault="00A4454A" w:rsidP="00390380">
            <w:pPr>
              <w:pStyle w:val="TableBody"/>
            </w:pPr>
            <w:r w:rsidRPr="008C1137">
              <w:t>3.1</w:t>
            </w:r>
          </w:p>
        </w:tc>
        <w:tc>
          <w:tcPr>
            <w:tcW w:w="717" w:type="pct"/>
          </w:tcPr>
          <w:p w14:paraId="128BFED3" w14:textId="77777777" w:rsidR="00A4454A" w:rsidRPr="008C1137" w:rsidRDefault="00A4454A" w:rsidP="00390380">
            <w:pPr>
              <w:pStyle w:val="TableBody"/>
            </w:pPr>
            <w:r w:rsidRPr="008C1137">
              <w:t>4.6</w:t>
            </w:r>
          </w:p>
        </w:tc>
        <w:tc>
          <w:tcPr>
            <w:tcW w:w="717" w:type="pct"/>
          </w:tcPr>
          <w:p w14:paraId="1FBB95BC" w14:textId="77777777" w:rsidR="00A4454A" w:rsidRPr="008C1137" w:rsidRDefault="00A4454A" w:rsidP="00390380">
            <w:pPr>
              <w:pStyle w:val="TableBody"/>
            </w:pPr>
            <w:r w:rsidRPr="008C1137">
              <w:t>2.8</w:t>
            </w:r>
          </w:p>
        </w:tc>
      </w:tr>
      <w:tr w:rsidR="006A0A62" w:rsidRPr="008C1137" w14:paraId="09D165BC" w14:textId="77777777" w:rsidTr="00CF2074">
        <w:trPr>
          <w:trHeight w:val="60"/>
        </w:trPr>
        <w:tc>
          <w:tcPr>
            <w:tcW w:w="700" w:type="pct"/>
          </w:tcPr>
          <w:p w14:paraId="1C411F49" w14:textId="77777777" w:rsidR="00A4454A" w:rsidRPr="008C1137" w:rsidRDefault="00A4454A" w:rsidP="00390380">
            <w:pPr>
              <w:pStyle w:val="TableBody"/>
            </w:pPr>
            <w:r w:rsidRPr="008C1137">
              <w:t>2010</w:t>
            </w:r>
          </w:p>
        </w:tc>
        <w:tc>
          <w:tcPr>
            <w:tcW w:w="716" w:type="pct"/>
          </w:tcPr>
          <w:p w14:paraId="0959F5D6" w14:textId="77777777" w:rsidR="00A4454A" w:rsidRPr="008C1137" w:rsidRDefault="00A4454A" w:rsidP="00390380">
            <w:pPr>
              <w:pStyle w:val="TableBody"/>
            </w:pPr>
            <w:r w:rsidRPr="008C1137">
              <w:t>5.0</w:t>
            </w:r>
          </w:p>
        </w:tc>
        <w:tc>
          <w:tcPr>
            <w:tcW w:w="717" w:type="pct"/>
          </w:tcPr>
          <w:p w14:paraId="5B38BCB3" w14:textId="77777777" w:rsidR="00A4454A" w:rsidRPr="008C1137" w:rsidRDefault="00A4454A" w:rsidP="00390380">
            <w:pPr>
              <w:pStyle w:val="TableBody"/>
            </w:pPr>
            <w:r w:rsidRPr="008C1137">
              <w:t>3.0</w:t>
            </w:r>
          </w:p>
        </w:tc>
        <w:tc>
          <w:tcPr>
            <w:tcW w:w="717" w:type="pct"/>
          </w:tcPr>
          <w:p w14:paraId="2AAC1471" w14:textId="77777777" w:rsidR="00A4454A" w:rsidRPr="008C1137" w:rsidRDefault="00A4454A" w:rsidP="00390380">
            <w:pPr>
              <w:pStyle w:val="TableBody"/>
            </w:pPr>
            <w:r w:rsidRPr="008C1137">
              <w:t>3.7</w:t>
            </w:r>
          </w:p>
        </w:tc>
        <w:tc>
          <w:tcPr>
            <w:tcW w:w="717" w:type="pct"/>
          </w:tcPr>
          <w:p w14:paraId="2698FEBB" w14:textId="77777777" w:rsidR="00A4454A" w:rsidRPr="008C1137" w:rsidRDefault="00A4454A" w:rsidP="00390380">
            <w:pPr>
              <w:pStyle w:val="TableBody"/>
            </w:pPr>
            <w:r w:rsidRPr="008C1137">
              <w:t>1.8</w:t>
            </w:r>
          </w:p>
        </w:tc>
        <w:tc>
          <w:tcPr>
            <w:tcW w:w="717" w:type="pct"/>
          </w:tcPr>
          <w:p w14:paraId="567110F1" w14:textId="77777777" w:rsidR="00A4454A" w:rsidRPr="008C1137" w:rsidRDefault="00A4454A" w:rsidP="00390380">
            <w:pPr>
              <w:pStyle w:val="TableBody"/>
            </w:pPr>
            <w:r w:rsidRPr="008C1137">
              <w:t>4.0</w:t>
            </w:r>
          </w:p>
        </w:tc>
        <w:tc>
          <w:tcPr>
            <w:tcW w:w="717" w:type="pct"/>
          </w:tcPr>
          <w:p w14:paraId="4AA3D28E" w14:textId="77777777" w:rsidR="00A4454A" w:rsidRPr="008C1137" w:rsidRDefault="00A4454A" w:rsidP="00390380">
            <w:pPr>
              <w:pStyle w:val="TableBody"/>
            </w:pPr>
            <w:r w:rsidRPr="008C1137">
              <w:t>4.6</w:t>
            </w:r>
          </w:p>
        </w:tc>
      </w:tr>
      <w:tr w:rsidR="006A0A62" w:rsidRPr="008C1137" w14:paraId="1DB6F337" w14:textId="77777777" w:rsidTr="00CF2074">
        <w:trPr>
          <w:trHeight w:val="60"/>
        </w:trPr>
        <w:tc>
          <w:tcPr>
            <w:tcW w:w="700" w:type="pct"/>
          </w:tcPr>
          <w:p w14:paraId="41389019" w14:textId="77777777" w:rsidR="00A4454A" w:rsidRPr="008C1137" w:rsidRDefault="00A4454A" w:rsidP="00390380">
            <w:pPr>
              <w:pStyle w:val="TableBody"/>
            </w:pPr>
            <w:r w:rsidRPr="008C1137">
              <w:t>2011</w:t>
            </w:r>
          </w:p>
        </w:tc>
        <w:tc>
          <w:tcPr>
            <w:tcW w:w="716" w:type="pct"/>
          </w:tcPr>
          <w:p w14:paraId="31FCEEC4" w14:textId="77777777" w:rsidR="00A4454A" w:rsidRPr="008C1137" w:rsidRDefault="00A4454A" w:rsidP="00390380">
            <w:pPr>
              <w:pStyle w:val="TableBody"/>
            </w:pPr>
            <w:r w:rsidRPr="008C1137">
              <w:t>4.6</w:t>
            </w:r>
          </w:p>
        </w:tc>
        <w:tc>
          <w:tcPr>
            <w:tcW w:w="717" w:type="pct"/>
          </w:tcPr>
          <w:p w14:paraId="4F60AD51" w14:textId="77777777" w:rsidR="00A4454A" w:rsidRPr="008C1137" w:rsidRDefault="00A4454A" w:rsidP="00390380">
            <w:pPr>
              <w:pStyle w:val="TableBody"/>
            </w:pPr>
            <w:r w:rsidRPr="008C1137">
              <w:t>3.1</w:t>
            </w:r>
          </w:p>
        </w:tc>
        <w:tc>
          <w:tcPr>
            <w:tcW w:w="717" w:type="pct"/>
          </w:tcPr>
          <w:p w14:paraId="4AE5EDA4" w14:textId="77777777" w:rsidR="00A4454A" w:rsidRPr="008C1137" w:rsidRDefault="00A4454A" w:rsidP="00390380">
            <w:pPr>
              <w:pStyle w:val="TableBody"/>
            </w:pPr>
            <w:r w:rsidRPr="008C1137">
              <w:t>3.2</w:t>
            </w:r>
          </w:p>
        </w:tc>
        <w:tc>
          <w:tcPr>
            <w:tcW w:w="717" w:type="pct"/>
          </w:tcPr>
          <w:p w14:paraId="71DA9806" w14:textId="77777777" w:rsidR="00A4454A" w:rsidRPr="008C1137" w:rsidRDefault="00A4454A" w:rsidP="00390380">
            <w:pPr>
              <w:pStyle w:val="TableBody"/>
            </w:pPr>
            <w:r w:rsidRPr="008C1137">
              <w:t>2.9</w:t>
            </w:r>
          </w:p>
        </w:tc>
        <w:tc>
          <w:tcPr>
            <w:tcW w:w="717" w:type="pct"/>
          </w:tcPr>
          <w:p w14:paraId="6A070A26" w14:textId="77777777" w:rsidR="00A4454A" w:rsidRPr="008C1137" w:rsidRDefault="00A4454A" w:rsidP="00390380">
            <w:pPr>
              <w:pStyle w:val="TableBody"/>
            </w:pPr>
            <w:r w:rsidRPr="008C1137">
              <w:t>2.0</w:t>
            </w:r>
          </w:p>
        </w:tc>
        <w:tc>
          <w:tcPr>
            <w:tcW w:w="717" w:type="pct"/>
          </w:tcPr>
          <w:p w14:paraId="2B1D4A45" w14:textId="77777777" w:rsidR="00A4454A" w:rsidRPr="008C1137" w:rsidRDefault="00A4454A" w:rsidP="00390380">
            <w:pPr>
              <w:pStyle w:val="TableBody"/>
            </w:pPr>
            <w:r w:rsidRPr="008C1137">
              <w:t>4.1</w:t>
            </w:r>
          </w:p>
        </w:tc>
      </w:tr>
      <w:tr w:rsidR="006A0A62" w:rsidRPr="008C1137" w14:paraId="7F4F7396" w14:textId="77777777" w:rsidTr="00CF2074">
        <w:trPr>
          <w:trHeight w:val="60"/>
        </w:trPr>
        <w:tc>
          <w:tcPr>
            <w:tcW w:w="700" w:type="pct"/>
          </w:tcPr>
          <w:p w14:paraId="0E9D36A9" w14:textId="77777777" w:rsidR="00A4454A" w:rsidRPr="008C1137" w:rsidRDefault="00A4454A" w:rsidP="00390380">
            <w:pPr>
              <w:pStyle w:val="TableBody"/>
            </w:pPr>
            <w:r w:rsidRPr="008C1137">
              <w:t>2012</w:t>
            </w:r>
          </w:p>
        </w:tc>
        <w:tc>
          <w:tcPr>
            <w:tcW w:w="716" w:type="pct"/>
          </w:tcPr>
          <w:p w14:paraId="4046B548" w14:textId="77777777" w:rsidR="00A4454A" w:rsidRPr="008C1137" w:rsidRDefault="00A4454A" w:rsidP="00390380">
            <w:pPr>
              <w:pStyle w:val="TableBody"/>
            </w:pPr>
            <w:r w:rsidRPr="008C1137">
              <w:t>4.6</w:t>
            </w:r>
          </w:p>
        </w:tc>
        <w:tc>
          <w:tcPr>
            <w:tcW w:w="717" w:type="pct"/>
          </w:tcPr>
          <w:p w14:paraId="73A5545C" w14:textId="77777777" w:rsidR="00A4454A" w:rsidRPr="008C1137" w:rsidRDefault="00A4454A" w:rsidP="00390380">
            <w:pPr>
              <w:pStyle w:val="TableBody"/>
            </w:pPr>
            <w:r w:rsidRPr="008C1137">
              <w:t>2.9</w:t>
            </w:r>
          </w:p>
        </w:tc>
        <w:tc>
          <w:tcPr>
            <w:tcW w:w="717" w:type="pct"/>
          </w:tcPr>
          <w:p w14:paraId="28A23905" w14:textId="77777777" w:rsidR="00A4454A" w:rsidRPr="008C1137" w:rsidRDefault="00A4454A" w:rsidP="00390380">
            <w:pPr>
              <w:pStyle w:val="TableBody"/>
            </w:pPr>
            <w:r w:rsidRPr="008C1137">
              <w:t>3.3</w:t>
            </w:r>
          </w:p>
        </w:tc>
        <w:tc>
          <w:tcPr>
            <w:tcW w:w="717" w:type="pct"/>
          </w:tcPr>
          <w:p w14:paraId="7272485C" w14:textId="77777777" w:rsidR="00A4454A" w:rsidRPr="008C1137" w:rsidRDefault="00A4454A" w:rsidP="00390380">
            <w:pPr>
              <w:pStyle w:val="TableBody"/>
            </w:pPr>
            <w:r w:rsidRPr="008C1137">
              <w:t>2.6</w:t>
            </w:r>
          </w:p>
        </w:tc>
        <w:tc>
          <w:tcPr>
            <w:tcW w:w="717" w:type="pct"/>
          </w:tcPr>
          <w:p w14:paraId="254EDF92" w14:textId="77777777" w:rsidR="00A4454A" w:rsidRPr="008C1137" w:rsidRDefault="00A4454A" w:rsidP="00390380">
            <w:pPr>
              <w:pStyle w:val="TableBody"/>
            </w:pPr>
            <w:r w:rsidRPr="008C1137">
              <w:t>5.0</w:t>
            </w:r>
          </w:p>
        </w:tc>
        <w:tc>
          <w:tcPr>
            <w:tcW w:w="717" w:type="pct"/>
          </w:tcPr>
          <w:p w14:paraId="5DE3981D" w14:textId="77777777" w:rsidR="00A4454A" w:rsidRPr="008C1137" w:rsidRDefault="00A4454A" w:rsidP="00390380">
            <w:pPr>
              <w:pStyle w:val="TableBody"/>
            </w:pPr>
            <w:r w:rsidRPr="008C1137">
              <w:t>0.9</w:t>
            </w:r>
          </w:p>
        </w:tc>
      </w:tr>
      <w:tr w:rsidR="006A0A62" w:rsidRPr="008C1137" w14:paraId="4BD4D416" w14:textId="77777777" w:rsidTr="00CF2074">
        <w:trPr>
          <w:trHeight w:val="60"/>
        </w:trPr>
        <w:tc>
          <w:tcPr>
            <w:tcW w:w="700" w:type="pct"/>
          </w:tcPr>
          <w:p w14:paraId="261246A4" w14:textId="77777777" w:rsidR="00A4454A" w:rsidRPr="008C1137" w:rsidRDefault="00A4454A" w:rsidP="00390380">
            <w:pPr>
              <w:pStyle w:val="TableBody"/>
            </w:pPr>
            <w:r w:rsidRPr="008C1137">
              <w:t>2013</w:t>
            </w:r>
          </w:p>
        </w:tc>
        <w:tc>
          <w:tcPr>
            <w:tcW w:w="716" w:type="pct"/>
          </w:tcPr>
          <w:p w14:paraId="262CD2E1" w14:textId="77777777" w:rsidR="00A4454A" w:rsidRPr="008C1137" w:rsidRDefault="00A4454A" w:rsidP="00390380">
            <w:pPr>
              <w:pStyle w:val="TableBody"/>
            </w:pPr>
            <w:r w:rsidRPr="008C1137">
              <w:t>4.5</w:t>
            </w:r>
          </w:p>
        </w:tc>
        <w:tc>
          <w:tcPr>
            <w:tcW w:w="717" w:type="pct"/>
          </w:tcPr>
          <w:p w14:paraId="20A2B84A" w14:textId="77777777" w:rsidR="00A4454A" w:rsidRPr="008C1137" w:rsidRDefault="00A4454A" w:rsidP="00390380">
            <w:pPr>
              <w:pStyle w:val="TableBody"/>
            </w:pPr>
            <w:r w:rsidRPr="008C1137">
              <w:t>3.0</w:t>
            </w:r>
          </w:p>
        </w:tc>
        <w:tc>
          <w:tcPr>
            <w:tcW w:w="717" w:type="pct"/>
          </w:tcPr>
          <w:p w14:paraId="1D84AB5A" w14:textId="77777777" w:rsidR="00A4454A" w:rsidRPr="008C1137" w:rsidRDefault="00A4454A" w:rsidP="00390380">
            <w:pPr>
              <w:pStyle w:val="TableBody"/>
            </w:pPr>
            <w:r w:rsidRPr="008C1137">
              <w:t>3.7</w:t>
            </w:r>
          </w:p>
        </w:tc>
        <w:tc>
          <w:tcPr>
            <w:tcW w:w="717" w:type="pct"/>
          </w:tcPr>
          <w:p w14:paraId="05AE6594" w14:textId="77777777" w:rsidR="00A4454A" w:rsidRPr="008C1137" w:rsidRDefault="00A4454A" w:rsidP="00390380">
            <w:pPr>
              <w:pStyle w:val="TableBody"/>
            </w:pPr>
            <w:r w:rsidRPr="008C1137">
              <w:t>2.9</w:t>
            </w:r>
          </w:p>
        </w:tc>
        <w:tc>
          <w:tcPr>
            <w:tcW w:w="717" w:type="pct"/>
          </w:tcPr>
          <w:p w14:paraId="0E7B95FE" w14:textId="77777777" w:rsidR="00A4454A" w:rsidRPr="008C1137" w:rsidRDefault="00A4454A" w:rsidP="00390380">
            <w:pPr>
              <w:pStyle w:val="TableBody"/>
            </w:pPr>
            <w:r w:rsidRPr="008C1137">
              <w:t>1.2</w:t>
            </w:r>
          </w:p>
        </w:tc>
        <w:tc>
          <w:tcPr>
            <w:tcW w:w="717" w:type="pct"/>
          </w:tcPr>
          <w:p w14:paraId="3635DFBB" w14:textId="77777777" w:rsidR="00A4454A" w:rsidRPr="008C1137" w:rsidRDefault="00A4454A" w:rsidP="00390380">
            <w:pPr>
              <w:pStyle w:val="TableBody"/>
            </w:pPr>
            <w:r w:rsidRPr="008C1137">
              <w:t>2.4</w:t>
            </w:r>
          </w:p>
        </w:tc>
      </w:tr>
      <w:tr w:rsidR="006A0A62" w:rsidRPr="008C1137" w14:paraId="67FA8292" w14:textId="77777777" w:rsidTr="00CF2074">
        <w:trPr>
          <w:trHeight w:val="60"/>
        </w:trPr>
        <w:tc>
          <w:tcPr>
            <w:tcW w:w="700" w:type="pct"/>
          </w:tcPr>
          <w:p w14:paraId="3ED930F3" w14:textId="77777777" w:rsidR="00A4454A" w:rsidRPr="008C1137" w:rsidRDefault="00A4454A" w:rsidP="00390380">
            <w:pPr>
              <w:pStyle w:val="TableBody"/>
            </w:pPr>
            <w:r w:rsidRPr="008C1137">
              <w:t>2014</w:t>
            </w:r>
          </w:p>
        </w:tc>
        <w:tc>
          <w:tcPr>
            <w:tcW w:w="716" w:type="pct"/>
          </w:tcPr>
          <w:p w14:paraId="2D37B5C4" w14:textId="77777777" w:rsidR="00A4454A" w:rsidRPr="008C1137" w:rsidRDefault="00A4454A" w:rsidP="00390380">
            <w:pPr>
              <w:pStyle w:val="TableBody"/>
            </w:pPr>
            <w:r w:rsidRPr="008C1137">
              <w:t>4.5</w:t>
            </w:r>
          </w:p>
        </w:tc>
        <w:tc>
          <w:tcPr>
            <w:tcW w:w="717" w:type="pct"/>
          </w:tcPr>
          <w:p w14:paraId="4D44F1BA" w14:textId="77777777" w:rsidR="00A4454A" w:rsidRPr="008C1137" w:rsidRDefault="00A4454A" w:rsidP="00390380">
            <w:pPr>
              <w:pStyle w:val="TableBody"/>
            </w:pPr>
            <w:r w:rsidRPr="008C1137">
              <w:t>3.1</w:t>
            </w:r>
          </w:p>
        </w:tc>
        <w:tc>
          <w:tcPr>
            <w:tcW w:w="717" w:type="pct"/>
          </w:tcPr>
          <w:p w14:paraId="68FA3805" w14:textId="77777777" w:rsidR="00A4454A" w:rsidRPr="008C1137" w:rsidRDefault="00A4454A" w:rsidP="00390380">
            <w:pPr>
              <w:pStyle w:val="TableBody"/>
            </w:pPr>
            <w:r w:rsidRPr="008C1137">
              <w:t>3.7</w:t>
            </w:r>
          </w:p>
        </w:tc>
        <w:tc>
          <w:tcPr>
            <w:tcW w:w="717" w:type="pct"/>
          </w:tcPr>
          <w:p w14:paraId="624414A5" w14:textId="77777777" w:rsidR="00A4454A" w:rsidRPr="008C1137" w:rsidRDefault="00A4454A" w:rsidP="00390380">
            <w:pPr>
              <w:pStyle w:val="TableBody"/>
            </w:pPr>
            <w:r w:rsidRPr="008C1137">
              <w:t>3.1</w:t>
            </w:r>
          </w:p>
        </w:tc>
        <w:tc>
          <w:tcPr>
            <w:tcW w:w="717" w:type="pct"/>
          </w:tcPr>
          <w:p w14:paraId="68D8EF4E" w14:textId="77777777" w:rsidR="00A4454A" w:rsidRPr="008C1137" w:rsidRDefault="00A4454A" w:rsidP="00390380">
            <w:pPr>
              <w:pStyle w:val="TableBody"/>
            </w:pPr>
            <w:r w:rsidRPr="008C1137">
              <w:t>1.1</w:t>
            </w:r>
          </w:p>
        </w:tc>
        <w:tc>
          <w:tcPr>
            <w:tcW w:w="717" w:type="pct"/>
          </w:tcPr>
          <w:p w14:paraId="65617CB8" w14:textId="77777777" w:rsidR="00A4454A" w:rsidRPr="008C1137" w:rsidRDefault="00A4454A" w:rsidP="00390380">
            <w:pPr>
              <w:pStyle w:val="TableBody"/>
            </w:pPr>
            <w:r w:rsidRPr="008C1137">
              <w:t>2.2</w:t>
            </w:r>
          </w:p>
        </w:tc>
      </w:tr>
      <w:tr w:rsidR="006A0A62" w:rsidRPr="008C1137" w14:paraId="616E2012" w14:textId="77777777" w:rsidTr="00CF2074">
        <w:trPr>
          <w:trHeight w:val="60"/>
        </w:trPr>
        <w:tc>
          <w:tcPr>
            <w:tcW w:w="700" w:type="pct"/>
          </w:tcPr>
          <w:p w14:paraId="1070122E" w14:textId="77777777" w:rsidR="00A4454A" w:rsidRPr="008C1137" w:rsidRDefault="00A4454A" w:rsidP="00390380">
            <w:pPr>
              <w:pStyle w:val="TableBody"/>
            </w:pPr>
            <w:r w:rsidRPr="008C1137">
              <w:t>2015</w:t>
            </w:r>
          </w:p>
        </w:tc>
        <w:tc>
          <w:tcPr>
            <w:tcW w:w="716" w:type="pct"/>
          </w:tcPr>
          <w:p w14:paraId="36761AD8" w14:textId="77777777" w:rsidR="00A4454A" w:rsidRPr="008C1137" w:rsidRDefault="00A4454A" w:rsidP="00390380">
            <w:pPr>
              <w:pStyle w:val="TableBody"/>
            </w:pPr>
            <w:r w:rsidRPr="008C1137">
              <w:t>4.0</w:t>
            </w:r>
          </w:p>
        </w:tc>
        <w:tc>
          <w:tcPr>
            <w:tcW w:w="717" w:type="pct"/>
          </w:tcPr>
          <w:p w14:paraId="6BF0A9C8" w14:textId="77777777" w:rsidR="00A4454A" w:rsidRPr="008C1137" w:rsidRDefault="00A4454A" w:rsidP="00390380">
            <w:pPr>
              <w:pStyle w:val="TableBody"/>
            </w:pPr>
            <w:r w:rsidRPr="008C1137">
              <w:t>2.8</w:t>
            </w:r>
          </w:p>
        </w:tc>
        <w:tc>
          <w:tcPr>
            <w:tcW w:w="717" w:type="pct"/>
          </w:tcPr>
          <w:p w14:paraId="0AAE4B48" w14:textId="77777777" w:rsidR="00A4454A" w:rsidRPr="008C1137" w:rsidRDefault="00A4454A" w:rsidP="00390380">
            <w:pPr>
              <w:pStyle w:val="TableBody"/>
            </w:pPr>
            <w:r w:rsidRPr="008C1137">
              <w:t>3.8</w:t>
            </w:r>
          </w:p>
        </w:tc>
        <w:tc>
          <w:tcPr>
            <w:tcW w:w="717" w:type="pct"/>
          </w:tcPr>
          <w:p w14:paraId="5B8AB2BD" w14:textId="77777777" w:rsidR="00A4454A" w:rsidRPr="008C1137" w:rsidRDefault="00A4454A" w:rsidP="00390380">
            <w:pPr>
              <w:pStyle w:val="TableBody"/>
            </w:pPr>
            <w:r w:rsidRPr="008C1137">
              <w:t>1.9</w:t>
            </w:r>
          </w:p>
        </w:tc>
        <w:tc>
          <w:tcPr>
            <w:tcW w:w="717" w:type="pct"/>
          </w:tcPr>
          <w:p w14:paraId="72F7F597" w14:textId="77777777" w:rsidR="00A4454A" w:rsidRPr="008C1137" w:rsidRDefault="00A4454A" w:rsidP="00390380">
            <w:pPr>
              <w:pStyle w:val="TableBody"/>
            </w:pPr>
            <w:r w:rsidRPr="008C1137">
              <w:t>1.2</w:t>
            </w:r>
          </w:p>
        </w:tc>
        <w:tc>
          <w:tcPr>
            <w:tcW w:w="717" w:type="pct"/>
          </w:tcPr>
          <w:p w14:paraId="2D95A881" w14:textId="77777777" w:rsidR="00A4454A" w:rsidRPr="008C1137" w:rsidRDefault="00A4454A" w:rsidP="00390380">
            <w:pPr>
              <w:pStyle w:val="TableBody"/>
            </w:pPr>
            <w:r w:rsidRPr="008C1137">
              <w:t>3.2</w:t>
            </w:r>
          </w:p>
        </w:tc>
      </w:tr>
      <w:tr w:rsidR="006A0A62" w:rsidRPr="008C1137" w14:paraId="5613B35D" w14:textId="77777777" w:rsidTr="00CF2074">
        <w:trPr>
          <w:trHeight w:val="60"/>
        </w:trPr>
        <w:tc>
          <w:tcPr>
            <w:tcW w:w="700" w:type="pct"/>
          </w:tcPr>
          <w:p w14:paraId="58D1501E" w14:textId="77777777" w:rsidR="00A4454A" w:rsidRPr="008C1137" w:rsidRDefault="00A4454A" w:rsidP="00390380">
            <w:pPr>
              <w:pStyle w:val="TableBody"/>
            </w:pPr>
            <w:r w:rsidRPr="008C1137">
              <w:t>2016</w:t>
            </w:r>
          </w:p>
        </w:tc>
        <w:tc>
          <w:tcPr>
            <w:tcW w:w="716" w:type="pct"/>
          </w:tcPr>
          <w:p w14:paraId="70FB7938" w14:textId="77777777" w:rsidR="00A4454A" w:rsidRPr="008C1137" w:rsidRDefault="00A4454A" w:rsidP="00390380">
            <w:pPr>
              <w:pStyle w:val="TableBody"/>
            </w:pPr>
            <w:r w:rsidRPr="008C1137">
              <w:t>4.1</w:t>
            </w:r>
          </w:p>
        </w:tc>
        <w:tc>
          <w:tcPr>
            <w:tcW w:w="717" w:type="pct"/>
          </w:tcPr>
          <w:p w14:paraId="7A664FE1" w14:textId="77777777" w:rsidR="00A4454A" w:rsidRPr="008C1137" w:rsidRDefault="00A4454A" w:rsidP="00390380">
            <w:pPr>
              <w:pStyle w:val="TableBody"/>
            </w:pPr>
            <w:r w:rsidRPr="008C1137">
              <w:t>2.7</w:t>
            </w:r>
          </w:p>
        </w:tc>
        <w:tc>
          <w:tcPr>
            <w:tcW w:w="717" w:type="pct"/>
          </w:tcPr>
          <w:p w14:paraId="4213525D" w14:textId="77777777" w:rsidR="00A4454A" w:rsidRPr="008C1137" w:rsidRDefault="00A4454A" w:rsidP="00390380">
            <w:pPr>
              <w:pStyle w:val="TableBody"/>
            </w:pPr>
            <w:r w:rsidRPr="008C1137">
              <w:t>3.6</w:t>
            </w:r>
          </w:p>
        </w:tc>
        <w:tc>
          <w:tcPr>
            <w:tcW w:w="717" w:type="pct"/>
          </w:tcPr>
          <w:p w14:paraId="7A4B9BB7" w14:textId="77777777" w:rsidR="00A4454A" w:rsidRPr="008C1137" w:rsidRDefault="00A4454A" w:rsidP="00390380">
            <w:pPr>
              <w:pStyle w:val="TableBody"/>
            </w:pPr>
            <w:r w:rsidRPr="008C1137">
              <w:t>0.8</w:t>
            </w:r>
          </w:p>
        </w:tc>
        <w:tc>
          <w:tcPr>
            <w:tcW w:w="717" w:type="pct"/>
          </w:tcPr>
          <w:p w14:paraId="41A1A4D4" w14:textId="77777777" w:rsidR="00A4454A" w:rsidRPr="008C1137" w:rsidRDefault="00A4454A" w:rsidP="00390380">
            <w:pPr>
              <w:pStyle w:val="TableBody"/>
            </w:pPr>
            <w:r w:rsidRPr="008C1137">
              <w:t>0.6</w:t>
            </w:r>
          </w:p>
        </w:tc>
        <w:tc>
          <w:tcPr>
            <w:tcW w:w="717" w:type="pct"/>
          </w:tcPr>
          <w:p w14:paraId="713D41D6" w14:textId="77777777" w:rsidR="00A4454A" w:rsidRPr="008C1137" w:rsidRDefault="00A4454A" w:rsidP="00390380">
            <w:pPr>
              <w:pStyle w:val="TableBody"/>
            </w:pPr>
            <w:r w:rsidRPr="008C1137">
              <w:t>1.4</w:t>
            </w:r>
          </w:p>
        </w:tc>
      </w:tr>
      <w:tr w:rsidR="006A0A62" w:rsidRPr="008C1137" w14:paraId="7FB24A89" w14:textId="77777777" w:rsidTr="00CF2074">
        <w:trPr>
          <w:trHeight w:val="60"/>
        </w:trPr>
        <w:tc>
          <w:tcPr>
            <w:tcW w:w="700" w:type="pct"/>
          </w:tcPr>
          <w:p w14:paraId="4CD4E41B" w14:textId="77777777" w:rsidR="00A4454A" w:rsidRPr="008C1137" w:rsidRDefault="00A4454A" w:rsidP="00390380">
            <w:pPr>
              <w:pStyle w:val="TableBody"/>
            </w:pPr>
            <w:r w:rsidRPr="008C1137">
              <w:t>2017</w:t>
            </w:r>
          </w:p>
        </w:tc>
        <w:tc>
          <w:tcPr>
            <w:tcW w:w="716" w:type="pct"/>
          </w:tcPr>
          <w:p w14:paraId="1E3FBA2D" w14:textId="77777777" w:rsidR="00A4454A" w:rsidRPr="008C1137" w:rsidRDefault="00A4454A" w:rsidP="00390380">
            <w:pPr>
              <w:pStyle w:val="TableBody"/>
            </w:pPr>
            <w:r w:rsidRPr="008C1137">
              <w:t>4.6</w:t>
            </w:r>
          </w:p>
        </w:tc>
        <w:tc>
          <w:tcPr>
            <w:tcW w:w="717" w:type="pct"/>
          </w:tcPr>
          <w:p w14:paraId="0DD60613" w14:textId="77777777" w:rsidR="00A4454A" w:rsidRPr="008C1137" w:rsidRDefault="00A4454A" w:rsidP="00390380">
            <w:pPr>
              <w:pStyle w:val="TableBody"/>
            </w:pPr>
            <w:r w:rsidRPr="008C1137">
              <w:t>3.5</w:t>
            </w:r>
          </w:p>
        </w:tc>
        <w:tc>
          <w:tcPr>
            <w:tcW w:w="717" w:type="pct"/>
          </w:tcPr>
          <w:p w14:paraId="66B3C371" w14:textId="77777777" w:rsidR="00A4454A" w:rsidRPr="008C1137" w:rsidRDefault="00A4454A" w:rsidP="00390380">
            <w:pPr>
              <w:pStyle w:val="TableBody"/>
            </w:pPr>
            <w:r w:rsidRPr="008C1137">
              <w:t>3.7</w:t>
            </w:r>
          </w:p>
        </w:tc>
        <w:tc>
          <w:tcPr>
            <w:tcW w:w="717" w:type="pct"/>
          </w:tcPr>
          <w:p w14:paraId="195DBD44" w14:textId="77777777" w:rsidR="00A4454A" w:rsidRPr="008C1137" w:rsidRDefault="00A4454A" w:rsidP="00390380">
            <w:pPr>
              <w:pStyle w:val="TableBody"/>
            </w:pPr>
            <w:r w:rsidRPr="008C1137">
              <w:t>1.9</w:t>
            </w:r>
          </w:p>
        </w:tc>
        <w:tc>
          <w:tcPr>
            <w:tcW w:w="717" w:type="pct"/>
          </w:tcPr>
          <w:p w14:paraId="3C328CCE" w14:textId="77777777" w:rsidR="00A4454A" w:rsidRPr="008C1137" w:rsidRDefault="00A4454A" w:rsidP="00390380">
            <w:pPr>
              <w:pStyle w:val="TableBody"/>
            </w:pPr>
            <w:r w:rsidRPr="008C1137">
              <w:t>1.2</w:t>
            </w:r>
          </w:p>
        </w:tc>
        <w:tc>
          <w:tcPr>
            <w:tcW w:w="717" w:type="pct"/>
          </w:tcPr>
          <w:p w14:paraId="7A509007" w14:textId="77777777" w:rsidR="00A4454A" w:rsidRPr="008C1137" w:rsidRDefault="00A4454A" w:rsidP="00390380">
            <w:pPr>
              <w:pStyle w:val="TableBody"/>
            </w:pPr>
            <w:r w:rsidRPr="008C1137">
              <w:t>2.5</w:t>
            </w:r>
          </w:p>
        </w:tc>
      </w:tr>
      <w:tr w:rsidR="006A0A62" w:rsidRPr="008C1137" w14:paraId="44C4C324" w14:textId="77777777" w:rsidTr="00CF2074">
        <w:trPr>
          <w:trHeight w:val="60"/>
        </w:trPr>
        <w:tc>
          <w:tcPr>
            <w:tcW w:w="700" w:type="pct"/>
          </w:tcPr>
          <w:p w14:paraId="75E25C7B" w14:textId="77777777" w:rsidR="00A4454A" w:rsidRPr="008C1137" w:rsidRDefault="00A4454A" w:rsidP="00390380">
            <w:pPr>
              <w:pStyle w:val="TableBody"/>
            </w:pPr>
            <w:r w:rsidRPr="008C1137">
              <w:t>2018</w:t>
            </w:r>
          </w:p>
        </w:tc>
        <w:tc>
          <w:tcPr>
            <w:tcW w:w="716" w:type="pct"/>
          </w:tcPr>
          <w:p w14:paraId="0802DE7C" w14:textId="77777777" w:rsidR="00A4454A" w:rsidRPr="008C1137" w:rsidRDefault="00A4454A" w:rsidP="00390380">
            <w:pPr>
              <w:pStyle w:val="TableBody"/>
            </w:pPr>
            <w:r w:rsidRPr="008C1137">
              <w:t>5.0</w:t>
            </w:r>
          </w:p>
        </w:tc>
        <w:tc>
          <w:tcPr>
            <w:tcW w:w="717" w:type="pct"/>
          </w:tcPr>
          <w:p w14:paraId="711E0200" w14:textId="77777777" w:rsidR="00A4454A" w:rsidRPr="008C1137" w:rsidRDefault="00A4454A" w:rsidP="00390380">
            <w:pPr>
              <w:pStyle w:val="TableBody"/>
            </w:pPr>
            <w:r w:rsidRPr="008C1137">
              <w:t>3.3</w:t>
            </w:r>
          </w:p>
        </w:tc>
        <w:tc>
          <w:tcPr>
            <w:tcW w:w="717" w:type="pct"/>
          </w:tcPr>
          <w:p w14:paraId="273FBABB" w14:textId="77777777" w:rsidR="00A4454A" w:rsidRPr="008C1137" w:rsidRDefault="00A4454A" w:rsidP="00390380">
            <w:pPr>
              <w:pStyle w:val="TableBody"/>
            </w:pPr>
            <w:r w:rsidRPr="008C1137">
              <w:t>4.3</w:t>
            </w:r>
          </w:p>
        </w:tc>
        <w:tc>
          <w:tcPr>
            <w:tcW w:w="717" w:type="pct"/>
          </w:tcPr>
          <w:p w14:paraId="52EB4DCE" w14:textId="77777777" w:rsidR="00A4454A" w:rsidRPr="008C1137" w:rsidRDefault="00A4454A" w:rsidP="00390380">
            <w:pPr>
              <w:pStyle w:val="TableBody"/>
            </w:pPr>
            <w:r w:rsidRPr="008C1137">
              <w:t>1.7</w:t>
            </w:r>
          </w:p>
        </w:tc>
        <w:tc>
          <w:tcPr>
            <w:tcW w:w="717" w:type="pct"/>
          </w:tcPr>
          <w:p w14:paraId="2814C8AE" w14:textId="77777777" w:rsidR="00A4454A" w:rsidRPr="008C1137" w:rsidRDefault="00A4454A" w:rsidP="00390380">
            <w:pPr>
              <w:pStyle w:val="TableBody"/>
            </w:pPr>
            <w:r w:rsidRPr="008C1137">
              <w:t>0.9</w:t>
            </w:r>
          </w:p>
        </w:tc>
        <w:tc>
          <w:tcPr>
            <w:tcW w:w="717" w:type="pct"/>
          </w:tcPr>
          <w:p w14:paraId="406383D1" w14:textId="77777777" w:rsidR="00A4454A" w:rsidRPr="008C1137" w:rsidRDefault="00A4454A" w:rsidP="00390380">
            <w:pPr>
              <w:pStyle w:val="TableBody"/>
            </w:pPr>
            <w:r w:rsidRPr="008C1137">
              <w:t>3.2</w:t>
            </w:r>
          </w:p>
        </w:tc>
      </w:tr>
      <w:tr w:rsidR="006A0A62" w:rsidRPr="008C1137" w14:paraId="1E131EAE" w14:textId="77777777" w:rsidTr="00CF2074">
        <w:trPr>
          <w:trHeight w:val="60"/>
        </w:trPr>
        <w:tc>
          <w:tcPr>
            <w:tcW w:w="700" w:type="pct"/>
          </w:tcPr>
          <w:p w14:paraId="4B7F0A3A" w14:textId="77777777" w:rsidR="00A4454A" w:rsidRPr="008C1137" w:rsidRDefault="00A4454A" w:rsidP="00390380">
            <w:pPr>
              <w:pStyle w:val="TableBody"/>
            </w:pPr>
            <w:r w:rsidRPr="008C1137">
              <w:t>2019</w:t>
            </w:r>
          </w:p>
        </w:tc>
        <w:tc>
          <w:tcPr>
            <w:tcW w:w="716" w:type="pct"/>
          </w:tcPr>
          <w:p w14:paraId="63B83E37" w14:textId="77777777" w:rsidR="00A4454A" w:rsidRPr="008C1137" w:rsidRDefault="00A4454A" w:rsidP="00390380">
            <w:pPr>
              <w:pStyle w:val="TableBody"/>
            </w:pPr>
            <w:r w:rsidRPr="008C1137">
              <w:t>4.9</w:t>
            </w:r>
          </w:p>
        </w:tc>
        <w:tc>
          <w:tcPr>
            <w:tcW w:w="717" w:type="pct"/>
          </w:tcPr>
          <w:p w14:paraId="2E37BA72" w14:textId="77777777" w:rsidR="00A4454A" w:rsidRPr="008C1137" w:rsidRDefault="00A4454A" w:rsidP="00390380">
            <w:pPr>
              <w:pStyle w:val="TableBody"/>
            </w:pPr>
            <w:r w:rsidRPr="008C1137">
              <w:t>3.1</w:t>
            </w:r>
          </w:p>
        </w:tc>
        <w:tc>
          <w:tcPr>
            <w:tcW w:w="717" w:type="pct"/>
          </w:tcPr>
          <w:p w14:paraId="2AF8618F" w14:textId="77777777" w:rsidR="00A4454A" w:rsidRPr="008C1137" w:rsidRDefault="00A4454A" w:rsidP="00390380">
            <w:pPr>
              <w:pStyle w:val="TableBody"/>
            </w:pPr>
            <w:r w:rsidRPr="008C1137">
              <w:t>4.4</w:t>
            </w:r>
          </w:p>
        </w:tc>
        <w:tc>
          <w:tcPr>
            <w:tcW w:w="717" w:type="pct"/>
          </w:tcPr>
          <w:p w14:paraId="15C382FE" w14:textId="77777777" w:rsidR="00A4454A" w:rsidRPr="008C1137" w:rsidRDefault="00A4454A" w:rsidP="00390380">
            <w:pPr>
              <w:pStyle w:val="TableBody"/>
            </w:pPr>
            <w:r w:rsidRPr="008C1137">
              <w:t>1.7</w:t>
            </w:r>
          </w:p>
        </w:tc>
        <w:tc>
          <w:tcPr>
            <w:tcW w:w="717" w:type="pct"/>
          </w:tcPr>
          <w:p w14:paraId="08850E2A" w14:textId="77777777" w:rsidR="00A4454A" w:rsidRPr="008C1137" w:rsidRDefault="00A4454A" w:rsidP="00390380">
            <w:pPr>
              <w:pStyle w:val="TableBody"/>
            </w:pPr>
            <w:r w:rsidRPr="008C1137">
              <w:t>2.1</w:t>
            </w:r>
          </w:p>
        </w:tc>
        <w:tc>
          <w:tcPr>
            <w:tcW w:w="717" w:type="pct"/>
          </w:tcPr>
          <w:p w14:paraId="737D0419" w14:textId="77777777" w:rsidR="00A4454A" w:rsidRPr="008C1137" w:rsidRDefault="00A4454A" w:rsidP="00390380">
            <w:pPr>
              <w:pStyle w:val="TableBody"/>
            </w:pPr>
            <w:r w:rsidRPr="008C1137">
              <w:t>2.6</w:t>
            </w:r>
          </w:p>
        </w:tc>
      </w:tr>
      <w:tr w:rsidR="006A0A62" w:rsidRPr="008C1137" w14:paraId="0AFF82AD" w14:textId="77777777" w:rsidTr="00CF2074">
        <w:trPr>
          <w:trHeight w:val="60"/>
        </w:trPr>
        <w:tc>
          <w:tcPr>
            <w:tcW w:w="700" w:type="pct"/>
          </w:tcPr>
          <w:p w14:paraId="5E8CCCC1" w14:textId="77777777" w:rsidR="00A4454A" w:rsidRPr="008C1137" w:rsidRDefault="00A4454A" w:rsidP="00390380">
            <w:pPr>
              <w:pStyle w:val="TableBody"/>
            </w:pPr>
            <w:r w:rsidRPr="008C1137">
              <w:t>2020</w:t>
            </w:r>
          </w:p>
        </w:tc>
        <w:tc>
          <w:tcPr>
            <w:tcW w:w="716" w:type="pct"/>
          </w:tcPr>
          <w:p w14:paraId="5A97F642" w14:textId="77777777" w:rsidR="00A4454A" w:rsidRPr="008C1137" w:rsidRDefault="00A4454A" w:rsidP="00390380">
            <w:pPr>
              <w:pStyle w:val="TableBody"/>
            </w:pPr>
            <w:r w:rsidRPr="008C1137">
              <w:t>4.9</w:t>
            </w:r>
          </w:p>
        </w:tc>
        <w:tc>
          <w:tcPr>
            <w:tcW w:w="717" w:type="pct"/>
          </w:tcPr>
          <w:p w14:paraId="12CF1C45" w14:textId="77777777" w:rsidR="00A4454A" w:rsidRPr="008C1137" w:rsidRDefault="00A4454A" w:rsidP="00390380">
            <w:pPr>
              <w:pStyle w:val="TableBody"/>
            </w:pPr>
            <w:r w:rsidRPr="008C1137">
              <w:t>2.9</w:t>
            </w:r>
          </w:p>
        </w:tc>
        <w:tc>
          <w:tcPr>
            <w:tcW w:w="717" w:type="pct"/>
          </w:tcPr>
          <w:p w14:paraId="2E7C31D3" w14:textId="77777777" w:rsidR="00A4454A" w:rsidRPr="008C1137" w:rsidRDefault="00A4454A" w:rsidP="00390380">
            <w:pPr>
              <w:pStyle w:val="TableBody"/>
            </w:pPr>
            <w:r w:rsidRPr="008C1137">
              <w:t>5.0</w:t>
            </w:r>
          </w:p>
        </w:tc>
        <w:tc>
          <w:tcPr>
            <w:tcW w:w="717" w:type="pct"/>
          </w:tcPr>
          <w:p w14:paraId="6D902C50" w14:textId="77777777" w:rsidR="00A4454A" w:rsidRPr="008C1137" w:rsidRDefault="00A4454A" w:rsidP="00390380">
            <w:pPr>
              <w:pStyle w:val="TableBody"/>
            </w:pPr>
            <w:r w:rsidRPr="008C1137">
              <w:t>1.9</w:t>
            </w:r>
          </w:p>
        </w:tc>
        <w:tc>
          <w:tcPr>
            <w:tcW w:w="717" w:type="pct"/>
          </w:tcPr>
          <w:p w14:paraId="4F00EFE6" w14:textId="77777777" w:rsidR="00A4454A" w:rsidRPr="008C1137" w:rsidRDefault="00A4454A" w:rsidP="00390380">
            <w:pPr>
              <w:pStyle w:val="TableBody"/>
            </w:pPr>
            <w:r w:rsidRPr="008C1137">
              <w:t>3.0</w:t>
            </w:r>
          </w:p>
        </w:tc>
        <w:tc>
          <w:tcPr>
            <w:tcW w:w="717" w:type="pct"/>
          </w:tcPr>
          <w:p w14:paraId="720027B0" w14:textId="77777777" w:rsidR="00A4454A" w:rsidRPr="008C1137" w:rsidRDefault="00A4454A" w:rsidP="00390380">
            <w:pPr>
              <w:pStyle w:val="TableBody"/>
            </w:pPr>
            <w:r w:rsidRPr="008C1137">
              <w:t>3.1</w:t>
            </w:r>
          </w:p>
        </w:tc>
      </w:tr>
      <w:tr w:rsidR="006A0A62" w:rsidRPr="008C1137" w14:paraId="10B6B855" w14:textId="77777777" w:rsidTr="00CF2074">
        <w:trPr>
          <w:trHeight w:val="60"/>
        </w:trPr>
        <w:tc>
          <w:tcPr>
            <w:tcW w:w="700" w:type="pct"/>
          </w:tcPr>
          <w:p w14:paraId="0744E484" w14:textId="77777777" w:rsidR="00A4454A" w:rsidRPr="008C1137" w:rsidRDefault="00A4454A" w:rsidP="00390380">
            <w:pPr>
              <w:pStyle w:val="TableBody"/>
            </w:pPr>
            <w:r w:rsidRPr="008C1137">
              <w:t>2021</w:t>
            </w:r>
          </w:p>
        </w:tc>
        <w:tc>
          <w:tcPr>
            <w:tcW w:w="716" w:type="pct"/>
          </w:tcPr>
          <w:p w14:paraId="78FF623C" w14:textId="77777777" w:rsidR="00A4454A" w:rsidRPr="008C1137" w:rsidRDefault="00A4454A" w:rsidP="00390380">
            <w:pPr>
              <w:pStyle w:val="TableBody"/>
            </w:pPr>
            <w:r w:rsidRPr="008C1137">
              <w:t>4.1</w:t>
            </w:r>
          </w:p>
        </w:tc>
        <w:tc>
          <w:tcPr>
            <w:tcW w:w="717" w:type="pct"/>
          </w:tcPr>
          <w:p w14:paraId="7868802B" w14:textId="77777777" w:rsidR="00A4454A" w:rsidRPr="008C1137" w:rsidRDefault="00A4454A" w:rsidP="00390380">
            <w:pPr>
              <w:pStyle w:val="TableBody"/>
            </w:pPr>
            <w:r w:rsidRPr="008C1137">
              <w:t>3.0</w:t>
            </w:r>
          </w:p>
        </w:tc>
        <w:tc>
          <w:tcPr>
            <w:tcW w:w="717" w:type="pct"/>
          </w:tcPr>
          <w:p w14:paraId="5C09F2DF" w14:textId="77777777" w:rsidR="00A4454A" w:rsidRPr="008C1137" w:rsidRDefault="00A4454A" w:rsidP="00390380">
            <w:pPr>
              <w:pStyle w:val="TableBody"/>
            </w:pPr>
            <w:r w:rsidRPr="008C1137">
              <w:t>4.7</w:t>
            </w:r>
          </w:p>
        </w:tc>
        <w:tc>
          <w:tcPr>
            <w:tcW w:w="717" w:type="pct"/>
          </w:tcPr>
          <w:p w14:paraId="04B73B98" w14:textId="77777777" w:rsidR="00A4454A" w:rsidRPr="008C1137" w:rsidRDefault="00A4454A" w:rsidP="00390380">
            <w:pPr>
              <w:pStyle w:val="TableBody"/>
            </w:pPr>
            <w:r w:rsidRPr="008C1137">
              <w:t>2.5</w:t>
            </w:r>
          </w:p>
        </w:tc>
        <w:tc>
          <w:tcPr>
            <w:tcW w:w="717" w:type="pct"/>
          </w:tcPr>
          <w:p w14:paraId="0475DCE3" w14:textId="77777777" w:rsidR="00A4454A" w:rsidRPr="008C1137" w:rsidRDefault="00A4454A" w:rsidP="00390380">
            <w:pPr>
              <w:pStyle w:val="TableBody"/>
            </w:pPr>
            <w:r w:rsidRPr="008C1137">
              <w:t>1.4</w:t>
            </w:r>
          </w:p>
        </w:tc>
        <w:tc>
          <w:tcPr>
            <w:tcW w:w="717" w:type="pct"/>
          </w:tcPr>
          <w:p w14:paraId="38A79974" w14:textId="77777777" w:rsidR="00A4454A" w:rsidRPr="008C1137" w:rsidRDefault="00A4454A" w:rsidP="00390380">
            <w:pPr>
              <w:pStyle w:val="TableBody"/>
            </w:pPr>
            <w:r w:rsidRPr="008C1137">
              <w:t>3.0</w:t>
            </w:r>
          </w:p>
        </w:tc>
      </w:tr>
      <w:tr w:rsidR="006A0A62" w:rsidRPr="008C1137" w14:paraId="5C7E10AF" w14:textId="77777777" w:rsidTr="00CF2074">
        <w:trPr>
          <w:trHeight w:val="60"/>
        </w:trPr>
        <w:tc>
          <w:tcPr>
            <w:tcW w:w="700" w:type="pct"/>
          </w:tcPr>
          <w:p w14:paraId="4CCA4967" w14:textId="77777777" w:rsidR="00A4454A" w:rsidRPr="008C1137" w:rsidRDefault="00A4454A" w:rsidP="00390380">
            <w:pPr>
              <w:pStyle w:val="TableBody"/>
            </w:pPr>
            <w:r w:rsidRPr="008C1137">
              <w:t>2022</w:t>
            </w:r>
          </w:p>
        </w:tc>
        <w:tc>
          <w:tcPr>
            <w:tcW w:w="716" w:type="pct"/>
          </w:tcPr>
          <w:p w14:paraId="076EDAEC" w14:textId="77777777" w:rsidR="00A4454A" w:rsidRPr="008C1137" w:rsidRDefault="00A4454A" w:rsidP="00390380">
            <w:pPr>
              <w:pStyle w:val="TableBody"/>
            </w:pPr>
            <w:r w:rsidRPr="008C1137">
              <w:t>4.3</w:t>
            </w:r>
          </w:p>
        </w:tc>
        <w:tc>
          <w:tcPr>
            <w:tcW w:w="717" w:type="pct"/>
          </w:tcPr>
          <w:p w14:paraId="42D155CB" w14:textId="77777777" w:rsidR="00A4454A" w:rsidRPr="008C1137" w:rsidRDefault="00A4454A" w:rsidP="00390380">
            <w:pPr>
              <w:pStyle w:val="TableBody"/>
            </w:pPr>
            <w:r w:rsidRPr="008C1137">
              <w:t>3.0</w:t>
            </w:r>
          </w:p>
        </w:tc>
        <w:tc>
          <w:tcPr>
            <w:tcW w:w="717" w:type="pct"/>
          </w:tcPr>
          <w:p w14:paraId="73D52037" w14:textId="77777777" w:rsidR="00A4454A" w:rsidRPr="008C1137" w:rsidRDefault="00A4454A" w:rsidP="00390380">
            <w:pPr>
              <w:pStyle w:val="TableBody"/>
            </w:pPr>
            <w:r w:rsidRPr="008C1137">
              <w:t>3.8</w:t>
            </w:r>
          </w:p>
        </w:tc>
        <w:tc>
          <w:tcPr>
            <w:tcW w:w="717" w:type="pct"/>
          </w:tcPr>
          <w:p w14:paraId="5241C528" w14:textId="77777777" w:rsidR="00A4454A" w:rsidRPr="008C1137" w:rsidRDefault="00A4454A" w:rsidP="00390380">
            <w:pPr>
              <w:pStyle w:val="TableBody"/>
            </w:pPr>
            <w:r w:rsidRPr="008C1137">
              <w:t>1.8</w:t>
            </w:r>
          </w:p>
        </w:tc>
        <w:tc>
          <w:tcPr>
            <w:tcW w:w="717" w:type="pct"/>
          </w:tcPr>
          <w:p w14:paraId="40356E04" w14:textId="77777777" w:rsidR="00A4454A" w:rsidRPr="008C1137" w:rsidRDefault="00A4454A" w:rsidP="00390380">
            <w:pPr>
              <w:pStyle w:val="TableBody"/>
            </w:pPr>
            <w:r w:rsidRPr="008C1137">
              <w:t>1.8</w:t>
            </w:r>
          </w:p>
        </w:tc>
        <w:tc>
          <w:tcPr>
            <w:tcW w:w="717" w:type="pct"/>
          </w:tcPr>
          <w:p w14:paraId="5CCA6B2A" w14:textId="77777777" w:rsidR="00A4454A" w:rsidRPr="008C1137" w:rsidRDefault="00A4454A" w:rsidP="00390380">
            <w:pPr>
              <w:pStyle w:val="TableBody"/>
            </w:pPr>
            <w:r w:rsidRPr="008C1137">
              <w:t>2.8</w:t>
            </w:r>
          </w:p>
        </w:tc>
      </w:tr>
      <w:tr w:rsidR="006A0A62" w:rsidRPr="008C1137" w14:paraId="25CE812A" w14:textId="77777777" w:rsidTr="00CF2074">
        <w:trPr>
          <w:trHeight w:val="60"/>
        </w:trPr>
        <w:tc>
          <w:tcPr>
            <w:tcW w:w="700" w:type="pct"/>
          </w:tcPr>
          <w:p w14:paraId="6B52EF06" w14:textId="77777777" w:rsidR="00A4454A" w:rsidRPr="008C1137" w:rsidRDefault="00A4454A" w:rsidP="00390380">
            <w:pPr>
              <w:pStyle w:val="TableBody"/>
            </w:pPr>
            <w:r w:rsidRPr="008C1137">
              <w:t>2023</w:t>
            </w:r>
          </w:p>
        </w:tc>
        <w:tc>
          <w:tcPr>
            <w:tcW w:w="716" w:type="pct"/>
          </w:tcPr>
          <w:p w14:paraId="67A8B722" w14:textId="77777777" w:rsidR="00A4454A" w:rsidRPr="008C1137" w:rsidRDefault="00A4454A" w:rsidP="00390380">
            <w:pPr>
              <w:pStyle w:val="TableBody"/>
            </w:pPr>
            <w:r w:rsidRPr="008C1137">
              <w:t>4.6</w:t>
            </w:r>
          </w:p>
        </w:tc>
        <w:tc>
          <w:tcPr>
            <w:tcW w:w="717" w:type="pct"/>
          </w:tcPr>
          <w:p w14:paraId="4E867A3A" w14:textId="77777777" w:rsidR="00A4454A" w:rsidRPr="008C1137" w:rsidRDefault="00A4454A" w:rsidP="00390380">
            <w:pPr>
              <w:pStyle w:val="TableBody"/>
            </w:pPr>
            <w:r w:rsidRPr="008C1137">
              <w:t>2.5</w:t>
            </w:r>
          </w:p>
        </w:tc>
        <w:tc>
          <w:tcPr>
            <w:tcW w:w="717" w:type="pct"/>
          </w:tcPr>
          <w:p w14:paraId="180BEBF9" w14:textId="77777777" w:rsidR="00A4454A" w:rsidRPr="008C1137" w:rsidRDefault="00A4454A" w:rsidP="00390380">
            <w:pPr>
              <w:pStyle w:val="TableBody"/>
            </w:pPr>
            <w:r w:rsidRPr="008C1137">
              <w:t>4.6</w:t>
            </w:r>
          </w:p>
        </w:tc>
        <w:tc>
          <w:tcPr>
            <w:tcW w:w="717" w:type="pct"/>
          </w:tcPr>
          <w:p w14:paraId="1C686E53" w14:textId="77777777" w:rsidR="00A4454A" w:rsidRPr="008C1137" w:rsidRDefault="00A4454A" w:rsidP="00390380">
            <w:pPr>
              <w:pStyle w:val="TableBody"/>
            </w:pPr>
            <w:r w:rsidRPr="008C1137">
              <w:t>2.0</w:t>
            </w:r>
          </w:p>
        </w:tc>
        <w:tc>
          <w:tcPr>
            <w:tcW w:w="717" w:type="pct"/>
          </w:tcPr>
          <w:p w14:paraId="6D5D28D6" w14:textId="77777777" w:rsidR="00A4454A" w:rsidRPr="008C1137" w:rsidRDefault="00A4454A" w:rsidP="00390380">
            <w:pPr>
              <w:pStyle w:val="TableBody"/>
            </w:pPr>
            <w:r w:rsidRPr="008C1137">
              <w:t>0.8</w:t>
            </w:r>
          </w:p>
        </w:tc>
        <w:tc>
          <w:tcPr>
            <w:tcW w:w="717" w:type="pct"/>
          </w:tcPr>
          <w:p w14:paraId="29F48CE9" w14:textId="77777777" w:rsidR="00A4454A" w:rsidRPr="008C1137" w:rsidRDefault="00A4454A" w:rsidP="00390380">
            <w:pPr>
              <w:pStyle w:val="TableBody"/>
            </w:pPr>
            <w:r w:rsidRPr="008C1137">
              <w:t>3.0</w:t>
            </w:r>
          </w:p>
        </w:tc>
      </w:tr>
      <w:tr w:rsidR="006A0A62" w:rsidRPr="008C1137" w14:paraId="5C395DE5" w14:textId="77777777" w:rsidTr="00CF2074">
        <w:trPr>
          <w:trHeight w:val="60"/>
        </w:trPr>
        <w:tc>
          <w:tcPr>
            <w:tcW w:w="700" w:type="pct"/>
          </w:tcPr>
          <w:p w14:paraId="7E3DFCC6" w14:textId="77777777" w:rsidR="00A4454A" w:rsidRPr="008C1137" w:rsidRDefault="00A4454A" w:rsidP="00390380">
            <w:pPr>
              <w:pStyle w:val="TableBody"/>
            </w:pPr>
            <w:r w:rsidRPr="008C1137">
              <w:t>2024</w:t>
            </w:r>
          </w:p>
        </w:tc>
        <w:tc>
          <w:tcPr>
            <w:tcW w:w="716" w:type="pct"/>
          </w:tcPr>
          <w:p w14:paraId="2B1733F0" w14:textId="77777777" w:rsidR="00A4454A" w:rsidRPr="008C1137" w:rsidRDefault="00A4454A" w:rsidP="00390380">
            <w:pPr>
              <w:pStyle w:val="TableBody"/>
            </w:pPr>
            <w:r w:rsidRPr="008C1137">
              <w:t>4.9</w:t>
            </w:r>
          </w:p>
        </w:tc>
        <w:tc>
          <w:tcPr>
            <w:tcW w:w="717" w:type="pct"/>
          </w:tcPr>
          <w:p w14:paraId="34304957" w14:textId="77777777" w:rsidR="00A4454A" w:rsidRPr="008C1137" w:rsidRDefault="00A4454A" w:rsidP="00390380">
            <w:pPr>
              <w:pStyle w:val="TableBody"/>
            </w:pPr>
            <w:r w:rsidRPr="008C1137">
              <w:t>3.0</w:t>
            </w:r>
          </w:p>
        </w:tc>
        <w:tc>
          <w:tcPr>
            <w:tcW w:w="717" w:type="pct"/>
          </w:tcPr>
          <w:p w14:paraId="3B7A6F90" w14:textId="77777777" w:rsidR="00A4454A" w:rsidRPr="008C1137" w:rsidRDefault="00A4454A" w:rsidP="00390380">
            <w:pPr>
              <w:pStyle w:val="TableBody"/>
            </w:pPr>
            <w:r w:rsidRPr="008C1137">
              <w:t>5.0</w:t>
            </w:r>
          </w:p>
        </w:tc>
        <w:tc>
          <w:tcPr>
            <w:tcW w:w="717" w:type="pct"/>
          </w:tcPr>
          <w:p w14:paraId="6316C2CC" w14:textId="77777777" w:rsidR="00A4454A" w:rsidRPr="008C1137" w:rsidRDefault="00A4454A" w:rsidP="00390380">
            <w:pPr>
              <w:pStyle w:val="TableBody"/>
            </w:pPr>
            <w:r w:rsidRPr="008C1137">
              <w:t>2.8</w:t>
            </w:r>
          </w:p>
        </w:tc>
        <w:tc>
          <w:tcPr>
            <w:tcW w:w="717" w:type="pct"/>
          </w:tcPr>
          <w:p w14:paraId="7B3C03FE" w14:textId="77777777" w:rsidR="00A4454A" w:rsidRPr="008C1137" w:rsidRDefault="00A4454A" w:rsidP="00390380">
            <w:pPr>
              <w:pStyle w:val="TableBody"/>
            </w:pPr>
            <w:r w:rsidRPr="008C1137">
              <w:t>1.1</w:t>
            </w:r>
          </w:p>
        </w:tc>
        <w:tc>
          <w:tcPr>
            <w:tcW w:w="717" w:type="pct"/>
          </w:tcPr>
          <w:p w14:paraId="48721917" w14:textId="77777777" w:rsidR="00A4454A" w:rsidRPr="008C1137" w:rsidRDefault="00A4454A" w:rsidP="00390380">
            <w:pPr>
              <w:pStyle w:val="TableBody"/>
            </w:pPr>
            <w:r w:rsidRPr="008C1137">
              <w:t>2.5</w:t>
            </w:r>
          </w:p>
        </w:tc>
      </w:tr>
      <w:tr w:rsidR="006A0A62" w:rsidRPr="008C1137" w14:paraId="008D95C5" w14:textId="77777777" w:rsidTr="00CF2074">
        <w:trPr>
          <w:trHeight w:val="60"/>
        </w:trPr>
        <w:tc>
          <w:tcPr>
            <w:tcW w:w="700" w:type="pct"/>
          </w:tcPr>
          <w:p w14:paraId="1FD41287" w14:textId="77777777" w:rsidR="00A4454A" w:rsidRPr="000C258A" w:rsidRDefault="00A4454A" w:rsidP="00390380">
            <w:pPr>
              <w:pStyle w:val="TableBody"/>
              <w:rPr>
                <w:rStyle w:val="Strong"/>
              </w:rPr>
            </w:pPr>
            <w:r w:rsidRPr="000C258A">
              <w:rPr>
                <w:rStyle w:val="Strong"/>
              </w:rPr>
              <w:t>Percentage change</w:t>
            </w:r>
          </w:p>
        </w:tc>
        <w:tc>
          <w:tcPr>
            <w:tcW w:w="716" w:type="pct"/>
          </w:tcPr>
          <w:p w14:paraId="25D793F2" w14:textId="77777777" w:rsidR="00A4454A" w:rsidRPr="000C258A" w:rsidRDefault="00A4454A" w:rsidP="00390380">
            <w:pPr>
              <w:pStyle w:val="TableBody"/>
              <w:rPr>
                <w:rStyle w:val="Strong"/>
              </w:rPr>
            </w:pPr>
            <w:r w:rsidRPr="000C258A">
              <w:rPr>
                <w:rStyle w:val="Strong"/>
              </w:rPr>
              <w:t>6.3%</w:t>
            </w:r>
          </w:p>
        </w:tc>
        <w:tc>
          <w:tcPr>
            <w:tcW w:w="717" w:type="pct"/>
          </w:tcPr>
          <w:p w14:paraId="5A5368A7" w14:textId="77777777" w:rsidR="00A4454A" w:rsidRPr="000C258A" w:rsidRDefault="00A4454A" w:rsidP="00390380">
            <w:pPr>
              <w:pStyle w:val="TableBody"/>
              <w:rPr>
                <w:rStyle w:val="Strong"/>
              </w:rPr>
            </w:pPr>
            <w:r w:rsidRPr="000C258A">
              <w:rPr>
                <w:rStyle w:val="Strong"/>
              </w:rPr>
              <w:t>32.3%</w:t>
            </w:r>
          </w:p>
        </w:tc>
        <w:tc>
          <w:tcPr>
            <w:tcW w:w="717" w:type="pct"/>
          </w:tcPr>
          <w:p w14:paraId="4CE2C248" w14:textId="77777777" w:rsidR="00A4454A" w:rsidRPr="000C258A" w:rsidRDefault="00A4454A" w:rsidP="00390380">
            <w:pPr>
              <w:pStyle w:val="TableBody"/>
              <w:rPr>
                <w:rStyle w:val="Strong"/>
              </w:rPr>
            </w:pPr>
            <w:r w:rsidRPr="000C258A">
              <w:rPr>
                <w:rStyle w:val="Strong"/>
              </w:rPr>
              <w:t>33.0%</w:t>
            </w:r>
          </w:p>
        </w:tc>
        <w:tc>
          <w:tcPr>
            <w:tcW w:w="717" w:type="pct"/>
          </w:tcPr>
          <w:p w14:paraId="32442869" w14:textId="77777777" w:rsidR="00A4454A" w:rsidRPr="000C258A" w:rsidRDefault="00A4454A" w:rsidP="00390380">
            <w:pPr>
              <w:pStyle w:val="TableBody"/>
              <w:rPr>
                <w:rStyle w:val="Strong"/>
              </w:rPr>
            </w:pPr>
            <w:r w:rsidRPr="000C258A">
              <w:rPr>
                <w:rStyle w:val="Strong"/>
              </w:rPr>
              <w:t>37.8%</w:t>
            </w:r>
          </w:p>
        </w:tc>
        <w:tc>
          <w:tcPr>
            <w:tcW w:w="717" w:type="pct"/>
          </w:tcPr>
          <w:p w14:paraId="7BCF1F54" w14:textId="77777777" w:rsidR="00A4454A" w:rsidRPr="000C258A" w:rsidRDefault="00A4454A" w:rsidP="00390380">
            <w:pPr>
              <w:pStyle w:val="TableBody"/>
              <w:rPr>
                <w:rStyle w:val="Strong"/>
              </w:rPr>
            </w:pPr>
            <w:r w:rsidRPr="000C258A">
              <w:rPr>
                <w:rStyle w:val="Strong"/>
              </w:rPr>
              <w:t>−26.7%</w:t>
            </w:r>
          </w:p>
        </w:tc>
        <w:tc>
          <w:tcPr>
            <w:tcW w:w="717" w:type="pct"/>
          </w:tcPr>
          <w:p w14:paraId="53F1DBE4" w14:textId="77777777" w:rsidR="00A4454A" w:rsidRPr="000C258A" w:rsidRDefault="00A4454A" w:rsidP="00390380">
            <w:pPr>
              <w:pStyle w:val="TableBody"/>
              <w:rPr>
                <w:rStyle w:val="Strong"/>
              </w:rPr>
            </w:pPr>
            <w:r w:rsidRPr="000C258A">
              <w:rPr>
                <w:rStyle w:val="Strong"/>
              </w:rPr>
              <w:t>−4.4%</w:t>
            </w:r>
          </w:p>
        </w:tc>
      </w:tr>
    </w:tbl>
    <w:p w14:paraId="5E4B5213" w14:textId="77777777" w:rsidR="00A4454A" w:rsidRPr="008C1137" w:rsidRDefault="00A4454A" w:rsidP="00AD155B">
      <w:pPr>
        <w:pStyle w:val="Heading1"/>
        <w:pageBreakBefore/>
      </w:pPr>
      <w:bookmarkStart w:id="13" w:name="_Toc210672557"/>
      <w:r w:rsidRPr="008C1137">
        <w:lastRenderedPageBreak/>
        <w:t>Appendix C: Custodial sentences in the Magistrates’ Court by offence category</w:t>
      </w:r>
      <w:bookmarkEnd w:id="13"/>
    </w:p>
    <w:p w14:paraId="0A988716" w14:textId="77777777" w:rsidR="00A4454A" w:rsidRPr="008C1137" w:rsidRDefault="00A4454A" w:rsidP="00BE4EDC">
      <w:pPr>
        <w:pStyle w:val="Caption"/>
      </w:pPr>
      <w:r w:rsidRPr="00157502">
        <w:t>Table A5</w:t>
      </w:r>
      <w:r w:rsidRPr="008C1137">
        <w:t>: Number of custodial sentences in the Magistrates’ Court</w:t>
      </w:r>
    </w:p>
    <w:tbl>
      <w:tblPr>
        <w:tblStyle w:val="Table"/>
        <w:tblW w:w="5000" w:type="pct"/>
        <w:tblLook w:val="0020" w:firstRow="1" w:lastRow="0" w:firstColumn="0" w:lastColumn="0" w:noHBand="0" w:noVBand="0"/>
      </w:tblPr>
      <w:tblGrid>
        <w:gridCol w:w="1486"/>
        <w:gridCol w:w="1233"/>
        <w:gridCol w:w="1235"/>
        <w:gridCol w:w="1235"/>
        <w:gridCol w:w="1235"/>
        <w:gridCol w:w="1358"/>
        <w:gridCol w:w="1234"/>
      </w:tblGrid>
      <w:tr w:rsidR="006A0A62" w:rsidRPr="008C1137" w14:paraId="2D21EA8A" w14:textId="77777777" w:rsidTr="00CF2074">
        <w:trPr>
          <w:trHeight w:val="60"/>
          <w:tblHeader/>
        </w:trPr>
        <w:tc>
          <w:tcPr>
            <w:tcW w:w="700" w:type="pct"/>
          </w:tcPr>
          <w:p w14:paraId="188304DA" w14:textId="77777777" w:rsidR="00A4454A" w:rsidRPr="00281603" w:rsidRDefault="00A4454A" w:rsidP="00281603">
            <w:pPr>
              <w:pStyle w:val="TableHeading"/>
            </w:pPr>
            <w:r w:rsidRPr="00281603">
              <w:t>Financial year</w:t>
            </w:r>
          </w:p>
        </w:tc>
        <w:tc>
          <w:tcPr>
            <w:tcW w:w="716" w:type="pct"/>
          </w:tcPr>
          <w:p w14:paraId="755DD8F6" w14:textId="77777777" w:rsidR="00A4454A" w:rsidRPr="00281603" w:rsidRDefault="00A4454A" w:rsidP="00281603">
            <w:pPr>
              <w:pStyle w:val="TableHeading"/>
            </w:pPr>
            <w:r w:rsidRPr="00281603">
              <w:t>Offences against the person</w:t>
            </w:r>
          </w:p>
        </w:tc>
        <w:tc>
          <w:tcPr>
            <w:tcW w:w="717" w:type="pct"/>
          </w:tcPr>
          <w:p w14:paraId="2C59574B" w14:textId="77777777" w:rsidR="00A4454A" w:rsidRPr="00281603" w:rsidRDefault="00A4454A" w:rsidP="00281603">
            <w:pPr>
              <w:pStyle w:val="TableHeading"/>
            </w:pPr>
            <w:r w:rsidRPr="00281603">
              <w:t>Property offences</w:t>
            </w:r>
          </w:p>
        </w:tc>
        <w:tc>
          <w:tcPr>
            <w:tcW w:w="717" w:type="pct"/>
          </w:tcPr>
          <w:p w14:paraId="7A76B0E2" w14:textId="77777777" w:rsidR="00A4454A" w:rsidRPr="00281603" w:rsidRDefault="00A4454A" w:rsidP="00281603">
            <w:pPr>
              <w:pStyle w:val="TableHeading"/>
            </w:pPr>
            <w:r w:rsidRPr="00281603">
              <w:t>Drug offences</w:t>
            </w:r>
          </w:p>
        </w:tc>
        <w:tc>
          <w:tcPr>
            <w:tcW w:w="717" w:type="pct"/>
          </w:tcPr>
          <w:p w14:paraId="366CC9BC" w14:textId="77777777" w:rsidR="00A4454A" w:rsidRPr="00281603" w:rsidRDefault="00A4454A" w:rsidP="00281603">
            <w:pPr>
              <w:pStyle w:val="TableHeading"/>
            </w:pPr>
            <w:r w:rsidRPr="00281603">
              <w:t>Public order offences</w:t>
            </w:r>
          </w:p>
        </w:tc>
        <w:tc>
          <w:tcPr>
            <w:tcW w:w="717" w:type="pct"/>
          </w:tcPr>
          <w:p w14:paraId="0684000D" w14:textId="77777777" w:rsidR="00A4454A" w:rsidRPr="00281603" w:rsidRDefault="00A4454A" w:rsidP="00281603">
            <w:pPr>
              <w:pStyle w:val="TableHeading"/>
            </w:pPr>
            <w:r w:rsidRPr="00281603">
              <w:t>Justice procedure offences</w:t>
            </w:r>
          </w:p>
        </w:tc>
        <w:tc>
          <w:tcPr>
            <w:tcW w:w="717" w:type="pct"/>
          </w:tcPr>
          <w:p w14:paraId="1102A288" w14:textId="77777777" w:rsidR="00A4454A" w:rsidRPr="00281603" w:rsidRDefault="00A4454A" w:rsidP="00281603">
            <w:pPr>
              <w:pStyle w:val="TableHeading"/>
            </w:pPr>
            <w:r w:rsidRPr="00281603">
              <w:t>Other offences</w:t>
            </w:r>
          </w:p>
        </w:tc>
      </w:tr>
      <w:tr w:rsidR="006A0A62" w:rsidRPr="008C1137" w14:paraId="68049F39" w14:textId="77777777" w:rsidTr="00CF2074">
        <w:trPr>
          <w:trHeight w:val="60"/>
        </w:trPr>
        <w:tc>
          <w:tcPr>
            <w:tcW w:w="700" w:type="pct"/>
          </w:tcPr>
          <w:p w14:paraId="092F6D47" w14:textId="77777777" w:rsidR="00A4454A" w:rsidRPr="008C1137" w:rsidRDefault="00A4454A" w:rsidP="00390380">
            <w:pPr>
              <w:pStyle w:val="TableBody"/>
            </w:pPr>
            <w:r w:rsidRPr="008C1137">
              <w:t>2005</w:t>
            </w:r>
          </w:p>
        </w:tc>
        <w:tc>
          <w:tcPr>
            <w:tcW w:w="716" w:type="pct"/>
          </w:tcPr>
          <w:p w14:paraId="7B7FF8A8" w14:textId="77777777" w:rsidR="00A4454A" w:rsidRPr="008C1137" w:rsidRDefault="00A4454A" w:rsidP="00390380">
            <w:pPr>
              <w:pStyle w:val="TableBody"/>
            </w:pPr>
            <w:r w:rsidRPr="008C1137">
              <w:t>1,003</w:t>
            </w:r>
          </w:p>
        </w:tc>
        <w:tc>
          <w:tcPr>
            <w:tcW w:w="717" w:type="pct"/>
          </w:tcPr>
          <w:p w14:paraId="77734A40" w14:textId="77777777" w:rsidR="00A4454A" w:rsidRPr="008C1137" w:rsidRDefault="00A4454A" w:rsidP="00390380">
            <w:pPr>
              <w:pStyle w:val="TableBody"/>
            </w:pPr>
            <w:r w:rsidRPr="008C1137">
              <w:t>2,022</w:t>
            </w:r>
          </w:p>
        </w:tc>
        <w:tc>
          <w:tcPr>
            <w:tcW w:w="717" w:type="pct"/>
          </w:tcPr>
          <w:p w14:paraId="1CF477F5" w14:textId="77777777" w:rsidR="00A4454A" w:rsidRPr="008C1137" w:rsidRDefault="00A4454A" w:rsidP="00390380">
            <w:pPr>
              <w:pStyle w:val="TableBody"/>
            </w:pPr>
            <w:r w:rsidRPr="008C1137">
              <w:t>309</w:t>
            </w:r>
          </w:p>
        </w:tc>
        <w:tc>
          <w:tcPr>
            <w:tcW w:w="717" w:type="pct"/>
          </w:tcPr>
          <w:p w14:paraId="69AAAB79" w14:textId="77777777" w:rsidR="00A4454A" w:rsidRPr="008C1137" w:rsidRDefault="00A4454A" w:rsidP="00390380">
            <w:pPr>
              <w:pStyle w:val="TableBody"/>
            </w:pPr>
            <w:r w:rsidRPr="008C1137">
              <w:t>166</w:t>
            </w:r>
          </w:p>
        </w:tc>
        <w:tc>
          <w:tcPr>
            <w:tcW w:w="717" w:type="pct"/>
          </w:tcPr>
          <w:p w14:paraId="53812702" w14:textId="77777777" w:rsidR="00A4454A" w:rsidRPr="008C1137" w:rsidRDefault="00A4454A" w:rsidP="00390380">
            <w:pPr>
              <w:pStyle w:val="TableBody"/>
            </w:pPr>
            <w:r w:rsidRPr="008C1137">
              <w:t>149</w:t>
            </w:r>
          </w:p>
        </w:tc>
        <w:tc>
          <w:tcPr>
            <w:tcW w:w="717" w:type="pct"/>
          </w:tcPr>
          <w:p w14:paraId="1CC260B4" w14:textId="77777777" w:rsidR="00A4454A" w:rsidRPr="008C1137" w:rsidRDefault="00A4454A" w:rsidP="00390380">
            <w:pPr>
              <w:pStyle w:val="TableBody"/>
            </w:pPr>
            <w:r w:rsidRPr="008C1137">
              <w:t>627</w:t>
            </w:r>
          </w:p>
        </w:tc>
      </w:tr>
      <w:tr w:rsidR="006A0A62" w:rsidRPr="008C1137" w14:paraId="5BD89882" w14:textId="77777777" w:rsidTr="00CF2074">
        <w:trPr>
          <w:trHeight w:val="60"/>
        </w:trPr>
        <w:tc>
          <w:tcPr>
            <w:tcW w:w="700" w:type="pct"/>
          </w:tcPr>
          <w:p w14:paraId="145D32A3" w14:textId="77777777" w:rsidR="00A4454A" w:rsidRPr="008C1137" w:rsidRDefault="00A4454A" w:rsidP="00390380">
            <w:pPr>
              <w:pStyle w:val="TableBody"/>
            </w:pPr>
            <w:r w:rsidRPr="008C1137">
              <w:t>2006</w:t>
            </w:r>
          </w:p>
        </w:tc>
        <w:tc>
          <w:tcPr>
            <w:tcW w:w="716" w:type="pct"/>
          </w:tcPr>
          <w:p w14:paraId="566C6464" w14:textId="77777777" w:rsidR="00A4454A" w:rsidRPr="008C1137" w:rsidRDefault="00A4454A" w:rsidP="00390380">
            <w:pPr>
              <w:pStyle w:val="TableBody"/>
            </w:pPr>
            <w:r w:rsidRPr="008C1137">
              <w:t>1,022</w:t>
            </w:r>
          </w:p>
        </w:tc>
        <w:tc>
          <w:tcPr>
            <w:tcW w:w="717" w:type="pct"/>
          </w:tcPr>
          <w:p w14:paraId="17542D9E" w14:textId="77777777" w:rsidR="00A4454A" w:rsidRPr="008C1137" w:rsidRDefault="00A4454A" w:rsidP="00390380">
            <w:pPr>
              <w:pStyle w:val="TableBody"/>
            </w:pPr>
            <w:r w:rsidRPr="008C1137">
              <w:t>1,926</w:t>
            </w:r>
          </w:p>
        </w:tc>
        <w:tc>
          <w:tcPr>
            <w:tcW w:w="717" w:type="pct"/>
          </w:tcPr>
          <w:p w14:paraId="1366BF59" w14:textId="77777777" w:rsidR="00A4454A" w:rsidRPr="008C1137" w:rsidRDefault="00A4454A" w:rsidP="00390380">
            <w:pPr>
              <w:pStyle w:val="TableBody"/>
            </w:pPr>
            <w:r w:rsidRPr="008C1137">
              <w:t>272</w:t>
            </w:r>
          </w:p>
        </w:tc>
        <w:tc>
          <w:tcPr>
            <w:tcW w:w="717" w:type="pct"/>
          </w:tcPr>
          <w:p w14:paraId="67C76E9B" w14:textId="77777777" w:rsidR="00A4454A" w:rsidRPr="008C1137" w:rsidRDefault="00A4454A" w:rsidP="00390380">
            <w:pPr>
              <w:pStyle w:val="TableBody"/>
            </w:pPr>
            <w:r w:rsidRPr="008C1137">
              <w:t>192</w:t>
            </w:r>
          </w:p>
        </w:tc>
        <w:tc>
          <w:tcPr>
            <w:tcW w:w="717" w:type="pct"/>
          </w:tcPr>
          <w:p w14:paraId="68EB0FC4" w14:textId="77777777" w:rsidR="00A4454A" w:rsidRPr="008C1137" w:rsidRDefault="00A4454A" w:rsidP="00390380">
            <w:pPr>
              <w:pStyle w:val="TableBody"/>
            </w:pPr>
            <w:r w:rsidRPr="008C1137">
              <w:t>140</w:t>
            </w:r>
          </w:p>
        </w:tc>
        <w:tc>
          <w:tcPr>
            <w:tcW w:w="717" w:type="pct"/>
          </w:tcPr>
          <w:p w14:paraId="1CC8BBC8" w14:textId="77777777" w:rsidR="00A4454A" w:rsidRPr="008C1137" w:rsidRDefault="00A4454A" w:rsidP="00390380">
            <w:pPr>
              <w:pStyle w:val="TableBody"/>
            </w:pPr>
            <w:r w:rsidRPr="008C1137">
              <w:t>749</w:t>
            </w:r>
          </w:p>
        </w:tc>
      </w:tr>
      <w:tr w:rsidR="006A0A62" w:rsidRPr="008C1137" w14:paraId="1A8E03ED" w14:textId="77777777" w:rsidTr="00CF2074">
        <w:trPr>
          <w:trHeight w:val="60"/>
        </w:trPr>
        <w:tc>
          <w:tcPr>
            <w:tcW w:w="700" w:type="pct"/>
          </w:tcPr>
          <w:p w14:paraId="1F5F9D8D" w14:textId="77777777" w:rsidR="00A4454A" w:rsidRPr="008C1137" w:rsidRDefault="00A4454A" w:rsidP="00390380">
            <w:pPr>
              <w:pStyle w:val="TableBody"/>
            </w:pPr>
            <w:r w:rsidRPr="008C1137">
              <w:t>2007</w:t>
            </w:r>
          </w:p>
        </w:tc>
        <w:tc>
          <w:tcPr>
            <w:tcW w:w="716" w:type="pct"/>
          </w:tcPr>
          <w:p w14:paraId="322BFA66" w14:textId="77777777" w:rsidR="00A4454A" w:rsidRPr="008C1137" w:rsidRDefault="00A4454A" w:rsidP="00390380">
            <w:pPr>
              <w:pStyle w:val="TableBody"/>
            </w:pPr>
            <w:r w:rsidRPr="008C1137">
              <w:t>1,057</w:t>
            </w:r>
          </w:p>
        </w:tc>
        <w:tc>
          <w:tcPr>
            <w:tcW w:w="717" w:type="pct"/>
          </w:tcPr>
          <w:p w14:paraId="5C31DC2A" w14:textId="77777777" w:rsidR="00A4454A" w:rsidRPr="008C1137" w:rsidRDefault="00A4454A" w:rsidP="00390380">
            <w:pPr>
              <w:pStyle w:val="TableBody"/>
            </w:pPr>
            <w:r w:rsidRPr="008C1137">
              <w:t>1,886</w:t>
            </w:r>
          </w:p>
        </w:tc>
        <w:tc>
          <w:tcPr>
            <w:tcW w:w="717" w:type="pct"/>
          </w:tcPr>
          <w:p w14:paraId="7FD8318A" w14:textId="77777777" w:rsidR="00A4454A" w:rsidRPr="008C1137" w:rsidRDefault="00A4454A" w:rsidP="00390380">
            <w:pPr>
              <w:pStyle w:val="TableBody"/>
            </w:pPr>
            <w:r w:rsidRPr="008C1137">
              <w:t>239</w:t>
            </w:r>
          </w:p>
        </w:tc>
        <w:tc>
          <w:tcPr>
            <w:tcW w:w="717" w:type="pct"/>
          </w:tcPr>
          <w:p w14:paraId="23F165C2" w14:textId="77777777" w:rsidR="00A4454A" w:rsidRPr="008C1137" w:rsidRDefault="00A4454A" w:rsidP="00390380">
            <w:pPr>
              <w:pStyle w:val="TableBody"/>
            </w:pPr>
            <w:r w:rsidRPr="008C1137">
              <w:t>184</w:t>
            </w:r>
          </w:p>
        </w:tc>
        <w:tc>
          <w:tcPr>
            <w:tcW w:w="717" w:type="pct"/>
          </w:tcPr>
          <w:p w14:paraId="7ED9893B" w14:textId="77777777" w:rsidR="00A4454A" w:rsidRPr="008C1137" w:rsidRDefault="00A4454A" w:rsidP="00390380">
            <w:pPr>
              <w:pStyle w:val="TableBody"/>
            </w:pPr>
            <w:r w:rsidRPr="008C1137">
              <w:t>135</w:t>
            </w:r>
          </w:p>
        </w:tc>
        <w:tc>
          <w:tcPr>
            <w:tcW w:w="717" w:type="pct"/>
          </w:tcPr>
          <w:p w14:paraId="7A72A0C1" w14:textId="77777777" w:rsidR="00A4454A" w:rsidRPr="008C1137" w:rsidRDefault="00A4454A" w:rsidP="00390380">
            <w:pPr>
              <w:pStyle w:val="TableBody"/>
            </w:pPr>
            <w:r w:rsidRPr="008C1137">
              <w:t>711</w:t>
            </w:r>
          </w:p>
        </w:tc>
      </w:tr>
      <w:tr w:rsidR="006A0A62" w:rsidRPr="008C1137" w14:paraId="3558FEEF" w14:textId="77777777" w:rsidTr="00CF2074">
        <w:trPr>
          <w:trHeight w:val="60"/>
        </w:trPr>
        <w:tc>
          <w:tcPr>
            <w:tcW w:w="700" w:type="pct"/>
          </w:tcPr>
          <w:p w14:paraId="55395FA8" w14:textId="77777777" w:rsidR="00A4454A" w:rsidRPr="008C1137" w:rsidRDefault="00A4454A" w:rsidP="00390380">
            <w:pPr>
              <w:pStyle w:val="TableBody"/>
            </w:pPr>
            <w:r w:rsidRPr="008C1137">
              <w:t>2008</w:t>
            </w:r>
          </w:p>
        </w:tc>
        <w:tc>
          <w:tcPr>
            <w:tcW w:w="716" w:type="pct"/>
          </w:tcPr>
          <w:p w14:paraId="15179197" w14:textId="77777777" w:rsidR="00A4454A" w:rsidRPr="008C1137" w:rsidRDefault="00A4454A" w:rsidP="00390380">
            <w:pPr>
              <w:pStyle w:val="TableBody"/>
            </w:pPr>
            <w:r w:rsidRPr="008C1137">
              <w:t>1,025</w:t>
            </w:r>
          </w:p>
        </w:tc>
        <w:tc>
          <w:tcPr>
            <w:tcW w:w="717" w:type="pct"/>
          </w:tcPr>
          <w:p w14:paraId="4439145D" w14:textId="77777777" w:rsidR="00A4454A" w:rsidRPr="008C1137" w:rsidRDefault="00A4454A" w:rsidP="00390380">
            <w:pPr>
              <w:pStyle w:val="TableBody"/>
            </w:pPr>
            <w:r w:rsidRPr="008C1137">
              <w:t>1,742</w:t>
            </w:r>
          </w:p>
        </w:tc>
        <w:tc>
          <w:tcPr>
            <w:tcW w:w="717" w:type="pct"/>
          </w:tcPr>
          <w:p w14:paraId="5CCF0AB3" w14:textId="77777777" w:rsidR="00A4454A" w:rsidRPr="008C1137" w:rsidRDefault="00A4454A" w:rsidP="00390380">
            <w:pPr>
              <w:pStyle w:val="TableBody"/>
            </w:pPr>
            <w:r w:rsidRPr="008C1137">
              <w:t>245</w:t>
            </w:r>
          </w:p>
        </w:tc>
        <w:tc>
          <w:tcPr>
            <w:tcW w:w="717" w:type="pct"/>
          </w:tcPr>
          <w:p w14:paraId="0DDA69D8" w14:textId="77777777" w:rsidR="00A4454A" w:rsidRPr="008C1137" w:rsidRDefault="00A4454A" w:rsidP="00390380">
            <w:pPr>
              <w:pStyle w:val="TableBody"/>
            </w:pPr>
            <w:r w:rsidRPr="008C1137">
              <w:t>211</w:t>
            </w:r>
          </w:p>
        </w:tc>
        <w:tc>
          <w:tcPr>
            <w:tcW w:w="717" w:type="pct"/>
          </w:tcPr>
          <w:p w14:paraId="0F1B3DC4" w14:textId="77777777" w:rsidR="00A4454A" w:rsidRPr="008C1137" w:rsidRDefault="00A4454A" w:rsidP="00390380">
            <w:pPr>
              <w:pStyle w:val="TableBody"/>
            </w:pPr>
            <w:r w:rsidRPr="008C1137">
              <w:t>146</w:t>
            </w:r>
          </w:p>
        </w:tc>
        <w:tc>
          <w:tcPr>
            <w:tcW w:w="717" w:type="pct"/>
          </w:tcPr>
          <w:p w14:paraId="231D47D2" w14:textId="77777777" w:rsidR="00A4454A" w:rsidRPr="008C1137" w:rsidRDefault="00A4454A" w:rsidP="00390380">
            <w:pPr>
              <w:pStyle w:val="TableBody"/>
            </w:pPr>
            <w:r w:rsidRPr="008C1137">
              <w:t>655</w:t>
            </w:r>
          </w:p>
        </w:tc>
      </w:tr>
      <w:tr w:rsidR="006A0A62" w:rsidRPr="008C1137" w14:paraId="70E52DBA" w14:textId="77777777" w:rsidTr="00CF2074">
        <w:trPr>
          <w:trHeight w:val="60"/>
        </w:trPr>
        <w:tc>
          <w:tcPr>
            <w:tcW w:w="700" w:type="pct"/>
          </w:tcPr>
          <w:p w14:paraId="3238E0C8" w14:textId="77777777" w:rsidR="00A4454A" w:rsidRPr="008C1137" w:rsidRDefault="00A4454A" w:rsidP="00390380">
            <w:pPr>
              <w:pStyle w:val="TableBody"/>
            </w:pPr>
            <w:r w:rsidRPr="008C1137">
              <w:t>2009</w:t>
            </w:r>
          </w:p>
        </w:tc>
        <w:tc>
          <w:tcPr>
            <w:tcW w:w="716" w:type="pct"/>
          </w:tcPr>
          <w:p w14:paraId="4B1416D9" w14:textId="77777777" w:rsidR="00A4454A" w:rsidRPr="008C1137" w:rsidRDefault="00A4454A" w:rsidP="00390380">
            <w:pPr>
              <w:pStyle w:val="TableBody"/>
            </w:pPr>
            <w:r w:rsidRPr="008C1137">
              <w:t>1,222</w:t>
            </w:r>
          </w:p>
        </w:tc>
        <w:tc>
          <w:tcPr>
            <w:tcW w:w="717" w:type="pct"/>
          </w:tcPr>
          <w:p w14:paraId="5CBD5387" w14:textId="77777777" w:rsidR="00A4454A" w:rsidRPr="008C1137" w:rsidRDefault="00A4454A" w:rsidP="00390380">
            <w:pPr>
              <w:pStyle w:val="TableBody"/>
            </w:pPr>
            <w:r w:rsidRPr="008C1137">
              <w:t>1,756</w:t>
            </w:r>
          </w:p>
        </w:tc>
        <w:tc>
          <w:tcPr>
            <w:tcW w:w="717" w:type="pct"/>
          </w:tcPr>
          <w:p w14:paraId="663A53EF" w14:textId="77777777" w:rsidR="00A4454A" w:rsidRPr="008C1137" w:rsidRDefault="00A4454A" w:rsidP="00390380">
            <w:pPr>
              <w:pStyle w:val="TableBody"/>
            </w:pPr>
            <w:r w:rsidRPr="008C1137">
              <w:t>300</w:t>
            </w:r>
          </w:p>
        </w:tc>
        <w:tc>
          <w:tcPr>
            <w:tcW w:w="717" w:type="pct"/>
          </w:tcPr>
          <w:p w14:paraId="66B2D542" w14:textId="77777777" w:rsidR="00A4454A" w:rsidRPr="008C1137" w:rsidRDefault="00A4454A" w:rsidP="00390380">
            <w:pPr>
              <w:pStyle w:val="TableBody"/>
            </w:pPr>
            <w:r w:rsidRPr="008C1137">
              <w:t>217</w:t>
            </w:r>
          </w:p>
        </w:tc>
        <w:tc>
          <w:tcPr>
            <w:tcW w:w="717" w:type="pct"/>
          </w:tcPr>
          <w:p w14:paraId="75AC3238" w14:textId="77777777" w:rsidR="00A4454A" w:rsidRPr="008C1137" w:rsidRDefault="00A4454A" w:rsidP="00390380">
            <w:pPr>
              <w:pStyle w:val="TableBody"/>
            </w:pPr>
            <w:r w:rsidRPr="008C1137">
              <w:t>169</w:t>
            </w:r>
          </w:p>
        </w:tc>
        <w:tc>
          <w:tcPr>
            <w:tcW w:w="717" w:type="pct"/>
          </w:tcPr>
          <w:p w14:paraId="6A0F881A" w14:textId="77777777" w:rsidR="00A4454A" w:rsidRPr="008C1137" w:rsidRDefault="00A4454A" w:rsidP="00390380">
            <w:pPr>
              <w:pStyle w:val="TableBody"/>
            </w:pPr>
            <w:r w:rsidRPr="008C1137">
              <w:t>633</w:t>
            </w:r>
          </w:p>
        </w:tc>
      </w:tr>
      <w:tr w:rsidR="006A0A62" w:rsidRPr="008C1137" w14:paraId="067242E4" w14:textId="77777777" w:rsidTr="00CF2074">
        <w:trPr>
          <w:trHeight w:val="60"/>
        </w:trPr>
        <w:tc>
          <w:tcPr>
            <w:tcW w:w="700" w:type="pct"/>
          </w:tcPr>
          <w:p w14:paraId="23182212" w14:textId="77777777" w:rsidR="00A4454A" w:rsidRPr="008C1137" w:rsidRDefault="00A4454A" w:rsidP="00390380">
            <w:pPr>
              <w:pStyle w:val="TableBody"/>
            </w:pPr>
            <w:r w:rsidRPr="008C1137">
              <w:t>2010</w:t>
            </w:r>
          </w:p>
        </w:tc>
        <w:tc>
          <w:tcPr>
            <w:tcW w:w="716" w:type="pct"/>
          </w:tcPr>
          <w:p w14:paraId="6FDFDCC9" w14:textId="77777777" w:rsidR="00A4454A" w:rsidRPr="008C1137" w:rsidRDefault="00A4454A" w:rsidP="00390380">
            <w:pPr>
              <w:pStyle w:val="TableBody"/>
            </w:pPr>
            <w:r w:rsidRPr="008C1137">
              <w:t>1,397</w:t>
            </w:r>
          </w:p>
        </w:tc>
        <w:tc>
          <w:tcPr>
            <w:tcW w:w="717" w:type="pct"/>
          </w:tcPr>
          <w:p w14:paraId="7A25F976" w14:textId="77777777" w:rsidR="00A4454A" w:rsidRPr="008C1137" w:rsidRDefault="00A4454A" w:rsidP="00390380">
            <w:pPr>
              <w:pStyle w:val="TableBody"/>
            </w:pPr>
            <w:r w:rsidRPr="008C1137">
              <w:t>1,969</w:t>
            </w:r>
          </w:p>
        </w:tc>
        <w:tc>
          <w:tcPr>
            <w:tcW w:w="717" w:type="pct"/>
          </w:tcPr>
          <w:p w14:paraId="1DE01A2E" w14:textId="77777777" w:rsidR="00A4454A" w:rsidRPr="008C1137" w:rsidRDefault="00A4454A" w:rsidP="00390380">
            <w:pPr>
              <w:pStyle w:val="TableBody"/>
            </w:pPr>
            <w:r w:rsidRPr="008C1137">
              <w:t>311</w:t>
            </w:r>
          </w:p>
        </w:tc>
        <w:tc>
          <w:tcPr>
            <w:tcW w:w="717" w:type="pct"/>
          </w:tcPr>
          <w:p w14:paraId="3959295C" w14:textId="77777777" w:rsidR="00A4454A" w:rsidRPr="008C1137" w:rsidRDefault="00A4454A" w:rsidP="00390380">
            <w:pPr>
              <w:pStyle w:val="TableBody"/>
            </w:pPr>
            <w:r w:rsidRPr="008C1137">
              <w:t>253</w:t>
            </w:r>
          </w:p>
        </w:tc>
        <w:tc>
          <w:tcPr>
            <w:tcW w:w="717" w:type="pct"/>
          </w:tcPr>
          <w:p w14:paraId="2C946F50" w14:textId="77777777" w:rsidR="00A4454A" w:rsidRPr="008C1137" w:rsidRDefault="00A4454A" w:rsidP="00390380">
            <w:pPr>
              <w:pStyle w:val="TableBody"/>
            </w:pPr>
            <w:r w:rsidRPr="008C1137">
              <w:t>190</w:t>
            </w:r>
          </w:p>
        </w:tc>
        <w:tc>
          <w:tcPr>
            <w:tcW w:w="717" w:type="pct"/>
          </w:tcPr>
          <w:p w14:paraId="557F0F14" w14:textId="77777777" w:rsidR="00A4454A" w:rsidRPr="008C1137" w:rsidRDefault="00A4454A" w:rsidP="00390380">
            <w:pPr>
              <w:pStyle w:val="TableBody"/>
            </w:pPr>
            <w:r w:rsidRPr="008C1137">
              <w:t>746</w:t>
            </w:r>
          </w:p>
        </w:tc>
      </w:tr>
      <w:tr w:rsidR="006A0A62" w:rsidRPr="008C1137" w14:paraId="71E40045" w14:textId="77777777" w:rsidTr="00CF2074">
        <w:trPr>
          <w:trHeight w:val="60"/>
        </w:trPr>
        <w:tc>
          <w:tcPr>
            <w:tcW w:w="700" w:type="pct"/>
          </w:tcPr>
          <w:p w14:paraId="687CE963" w14:textId="77777777" w:rsidR="00A4454A" w:rsidRPr="008C1137" w:rsidRDefault="00A4454A" w:rsidP="00390380">
            <w:pPr>
              <w:pStyle w:val="TableBody"/>
            </w:pPr>
            <w:r w:rsidRPr="008C1137">
              <w:t>2011</w:t>
            </w:r>
          </w:p>
        </w:tc>
        <w:tc>
          <w:tcPr>
            <w:tcW w:w="716" w:type="pct"/>
          </w:tcPr>
          <w:p w14:paraId="1B125C86" w14:textId="77777777" w:rsidR="00A4454A" w:rsidRPr="008C1137" w:rsidRDefault="00A4454A" w:rsidP="00390380">
            <w:pPr>
              <w:pStyle w:val="TableBody"/>
            </w:pPr>
            <w:r w:rsidRPr="008C1137">
              <w:t>1,271</w:t>
            </w:r>
          </w:p>
        </w:tc>
        <w:tc>
          <w:tcPr>
            <w:tcW w:w="717" w:type="pct"/>
          </w:tcPr>
          <w:p w14:paraId="2A744730" w14:textId="77777777" w:rsidR="00A4454A" w:rsidRPr="008C1137" w:rsidRDefault="00A4454A" w:rsidP="00390380">
            <w:pPr>
              <w:pStyle w:val="TableBody"/>
            </w:pPr>
            <w:r w:rsidRPr="008C1137">
              <w:t>1,645</w:t>
            </w:r>
          </w:p>
        </w:tc>
        <w:tc>
          <w:tcPr>
            <w:tcW w:w="717" w:type="pct"/>
          </w:tcPr>
          <w:p w14:paraId="49DBD35B" w14:textId="77777777" w:rsidR="00A4454A" w:rsidRPr="008C1137" w:rsidRDefault="00A4454A" w:rsidP="00390380">
            <w:pPr>
              <w:pStyle w:val="TableBody"/>
            </w:pPr>
            <w:r w:rsidRPr="008C1137">
              <w:t>273</w:t>
            </w:r>
          </w:p>
        </w:tc>
        <w:tc>
          <w:tcPr>
            <w:tcW w:w="717" w:type="pct"/>
          </w:tcPr>
          <w:p w14:paraId="11481883" w14:textId="77777777" w:rsidR="00A4454A" w:rsidRPr="008C1137" w:rsidRDefault="00A4454A" w:rsidP="00390380">
            <w:pPr>
              <w:pStyle w:val="TableBody"/>
            </w:pPr>
            <w:r w:rsidRPr="008C1137">
              <w:t>232</w:t>
            </w:r>
          </w:p>
        </w:tc>
        <w:tc>
          <w:tcPr>
            <w:tcW w:w="717" w:type="pct"/>
          </w:tcPr>
          <w:p w14:paraId="15E113E3" w14:textId="77777777" w:rsidR="00A4454A" w:rsidRPr="008C1137" w:rsidRDefault="00A4454A" w:rsidP="00390380">
            <w:pPr>
              <w:pStyle w:val="TableBody"/>
            </w:pPr>
            <w:r w:rsidRPr="008C1137">
              <w:t>164</w:t>
            </w:r>
          </w:p>
        </w:tc>
        <w:tc>
          <w:tcPr>
            <w:tcW w:w="717" w:type="pct"/>
          </w:tcPr>
          <w:p w14:paraId="76C4AB13" w14:textId="77777777" w:rsidR="00A4454A" w:rsidRPr="008C1137" w:rsidRDefault="00A4454A" w:rsidP="00390380">
            <w:pPr>
              <w:pStyle w:val="TableBody"/>
            </w:pPr>
            <w:r w:rsidRPr="008C1137">
              <w:t>611</w:t>
            </w:r>
          </w:p>
        </w:tc>
      </w:tr>
      <w:tr w:rsidR="006A0A62" w:rsidRPr="008C1137" w14:paraId="48C62D86" w14:textId="77777777" w:rsidTr="00CF2074">
        <w:trPr>
          <w:trHeight w:val="60"/>
        </w:trPr>
        <w:tc>
          <w:tcPr>
            <w:tcW w:w="700" w:type="pct"/>
          </w:tcPr>
          <w:p w14:paraId="52EB4762" w14:textId="77777777" w:rsidR="00A4454A" w:rsidRPr="008C1137" w:rsidRDefault="00A4454A" w:rsidP="00390380">
            <w:pPr>
              <w:pStyle w:val="TableBody"/>
            </w:pPr>
            <w:r w:rsidRPr="008C1137">
              <w:t>2012</w:t>
            </w:r>
          </w:p>
        </w:tc>
        <w:tc>
          <w:tcPr>
            <w:tcW w:w="716" w:type="pct"/>
          </w:tcPr>
          <w:p w14:paraId="271E5F3B" w14:textId="77777777" w:rsidR="00A4454A" w:rsidRPr="008C1137" w:rsidRDefault="00A4454A" w:rsidP="00390380">
            <w:pPr>
              <w:pStyle w:val="TableBody"/>
            </w:pPr>
            <w:r w:rsidRPr="008C1137">
              <w:t>1,468</w:t>
            </w:r>
          </w:p>
        </w:tc>
        <w:tc>
          <w:tcPr>
            <w:tcW w:w="717" w:type="pct"/>
          </w:tcPr>
          <w:p w14:paraId="53383219" w14:textId="77777777" w:rsidR="00A4454A" w:rsidRPr="008C1137" w:rsidRDefault="00A4454A" w:rsidP="00390380">
            <w:pPr>
              <w:pStyle w:val="TableBody"/>
            </w:pPr>
            <w:r w:rsidRPr="008C1137">
              <w:t>1,645</w:t>
            </w:r>
          </w:p>
        </w:tc>
        <w:tc>
          <w:tcPr>
            <w:tcW w:w="717" w:type="pct"/>
          </w:tcPr>
          <w:p w14:paraId="2DE6D6DA" w14:textId="77777777" w:rsidR="00A4454A" w:rsidRPr="008C1137" w:rsidRDefault="00A4454A" w:rsidP="00390380">
            <w:pPr>
              <w:pStyle w:val="TableBody"/>
            </w:pPr>
            <w:r w:rsidRPr="008C1137">
              <w:t>312</w:t>
            </w:r>
          </w:p>
        </w:tc>
        <w:tc>
          <w:tcPr>
            <w:tcW w:w="717" w:type="pct"/>
          </w:tcPr>
          <w:p w14:paraId="0BCD4702" w14:textId="77777777" w:rsidR="00A4454A" w:rsidRPr="008C1137" w:rsidRDefault="00A4454A" w:rsidP="00390380">
            <w:pPr>
              <w:pStyle w:val="TableBody"/>
            </w:pPr>
            <w:r w:rsidRPr="008C1137">
              <w:t>245</w:t>
            </w:r>
          </w:p>
        </w:tc>
        <w:tc>
          <w:tcPr>
            <w:tcW w:w="717" w:type="pct"/>
          </w:tcPr>
          <w:p w14:paraId="5D29DB16" w14:textId="77777777" w:rsidR="00A4454A" w:rsidRPr="008C1137" w:rsidRDefault="00A4454A" w:rsidP="00390380">
            <w:pPr>
              <w:pStyle w:val="TableBody"/>
            </w:pPr>
            <w:r w:rsidRPr="008C1137">
              <w:t>212</w:t>
            </w:r>
          </w:p>
        </w:tc>
        <w:tc>
          <w:tcPr>
            <w:tcW w:w="717" w:type="pct"/>
          </w:tcPr>
          <w:p w14:paraId="29C6C026" w14:textId="77777777" w:rsidR="00A4454A" w:rsidRPr="008C1137" w:rsidRDefault="00A4454A" w:rsidP="00390380">
            <w:pPr>
              <w:pStyle w:val="TableBody"/>
            </w:pPr>
            <w:r w:rsidRPr="008C1137">
              <w:t>577</w:t>
            </w:r>
          </w:p>
        </w:tc>
      </w:tr>
      <w:tr w:rsidR="006A0A62" w:rsidRPr="008C1137" w14:paraId="5075F75F" w14:textId="77777777" w:rsidTr="00CF2074">
        <w:trPr>
          <w:trHeight w:val="60"/>
        </w:trPr>
        <w:tc>
          <w:tcPr>
            <w:tcW w:w="700" w:type="pct"/>
          </w:tcPr>
          <w:p w14:paraId="75CD3E99" w14:textId="77777777" w:rsidR="00A4454A" w:rsidRPr="008C1137" w:rsidRDefault="00A4454A" w:rsidP="00390380">
            <w:pPr>
              <w:pStyle w:val="TableBody"/>
            </w:pPr>
            <w:r w:rsidRPr="008C1137">
              <w:t>2013</w:t>
            </w:r>
          </w:p>
        </w:tc>
        <w:tc>
          <w:tcPr>
            <w:tcW w:w="716" w:type="pct"/>
          </w:tcPr>
          <w:p w14:paraId="5DE77A60" w14:textId="77777777" w:rsidR="00A4454A" w:rsidRPr="008C1137" w:rsidRDefault="00A4454A" w:rsidP="00390380">
            <w:pPr>
              <w:pStyle w:val="TableBody"/>
            </w:pPr>
            <w:r w:rsidRPr="008C1137">
              <w:t>1,841</w:t>
            </w:r>
          </w:p>
        </w:tc>
        <w:tc>
          <w:tcPr>
            <w:tcW w:w="717" w:type="pct"/>
          </w:tcPr>
          <w:p w14:paraId="144EAC63" w14:textId="77777777" w:rsidR="00A4454A" w:rsidRPr="008C1137" w:rsidRDefault="00A4454A" w:rsidP="00390380">
            <w:pPr>
              <w:pStyle w:val="TableBody"/>
            </w:pPr>
            <w:r w:rsidRPr="008C1137">
              <w:t>1,813</w:t>
            </w:r>
          </w:p>
        </w:tc>
        <w:tc>
          <w:tcPr>
            <w:tcW w:w="717" w:type="pct"/>
          </w:tcPr>
          <w:p w14:paraId="293820F1" w14:textId="77777777" w:rsidR="00A4454A" w:rsidRPr="008C1137" w:rsidRDefault="00A4454A" w:rsidP="00390380">
            <w:pPr>
              <w:pStyle w:val="TableBody"/>
            </w:pPr>
            <w:r w:rsidRPr="008C1137">
              <w:t>411</w:t>
            </w:r>
          </w:p>
        </w:tc>
        <w:tc>
          <w:tcPr>
            <w:tcW w:w="717" w:type="pct"/>
          </w:tcPr>
          <w:p w14:paraId="69548242" w14:textId="77777777" w:rsidR="00A4454A" w:rsidRPr="008C1137" w:rsidRDefault="00A4454A" w:rsidP="00390380">
            <w:pPr>
              <w:pStyle w:val="TableBody"/>
            </w:pPr>
            <w:r w:rsidRPr="008C1137">
              <w:t>352</w:t>
            </w:r>
          </w:p>
        </w:tc>
        <w:tc>
          <w:tcPr>
            <w:tcW w:w="717" w:type="pct"/>
          </w:tcPr>
          <w:p w14:paraId="6A160D78" w14:textId="77777777" w:rsidR="00A4454A" w:rsidRPr="008C1137" w:rsidRDefault="00A4454A" w:rsidP="00390380">
            <w:pPr>
              <w:pStyle w:val="TableBody"/>
            </w:pPr>
            <w:r w:rsidRPr="008C1137">
              <w:t>291</w:t>
            </w:r>
          </w:p>
        </w:tc>
        <w:tc>
          <w:tcPr>
            <w:tcW w:w="717" w:type="pct"/>
          </w:tcPr>
          <w:p w14:paraId="6B0F9938" w14:textId="77777777" w:rsidR="00A4454A" w:rsidRPr="008C1137" w:rsidRDefault="00A4454A" w:rsidP="00390380">
            <w:pPr>
              <w:pStyle w:val="TableBody"/>
            </w:pPr>
            <w:r w:rsidRPr="008C1137">
              <w:t>591</w:t>
            </w:r>
          </w:p>
        </w:tc>
      </w:tr>
      <w:tr w:rsidR="006A0A62" w:rsidRPr="008C1137" w14:paraId="1C1032A6" w14:textId="77777777" w:rsidTr="00CF2074">
        <w:trPr>
          <w:trHeight w:val="60"/>
        </w:trPr>
        <w:tc>
          <w:tcPr>
            <w:tcW w:w="700" w:type="pct"/>
          </w:tcPr>
          <w:p w14:paraId="589FE56E" w14:textId="77777777" w:rsidR="00A4454A" w:rsidRPr="008C1137" w:rsidRDefault="00A4454A" w:rsidP="00390380">
            <w:pPr>
              <w:pStyle w:val="TableBody"/>
            </w:pPr>
            <w:r w:rsidRPr="008C1137">
              <w:t>2014</w:t>
            </w:r>
          </w:p>
        </w:tc>
        <w:tc>
          <w:tcPr>
            <w:tcW w:w="716" w:type="pct"/>
          </w:tcPr>
          <w:p w14:paraId="093198B6" w14:textId="77777777" w:rsidR="00A4454A" w:rsidRPr="008C1137" w:rsidRDefault="00A4454A" w:rsidP="00390380">
            <w:pPr>
              <w:pStyle w:val="TableBody"/>
            </w:pPr>
            <w:r w:rsidRPr="008C1137">
              <w:t>1,914</w:t>
            </w:r>
          </w:p>
        </w:tc>
        <w:tc>
          <w:tcPr>
            <w:tcW w:w="717" w:type="pct"/>
          </w:tcPr>
          <w:p w14:paraId="4EBC393C" w14:textId="77777777" w:rsidR="00A4454A" w:rsidRPr="008C1137" w:rsidRDefault="00A4454A" w:rsidP="00390380">
            <w:pPr>
              <w:pStyle w:val="TableBody"/>
            </w:pPr>
            <w:r w:rsidRPr="008C1137">
              <w:t>1,879</w:t>
            </w:r>
          </w:p>
        </w:tc>
        <w:tc>
          <w:tcPr>
            <w:tcW w:w="717" w:type="pct"/>
          </w:tcPr>
          <w:p w14:paraId="25EC98B4" w14:textId="77777777" w:rsidR="00A4454A" w:rsidRPr="008C1137" w:rsidRDefault="00A4454A" w:rsidP="00390380">
            <w:pPr>
              <w:pStyle w:val="TableBody"/>
            </w:pPr>
            <w:r w:rsidRPr="008C1137">
              <w:t>474</w:t>
            </w:r>
          </w:p>
        </w:tc>
        <w:tc>
          <w:tcPr>
            <w:tcW w:w="717" w:type="pct"/>
          </w:tcPr>
          <w:p w14:paraId="00AAE612" w14:textId="77777777" w:rsidR="00A4454A" w:rsidRPr="008C1137" w:rsidRDefault="00A4454A" w:rsidP="00390380">
            <w:pPr>
              <w:pStyle w:val="TableBody"/>
            </w:pPr>
            <w:r w:rsidRPr="008C1137">
              <w:t>368</w:t>
            </w:r>
          </w:p>
        </w:tc>
        <w:tc>
          <w:tcPr>
            <w:tcW w:w="717" w:type="pct"/>
          </w:tcPr>
          <w:p w14:paraId="3748E840" w14:textId="77777777" w:rsidR="00A4454A" w:rsidRPr="008C1137" w:rsidRDefault="00A4454A" w:rsidP="00390380">
            <w:pPr>
              <w:pStyle w:val="TableBody"/>
            </w:pPr>
            <w:r w:rsidRPr="008C1137">
              <w:t>337</w:t>
            </w:r>
          </w:p>
        </w:tc>
        <w:tc>
          <w:tcPr>
            <w:tcW w:w="717" w:type="pct"/>
          </w:tcPr>
          <w:p w14:paraId="0302C36F" w14:textId="77777777" w:rsidR="00A4454A" w:rsidRPr="008C1137" w:rsidRDefault="00A4454A" w:rsidP="00390380">
            <w:pPr>
              <w:pStyle w:val="TableBody"/>
            </w:pPr>
            <w:r w:rsidRPr="008C1137">
              <w:t>559</w:t>
            </w:r>
          </w:p>
        </w:tc>
      </w:tr>
      <w:tr w:rsidR="006A0A62" w:rsidRPr="008C1137" w14:paraId="26795D00" w14:textId="77777777" w:rsidTr="00CF2074">
        <w:trPr>
          <w:trHeight w:val="60"/>
        </w:trPr>
        <w:tc>
          <w:tcPr>
            <w:tcW w:w="700" w:type="pct"/>
          </w:tcPr>
          <w:p w14:paraId="3473BC0F" w14:textId="77777777" w:rsidR="00A4454A" w:rsidRPr="008C1137" w:rsidRDefault="00A4454A" w:rsidP="00390380">
            <w:pPr>
              <w:pStyle w:val="TableBody"/>
            </w:pPr>
            <w:r w:rsidRPr="008C1137">
              <w:t>2015</w:t>
            </w:r>
          </w:p>
        </w:tc>
        <w:tc>
          <w:tcPr>
            <w:tcW w:w="716" w:type="pct"/>
          </w:tcPr>
          <w:p w14:paraId="57026D4E" w14:textId="77777777" w:rsidR="00A4454A" w:rsidRPr="008C1137" w:rsidRDefault="00A4454A" w:rsidP="00390380">
            <w:pPr>
              <w:pStyle w:val="TableBody"/>
            </w:pPr>
            <w:r w:rsidRPr="008C1137">
              <w:t>2,142</w:t>
            </w:r>
          </w:p>
        </w:tc>
        <w:tc>
          <w:tcPr>
            <w:tcW w:w="717" w:type="pct"/>
          </w:tcPr>
          <w:p w14:paraId="13282BB8" w14:textId="77777777" w:rsidR="00A4454A" w:rsidRPr="008C1137" w:rsidRDefault="00A4454A" w:rsidP="00390380">
            <w:pPr>
              <w:pStyle w:val="TableBody"/>
            </w:pPr>
            <w:r w:rsidRPr="008C1137">
              <w:t>1,841</w:t>
            </w:r>
          </w:p>
        </w:tc>
        <w:tc>
          <w:tcPr>
            <w:tcW w:w="717" w:type="pct"/>
          </w:tcPr>
          <w:p w14:paraId="0721F848" w14:textId="77777777" w:rsidR="00A4454A" w:rsidRPr="008C1137" w:rsidRDefault="00A4454A" w:rsidP="00390380">
            <w:pPr>
              <w:pStyle w:val="TableBody"/>
            </w:pPr>
            <w:r w:rsidRPr="008C1137">
              <w:t>536</w:t>
            </w:r>
          </w:p>
        </w:tc>
        <w:tc>
          <w:tcPr>
            <w:tcW w:w="717" w:type="pct"/>
          </w:tcPr>
          <w:p w14:paraId="3D3E8BBE" w14:textId="77777777" w:rsidR="00A4454A" w:rsidRPr="008C1137" w:rsidRDefault="00A4454A" w:rsidP="00390380">
            <w:pPr>
              <w:pStyle w:val="TableBody"/>
            </w:pPr>
            <w:r w:rsidRPr="008C1137">
              <w:t>434</w:t>
            </w:r>
          </w:p>
        </w:tc>
        <w:tc>
          <w:tcPr>
            <w:tcW w:w="717" w:type="pct"/>
          </w:tcPr>
          <w:p w14:paraId="2383CA99" w14:textId="77777777" w:rsidR="00A4454A" w:rsidRPr="008C1137" w:rsidRDefault="00A4454A" w:rsidP="00390380">
            <w:pPr>
              <w:pStyle w:val="TableBody"/>
            </w:pPr>
            <w:r w:rsidRPr="008C1137">
              <w:t>510</w:t>
            </w:r>
          </w:p>
        </w:tc>
        <w:tc>
          <w:tcPr>
            <w:tcW w:w="717" w:type="pct"/>
          </w:tcPr>
          <w:p w14:paraId="12000981" w14:textId="77777777" w:rsidR="00A4454A" w:rsidRPr="008C1137" w:rsidRDefault="00A4454A" w:rsidP="00390380">
            <w:pPr>
              <w:pStyle w:val="TableBody"/>
            </w:pPr>
            <w:r w:rsidRPr="008C1137">
              <w:t>530</w:t>
            </w:r>
          </w:p>
        </w:tc>
      </w:tr>
      <w:tr w:rsidR="006A0A62" w:rsidRPr="008C1137" w14:paraId="49AC6BF6" w14:textId="77777777" w:rsidTr="00CF2074">
        <w:trPr>
          <w:trHeight w:val="60"/>
        </w:trPr>
        <w:tc>
          <w:tcPr>
            <w:tcW w:w="700" w:type="pct"/>
          </w:tcPr>
          <w:p w14:paraId="18F19940" w14:textId="77777777" w:rsidR="00A4454A" w:rsidRPr="008C1137" w:rsidRDefault="00A4454A" w:rsidP="00390380">
            <w:pPr>
              <w:pStyle w:val="TableBody"/>
            </w:pPr>
            <w:r w:rsidRPr="008C1137">
              <w:t>2016</w:t>
            </w:r>
          </w:p>
        </w:tc>
        <w:tc>
          <w:tcPr>
            <w:tcW w:w="716" w:type="pct"/>
          </w:tcPr>
          <w:p w14:paraId="0790F456" w14:textId="77777777" w:rsidR="00A4454A" w:rsidRPr="008C1137" w:rsidRDefault="00A4454A" w:rsidP="00390380">
            <w:pPr>
              <w:pStyle w:val="TableBody"/>
            </w:pPr>
            <w:r w:rsidRPr="008C1137">
              <w:t>2,579</w:t>
            </w:r>
          </w:p>
        </w:tc>
        <w:tc>
          <w:tcPr>
            <w:tcW w:w="717" w:type="pct"/>
          </w:tcPr>
          <w:p w14:paraId="5EFA30AD" w14:textId="77777777" w:rsidR="00A4454A" w:rsidRPr="008C1137" w:rsidRDefault="00A4454A" w:rsidP="00390380">
            <w:pPr>
              <w:pStyle w:val="TableBody"/>
            </w:pPr>
            <w:r w:rsidRPr="008C1137">
              <w:t>2,102</w:t>
            </w:r>
          </w:p>
        </w:tc>
        <w:tc>
          <w:tcPr>
            <w:tcW w:w="717" w:type="pct"/>
          </w:tcPr>
          <w:p w14:paraId="3F2A47D8" w14:textId="77777777" w:rsidR="00A4454A" w:rsidRPr="008C1137" w:rsidRDefault="00A4454A" w:rsidP="00390380">
            <w:pPr>
              <w:pStyle w:val="TableBody"/>
            </w:pPr>
            <w:r w:rsidRPr="008C1137">
              <w:t>645</w:t>
            </w:r>
          </w:p>
        </w:tc>
        <w:tc>
          <w:tcPr>
            <w:tcW w:w="717" w:type="pct"/>
          </w:tcPr>
          <w:p w14:paraId="541311FE" w14:textId="77777777" w:rsidR="00A4454A" w:rsidRPr="008C1137" w:rsidRDefault="00A4454A" w:rsidP="00390380">
            <w:pPr>
              <w:pStyle w:val="TableBody"/>
            </w:pPr>
            <w:r w:rsidRPr="008C1137">
              <w:t>524</w:t>
            </w:r>
          </w:p>
        </w:tc>
        <w:tc>
          <w:tcPr>
            <w:tcW w:w="717" w:type="pct"/>
          </w:tcPr>
          <w:p w14:paraId="7AA62605" w14:textId="77777777" w:rsidR="00A4454A" w:rsidRPr="008C1137" w:rsidRDefault="00A4454A" w:rsidP="00390380">
            <w:pPr>
              <w:pStyle w:val="TableBody"/>
            </w:pPr>
            <w:r w:rsidRPr="008C1137">
              <w:t>629</w:t>
            </w:r>
          </w:p>
        </w:tc>
        <w:tc>
          <w:tcPr>
            <w:tcW w:w="717" w:type="pct"/>
          </w:tcPr>
          <w:p w14:paraId="530D8B78" w14:textId="77777777" w:rsidR="00A4454A" w:rsidRPr="008C1137" w:rsidRDefault="00A4454A" w:rsidP="00390380">
            <w:pPr>
              <w:pStyle w:val="TableBody"/>
            </w:pPr>
            <w:r w:rsidRPr="008C1137">
              <w:t>442</w:t>
            </w:r>
          </w:p>
        </w:tc>
      </w:tr>
      <w:tr w:rsidR="006A0A62" w:rsidRPr="008C1137" w14:paraId="2098A5A9" w14:textId="77777777" w:rsidTr="00CF2074">
        <w:trPr>
          <w:trHeight w:val="60"/>
        </w:trPr>
        <w:tc>
          <w:tcPr>
            <w:tcW w:w="700" w:type="pct"/>
          </w:tcPr>
          <w:p w14:paraId="76B68F62" w14:textId="77777777" w:rsidR="00A4454A" w:rsidRPr="008C1137" w:rsidRDefault="00A4454A" w:rsidP="00390380">
            <w:pPr>
              <w:pStyle w:val="TableBody"/>
            </w:pPr>
            <w:r w:rsidRPr="008C1137">
              <w:t>2017</w:t>
            </w:r>
          </w:p>
        </w:tc>
        <w:tc>
          <w:tcPr>
            <w:tcW w:w="716" w:type="pct"/>
          </w:tcPr>
          <w:p w14:paraId="54A7ACB2" w14:textId="77777777" w:rsidR="00A4454A" w:rsidRPr="008C1137" w:rsidRDefault="00A4454A" w:rsidP="00390380">
            <w:pPr>
              <w:pStyle w:val="TableBody"/>
            </w:pPr>
            <w:r w:rsidRPr="008C1137">
              <w:t>3,188</w:t>
            </w:r>
          </w:p>
        </w:tc>
        <w:tc>
          <w:tcPr>
            <w:tcW w:w="717" w:type="pct"/>
          </w:tcPr>
          <w:p w14:paraId="3F98F983" w14:textId="77777777" w:rsidR="00A4454A" w:rsidRPr="008C1137" w:rsidRDefault="00A4454A" w:rsidP="00390380">
            <w:pPr>
              <w:pStyle w:val="TableBody"/>
            </w:pPr>
            <w:r w:rsidRPr="008C1137">
              <w:t>2,265</w:t>
            </w:r>
          </w:p>
        </w:tc>
        <w:tc>
          <w:tcPr>
            <w:tcW w:w="717" w:type="pct"/>
          </w:tcPr>
          <w:p w14:paraId="6AA8F00D" w14:textId="77777777" w:rsidR="00A4454A" w:rsidRPr="008C1137" w:rsidRDefault="00A4454A" w:rsidP="00390380">
            <w:pPr>
              <w:pStyle w:val="TableBody"/>
            </w:pPr>
            <w:r w:rsidRPr="008C1137">
              <w:t>650</w:t>
            </w:r>
          </w:p>
        </w:tc>
        <w:tc>
          <w:tcPr>
            <w:tcW w:w="717" w:type="pct"/>
          </w:tcPr>
          <w:p w14:paraId="6E0E1E47" w14:textId="77777777" w:rsidR="00A4454A" w:rsidRPr="008C1137" w:rsidRDefault="00A4454A" w:rsidP="00390380">
            <w:pPr>
              <w:pStyle w:val="TableBody"/>
            </w:pPr>
            <w:r w:rsidRPr="008C1137">
              <w:t>616</w:t>
            </w:r>
          </w:p>
        </w:tc>
        <w:tc>
          <w:tcPr>
            <w:tcW w:w="717" w:type="pct"/>
          </w:tcPr>
          <w:p w14:paraId="2EAC77CA" w14:textId="77777777" w:rsidR="00A4454A" w:rsidRPr="008C1137" w:rsidRDefault="00A4454A" w:rsidP="00390380">
            <w:pPr>
              <w:pStyle w:val="TableBody"/>
            </w:pPr>
            <w:r w:rsidRPr="008C1137">
              <w:t>744</w:t>
            </w:r>
          </w:p>
        </w:tc>
        <w:tc>
          <w:tcPr>
            <w:tcW w:w="717" w:type="pct"/>
          </w:tcPr>
          <w:p w14:paraId="297C4CBD" w14:textId="77777777" w:rsidR="00A4454A" w:rsidRPr="008C1137" w:rsidRDefault="00A4454A" w:rsidP="00390380">
            <w:pPr>
              <w:pStyle w:val="TableBody"/>
            </w:pPr>
            <w:r w:rsidRPr="008C1137">
              <w:t>355</w:t>
            </w:r>
          </w:p>
        </w:tc>
      </w:tr>
      <w:tr w:rsidR="006A0A62" w:rsidRPr="008C1137" w14:paraId="3955F5D4" w14:textId="77777777" w:rsidTr="00CF2074">
        <w:trPr>
          <w:trHeight w:val="60"/>
        </w:trPr>
        <w:tc>
          <w:tcPr>
            <w:tcW w:w="700" w:type="pct"/>
          </w:tcPr>
          <w:p w14:paraId="1B180450" w14:textId="77777777" w:rsidR="00A4454A" w:rsidRPr="008C1137" w:rsidRDefault="00A4454A" w:rsidP="00390380">
            <w:pPr>
              <w:pStyle w:val="TableBody"/>
            </w:pPr>
            <w:r w:rsidRPr="008C1137">
              <w:t>2018</w:t>
            </w:r>
          </w:p>
        </w:tc>
        <w:tc>
          <w:tcPr>
            <w:tcW w:w="716" w:type="pct"/>
          </w:tcPr>
          <w:p w14:paraId="036A2238" w14:textId="77777777" w:rsidR="00A4454A" w:rsidRPr="008C1137" w:rsidRDefault="00A4454A" w:rsidP="00390380">
            <w:pPr>
              <w:pStyle w:val="TableBody"/>
            </w:pPr>
            <w:r w:rsidRPr="008C1137">
              <w:t>3,275</w:t>
            </w:r>
          </w:p>
        </w:tc>
        <w:tc>
          <w:tcPr>
            <w:tcW w:w="717" w:type="pct"/>
          </w:tcPr>
          <w:p w14:paraId="19AF77D1" w14:textId="77777777" w:rsidR="00A4454A" w:rsidRPr="008C1137" w:rsidRDefault="00A4454A" w:rsidP="00390380">
            <w:pPr>
              <w:pStyle w:val="TableBody"/>
            </w:pPr>
            <w:r w:rsidRPr="008C1137">
              <w:t>2,422</w:t>
            </w:r>
          </w:p>
        </w:tc>
        <w:tc>
          <w:tcPr>
            <w:tcW w:w="717" w:type="pct"/>
          </w:tcPr>
          <w:p w14:paraId="7B944C9D" w14:textId="77777777" w:rsidR="00A4454A" w:rsidRPr="008C1137" w:rsidRDefault="00A4454A" w:rsidP="00390380">
            <w:pPr>
              <w:pStyle w:val="TableBody"/>
            </w:pPr>
            <w:r w:rsidRPr="008C1137">
              <w:t>590</w:t>
            </w:r>
          </w:p>
        </w:tc>
        <w:tc>
          <w:tcPr>
            <w:tcW w:w="717" w:type="pct"/>
          </w:tcPr>
          <w:p w14:paraId="034C0C04" w14:textId="77777777" w:rsidR="00A4454A" w:rsidRPr="008C1137" w:rsidRDefault="00A4454A" w:rsidP="00390380">
            <w:pPr>
              <w:pStyle w:val="TableBody"/>
            </w:pPr>
            <w:r w:rsidRPr="008C1137">
              <w:t>679</w:t>
            </w:r>
          </w:p>
        </w:tc>
        <w:tc>
          <w:tcPr>
            <w:tcW w:w="717" w:type="pct"/>
          </w:tcPr>
          <w:p w14:paraId="17759500" w14:textId="77777777" w:rsidR="00A4454A" w:rsidRPr="008C1137" w:rsidRDefault="00A4454A" w:rsidP="00390380">
            <w:pPr>
              <w:pStyle w:val="TableBody"/>
            </w:pPr>
            <w:r w:rsidRPr="008C1137">
              <w:t>792</w:t>
            </w:r>
          </w:p>
        </w:tc>
        <w:tc>
          <w:tcPr>
            <w:tcW w:w="717" w:type="pct"/>
          </w:tcPr>
          <w:p w14:paraId="14E1E68A" w14:textId="77777777" w:rsidR="00A4454A" w:rsidRPr="008C1137" w:rsidRDefault="00A4454A" w:rsidP="00390380">
            <w:pPr>
              <w:pStyle w:val="TableBody"/>
            </w:pPr>
            <w:r w:rsidRPr="008C1137">
              <w:t>375</w:t>
            </w:r>
          </w:p>
        </w:tc>
      </w:tr>
      <w:tr w:rsidR="006A0A62" w:rsidRPr="008C1137" w14:paraId="1D3AF6E7" w14:textId="77777777" w:rsidTr="00CF2074">
        <w:trPr>
          <w:trHeight w:val="60"/>
        </w:trPr>
        <w:tc>
          <w:tcPr>
            <w:tcW w:w="700" w:type="pct"/>
          </w:tcPr>
          <w:p w14:paraId="31C49A9C" w14:textId="77777777" w:rsidR="00A4454A" w:rsidRPr="008C1137" w:rsidRDefault="00A4454A" w:rsidP="00390380">
            <w:pPr>
              <w:pStyle w:val="TableBody"/>
            </w:pPr>
            <w:r w:rsidRPr="008C1137">
              <w:t>2019</w:t>
            </w:r>
          </w:p>
        </w:tc>
        <w:tc>
          <w:tcPr>
            <w:tcW w:w="716" w:type="pct"/>
          </w:tcPr>
          <w:p w14:paraId="5E6C2F48" w14:textId="77777777" w:rsidR="00A4454A" w:rsidRPr="008C1137" w:rsidRDefault="00A4454A" w:rsidP="00390380">
            <w:pPr>
              <w:pStyle w:val="TableBody"/>
            </w:pPr>
            <w:r w:rsidRPr="008C1137">
              <w:t>3,750</w:t>
            </w:r>
          </w:p>
        </w:tc>
        <w:tc>
          <w:tcPr>
            <w:tcW w:w="717" w:type="pct"/>
          </w:tcPr>
          <w:p w14:paraId="775ECA79" w14:textId="77777777" w:rsidR="00A4454A" w:rsidRPr="008C1137" w:rsidRDefault="00A4454A" w:rsidP="00390380">
            <w:pPr>
              <w:pStyle w:val="TableBody"/>
            </w:pPr>
            <w:r w:rsidRPr="008C1137">
              <w:t>3,010</w:t>
            </w:r>
          </w:p>
        </w:tc>
        <w:tc>
          <w:tcPr>
            <w:tcW w:w="717" w:type="pct"/>
          </w:tcPr>
          <w:p w14:paraId="0A8A84B0" w14:textId="77777777" w:rsidR="00A4454A" w:rsidRPr="008C1137" w:rsidRDefault="00A4454A" w:rsidP="00390380">
            <w:pPr>
              <w:pStyle w:val="TableBody"/>
            </w:pPr>
            <w:r w:rsidRPr="008C1137">
              <w:t>771</w:t>
            </w:r>
          </w:p>
        </w:tc>
        <w:tc>
          <w:tcPr>
            <w:tcW w:w="717" w:type="pct"/>
          </w:tcPr>
          <w:p w14:paraId="7F1109CF" w14:textId="77777777" w:rsidR="00A4454A" w:rsidRPr="008C1137" w:rsidRDefault="00A4454A" w:rsidP="00390380">
            <w:pPr>
              <w:pStyle w:val="TableBody"/>
            </w:pPr>
            <w:r w:rsidRPr="008C1137">
              <w:t>886</w:t>
            </w:r>
          </w:p>
        </w:tc>
        <w:tc>
          <w:tcPr>
            <w:tcW w:w="717" w:type="pct"/>
          </w:tcPr>
          <w:p w14:paraId="4BB23B0A" w14:textId="77777777" w:rsidR="00A4454A" w:rsidRPr="008C1137" w:rsidRDefault="00A4454A" w:rsidP="00390380">
            <w:pPr>
              <w:pStyle w:val="TableBody"/>
            </w:pPr>
            <w:r w:rsidRPr="008C1137">
              <w:t>992</w:t>
            </w:r>
          </w:p>
        </w:tc>
        <w:tc>
          <w:tcPr>
            <w:tcW w:w="717" w:type="pct"/>
          </w:tcPr>
          <w:p w14:paraId="0F8FDDC1" w14:textId="77777777" w:rsidR="00A4454A" w:rsidRPr="008C1137" w:rsidRDefault="00A4454A" w:rsidP="00390380">
            <w:pPr>
              <w:pStyle w:val="TableBody"/>
            </w:pPr>
            <w:r w:rsidRPr="008C1137">
              <w:t>314</w:t>
            </w:r>
          </w:p>
        </w:tc>
      </w:tr>
      <w:tr w:rsidR="006A0A62" w:rsidRPr="008C1137" w14:paraId="5724E6C6" w14:textId="77777777" w:rsidTr="00CF2074">
        <w:trPr>
          <w:trHeight w:val="60"/>
        </w:trPr>
        <w:tc>
          <w:tcPr>
            <w:tcW w:w="700" w:type="pct"/>
          </w:tcPr>
          <w:p w14:paraId="7A1EC1D3" w14:textId="77777777" w:rsidR="00A4454A" w:rsidRPr="008C1137" w:rsidRDefault="00A4454A" w:rsidP="00390380">
            <w:pPr>
              <w:pStyle w:val="TableBody"/>
            </w:pPr>
            <w:r w:rsidRPr="008C1137">
              <w:t>2020</w:t>
            </w:r>
          </w:p>
        </w:tc>
        <w:tc>
          <w:tcPr>
            <w:tcW w:w="716" w:type="pct"/>
          </w:tcPr>
          <w:p w14:paraId="08FEA78E" w14:textId="77777777" w:rsidR="00A4454A" w:rsidRPr="008C1137" w:rsidRDefault="00A4454A" w:rsidP="00390380">
            <w:pPr>
              <w:pStyle w:val="TableBody"/>
            </w:pPr>
            <w:r w:rsidRPr="008C1137">
              <w:t>3,617</w:t>
            </w:r>
          </w:p>
        </w:tc>
        <w:tc>
          <w:tcPr>
            <w:tcW w:w="717" w:type="pct"/>
          </w:tcPr>
          <w:p w14:paraId="2C6E9547" w14:textId="77777777" w:rsidR="00A4454A" w:rsidRPr="008C1137" w:rsidRDefault="00A4454A" w:rsidP="00390380">
            <w:pPr>
              <w:pStyle w:val="TableBody"/>
            </w:pPr>
            <w:r w:rsidRPr="008C1137">
              <w:t>3,009</w:t>
            </w:r>
          </w:p>
        </w:tc>
        <w:tc>
          <w:tcPr>
            <w:tcW w:w="717" w:type="pct"/>
          </w:tcPr>
          <w:p w14:paraId="2961A274" w14:textId="77777777" w:rsidR="00A4454A" w:rsidRPr="008C1137" w:rsidRDefault="00A4454A" w:rsidP="00390380">
            <w:pPr>
              <w:pStyle w:val="TableBody"/>
            </w:pPr>
            <w:r w:rsidRPr="008C1137">
              <w:t>747</w:t>
            </w:r>
          </w:p>
        </w:tc>
        <w:tc>
          <w:tcPr>
            <w:tcW w:w="717" w:type="pct"/>
          </w:tcPr>
          <w:p w14:paraId="21A217EE" w14:textId="77777777" w:rsidR="00A4454A" w:rsidRPr="008C1137" w:rsidRDefault="00A4454A" w:rsidP="00390380">
            <w:pPr>
              <w:pStyle w:val="TableBody"/>
            </w:pPr>
            <w:r w:rsidRPr="008C1137">
              <w:t>882</w:t>
            </w:r>
          </w:p>
        </w:tc>
        <w:tc>
          <w:tcPr>
            <w:tcW w:w="717" w:type="pct"/>
          </w:tcPr>
          <w:p w14:paraId="627CCC7E" w14:textId="77777777" w:rsidR="00A4454A" w:rsidRPr="008C1137" w:rsidRDefault="00A4454A" w:rsidP="00390380">
            <w:pPr>
              <w:pStyle w:val="TableBody"/>
            </w:pPr>
            <w:r w:rsidRPr="008C1137">
              <w:t>990</w:t>
            </w:r>
          </w:p>
        </w:tc>
        <w:tc>
          <w:tcPr>
            <w:tcW w:w="717" w:type="pct"/>
          </w:tcPr>
          <w:p w14:paraId="68BDDF1A" w14:textId="77777777" w:rsidR="00A4454A" w:rsidRPr="008C1137" w:rsidRDefault="00A4454A" w:rsidP="00390380">
            <w:pPr>
              <w:pStyle w:val="TableBody"/>
            </w:pPr>
            <w:r w:rsidRPr="008C1137">
              <w:t>234</w:t>
            </w:r>
          </w:p>
        </w:tc>
      </w:tr>
      <w:tr w:rsidR="006A0A62" w:rsidRPr="008C1137" w14:paraId="69771DC4" w14:textId="77777777" w:rsidTr="00CF2074">
        <w:trPr>
          <w:trHeight w:val="60"/>
        </w:trPr>
        <w:tc>
          <w:tcPr>
            <w:tcW w:w="700" w:type="pct"/>
          </w:tcPr>
          <w:p w14:paraId="3DB61D36" w14:textId="77777777" w:rsidR="00A4454A" w:rsidRPr="008C1137" w:rsidRDefault="00A4454A" w:rsidP="00390380">
            <w:pPr>
              <w:pStyle w:val="TableBody"/>
            </w:pPr>
            <w:r w:rsidRPr="008C1137">
              <w:t>2021</w:t>
            </w:r>
          </w:p>
        </w:tc>
        <w:tc>
          <w:tcPr>
            <w:tcW w:w="716" w:type="pct"/>
          </w:tcPr>
          <w:p w14:paraId="0E8B6DF2" w14:textId="77777777" w:rsidR="00A4454A" w:rsidRPr="008C1137" w:rsidRDefault="00A4454A" w:rsidP="00390380">
            <w:pPr>
              <w:pStyle w:val="TableBody"/>
            </w:pPr>
            <w:r w:rsidRPr="008C1137">
              <w:t>3,126</w:t>
            </w:r>
          </w:p>
        </w:tc>
        <w:tc>
          <w:tcPr>
            <w:tcW w:w="717" w:type="pct"/>
          </w:tcPr>
          <w:p w14:paraId="1605A1C7" w14:textId="77777777" w:rsidR="00A4454A" w:rsidRPr="008C1137" w:rsidRDefault="00A4454A" w:rsidP="00390380">
            <w:pPr>
              <w:pStyle w:val="TableBody"/>
            </w:pPr>
            <w:r w:rsidRPr="008C1137">
              <w:t>2,355</w:t>
            </w:r>
          </w:p>
        </w:tc>
        <w:tc>
          <w:tcPr>
            <w:tcW w:w="717" w:type="pct"/>
          </w:tcPr>
          <w:p w14:paraId="711BFFFE" w14:textId="77777777" w:rsidR="00A4454A" w:rsidRPr="008C1137" w:rsidRDefault="00A4454A" w:rsidP="00390380">
            <w:pPr>
              <w:pStyle w:val="TableBody"/>
            </w:pPr>
            <w:r w:rsidRPr="008C1137">
              <w:t>670</w:t>
            </w:r>
          </w:p>
        </w:tc>
        <w:tc>
          <w:tcPr>
            <w:tcW w:w="717" w:type="pct"/>
          </w:tcPr>
          <w:p w14:paraId="5A38B606" w14:textId="77777777" w:rsidR="00A4454A" w:rsidRPr="008C1137" w:rsidRDefault="00A4454A" w:rsidP="00390380">
            <w:pPr>
              <w:pStyle w:val="TableBody"/>
            </w:pPr>
            <w:r w:rsidRPr="008C1137">
              <w:t>731</w:t>
            </w:r>
          </w:p>
        </w:tc>
        <w:tc>
          <w:tcPr>
            <w:tcW w:w="717" w:type="pct"/>
          </w:tcPr>
          <w:p w14:paraId="4CABDCAB" w14:textId="77777777" w:rsidR="00A4454A" w:rsidRPr="008C1137" w:rsidRDefault="00A4454A" w:rsidP="00390380">
            <w:pPr>
              <w:pStyle w:val="TableBody"/>
            </w:pPr>
            <w:r w:rsidRPr="008C1137">
              <w:t>949</w:t>
            </w:r>
          </w:p>
        </w:tc>
        <w:tc>
          <w:tcPr>
            <w:tcW w:w="717" w:type="pct"/>
          </w:tcPr>
          <w:p w14:paraId="783D79D0" w14:textId="77777777" w:rsidR="00A4454A" w:rsidRPr="008C1137" w:rsidRDefault="00A4454A" w:rsidP="00390380">
            <w:pPr>
              <w:pStyle w:val="TableBody"/>
            </w:pPr>
            <w:r w:rsidRPr="008C1137">
              <w:t>132</w:t>
            </w:r>
          </w:p>
        </w:tc>
      </w:tr>
      <w:tr w:rsidR="006A0A62" w:rsidRPr="008C1137" w14:paraId="5091EE97" w14:textId="77777777" w:rsidTr="00CF2074">
        <w:trPr>
          <w:trHeight w:val="60"/>
        </w:trPr>
        <w:tc>
          <w:tcPr>
            <w:tcW w:w="700" w:type="pct"/>
          </w:tcPr>
          <w:p w14:paraId="19BDD620" w14:textId="77777777" w:rsidR="00A4454A" w:rsidRPr="008C1137" w:rsidRDefault="00A4454A" w:rsidP="00390380">
            <w:pPr>
              <w:pStyle w:val="TableBody"/>
            </w:pPr>
            <w:r w:rsidRPr="008C1137">
              <w:t>2022</w:t>
            </w:r>
          </w:p>
        </w:tc>
        <w:tc>
          <w:tcPr>
            <w:tcW w:w="716" w:type="pct"/>
          </w:tcPr>
          <w:p w14:paraId="22CC4F03" w14:textId="77777777" w:rsidR="00A4454A" w:rsidRPr="008C1137" w:rsidRDefault="00A4454A" w:rsidP="00390380">
            <w:pPr>
              <w:pStyle w:val="TableBody"/>
            </w:pPr>
            <w:r w:rsidRPr="008C1137">
              <w:t>3,393</w:t>
            </w:r>
          </w:p>
        </w:tc>
        <w:tc>
          <w:tcPr>
            <w:tcW w:w="717" w:type="pct"/>
          </w:tcPr>
          <w:p w14:paraId="12FFE136" w14:textId="77777777" w:rsidR="00A4454A" w:rsidRPr="008C1137" w:rsidRDefault="00A4454A" w:rsidP="00390380">
            <w:pPr>
              <w:pStyle w:val="TableBody"/>
            </w:pPr>
            <w:r w:rsidRPr="008C1137">
              <w:t>2,012</w:t>
            </w:r>
          </w:p>
        </w:tc>
        <w:tc>
          <w:tcPr>
            <w:tcW w:w="717" w:type="pct"/>
          </w:tcPr>
          <w:p w14:paraId="7D6F9427" w14:textId="77777777" w:rsidR="00A4454A" w:rsidRPr="008C1137" w:rsidRDefault="00A4454A" w:rsidP="00390380">
            <w:pPr>
              <w:pStyle w:val="TableBody"/>
            </w:pPr>
            <w:r w:rsidRPr="008C1137">
              <w:t>558</w:t>
            </w:r>
          </w:p>
        </w:tc>
        <w:tc>
          <w:tcPr>
            <w:tcW w:w="717" w:type="pct"/>
          </w:tcPr>
          <w:p w14:paraId="3C939D92" w14:textId="77777777" w:rsidR="00A4454A" w:rsidRPr="008C1137" w:rsidRDefault="00A4454A" w:rsidP="00390380">
            <w:pPr>
              <w:pStyle w:val="TableBody"/>
            </w:pPr>
            <w:r w:rsidRPr="008C1137">
              <w:t>615</w:t>
            </w:r>
          </w:p>
        </w:tc>
        <w:tc>
          <w:tcPr>
            <w:tcW w:w="717" w:type="pct"/>
          </w:tcPr>
          <w:p w14:paraId="0610B831" w14:textId="77777777" w:rsidR="00A4454A" w:rsidRPr="008C1137" w:rsidRDefault="00A4454A" w:rsidP="00390380">
            <w:pPr>
              <w:pStyle w:val="TableBody"/>
            </w:pPr>
            <w:r w:rsidRPr="008C1137">
              <w:t>786</w:t>
            </w:r>
          </w:p>
        </w:tc>
        <w:tc>
          <w:tcPr>
            <w:tcW w:w="717" w:type="pct"/>
          </w:tcPr>
          <w:p w14:paraId="4A76F496" w14:textId="77777777" w:rsidR="00A4454A" w:rsidRPr="008C1137" w:rsidRDefault="00A4454A" w:rsidP="00390380">
            <w:pPr>
              <w:pStyle w:val="TableBody"/>
            </w:pPr>
            <w:r w:rsidRPr="008C1137">
              <w:t>131</w:t>
            </w:r>
          </w:p>
        </w:tc>
      </w:tr>
      <w:tr w:rsidR="006A0A62" w:rsidRPr="008C1137" w14:paraId="7652B241" w14:textId="77777777" w:rsidTr="00CF2074">
        <w:trPr>
          <w:trHeight w:val="60"/>
        </w:trPr>
        <w:tc>
          <w:tcPr>
            <w:tcW w:w="700" w:type="pct"/>
          </w:tcPr>
          <w:p w14:paraId="097AF75E" w14:textId="77777777" w:rsidR="00A4454A" w:rsidRPr="008C1137" w:rsidRDefault="00A4454A" w:rsidP="00390380">
            <w:pPr>
              <w:pStyle w:val="TableBody"/>
            </w:pPr>
            <w:r w:rsidRPr="008C1137">
              <w:t>2023</w:t>
            </w:r>
          </w:p>
        </w:tc>
        <w:tc>
          <w:tcPr>
            <w:tcW w:w="716" w:type="pct"/>
          </w:tcPr>
          <w:p w14:paraId="4D7082D3" w14:textId="77777777" w:rsidR="00A4454A" w:rsidRPr="008C1137" w:rsidRDefault="00A4454A" w:rsidP="00390380">
            <w:pPr>
              <w:pStyle w:val="TableBody"/>
            </w:pPr>
            <w:r w:rsidRPr="008C1137">
              <w:t>3,263</w:t>
            </w:r>
          </w:p>
        </w:tc>
        <w:tc>
          <w:tcPr>
            <w:tcW w:w="717" w:type="pct"/>
          </w:tcPr>
          <w:p w14:paraId="7057C2E6" w14:textId="77777777" w:rsidR="00A4454A" w:rsidRPr="008C1137" w:rsidRDefault="00A4454A" w:rsidP="00390380">
            <w:pPr>
              <w:pStyle w:val="TableBody"/>
            </w:pPr>
            <w:r w:rsidRPr="008C1137">
              <w:t>2,154</w:t>
            </w:r>
          </w:p>
        </w:tc>
        <w:tc>
          <w:tcPr>
            <w:tcW w:w="717" w:type="pct"/>
          </w:tcPr>
          <w:p w14:paraId="71DCE11F" w14:textId="77777777" w:rsidR="00A4454A" w:rsidRPr="008C1137" w:rsidRDefault="00A4454A" w:rsidP="00390380">
            <w:pPr>
              <w:pStyle w:val="TableBody"/>
            </w:pPr>
            <w:r w:rsidRPr="008C1137">
              <w:t>452</w:t>
            </w:r>
          </w:p>
        </w:tc>
        <w:tc>
          <w:tcPr>
            <w:tcW w:w="717" w:type="pct"/>
          </w:tcPr>
          <w:p w14:paraId="41B54DEF" w14:textId="77777777" w:rsidR="00A4454A" w:rsidRPr="008C1137" w:rsidRDefault="00A4454A" w:rsidP="00390380">
            <w:pPr>
              <w:pStyle w:val="TableBody"/>
            </w:pPr>
            <w:r w:rsidRPr="008C1137">
              <w:t>675</w:t>
            </w:r>
          </w:p>
        </w:tc>
        <w:tc>
          <w:tcPr>
            <w:tcW w:w="717" w:type="pct"/>
          </w:tcPr>
          <w:p w14:paraId="637BA469" w14:textId="77777777" w:rsidR="00A4454A" w:rsidRPr="008C1137" w:rsidRDefault="00A4454A" w:rsidP="00390380">
            <w:pPr>
              <w:pStyle w:val="TableBody"/>
            </w:pPr>
            <w:r w:rsidRPr="008C1137">
              <w:t>773</w:t>
            </w:r>
          </w:p>
        </w:tc>
        <w:tc>
          <w:tcPr>
            <w:tcW w:w="717" w:type="pct"/>
          </w:tcPr>
          <w:p w14:paraId="195F4124" w14:textId="77777777" w:rsidR="00A4454A" w:rsidRPr="008C1137" w:rsidRDefault="00A4454A" w:rsidP="00390380">
            <w:pPr>
              <w:pStyle w:val="TableBody"/>
            </w:pPr>
            <w:r w:rsidRPr="008C1137">
              <w:t>126</w:t>
            </w:r>
          </w:p>
        </w:tc>
      </w:tr>
      <w:tr w:rsidR="006A0A62" w:rsidRPr="008C1137" w14:paraId="3E8D8C6F" w14:textId="77777777" w:rsidTr="00CF2074">
        <w:trPr>
          <w:trHeight w:val="60"/>
        </w:trPr>
        <w:tc>
          <w:tcPr>
            <w:tcW w:w="700" w:type="pct"/>
          </w:tcPr>
          <w:p w14:paraId="5D8D5FF2" w14:textId="77777777" w:rsidR="00A4454A" w:rsidRPr="008C1137" w:rsidRDefault="00A4454A" w:rsidP="00390380">
            <w:pPr>
              <w:pStyle w:val="TableBody"/>
            </w:pPr>
            <w:r w:rsidRPr="008C1137">
              <w:t>2024</w:t>
            </w:r>
          </w:p>
        </w:tc>
        <w:tc>
          <w:tcPr>
            <w:tcW w:w="716" w:type="pct"/>
          </w:tcPr>
          <w:p w14:paraId="13A6BC54" w14:textId="77777777" w:rsidR="00A4454A" w:rsidRPr="008C1137" w:rsidRDefault="00A4454A" w:rsidP="00390380">
            <w:pPr>
              <w:pStyle w:val="TableBody"/>
            </w:pPr>
            <w:r w:rsidRPr="008C1137">
              <w:t>2,756</w:t>
            </w:r>
          </w:p>
        </w:tc>
        <w:tc>
          <w:tcPr>
            <w:tcW w:w="717" w:type="pct"/>
          </w:tcPr>
          <w:p w14:paraId="7E93AE31" w14:textId="77777777" w:rsidR="00A4454A" w:rsidRPr="008C1137" w:rsidRDefault="00A4454A" w:rsidP="00390380">
            <w:pPr>
              <w:pStyle w:val="TableBody"/>
            </w:pPr>
            <w:r w:rsidRPr="008C1137">
              <w:t>1,735</w:t>
            </w:r>
          </w:p>
        </w:tc>
        <w:tc>
          <w:tcPr>
            <w:tcW w:w="717" w:type="pct"/>
          </w:tcPr>
          <w:p w14:paraId="028E792D" w14:textId="77777777" w:rsidR="00A4454A" w:rsidRPr="008C1137" w:rsidRDefault="00A4454A" w:rsidP="00390380">
            <w:pPr>
              <w:pStyle w:val="TableBody"/>
            </w:pPr>
            <w:r w:rsidRPr="008C1137">
              <w:t>347</w:t>
            </w:r>
          </w:p>
        </w:tc>
        <w:tc>
          <w:tcPr>
            <w:tcW w:w="717" w:type="pct"/>
          </w:tcPr>
          <w:p w14:paraId="2ECB7210" w14:textId="77777777" w:rsidR="00A4454A" w:rsidRPr="008C1137" w:rsidRDefault="00A4454A" w:rsidP="00390380">
            <w:pPr>
              <w:pStyle w:val="TableBody"/>
            </w:pPr>
            <w:r w:rsidRPr="008C1137">
              <w:t>524</w:t>
            </w:r>
          </w:p>
        </w:tc>
        <w:tc>
          <w:tcPr>
            <w:tcW w:w="717" w:type="pct"/>
          </w:tcPr>
          <w:p w14:paraId="4DE3AAED" w14:textId="77777777" w:rsidR="00A4454A" w:rsidRPr="008C1137" w:rsidRDefault="00A4454A" w:rsidP="00390380">
            <w:pPr>
              <w:pStyle w:val="TableBody"/>
            </w:pPr>
            <w:r w:rsidRPr="008C1137">
              <w:t>639</w:t>
            </w:r>
          </w:p>
        </w:tc>
        <w:tc>
          <w:tcPr>
            <w:tcW w:w="717" w:type="pct"/>
          </w:tcPr>
          <w:p w14:paraId="32213225" w14:textId="77777777" w:rsidR="00A4454A" w:rsidRPr="008C1137" w:rsidRDefault="00A4454A" w:rsidP="00390380">
            <w:pPr>
              <w:pStyle w:val="TableBody"/>
            </w:pPr>
            <w:r w:rsidRPr="008C1137">
              <w:t>125</w:t>
            </w:r>
          </w:p>
        </w:tc>
      </w:tr>
      <w:tr w:rsidR="006A0A62" w:rsidRPr="008C1137" w14:paraId="20348464" w14:textId="77777777" w:rsidTr="00CF2074">
        <w:trPr>
          <w:trHeight w:val="60"/>
        </w:trPr>
        <w:tc>
          <w:tcPr>
            <w:tcW w:w="700" w:type="pct"/>
          </w:tcPr>
          <w:p w14:paraId="575153BE" w14:textId="77777777" w:rsidR="00A4454A" w:rsidRPr="000C258A" w:rsidRDefault="00A4454A" w:rsidP="00390380">
            <w:pPr>
              <w:pStyle w:val="TableBody"/>
              <w:rPr>
                <w:rStyle w:val="Strong"/>
              </w:rPr>
            </w:pPr>
            <w:r w:rsidRPr="000C258A">
              <w:rPr>
                <w:rStyle w:val="Strong"/>
              </w:rPr>
              <w:t>Percentage change</w:t>
            </w:r>
          </w:p>
        </w:tc>
        <w:tc>
          <w:tcPr>
            <w:tcW w:w="716" w:type="pct"/>
          </w:tcPr>
          <w:p w14:paraId="66067C8F" w14:textId="77777777" w:rsidR="00A4454A" w:rsidRPr="000C258A" w:rsidRDefault="00A4454A" w:rsidP="00390380">
            <w:pPr>
              <w:pStyle w:val="TableBody"/>
              <w:rPr>
                <w:rStyle w:val="Strong"/>
              </w:rPr>
            </w:pPr>
            <w:r w:rsidRPr="000C258A">
              <w:rPr>
                <w:rStyle w:val="Strong"/>
              </w:rPr>
              <w:t>174.8%</w:t>
            </w:r>
          </w:p>
        </w:tc>
        <w:tc>
          <w:tcPr>
            <w:tcW w:w="717" w:type="pct"/>
          </w:tcPr>
          <w:p w14:paraId="21E5604E" w14:textId="77777777" w:rsidR="00A4454A" w:rsidRPr="000C258A" w:rsidRDefault="00A4454A" w:rsidP="00390380">
            <w:pPr>
              <w:pStyle w:val="TableBody"/>
              <w:rPr>
                <w:rStyle w:val="Strong"/>
              </w:rPr>
            </w:pPr>
            <w:r w:rsidRPr="000C258A">
              <w:rPr>
                <w:rStyle w:val="Strong"/>
              </w:rPr>
              <w:t>−14.2%</w:t>
            </w:r>
          </w:p>
        </w:tc>
        <w:tc>
          <w:tcPr>
            <w:tcW w:w="717" w:type="pct"/>
          </w:tcPr>
          <w:p w14:paraId="77AC4874" w14:textId="77777777" w:rsidR="00A4454A" w:rsidRPr="000C258A" w:rsidRDefault="00A4454A" w:rsidP="00390380">
            <w:pPr>
              <w:pStyle w:val="TableBody"/>
              <w:rPr>
                <w:rStyle w:val="Strong"/>
              </w:rPr>
            </w:pPr>
            <w:r w:rsidRPr="000C258A">
              <w:rPr>
                <w:rStyle w:val="Strong"/>
              </w:rPr>
              <w:t>12.3%</w:t>
            </w:r>
          </w:p>
        </w:tc>
        <w:tc>
          <w:tcPr>
            <w:tcW w:w="717" w:type="pct"/>
          </w:tcPr>
          <w:p w14:paraId="27648C38" w14:textId="77777777" w:rsidR="00A4454A" w:rsidRPr="000C258A" w:rsidRDefault="00A4454A" w:rsidP="00390380">
            <w:pPr>
              <w:pStyle w:val="TableBody"/>
              <w:rPr>
                <w:rStyle w:val="Strong"/>
              </w:rPr>
            </w:pPr>
            <w:r w:rsidRPr="000C258A">
              <w:rPr>
                <w:rStyle w:val="Strong"/>
              </w:rPr>
              <w:t>215.7%</w:t>
            </w:r>
          </w:p>
        </w:tc>
        <w:tc>
          <w:tcPr>
            <w:tcW w:w="717" w:type="pct"/>
          </w:tcPr>
          <w:p w14:paraId="57640068" w14:textId="77777777" w:rsidR="00A4454A" w:rsidRPr="000C258A" w:rsidRDefault="00A4454A" w:rsidP="00390380">
            <w:pPr>
              <w:pStyle w:val="TableBody"/>
              <w:rPr>
                <w:rStyle w:val="Strong"/>
              </w:rPr>
            </w:pPr>
            <w:r w:rsidRPr="000C258A">
              <w:rPr>
                <w:rStyle w:val="Strong"/>
              </w:rPr>
              <w:t>328.9%</w:t>
            </w:r>
          </w:p>
        </w:tc>
        <w:tc>
          <w:tcPr>
            <w:tcW w:w="717" w:type="pct"/>
          </w:tcPr>
          <w:p w14:paraId="32707B3C" w14:textId="77777777" w:rsidR="00A4454A" w:rsidRPr="000C258A" w:rsidRDefault="00A4454A" w:rsidP="00390380">
            <w:pPr>
              <w:pStyle w:val="TableBody"/>
              <w:rPr>
                <w:rStyle w:val="Strong"/>
              </w:rPr>
            </w:pPr>
            <w:r w:rsidRPr="000C258A">
              <w:rPr>
                <w:rStyle w:val="Strong"/>
              </w:rPr>
              <w:t>−80.1%</w:t>
            </w:r>
          </w:p>
        </w:tc>
      </w:tr>
    </w:tbl>
    <w:p w14:paraId="1CD53123" w14:textId="77777777" w:rsidR="00A4454A" w:rsidRPr="008C1137" w:rsidRDefault="00A4454A" w:rsidP="00BE4EDC">
      <w:pPr>
        <w:pStyle w:val="Caption"/>
      </w:pPr>
      <w:r w:rsidRPr="00157502">
        <w:t>Table A6</w:t>
      </w:r>
      <w:r w:rsidRPr="008C1137">
        <w:t>: Proportion (%) of cases resulting in imprisonment in the Magistrates’ Court</w:t>
      </w:r>
    </w:p>
    <w:tbl>
      <w:tblPr>
        <w:tblStyle w:val="Table"/>
        <w:tblW w:w="5000" w:type="pct"/>
        <w:tblLook w:val="0020" w:firstRow="1" w:lastRow="0" w:firstColumn="0" w:lastColumn="0" w:noHBand="0" w:noVBand="0"/>
      </w:tblPr>
      <w:tblGrid>
        <w:gridCol w:w="1251"/>
        <w:gridCol w:w="1280"/>
        <w:gridCol w:w="1282"/>
        <w:gridCol w:w="1282"/>
        <w:gridCol w:w="1282"/>
        <w:gridCol w:w="1358"/>
        <w:gridCol w:w="1281"/>
      </w:tblGrid>
      <w:tr w:rsidR="006A0A62" w:rsidRPr="008C1137" w14:paraId="4BBECE82" w14:textId="77777777" w:rsidTr="00CF2074">
        <w:trPr>
          <w:trHeight w:val="60"/>
          <w:tblHeader/>
        </w:trPr>
        <w:tc>
          <w:tcPr>
            <w:tcW w:w="700" w:type="pct"/>
          </w:tcPr>
          <w:p w14:paraId="39CACEB4" w14:textId="77777777" w:rsidR="00A4454A" w:rsidRPr="006E7F83" w:rsidRDefault="00A4454A" w:rsidP="006E7F83">
            <w:pPr>
              <w:pStyle w:val="TableHeading"/>
            </w:pPr>
            <w:r w:rsidRPr="006E7F83">
              <w:t>Financial year</w:t>
            </w:r>
          </w:p>
        </w:tc>
        <w:tc>
          <w:tcPr>
            <w:tcW w:w="716" w:type="pct"/>
          </w:tcPr>
          <w:p w14:paraId="346891B4" w14:textId="77777777" w:rsidR="00A4454A" w:rsidRPr="006E7F83" w:rsidRDefault="00A4454A" w:rsidP="006E7F83">
            <w:pPr>
              <w:pStyle w:val="TableHeading"/>
            </w:pPr>
            <w:r w:rsidRPr="006E7F83">
              <w:t>Offences against the person</w:t>
            </w:r>
          </w:p>
        </w:tc>
        <w:tc>
          <w:tcPr>
            <w:tcW w:w="717" w:type="pct"/>
          </w:tcPr>
          <w:p w14:paraId="2AAA76B7" w14:textId="77777777" w:rsidR="00A4454A" w:rsidRPr="006E7F83" w:rsidRDefault="00A4454A" w:rsidP="006E7F83">
            <w:pPr>
              <w:pStyle w:val="TableHeading"/>
            </w:pPr>
            <w:r w:rsidRPr="006E7F83">
              <w:t>Property offences</w:t>
            </w:r>
          </w:p>
        </w:tc>
        <w:tc>
          <w:tcPr>
            <w:tcW w:w="717" w:type="pct"/>
          </w:tcPr>
          <w:p w14:paraId="68991987" w14:textId="77777777" w:rsidR="00A4454A" w:rsidRPr="006E7F83" w:rsidRDefault="00A4454A" w:rsidP="006E7F83">
            <w:pPr>
              <w:pStyle w:val="TableHeading"/>
            </w:pPr>
            <w:r w:rsidRPr="006E7F83">
              <w:t>Drug offences</w:t>
            </w:r>
          </w:p>
        </w:tc>
        <w:tc>
          <w:tcPr>
            <w:tcW w:w="717" w:type="pct"/>
          </w:tcPr>
          <w:p w14:paraId="54754215" w14:textId="77777777" w:rsidR="00A4454A" w:rsidRPr="006E7F83" w:rsidRDefault="00A4454A" w:rsidP="006E7F83">
            <w:pPr>
              <w:pStyle w:val="TableHeading"/>
            </w:pPr>
            <w:r w:rsidRPr="006E7F83">
              <w:t>Public order offences</w:t>
            </w:r>
          </w:p>
        </w:tc>
        <w:tc>
          <w:tcPr>
            <w:tcW w:w="717" w:type="pct"/>
          </w:tcPr>
          <w:p w14:paraId="31750B01" w14:textId="77777777" w:rsidR="00A4454A" w:rsidRPr="006E7F83" w:rsidRDefault="00A4454A" w:rsidP="006E7F83">
            <w:pPr>
              <w:pStyle w:val="TableHeading"/>
            </w:pPr>
            <w:r w:rsidRPr="006E7F83">
              <w:t>Justice procedure offences</w:t>
            </w:r>
          </w:p>
        </w:tc>
        <w:tc>
          <w:tcPr>
            <w:tcW w:w="717" w:type="pct"/>
          </w:tcPr>
          <w:p w14:paraId="7233E400" w14:textId="77777777" w:rsidR="00A4454A" w:rsidRPr="006E7F83" w:rsidRDefault="00A4454A" w:rsidP="006E7F83">
            <w:pPr>
              <w:pStyle w:val="TableHeading"/>
            </w:pPr>
            <w:r w:rsidRPr="006E7F83">
              <w:t>Other offences</w:t>
            </w:r>
          </w:p>
        </w:tc>
      </w:tr>
      <w:tr w:rsidR="006A0A62" w:rsidRPr="008C1137" w14:paraId="4676133A" w14:textId="77777777" w:rsidTr="00CF2074">
        <w:trPr>
          <w:trHeight w:val="60"/>
        </w:trPr>
        <w:tc>
          <w:tcPr>
            <w:tcW w:w="700" w:type="pct"/>
          </w:tcPr>
          <w:p w14:paraId="72052A77" w14:textId="77777777" w:rsidR="00A4454A" w:rsidRPr="008C1137" w:rsidRDefault="00A4454A" w:rsidP="00390380">
            <w:pPr>
              <w:pStyle w:val="TableBody"/>
            </w:pPr>
            <w:r w:rsidRPr="008C1137">
              <w:t>2005</w:t>
            </w:r>
          </w:p>
        </w:tc>
        <w:tc>
          <w:tcPr>
            <w:tcW w:w="716" w:type="pct"/>
          </w:tcPr>
          <w:p w14:paraId="4B3AFDE2" w14:textId="77777777" w:rsidR="00A4454A" w:rsidRPr="008C1137" w:rsidRDefault="00A4454A" w:rsidP="00390380">
            <w:pPr>
              <w:pStyle w:val="TableBody"/>
            </w:pPr>
            <w:r w:rsidRPr="008C1137">
              <w:t>7.6</w:t>
            </w:r>
          </w:p>
        </w:tc>
        <w:tc>
          <w:tcPr>
            <w:tcW w:w="717" w:type="pct"/>
          </w:tcPr>
          <w:p w14:paraId="312A9B3F" w14:textId="77777777" w:rsidR="00A4454A" w:rsidRPr="008C1137" w:rsidRDefault="00A4454A" w:rsidP="00390380">
            <w:pPr>
              <w:pStyle w:val="TableBody"/>
            </w:pPr>
            <w:r w:rsidRPr="008C1137">
              <w:t>11.7</w:t>
            </w:r>
          </w:p>
        </w:tc>
        <w:tc>
          <w:tcPr>
            <w:tcW w:w="717" w:type="pct"/>
          </w:tcPr>
          <w:p w14:paraId="4A92990D" w14:textId="77777777" w:rsidR="00A4454A" w:rsidRPr="008C1137" w:rsidRDefault="00A4454A" w:rsidP="00390380">
            <w:pPr>
              <w:pStyle w:val="TableBody"/>
            </w:pPr>
            <w:r w:rsidRPr="008C1137">
              <w:t>8.3</w:t>
            </w:r>
          </w:p>
        </w:tc>
        <w:tc>
          <w:tcPr>
            <w:tcW w:w="717" w:type="pct"/>
          </w:tcPr>
          <w:p w14:paraId="75066767" w14:textId="77777777" w:rsidR="00A4454A" w:rsidRPr="008C1137" w:rsidRDefault="00A4454A" w:rsidP="00390380">
            <w:pPr>
              <w:pStyle w:val="TableBody"/>
            </w:pPr>
            <w:r w:rsidRPr="008C1137">
              <w:t>3.3</w:t>
            </w:r>
          </w:p>
        </w:tc>
        <w:tc>
          <w:tcPr>
            <w:tcW w:w="717" w:type="pct"/>
          </w:tcPr>
          <w:p w14:paraId="11B9D8E6" w14:textId="77777777" w:rsidR="00A4454A" w:rsidRPr="008C1137" w:rsidRDefault="00A4454A" w:rsidP="00390380">
            <w:pPr>
              <w:pStyle w:val="TableBody"/>
            </w:pPr>
            <w:r w:rsidRPr="008C1137">
              <w:t>4.1</w:t>
            </w:r>
          </w:p>
        </w:tc>
        <w:tc>
          <w:tcPr>
            <w:tcW w:w="717" w:type="pct"/>
          </w:tcPr>
          <w:p w14:paraId="21C2BA69" w14:textId="77777777" w:rsidR="00A4454A" w:rsidRPr="008C1137" w:rsidRDefault="00A4454A" w:rsidP="00390380">
            <w:pPr>
              <w:pStyle w:val="TableBody"/>
            </w:pPr>
            <w:r w:rsidRPr="008C1137">
              <w:t>2.1</w:t>
            </w:r>
          </w:p>
        </w:tc>
      </w:tr>
      <w:tr w:rsidR="006A0A62" w:rsidRPr="008C1137" w14:paraId="7E2DE3FB" w14:textId="77777777" w:rsidTr="00CF2074">
        <w:trPr>
          <w:trHeight w:val="60"/>
        </w:trPr>
        <w:tc>
          <w:tcPr>
            <w:tcW w:w="700" w:type="pct"/>
          </w:tcPr>
          <w:p w14:paraId="3ACC840B" w14:textId="77777777" w:rsidR="00A4454A" w:rsidRPr="008C1137" w:rsidRDefault="00A4454A" w:rsidP="00390380">
            <w:pPr>
              <w:pStyle w:val="TableBody"/>
            </w:pPr>
            <w:r w:rsidRPr="008C1137">
              <w:t>2006</w:t>
            </w:r>
          </w:p>
        </w:tc>
        <w:tc>
          <w:tcPr>
            <w:tcW w:w="716" w:type="pct"/>
          </w:tcPr>
          <w:p w14:paraId="52F26A05" w14:textId="77777777" w:rsidR="00A4454A" w:rsidRPr="008C1137" w:rsidRDefault="00A4454A" w:rsidP="00390380">
            <w:pPr>
              <w:pStyle w:val="TableBody"/>
            </w:pPr>
            <w:r w:rsidRPr="008C1137">
              <w:t>7.6</w:t>
            </w:r>
          </w:p>
        </w:tc>
        <w:tc>
          <w:tcPr>
            <w:tcW w:w="717" w:type="pct"/>
          </w:tcPr>
          <w:p w14:paraId="38DA1B5B" w14:textId="77777777" w:rsidR="00A4454A" w:rsidRPr="008C1137" w:rsidRDefault="00A4454A" w:rsidP="00390380">
            <w:pPr>
              <w:pStyle w:val="TableBody"/>
            </w:pPr>
            <w:r w:rsidRPr="008C1137">
              <w:t>12.6</w:t>
            </w:r>
          </w:p>
        </w:tc>
        <w:tc>
          <w:tcPr>
            <w:tcW w:w="717" w:type="pct"/>
          </w:tcPr>
          <w:p w14:paraId="22584E39" w14:textId="77777777" w:rsidR="00A4454A" w:rsidRPr="008C1137" w:rsidRDefault="00A4454A" w:rsidP="00390380">
            <w:pPr>
              <w:pStyle w:val="TableBody"/>
            </w:pPr>
            <w:r w:rsidRPr="008C1137">
              <w:t>7.7</w:t>
            </w:r>
          </w:p>
        </w:tc>
        <w:tc>
          <w:tcPr>
            <w:tcW w:w="717" w:type="pct"/>
          </w:tcPr>
          <w:p w14:paraId="30BDA438" w14:textId="77777777" w:rsidR="00A4454A" w:rsidRPr="008C1137" w:rsidRDefault="00A4454A" w:rsidP="00390380">
            <w:pPr>
              <w:pStyle w:val="TableBody"/>
            </w:pPr>
            <w:r w:rsidRPr="008C1137">
              <w:t>4.3</w:t>
            </w:r>
          </w:p>
        </w:tc>
        <w:tc>
          <w:tcPr>
            <w:tcW w:w="717" w:type="pct"/>
          </w:tcPr>
          <w:p w14:paraId="7651C511" w14:textId="77777777" w:rsidR="00A4454A" w:rsidRPr="008C1137" w:rsidRDefault="00A4454A" w:rsidP="00390380">
            <w:pPr>
              <w:pStyle w:val="TableBody"/>
            </w:pPr>
            <w:r w:rsidRPr="008C1137">
              <w:t>3.1</w:t>
            </w:r>
          </w:p>
        </w:tc>
        <w:tc>
          <w:tcPr>
            <w:tcW w:w="717" w:type="pct"/>
          </w:tcPr>
          <w:p w14:paraId="3A021D61" w14:textId="77777777" w:rsidR="00A4454A" w:rsidRPr="008C1137" w:rsidRDefault="00A4454A" w:rsidP="00390380">
            <w:pPr>
              <w:pStyle w:val="TableBody"/>
            </w:pPr>
            <w:r w:rsidRPr="008C1137">
              <w:t>2.5</w:t>
            </w:r>
          </w:p>
        </w:tc>
      </w:tr>
      <w:tr w:rsidR="006A0A62" w:rsidRPr="008C1137" w14:paraId="360C8B04" w14:textId="77777777" w:rsidTr="00CF2074">
        <w:trPr>
          <w:trHeight w:val="60"/>
        </w:trPr>
        <w:tc>
          <w:tcPr>
            <w:tcW w:w="700" w:type="pct"/>
          </w:tcPr>
          <w:p w14:paraId="41901AE8" w14:textId="77777777" w:rsidR="00A4454A" w:rsidRPr="008C1137" w:rsidRDefault="00A4454A" w:rsidP="00390380">
            <w:pPr>
              <w:pStyle w:val="TableBody"/>
            </w:pPr>
            <w:r w:rsidRPr="008C1137">
              <w:t>2007</w:t>
            </w:r>
          </w:p>
        </w:tc>
        <w:tc>
          <w:tcPr>
            <w:tcW w:w="716" w:type="pct"/>
          </w:tcPr>
          <w:p w14:paraId="50650089" w14:textId="77777777" w:rsidR="00A4454A" w:rsidRPr="008C1137" w:rsidRDefault="00A4454A" w:rsidP="00390380">
            <w:pPr>
              <w:pStyle w:val="TableBody"/>
            </w:pPr>
            <w:r w:rsidRPr="008C1137">
              <w:t>7.5</w:t>
            </w:r>
          </w:p>
        </w:tc>
        <w:tc>
          <w:tcPr>
            <w:tcW w:w="717" w:type="pct"/>
          </w:tcPr>
          <w:p w14:paraId="4DD261D5" w14:textId="77777777" w:rsidR="00A4454A" w:rsidRPr="008C1137" w:rsidRDefault="00A4454A" w:rsidP="00390380">
            <w:pPr>
              <w:pStyle w:val="TableBody"/>
            </w:pPr>
            <w:r w:rsidRPr="008C1137">
              <w:t>13.3</w:t>
            </w:r>
          </w:p>
        </w:tc>
        <w:tc>
          <w:tcPr>
            <w:tcW w:w="717" w:type="pct"/>
          </w:tcPr>
          <w:p w14:paraId="1B000EF5" w14:textId="77777777" w:rsidR="00A4454A" w:rsidRPr="008C1137" w:rsidRDefault="00A4454A" w:rsidP="00390380">
            <w:pPr>
              <w:pStyle w:val="TableBody"/>
            </w:pPr>
            <w:r w:rsidRPr="008C1137">
              <w:t>7.7</w:t>
            </w:r>
          </w:p>
        </w:tc>
        <w:tc>
          <w:tcPr>
            <w:tcW w:w="717" w:type="pct"/>
          </w:tcPr>
          <w:p w14:paraId="6C4A9A07" w14:textId="77777777" w:rsidR="00A4454A" w:rsidRPr="008C1137" w:rsidRDefault="00A4454A" w:rsidP="00390380">
            <w:pPr>
              <w:pStyle w:val="TableBody"/>
            </w:pPr>
            <w:r w:rsidRPr="008C1137">
              <w:t>4.2</w:t>
            </w:r>
          </w:p>
        </w:tc>
        <w:tc>
          <w:tcPr>
            <w:tcW w:w="717" w:type="pct"/>
          </w:tcPr>
          <w:p w14:paraId="0503F442" w14:textId="77777777" w:rsidR="00A4454A" w:rsidRPr="008C1137" w:rsidRDefault="00A4454A" w:rsidP="00390380">
            <w:pPr>
              <w:pStyle w:val="TableBody"/>
            </w:pPr>
            <w:r w:rsidRPr="008C1137">
              <w:t>3.8</w:t>
            </w:r>
          </w:p>
        </w:tc>
        <w:tc>
          <w:tcPr>
            <w:tcW w:w="717" w:type="pct"/>
          </w:tcPr>
          <w:p w14:paraId="03BE493E" w14:textId="77777777" w:rsidR="00A4454A" w:rsidRPr="008C1137" w:rsidRDefault="00A4454A" w:rsidP="00390380">
            <w:pPr>
              <w:pStyle w:val="TableBody"/>
            </w:pPr>
            <w:r w:rsidRPr="008C1137">
              <w:t>2.2</w:t>
            </w:r>
          </w:p>
        </w:tc>
      </w:tr>
      <w:tr w:rsidR="006A0A62" w:rsidRPr="008C1137" w14:paraId="228B9DAF" w14:textId="77777777" w:rsidTr="00CF2074">
        <w:trPr>
          <w:trHeight w:val="60"/>
        </w:trPr>
        <w:tc>
          <w:tcPr>
            <w:tcW w:w="700" w:type="pct"/>
          </w:tcPr>
          <w:p w14:paraId="1A3DFAD6" w14:textId="77777777" w:rsidR="00A4454A" w:rsidRPr="008C1137" w:rsidRDefault="00A4454A" w:rsidP="00390380">
            <w:pPr>
              <w:pStyle w:val="TableBody"/>
            </w:pPr>
            <w:r w:rsidRPr="008C1137">
              <w:t>2008</w:t>
            </w:r>
          </w:p>
        </w:tc>
        <w:tc>
          <w:tcPr>
            <w:tcW w:w="716" w:type="pct"/>
          </w:tcPr>
          <w:p w14:paraId="56CCAA2C" w14:textId="77777777" w:rsidR="00A4454A" w:rsidRPr="008C1137" w:rsidRDefault="00A4454A" w:rsidP="00390380">
            <w:pPr>
              <w:pStyle w:val="TableBody"/>
            </w:pPr>
            <w:r w:rsidRPr="008C1137">
              <w:t>6.8</w:t>
            </w:r>
          </w:p>
        </w:tc>
        <w:tc>
          <w:tcPr>
            <w:tcW w:w="717" w:type="pct"/>
          </w:tcPr>
          <w:p w14:paraId="04A9504D" w14:textId="77777777" w:rsidR="00A4454A" w:rsidRPr="008C1137" w:rsidRDefault="00A4454A" w:rsidP="00390380">
            <w:pPr>
              <w:pStyle w:val="TableBody"/>
            </w:pPr>
            <w:r w:rsidRPr="008C1137">
              <w:t>12.1</w:t>
            </w:r>
          </w:p>
        </w:tc>
        <w:tc>
          <w:tcPr>
            <w:tcW w:w="717" w:type="pct"/>
          </w:tcPr>
          <w:p w14:paraId="6E7A462E" w14:textId="77777777" w:rsidR="00A4454A" w:rsidRPr="008C1137" w:rsidRDefault="00A4454A" w:rsidP="00390380">
            <w:pPr>
              <w:pStyle w:val="TableBody"/>
            </w:pPr>
            <w:r w:rsidRPr="008C1137">
              <w:t>7.7</w:t>
            </w:r>
          </w:p>
        </w:tc>
        <w:tc>
          <w:tcPr>
            <w:tcW w:w="717" w:type="pct"/>
          </w:tcPr>
          <w:p w14:paraId="63E332FE" w14:textId="77777777" w:rsidR="00A4454A" w:rsidRPr="008C1137" w:rsidRDefault="00A4454A" w:rsidP="00390380">
            <w:pPr>
              <w:pStyle w:val="TableBody"/>
            </w:pPr>
            <w:r w:rsidRPr="008C1137">
              <w:t>4.4</w:t>
            </w:r>
          </w:p>
        </w:tc>
        <w:tc>
          <w:tcPr>
            <w:tcW w:w="717" w:type="pct"/>
          </w:tcPr>
          <w:p w14:paraId="1E2823DA" w14:textId="77777777" w:rsidR="00A4454A" w:rsidRPr="008C1137" w:rsidRDefault="00A4454A" w:rsidP="00390380">
            <w:pPr>
              <w:pStyle w:val="TableBody"/>
            </w:pPr>
            <w:r w:rsidRPr="008C1137">
              <w:t>4.4</w:t>
            </w:r>
          </w:p>
        </w:tc>
        <w:tc>
          <w:tcPr>
            <w:tcW w:w="717" w:type="pct"/>
          </w:tcPr>
          <w:p w14:paraId="04F4130D" w14:textId="77777777" w:rsidR="00A4454A" w:rsidRPr="008C1137" w:rsidRDefault="00A4454A" w:rsidP="00390380">
            <w:pPr>
              <w:pStyle w:val="TableBody"/>
            </w:pPr>
            <w:r w:rsidRPr="008C1137">
              <w:t>1.6</w:t>
            </w:r>
          </w:p>
        </w:tc>
      </w:tr>
      <w:tr w:rsidR="006A0A62" w:rsidRPr="008C1137" w14:paraId="1A84F4E5" w14:textId="77777777" w:rsidTr="00CF2074">
        <w:trPr>
          <w:trHeight w:val="60"/>
        </w:trPr>
        <w:tc>
          <w:tcPr>
            <w:tcW w:w="700" w:type="pct"/>
          </w:tcPr>
          <w:p w14:paraId="612D12BF" w14:textId="77777777" w:rsidR="00A4454A" w:rsidRPr="008C1137" w:rsidRDefault="00A4454A" w:rsidP="00390380">
            <w:pPr>
              <w:pStyle w:val="TableBody"/>
            </w:pPr>
            <w:r w:rsidRPr="008C1137">
              <w:t>2009</w:t>
            </w:r>
          </w:p>
        </w:tc>
        <w:tc>
          <w:tcPr>
            <w:tcW w:w="716" w:type="pct"/>
          </w:tcPr>
          <w:p w14:paraId="193510DE" w14:textId="77777777" w:rsidR="00A4454A" w:rsidRPr="008C1137" w:rsidRDefault="00A4454A" w:rsidP="00390380">
            <w:pPr>
              <w:pStyle w:val="TableBody"/>
            </w:pPr>
            <w:r w:rsidRPr="008C1137">
              <w:t>7.8</w:t>
            </w:r>
          </w:p>
        </w:tc>
        <w:tc>
          <w:tcPr>
            <w:tcW w:w="717" w:type="pct"/>
          </w:tcPr>
          <w:p w14:paraId="23D4C235" w14:textId="77777777" w:rsidR="00A4454A" w:rsidRPr="008C1137" w:rsidRDefault="00A4454A" w:rsidP="00390380">
            <w:pPr>
              <w:pStyle w:val="TableBody"/>
            </w:pPr>
            <w:r w:rsidRPr="008C1137">
              <w:t>11.5</w:t>
            </w:r>
          </w:p>
        </w:tc>
        <w:tc>
          <w:tcPr>
            <w:tcW w:w="717" w:type="pct"/>
          </w:tcPr>
          <w:p w14:paraId="342B2F84" w14:textId="77777777" w:rsidR="00A4454A" w:rsidRPr="008C1137" w:rsidRDefault="00A4454A" w:rsidP="00390380">
            <w:pPr>
              <w:pStyle w:val="TableBody"/>
            </w:pPr>
            <w:r w:rsidRPr="008C1137">
              <w:t>8.7</w:t>
            </w:r>
          </w:p>
        </w:tc>
        <w:tc>
          <w:tcPr>
            <w:tcW w:w="717" w:type="pct"/>
          </w:tcPr>
          <w:p w14:paraId="77CAA0A2" w14:textId="77777777" w:rsidR="00A4454A" w:rsidRPr="008C1137" w:rsidRDefault="00A4454A" w:rsidP="00390380">
            <w:pPr>
              <w:pStyle w:val="TableBody"/>
            </w:pPr>
            <w:r w:rsidRPr="008C1137">
              <w:t>4.1</w:t>
            </w:r>
          </w:p>
        </w:tc>
        <w:tc>
          <w:tcPr>
            <w:tcW w:w="717" w:type="pct"/>
          </w:tcPr>
          <w:p w14:paraId="33816435" w14:textId="77777777" w:rsidR="00A4454A" w:rsidRPr="008C1137" w:rsidRDefault="00A4454A" w:rsidP="00390380">
            <w:pPr>
              <w:pStyle w:val="TableBody"/>
            </w:pPr>
            <w:r w:rsidRPr="008C1137">
              <w:t>4.0</w:t>
            </w:r>
          </w:p>
        </w:tc>
        <w:tc>
          <w:tcPr>
            <w:tcW w:w="717" w:type="pct"/>
          </w:tcPr>
          <w:p w14:paraId="05EE1AC0" w14:textId="77777777" w:rsidR="00A4454A" w:rsidRPr="008C1137" w:rsidRDefault="00A4454A" w:rsidP="00390380">
            <w:pPr>
              <w:pStyle w:val="TableBody"/>
            </w:pPr>
            <w:r w:rsidRPr="008C1137">
              <w:t>1.6</w:t>
            </w:r>
          </w:p>
        </w:tc>
      </w:tr>
      <w:tr w:rsidR="006A0A62" w:rsidRPr="008C1137" w14:paraId="70D4DCF2" w14:textId="77777777" w:rsidTr="00CF2074">
        <w:trPr>
          <w:trHeight w:val="60"/>
        </w:trPr>
        <w:tc>
          <w:tcPr>
            <w:tcW w:w="700" w:type="pct"/>
          </w:tcPr>
          <w:p w14:paraId="79B3B10E" w14:textId="77777777" w:rsidR="00A4454A" w:rsidRPr="008C1137" w:rsidRDefault="00A4454A" w:rsidP="00390380">
            <w:pPr>
              <w:pStyle w:val="TableBody"/>
            </w:pPr>
            <w:r w:rsidRPr="008C1137">
              <w:t>2010</w:t>
            </w:r>
          </w:p>
        </w:tc>
        <w:tc>
          <w:tcPr>
            <w:tcW w:w="716" w:type="pct"/>
          </w:tcPr>
          <w:p w14:paraId="7D9C6B4E" w14:textId="77777777" w:rsidR="00A4454A" w:rsidRPr="008C1137" w:rsidRDefault="00A4454A" w:rsidP="00390380">
            <w:pPr>
              <w:pStyle w:val="TableBody"/>
            </w:pPr>
            <w:r w:rsidRPr="008C1137">
              <w:t>8.8</w:t>
            </w:r>
          </w:p>
        </w:tc>
        <w:tc>
          <w:tcPr>
            <w:tcW w:w="717" w:type="pct"/>
          </w:tcPr>
          <w:p w14:paraId="74CD8E09" w14:textId="77777777" w:rsidR="00A4454A" w:rsidRPr="008C1137" w:rsidRDefault="00A4454A" w:rsidP="00390380">
            <w:pPr>
              <w:pStyle w:val="TableBody"/>
            </w:pPr>
            <w:r w:rsidRPr="008C1137">
              <w:t>13.3</w:t>
            </w:r>
          </w:p>
        </w:tc>
        <w:tc>
          <w:tcPr>
            <w:tcW w:w="717" w:type="pct"/>
          </w:tcPr>
          <w:p w14:paraId="0CCEF578" w14:textId="77777777" w:rsidR="00A4454A" w:rsidRPr="008C1137" w:rsidRDefault="00A4454A" w:rsidP="00390380">
            <w:pPr>
              <w:pStyle w:val="TableBody"/>
            </w:pPr>
            <w:r w:rsidRPr="008C1137">
              <w:t>9.2</w:t>
            </w:r>
          </w:p>
        </w:tc>
        <w:tc>
          <w:tcPr>
            <w:tcW w:w="717" w:type="pct"/>
          </w:tcPr>
          <w:p w14:paraId="7AABBC5B" w14:textId="77777777" w:rsidR="00A4454A" w:rsidRPr="008C1137" w:rsidRDefault="00A4454A" w:rsidP="00390380">
            <w:pPr>
              <w:pStyle w:val="TableBody"/>
            </w:pPr>
            <w:r w:rsidRPr="008C1137">
              <w:t>6.6</w:t>
            </w:r>
          </w:p>
        </w:tc>
        <w:tc>
          <w:tcPr>
            <w:tcW w:w="717" w:type="pct"/>
          </w:tcPr>
          <w:p w14:paraId="2965DF01" w14:textId="77777777" w:rsidR="00A4454A" w:rsidRPr="008C1137" w:rsidRDefault="00A4454A" w:rsidP="00390380">
            <w:pPr>
              <w:pStyle w:val="TableBody"/>
            </w:pPr>
            <w:r w:rsidRPr="008C1137">
              <w:t>4.4</w:t>
            </w:r>
          </w:p>
        </w:tc>
        <w:tc>
          <w:tcPr>
            <w:tcW w:w="717" w:type="pct"/>
          </w:tcPr>
          <w:p w14:paraId="4428EB3A" w14:textId="77777777" w:rsidR="00A4454A" w:rsidRPr="008C1137" w:rsidRDefault="00A4454A" w:rsidP="00390380">
            <w:pPr>
              <w:pStyle w:val="TableBody"/>
            </w:pPr>
            <w:r w:rsidRPr="008C1137">
              <w:t>1.9</w:t>
            </w:r>
          </w:p>
        </w:tc>
      </w:tr>
      <w:tr w:rsidR="006A0A62" w:rsidRPr="008C1137" w14:paraId="169CED18" w14:textId="77777777" w:rsidTr="00CF2074">
        <w:trPr>
          <w:trHeight w:val="60"/>
        </w:trPr>
        <w:tc>
          <w:tcPr>
            <w:tcW w:w="700" w:type="pct"/>
          </w:tcPr>
          <w:p w14:paraId="312D17B1" w14:textId="77777777" w:rsidR="00A4454A" w:rsidRPr="008C1137" w:rsidRDefault="00A4454A" w:rsidP="00390380">
            <w:pPr>
              <w:pStyle w:val="TableBody"/>
            </w:pPr>
            <w:r w:rsidRPr="008C1137">
              <w:t>2011</w:t>
            </w:r>
          </w:p>
        </w:tc>
        <w:tc>
          <w:tcPr>
            <w:tcW w:w="716" w:type="pct"/>
          </w:tcPr>
          <w:p w14:paraId="29F2AACF" w14:textId="77777777" w:rsidR="00A4454A" w:rsidRPr="008C1137" w:rsidRDefault="00A4454A" w:rsidP="00390380">
            <w:pPr>
              <w:pStyle w:val="TableBody"/>
            </w:pPr>
            <w:r w:rsidRPr="008C1137">
              <w:t>8.4</w:t>
            </w:r>
          </w:p>
        </w:tc>
        <w:tc>
          <w:tcPr>
            <w:tcW w:w="717" w:type="pct"/>
          </w:tcPr>
          <w:p w14:paraId="5D8F81F1" w14:textId="77777777" w:rsidR="00A4454A" w:rsidRPr="008C1137" w:rsidRDefault="00A4454A" w:rsidP="00390380">
            <w:pPr>
              <w:pStyle w:val="TableBody"/>
            </w:pPr>
            <w:r w:rsidRPr="008C1137">
              <w:t>12.4</w:t>
            </w:r>
          </w:p>
        </w:tc>
        <w:tc>
          <w:tcPr>
            <w:tcW w:w="717" w:type="pct"/>
          </w:tcPr>
          <w:p w14:paraId="6578E3F9" w14:textId="77777777" w:rsidR="00A4454A" w:rsidRPr="008C1137" w:rsidRDefault="00A4454A" w:rsidP="00390380">
            <w:pPr>
              <w:pStyle w:val="TableBody"/>
            </w:pPr>
            <w:r w:rsidRPr="008C1137">
              <w:t>8.4</w:t>
            </w:r>
          </w:p>
        </w:tc>
        <w:tc>
          <w:tcPr>
            <w:tcW w:w="717" w:type="pct"/>
          </w:tcPr>
          <w:p w14:paraId="69CEB719" w14:textId="77777777" w:rsidR="00A4454A" w:rsidRPr="008C1137" w:rsidRDefault="00A4454A" w:rsidP="00390380">
            <w:pPr>
              <w:pStyle w:val="TableBody"/>
            </w:pPr>
            <w:r w:rsidRPr="008C1137">
              <w:t>6.4</w:t>
            </w:r>
          </w:p>
        </w:tc>
        <w:tc>
          <w:tcPr>
            <w:tcW w:w="717" w:type="pct"/>
          </w:tcPr>
          <w:p w14:paraId="3A532CA6" w14:textId="77777777" w:rsidR="00A4454A" w:rsidRPr="008C1137" w:rsidRDefault="00A4454A" w:rsidP="00390380">
            <w:pPr>
              <w:pStyle w:val="TableBody"/>
            </w:pPr>
            <w:r w:rsidRPr="008C1137">
              <w:t>4.5</w:t>
            </w:r>
          </w:p>
        </w:tc>
        <w:tc>
          <w:tcPr>
            <w:tcW w:w="717" w:type="pct"/>
          </w:tcPr>
          <w:p w14:paraId="23E4ABBB" w14:textId="77777777" w:rsidR="00A4454A" w:rsidRPr="008C1137" w:rsidRDefault="00A4454A" w:rsidP="00390380">
            <w:pPr>
              <w:pStyle w:val="TableBody"/>
            </w:pPr>
            <w:r w:rsidRPr="008C1137">
              <w:t>1.6</w:t>
            </w:r>
          </w:p>
        </w:tc>
      </w:tr>
      <w:tr w:rsidR="006A0A62" w:rsidRPr="008C1137" w14:paraId="117D0A72" w14:textId="77777777" w:rsidTr="00CF2074">
        <w:trPr>
          <w:trHeight w:val="60"/>
        </w:trPr>
        <w:tc>
          <w:tcPr>
            <w:tcW w:w="700" w:type="pct"/>
          </w:tcPr>
          <w:p w14:paraId="1D406220" w14:textId="77777777" w:rsidR="00A4454A" w:rsidRPr="008C1137" w:rsidRDefault="00A4454A" w:rsidP="00390380">
            <w:pPr>
              <w:pStyle w:val="TableBody"/>
            </w:pPr>
            <w:r w:rsidRPr="008C1137">
              <w:t>2012</w:t>
            </w:r>
          </w:p>
        </w:tc>
        <w:tc>
          <w:tcPr>
            <w:tcW w:w="716" w:type="pct"/>
          </w:tcPr>
          <w:p w14:paraId="4A012623" w14:textId="77777777" w:rsidR="00A4454A" w:rsidRPr="008C1137" w:rsidRDefault="00A4454A" w:rsidP="00390380">
            <w:pPr>
              <w:pStyle w:val="TableBody"/>
            </w:pPr>
            <w:r w:rsidRPr="008C1137">
              <w:t>9.6</w:t>
            </w:r>
          </w:p>
        </w:tc>
        <w:tc>
          <w:tcPr>
            <w:tcW w:w="717" w:type="pct"/>
          </w:tcPr>
          <w:p w14:paraId="2920F59E" w14:textId="77777777" w:rsidR="00A4454A" w:rsidRPr="008C1137" w:rsidRDefault="00A4454A" w:rsidP="00390380">
            <w:pPr>
              <w:pStyle w:val="TableBody"/>
            </w:pPr>
            <w:r w:rsidRPr="008C1137">
              <w:t>13.2</w:t>
            </w:r>
          </w:p>
        </w:tc>
        <w:tc>
          <w:tcPr>
            <w:tcW w:w="717" w:type="pct"/>
          </w:tcPr>
          <w:p w14:paraId="707B6D43" w14:textId="77777777" w:rsidR="00A4454A" w:rsidRPr="008C1137" w:rsidRDefault="00A4454A" w:rsidP="00390380">
            <w:pPr>
              <w:pStyle w:val="TableBody"/>
            </w:pPr>
            <w:r w:rsidRPr="008C1137">
              <w:t>9.2</w:t>
            </w:r>
          </w:p>
        </w:tc>
        <w:tc>
          <w:tcPr>
            <w:tcW w:w="717" w:type="pct"/>
          </w:tcPr>
          <w:p w14:paraId="4A1B8C64" w14:textId="77777777" w:rsidR="00A4454A" w:rsidRPr="008C1137" w:rsidRDefault="00A4454A" w:rsidP="00390380">
            <w:pPr>
              <w:pStyle w:val="TableBody"/>
            </w:pPr>
            <w:r w:rsidRPr="008C1137">
              <w:t>6.9</w:t>
            </w:r>
          </w:p>
        </w:tc>
        <w:tc>
          <w:tcPr>
            <w:tcW w:w="717" w:type="pct"/>
          </w:tcPr>
          <w:p w14:paraId="1DE5A548" w14:textId="77777777" w:rsidR="00A4454A" w:rsidRPr="008C1137" w:rsidRDefault="00A4454A" w:rsidP="00390380">
            <w:pPr>
              <w:pStyle w:val="TableBody"/>
            </w:pPr>
            <w:r w:rsidRPr="008C1137">
              <w:t>4.5</w:t>
            </w:r>
          </w:p>
        </w:tc>
        <w:tc>
          <w:tcPr>
            <w:tcW w:w="717" w:type="pct"/>
          </w:tcPr>
          <w:p w14:paraId="0E02838A" w14:textId="77777777" w:rsidR="00A4454A" w:rsidRPr="008C1137" w:rsidRDefault="00A4454A" w:rsidP="00390380">
            <w:pPr>
              <w:pStyle w:val="TableBody"/>
            </w:pPr>
            <w:r w:rsidRPr="008C1137">
              <w:t>1.4</w:t>
            </w:r>
          </w:p>
        </w:tc>
      </w:tr>
      <w:tr w:rsidR="006A0A62" w:rsidRPr="008C1137" w14:paraId="5800626A" w14:textId="77777777" w:rsidTr="00CF2074">
        <w:trPr>
          <w:trHeight w:val="60"/>
        </w:trPr>
        <w:tc>
          <w:tcPr>
            <w:tcW w:w="700" w:type="pct"/>
          </w:tcPr>
          <w:p w14:paraId="05066B91" w14:textId="77777777" w:rsidR="00A4454A" w:rsidRPr="008C1137" w:rsidRDefault="00A4454A" w:rsidP="00390380">
            <w:pPr>
              <w:pStyle w:val="TableBody"/>
            </w:pPr>
            <w:r w:rsidRPr="008C1137">
              <w:t>2013</w:t>
            </w:r>
          </w:p>
        </w:tc>
        <w:tc>
          <w:tcPr>
            <w:tcW w:w="716" w:type="pct"/>
          </w:tcPr>
          <w:p w14:paraId="62595D56" w14:textId="77777777" w:rsidR="00A4454A" w:rsidRPr="008C1137" w:rsidRDefault="00A4454A" w:rsidP="00390380">
            <w:pPr>
              <w:pStyle w:val="TableBody"/>
            </w:pPr>
            <w:r w:rsidRPr="008C1137">
              <w:t>11.1</w:t>
            </w:r>
          </w:p>
        </w:tc>
        <w:tc>
          <w:tcPr>
            <w:tcW w:w="717" w:type="pct"/>
          </w:tcPr>
          <w:p w14:paraId="195E86E8" w14:textId="77777777" w:rsidR="00A4454A" w:rsidRPr="008C1137" w:rsidRDefault="00A4454A" w:rsidP="00390380">
            <w:pPr>
              <w:pStyle w:val="TableBody"/>
            </w:pPr>
            <w:r w:rsidRPr="008C1137">
              <w:t>14.0</w:t>
            </w:r>
          </w:p>
        </w:tc>
        <w:tc>
          <w:tcPr>
            <w:tcW w:w="717" w:type="pct"/>
          </w:tcPr>
          <w:p w14:paraId="5A6A43E0" w14:textId="77777777" w:rsidR="00A4454A" w:rsidRPr="008C1137" w:rsidRDefault="00A4454A" w:rsidP="00390380">
            <w:pPr>
              <w:pStyle w:val="TableBody"/>
            </w:pPr>
            <w:r w:rsidRPr="008C1137">
              <w:t>11.1</w:t>
            </w:r>
          </w:p>
        </w:tc>
        <w:tc>
          <w:tcPr>
            <w:tcW w:w="717" w:type="pct"/>
          </w:tcPr>
          <w:p w14:paraId="39BAE129" w14:textId="77777777" w:rsidR="00A4454A" w:rsidRPr="008C1137" w:rsidRDefault="00A4454A" w:rsidP="00390380">
            <w:pPr>
              <w:pStyle w:val="TableBody"/>
            </w:pPr>
            <w:r w:rsidRPr="008C1137">
              <w:t>8.5</w:t>
            </w:r>
          </w:p>
        </w:tc>
        <w:tc>
          <w:tcPr>
            <w:tcW w:w="717" w:type="pct"/>
          </w:tcPr>
          <w:p w14:paraId="515CB43D" w14:textId="77777777" w:rsidR="00A4454A" w:rsidRPr="008C1137" w:rsidRDefault="00A4454A" w:rsidP="00390380">
            <w:pPr>
              <w:pStyle w:val="TableBody"/>
            </w:pPr>
            <w:r w:rsidRPr="008C1137">
              <w:t>5.6</w:t>
            </w:r>
          </w:p>
        </w:tc>
        <w:tc>
          <w:tcPr>
            <w:tcW w:w="717" w:type="pct"/>
          </w:tcPr>
          <w:p w14:paraId="6C7B79E6" w14:textId="77777777" w:rsidR="00A4454A" w:rsidRPr="008C1137" w:rsidRDefault="00A4454A" w:rsidP="00390380">
            <w:pPr>
              <w:pStyle w:val="TableBody"/>
            </w:pPr>
            <w:r w:rsidRPr="008C1137">
              <w:t>1.4</w:t>
            </w:r>
          </w:p>
        </w:tc>
      </w:tr>
      <w:tr w:rsidR="006A0A62" w:rsidRPr="008C1137" w14:paraId="1880A742" w14:textId="77777777" w:rsidTr="00CF2074">
        <w:trPr>
          <w:trHeight w:val="60"/>
        </w:trPr>
        <w:tc>
          <w:tcPr>
            <w:tcW w:w="700" w:type="pct"/>
          </w:tcPr>
          <w:p w14:paraId="21CC7213" w14:textId="77777777" w:rsidR="00A4454A" w:rsidRPr="008C1137" w:rsidRDefault="00A4454A" w:rsidP="00390380">
            <w:pPr>
              <w:pStyle w:val="TableBody"/>
            </w:pPr>
            <w:r w:rsidRPr="008C1137">
              <w:t>2014</w:t>
            </w:r>
          </w:p>
        </w:tc>
        <w:tc>
          <w:tcPr>
            <w:tcW w:w="716" w:type="pct"/>
          </w:tcPr>
          <w:p w14:paraId="3B40F627" w14:textId="77777777" w:rsidR="00A4454A" w:rsidRPr="008C1137" w:rsidRDefault="00A4454A" w:rsidP="00390380">
            <w:pPr>
              <w:pStyle w:val="TableBody"/>
            </w:pPr>
            <w:r w:rsidRPr="008C1137">
              <w:t>10.8</w:t>
            </w:r>
          </w:p>
        </w:tc>
        <w:tc>
          <w:tcPr>
            <w:tcW w:w="717" w:type="pct"/>
          </w:tcPr>
          <w:p w14:paraId="4630194C" w14:textId="77777777" w:rsidR="00A4454A" w:rsidRPr="008C1137" w:rsidRDefault="00A4454A" w:rsidP="00390380">
            <w:pPr>
              <w:pStyle w:val="TableBody"/>
            </w:pPr>
            <w:r w:rsidRPr="008C1137">
              <w:t>14.0</w:t>
            </w:r>
          </w:p>
        </w:tc>
        <w:tc>
          <w:tcPr>
            <w:tcW w:w="717" w:type="pct"/>
          </w:tcPr>
          <w:p w14:paraId="3E475E5D" w14:textId="77777777" w:rsidR="00A4454A" w:rsidRPr="008C1137" w:rsidRDefault="00A4454A" w:rsidP="00390380">
            <w:pPr>
              <w:pStyle w:val="TableBody"/>
            </w:pPr>
            <w:r w:rsidRPr="008C1137">
              <w:t>12.0</w:t>
            </w:r>
          </w:p>
        </w:tc>
        <w:tc>
          <w:tcPr>
            <w:tcW w:w="717" w:type="pct"/>
          </w:tcPr>
          <w:p w14:paraId="52FBE2E3" w14:textId="77777777" w:rsidR="00A4454A" w:rsidRPr="008C1137" w:rsidRDefault="00A4454A" w:rsidP="00390380">
            <w:pPr>
              <w:pStyle w:val="TableBody"/>
            </w:pPr>
            <w:r w:rsidRPr="008C1137">
              <w:t>8.2</w:t>
            </w:r>
          </w:p>
        </w:tc>
        <w:tc>
          <w:tcPr>
            <w:tcW w:w="717" w:type="pct"/>
          </w:tcPr>
          <w:p w14:paraId="243BF4C9" w14:textId="77777777" w:rsidR="00A4454A" w:rsidRPr="008C1137" w:rsidRDefault="00A4454A" w:rsidP="00390380">
            <w:pPr>
              <w:pStyle w:val="TableBody"/>
            </w:pPr>
            <w:r w:rsidRPr="008C1137">
              <w:t>6.1</w:t>
            </w:r>
          </w:p>
        </w:tc>
        <w:tc>
          <w:tcPr>
            <w:tcW w:w="717" w:type="pct"/>
          </w:tcPr>
          <w:p w14:paraId="2B2A8016" w14:textId="77777777" w:rsidR="00A4454A" w:rsidRPr="008C1137" w:rsidRDefault="00A4454A" w:rsidP="00390380">
            <w:pPr>
              <w:pStyle w:val="TableBody"/>
            </w:pPr>
            <w:r w:rsidRPr="008C1137">
              <w:t>1.2</w:t>
            </w:r>
          </w:p>
        </w:tc>
      </w:tr>
      <w:tr w:rsidR="006A0A62" w:rsidRPr="008C1137" w14:paraId="12173F6F" w14:textId="77777777" w:rsidTr="00CF2074">
        <w:trPr>
          <w:trHeight w:val="60"/>
        </w:trPr>
        <w:tc>
          <w:tcPr>
            <w:tcW w:w="700" w:type="pct"/>
          </w:tcPr>
          <w:p w14:paraId="1A9D4B99" w14:textId="77777777" w:rsidR="00A4454A" w:rsidRPr="008C1137" w:rsidRDefault="00A4454A" w:rsidP="00390380">
            <w:pPr>
              <w:pStyle w:val="TableBody"/>
            </w:pPr>
            <w:r w:rsidRPr="008C1137">
              <w:t>2015</w:t>
            </w:r>
          </w:p>
        </w:tc>
        <w:tc>
          <w:tcPr>
            <w:tcW w:w="716" w:type="pct"/>
          </w:tcPr>
          <w:p w14:paraId="1F69DE09" w14:textId="77777777" w:rsidR="00A4454A" w:rsidRPr="008C1137" w:rsidRDefault="00A4454A" w:rsidP="00390380">
            <w:pPr>
              <w:pStyle w:val="TableBody"/>
            </w:pPr>
            <w:r w:rsidRPr="008C1137">
              <w:t>11.5</w:t>
            </w:r>
          </w:p>
        </w:tc>
        <w:tc>
          <w:tcPr>
            <w:tcW w:w="717" w:type="pct"/>
          </w:tcPr>
          <w:p w14:paraId="3B77D49D" w14:textId="77777777" w:rsidR="00A4454A" w:rsidRPr="008C1137" w:rsidRDefault="00A4454A" w:rsidP="00390380">
            <w:pPr>
              <w:pStyle w:val="TableBody"/>
            </w:pPr>
            <w:r w:rsidRPr="008C1137">
              <w:t>13.7</w:t>
            </w:r>
          </w:p>
        </w:tc>
        <w:tc>
          <w:tcPr>
            <w:tcW w:w="717" w:type="pct"/>
          </w:tcPr>
          <w:p w14:paraId="7F24609A" w14:textId="77777777" w:rsidR="00A4454A" w:rsidRPr="008C1137" w:rsidRDefault="00A4454A" w:rsidP="00390380">
            <w:pPr>
              <w:pStyle w:val="TableBody"/>
            </w:pPr>
            <w:r w:rsidRPr="008C1137">
              <w:t>12.1</w:t>
            </w:r>
          </w:p>
        </w:tc>
        <w:tc>
          <w:tcPr>
            <w:tcW w:w="717" w:type="pct"/>
          </w:tcPr>
          <w:p w14:paraId="319ADE6B" w14:textId="77777777" w:rsidR="00A4454A" w:rsidRPr="008C1137" w:rsidRDefault="00A4454A" w:rsidP="00390380">
            <w:pPr>
              <w:pStyle w:val="TableBody"/>
            </w:pPr>
            <w:r w:rsidRPr="008C1137">
              <w:t>9.6</w:t>
            </w:r>
          </w:p>
        </w:tc>
        <w:tc>
          <w:tcPr>
            <w:tcW w:w="717" w:type="pct"/>
          </w:tcPr>
          <w:p w14:paraId="1D538D0F" w14:textId="77777777" w:rsidR="00A4454A" w:rsidRPr="008C1137" w:rsidRDefault="00A4454A" w:rsidP="00390380">
            <w:pPr>
              <w:pStyle w:val="TableBody"/>
            </w:pPr>
            <w:r w:rsidRPr="008C1137">
              <w:t>7.7</w:t>
            </w:r>
          </w:p>
        </w:tc>
        <w:tc>
          <w:tcPr>
            <w:tcW w:w="717" w:type="pct"/>
          </w:tcPr>
          <w:p w14:paraId="2957384A" w14:textId="77777777" w:rsidR="00A4454A" w:rsidRPr="008C1137" w:rsidRDefault="00A4454A" w:rsidP="00390380">
            <w:pPr>
              <w:pStyle w:val="TableBody"/>
            </w:pPr>
            <w:r w:rsidRPr="008C1137">
              <w:t>1.1</w:t>
            </w:r>
          </w:p>
        </w:tc>
      </w:tr>
      <w:tr w:rsidR="006A0A62" w:rsidRPr="008C1137" w14:paraId="565D49D7" w14:textId="77777777" w:rsidTr="00CF2074">
        <w:trPr>
          <w:trHeight w:val="60"/>
        </w:trPr>
        <w:tc>
          <w:tcPr>
            <w:tcW w:w="700" w:type="pct"/>
          </w:tcPr>
          <w:p w14:paraId="20E942EB" w14:textId="77777777" w:rsidR="00A4454A" w:rsidRPr="008C1137" w:rsidRDefault="00A4454A" w:rsidP="00390380">
            <w:pPr>
              <w:pStyle w:val="TableBody"/>
            </w:pPr>
            <w:r w:rsidRPr="008C1137">
              <w:t>2016</w:t>
            </w:r>
          </w:p>
        </w:tc>
        <w:tc>
          <w:tcPr>
            <w:tcW w:w="716" w:type="pct"/>
          </w:tcPr>
          <w:p w14:paraId="2FB8F0B0" w14:textId="77777777" w:rsidR="00A4454A" w:rsidRPr="008C1137" w:rsidRDefault="00A4454A" w:rsidP="00390380">
            <w:pPr>
              <w:pStyle w:val="TableBody"/>
            </w:pPr>
            <w:r w:rsidRPr="008C1137">
              <w:t>13.7</w:t>
            </w:r>
          </w:p>
        </w:tc>
        <w:tc>
          <w:tcPr>
            <w:tcW w:w="717" w:type="pct"/>
          </w:tcPr>
          <w:p w14:paraId="64F65612" w14:textId="77777777" w:rsidR="00A4454A" w:rsidRPr="008C1137" w:rsidRDefault="00A4454A" w:rsidP="00390380">
            <w:pPr>
              <w:pStyle w:val="TableBody"/>
            </w:pPr>
            <w:r w:rsidRPr="008C1137">
              <w:t>15.0</w:t>
            </w:r>
          </w:p>
        </w:tc>
        <w:tc>
          <w:tcPr>
            <w:tcW w:w="717" w:type="pct"/>
          </w:tcPr>
          <w:p w14:paraId="5950CAFA" w14:textId="77777777" w:rsidR="00A4454A" w:rsidRPr="008C1137" w:rsidRDefault="00A4454A" w:rsidP="00390380">
            <w:pPr>
              <w:pStyle w:val="TableBody"/>
            </w:pPr>
            <w:r w:rsidRPr="008C1137">
              <w:t>15.2</w:t>
            </w:r>
          </w:p>
        </w:tc>
        <w:tc>
          <w:tcPr>
            <w:tcW w:w="717" w:type="pct"/>
          </w:tcPr>
          <w:p w14:paraId="0B87BBE1" w14:textId="77777777" w:rsidR="00A4454A" w:rsidRPr="008C1137" w:rsidRDefault="00A4454A" w:rsidP="00390380">
            <w:pPr>
              <w:pStyle w:val="TableBody"/>
            </w:pPr>
            <w:r w:rsidRPr="008C1137">
              <w:t>11.4</w:t>
            </w:r>
          </w:p>
        </w:tc>
        <w:tc>
          <w:tcPr>
            <w:tcW w:w="717" w:type="pct"/>
          </w:tcPr>
          <w:p w14:paraId="713F5F28" w14:textId="77777777" w:rsidR="00A4454A" w:rsidRPr="008C1137" w:rsidRDefault="00A4454A" w:rsidP="00390380">
            <w:pPr>
              <w:pStyle w:val="TableBody"/>
            </w:pPr>
            <w:r w:rsidRPr="008C1137">
              <w:t>8.6</w:t>
            </w:r>
          </w:p>
        </w:tc>
        <w:tc>
          <w:tcPr>
            <w:tcW w:w="717" w:type="pct"/>
          </w:tcPr>
          <w:p w14:paraId="2732791E" w14:textId="77777777" w:rsidR="00A4454A" w:rsidRPr="008C1137" w:rsidRDefault="00A4454A" w:rsidP="00390380">
            <w:pPr>
              <w:pStyle w:val="TableBody"/>
            </w:pPr>
            <w:r w:rsidRPr="008C1137">
              <w:t>0.9</w:t>
            </w:r>
          </w:p>
        </w:tc>
      </w:tr>
      <w:tr w:rsidR="006A0A62" w:rsidRPr="008C1137" w14:paraId="6F2952AB" w14:textId="77777777" w:rsidTr="00CF2074">
        <w:trPr>
          <w:trHeight w:val="60"/>
        </w:trPr>
        <w:tc>
          <w:tcPr>
            <w:tcW w:w="700" w:type="pct"/>
          </w:tcPr>
          <w:p w14:paraId="53E6A40E" w14:textId="77777777" w:rsidR="00A4454A" w:rsidRPr="008C1137" w:rsidRDefault="00A4454A" w:rsidP="00390380">
            <w:pPr>
              <w:pStyle w:val="TableBody"/>
            </w:pPr>
            <w:r w:rsidRPr="008C1137">
              <w:t>2017</w:t>
            </w:r>
          </w:p>
        </w:tc>
        <w:tc>
          <w:tcPr>
            <w:tcW w:w="716" w:type="pct"/>
          </w:tcPr>
          <w:p w14:paraId="52309CF4" w14:textId="77777777" w:rsidR="00A4454A" w:rsidRPr="008C1137" w:rsidRDefault="00A4454A" w:rsidP="00390380">
            <w:pPr>
              <w:pStyle w:val="TableBody"/>
            </w:pPr>
            <w:r w:rsidRPr="008C1137">
              <w:t>16.1</w:t>
            </w:r>
          </w:p>
        </w:tc>
        <w:tc>
          <w:tcPr>
            <w:tcW w:w="717" w:type="pct"/>
          </w:tcPr>
          <w:p w14:paraId="2E021DC0" w14:textId="77777777" w:rsidR="00A4454A" w:rsidRPr="008C1137" w:rsidRDefault="00A4454A" w:rsidP="00390380">
            <w:pPr>
              <w:pStyle w:val="TableBody"/>
            </w:pPr>
            <w:r w:rsidRPr="008C1137">
              <w:t>16.3</w:t>
            </w:r>
          </w:p>
        </w:tc>
        <w:tc>
          <w:tcPr>
            <w:tcW w:w="717" w:type="pct"/>
          </w:tcPr>
          <w:p w14:paraId="223C11D0" w14:textId="77777777" w:rsidR="00A4454A" w:rsidRPr="008C1137" w:rsidRDefault="00A4454A" w:rsidP="00390380">
            <w:pPr>
              <w:pStyle w:val="TableBody"/>
            </w:pPr>
            <w:r w:rsidRPr="008C1137">
              <w:t>16.2</w:t>
            </w:r>
          </w:p>
        </w:tc>
        <w:tc>
          <w:tcPr>
            <w:tcW w:w="717" w:type="pct"/>
          </w:tcPr>
          <w:p w14:paraId="758421D7" w14:textId="77777777" w:rsidR="00A4454A" w:rsidRPr="008C1137" w:rsidRDefault="00A4454A" w:rsidP="00390380">
            <w:pPr>
              <w:pStyle w:val="TableBody"/>
            </w:pPr>
            <w:r w:rsidRPr="008C1137">
              <w:t>13.7</w:t>
            </w:r>
          </w:p>
        </w:tc>
        <w:tc>
          <w:tcPr>
            <w:tcW w:w="717" w:type="pct"/>
          </w:tcPr>
          <w:p w14:paraId="691327AB" w14:textId="77777777" w:rsidR="00A4454A" w:rsidRPr="008C1137" w:rsidRDefault="00A4454A" w:rsidP="00390380">
            <w:pPr>
              <w:pStyle w:val="TableBody"/>
            </w:pPr>
            <w:r w:rsidRPr="008C1137">
              <w:t>9.1</w:t>
            </w:r>
          </w:p>
        </w:tc>
        <w:tc>
          <w:tcPr>
            <w:tcW w:w="717" w:type="pct"/>
          </w:tcPr>
          <w:p w14:paraId="1EE5C0FC" w14:textId="77777777" w:rsidR="00A4454A" w:rsidRPr="008C1137" w:rsidRDefault="00A4454A" w:rsidP="00390380">
            <w:pPr>
              <w:pStyle w:val="TableBody"/>
            </w:pPr>
            <w:r w:rsidRPr="008C1137">
              <w:t>0.8</w:t>
            </w:r>
          </w:p>
        </w:tc>
      </w:tr>
      <w:tr w:rsidR="006A0A62" w:rsidRPr="008C1137" w14:paraId="11756AC1" w14:textId="77777777" w:rsidTr="00CF2074">
        <w:trPr>
          <w:trHeight w:val="60"/>
        </w:trPr>
        <w:tc>
          <w:tcPr>
            <w:tcW w:w="700" w:type="pct"/>
          </w:tcPr>
          <w:p w14:paraId="1F556322" w14:textId="77777777" w:rsidR="00A4454A" w:rsidRPr="008C1137" w:rsidRDefault="00A4454A" w:rsidP="00390380">
            <w:pPr>
              <w:pStyle w:val="TableBody"/>
            </w:pPr>
            <w:r w:rsidRPr="008C1137">
              <w:t>2018</w:t>
            </w:r>
          </w:p>
        </w:tc>
        <w:tc>
          <w:tcPr>
            <w:tcW w:w="716" w:type="pct"/>
          </w:tcPr>
          <w:p w14:paraId="29C8D051" w14:textId="77777777" w:rsidR="00A4454A" w:rsidRPr="008C1137" w:rsidRDefault="00A4454A" w:rsidP="00390380">
            <w:pPr>
              <w:pStyle w:val="TableBody"/>
            </w:pPr>
            <w:r w:rsidRPr="008C1137">
              <w:t>16.0</w:t>
            </w:r>
          </w:p>
        </w:tc>
        <w:tc>
          <w:tcPr>
            <w:tcW w:w="717" w:type="pct"/>
          </w:tcPr>
          <w:p w14:paraId="17EC7969" w14:textId="77777777" w:rsidR="00A4454A" w:rsidRPr="008C1137" w:rsidRDefault="00A4454A" w:rsidP="00390380">
            <w:pPr>
              <w:pStyle w:val="TableBody"/>
            </w:pPr>
            <w:r w:rsidRPr="008C1137">
              <w:t>17.6</w:t>
            </w:r>
          </w:p>
        </w:tc>
        <w:tc>
          <w:tcPr>
            <w:tcW w:w="717" w:type="pct"/>
          </w:tcPr>
          <w:p w14:paraId="65FA7DA5" w14:textId="77777777" w:rsidR="00A4454A" w:rsidRPr="008C1137" w:rsidRDefault="00A4454A" w:rsidP="00390380">
            <w:pPr>
              <w:pStyle w:val="TableBody"/>
            </w:pPr>
            <w:r w:rsidRPr="008C1137">
              <w:t>15.1</w:t>
            </w:r>
          </w:p>
        </w:tc>
        <w:tc>
          <w:tcPr>
            <w:tcW w:w="717" w:type="pct"/>
          </w:tcPr>
          <w:p w14:paraId="55B30E3D" w14:textId="77777777" w:rsidR="00A4454A" w:rsidRPr="008C1137" w:rsidRDefault="00A4454A" w:rsidP="00390380">
            <w:pPr>
              <w:pStyle w:val="TableBody"/>
            </w:pPr>
            <w:r w:rsidRPr="008C1137">
              <w:t>14.8</w:t>
            </w:r>
          </w:p>
        </w:tc>
        <w:tc>
          <w:tcPr>
            <w:tcW w:w="717" w:type="pct"/>
          </w:tcPr>
          <w:p w14:paraId="51361832" w14:textId="77777777" w:rsidR="00A4454A" w:rsidRPr="008C1137" w:rsidRDefault="00A4454A" w:rsidP="00390380">
            <w:pPr>
              <w:pStyle w:val="TableBody"/>
            </w:pPr>
            <w:r w:rsidRPr="008C1137">
              <w:t>9.4</w:t>
            </w:r>
          </w:p>
        </w:tc>
        <w:tc>
          <w:tcPr>
            <w:tcW w:w="717" w:type="pct"/>
          </w:tcPr>
          <w:p w14:paraId="234B0E6F" w14:textId="77777777" w:rsidR="00A4454A" w:rsidRPr="008C1137" w:rsidRDefault="00A4454A" w:rsidP="00390380">
            <w:pPr>
              <w:pStyle w:val="TableBody"/>
            </w:pPr>
            <w:r w:rsidRPr="008C1137">
              <w:t>0.8</w:t>
            </w:r>
          </w:p>
        </w:tc>
      </w:tr>
      <w:tr w:rsidR="006A0A62" w:rsidRPr="008C1137" w14:paraId="7408F72D" w14:textId="77777777" w:rsidTr="00CF2074">
        <w:trPr>
          <w:trHeight w:val="60"/>
        </w:trPr>
        <w:tc>
          <w:tcPr>
            <w:tcW w:w="700" w:type="pct"/>
          </w:tcPr>
          <w:p w14:paraId="608D2AF4" w14:textId="77777777" w:rsidR="00A4454A" w:rsidRPr="008C1137" w:rsidRDefault="00A4454A" w:rsidP="00390380">
            <w:pPr>
              <w:pStyle w:val="TableBody"/>
            </w:pPr>
            <w:r w:rsidRPr="008C1137">
              <w:t>2019</w:t>
            </w:r>
          </w:p>
        </w:tc>
        <w:tc>
          <w:tcPr>
            <w:tcW w:w="716" w:type="pct"/>
          </w:tcPr>
          <w:p w14:paraId="22B5BF5D" w14:textId="77777777" w:rsidR="00A4454A" w:rsidRPr="008C1137" w:rsidRDefault="00A4454A" w:rsidP="00390380">
            <w:pPr>
              <w:pStyle w:val="TableBody"/>
            </w:pPr>
            <w:r w:rsidRPr="008C1137">
              <w:t>19.6</w:t>
            </w:r>
          </w:p>
        </w:tc>
        <w:tc>
          <w:tcPr>
            <w:tcW w:w="717" w:type="pct"/>
          </w:tcPr>
          <w:p w14:paraId="317B1BC4" w14:textId="77777777" w:rsidR="00A4454A" w:rsidRPr="008C1137" w:rsidRDefault="00A4454A" w:rsidP="00390380">
            <w:pPr>
              <w:pStyle w:val="TableBody"/>
            </w:pPr>
            <w:r w:rsidRPr="008C1137">
              <w:t>21.4</w:t>
            </w:r>
          </w:p>
        </w:tc>
        <w:tc>
          <w:tcPr>
            <w:tcW w:w="717" w:type="pct"/>
          </w:tcPr>
          <w:p w14:paraId="5AE504E5" w14:textId="77777777" w:rsidR="00A4454A" w:rsidRPr="008C1137" w:rsidRDefault="00A4454A" w:rsidP="00390380">
            <w:pPr>
              <w:pStyle w:val="TableBody"/>
            </w:pPr>
            <w:r w:rsidRPr="008C1137">
              <w:t>18.7</w:t>
            </w:r>
          </w:p>
        </w:tc>
        <w:tc>
          <w:tcPr>
            <w:tcW w:w="717" w:type="pct"/>
          </w:tcPr>
          <w:p w14:paraId="1EF9A51A" w14:textId="77777777" w:rsidR="00A4454A" w:rsidRPr="008C1137" w:rsidRDefault="00A4454A" w:rsidP="00390380">
            <w:pPr>
              <w:pStyle w:val="TableBody"/>
            </w:pPr>
            <w:r w:rsidRPr="008C1137">
              <w:t>18.7</w:t>
            </w:r>
          </w:p>
        </w:tc>
        <w:tc>
          <w:tcPr>
            <w:tcW w:w="717" w:type="pct"/>
          </w:tcPr>
          <w:p w14:paraId="6A3F9D1A" w14:textId="77777777" w:rsidR="00A4454A" w:rsidRPr="008C1137" w:rsidRDefault="00A4454A" w:rsidP="00390380">
            <w:pPr>
              <w:pStyle w:val="TableBody"/>
            </w:pPr>
            <w:r w:rsidRPr="008C1137">
              <w:t>11.8</w:t>
            </w:r>
          </w:p>
        </w:tc>
        <w:tc>
          <w:tcPr>
            <w:tcW w:w="717" w:type="pct"/>
          </w:tcPr>
          <w:p w14:paraId="257AD34D" w14:textId="77777777" w:rsidR="00A4454A" w:rsidRPr="008C1137" w:rsidRDefault="00A4454A" w:rsidP="00390380">
            <w:pPr>
              <w:pStyle w:val="TableBody"/>
            </w:pPr>
            <w:r w:rsidRPr="008C1137">
              <w:t>0.8</w:t>
            </w:r>
          </w:p>
        </w:tc>
      </w:tr>
      <w:tr w:rsidR="006A0A62" w:rsidRPr="008C1137" w14:paraId="7DAC7C2B" w14:textId="77777777" w:rsidTr="00CF2074">
        <w:trPr>
          <w:trHeight w:val="60"/>
        </w:trPr>
        <w:tc>
          <w:tcPr>
            <w:tcW w:w="700" w:type="pct"/>
          </w:tcPr>
          <w:p w14:paraId="16FF811F" w14:textId="77777777" w:rsidR="00A4454A" w:rsidRPr="008C1137" w:rsidRDefault="00A4454A" w:rsidP="00390380">
            <w:pPr>
              <w:pStyle w:val="TableBody"/>
            </w:pPr>
            <w:r w:rsidRPr="008C1137">
              <w:t>2020</w:t>
            </w:r>
          </w:p>
        </w:tc>
        <w:tc>
          <w:tcPr>
            <w:tcW w:w="716" w:type="pct"/>
          </w:tcPr>
          <w:p w14:paraId="63093AD5" w14:textId="77777777" w:rsidR="00A4454A" w:rsidRPr="008C1137" w:rsidRDefault="00A4454A" w:rsidP="00390380">
            <w:pPr>
              <w:pStyle w:val="TableBody"/>
            </w:pPr>
            <w:r w:rsidRPr="008C1137">
              <w:t>23.5</w:t>
            </w:r>
          </w:p>
        </w:tc>
        <w:tc>
          <w:tcPr>
            <w:tcW w:w="717" w:type="pct"/>
          </w:tcPr>
          <w:p w14:paraId="7422DC89" w14:textId="77777777" w:rsidR="00A4454A" w:rsidRPr="008C1137" w:rsidRDefault="00A4454A" w:rsidP="00390380">
            <w:pPr>
              <w:pStyle w:val="TableBody"/>
            </w:pPr>
            <w:r w:rsidRPr="008C1137">
              <w:t>25.3</w:t>
            </w:r>
          </w:p>
        </w:tc>
        <w:tc>
          <w:tcPr>
            <w:tcW w:w="717" w:type="pct"/>
          </w:tcPr>
          <w:p w14:paraId="787367D5" w14:textId="77777777" w:rsidR="00A4454A" w:rsidRPr="008C1137" w:rsidRDefault="00A4454A" w:rsidP="00390380">
            <w:pPr>
              <w:pStyle w:val="TableBody"/>
            </w:pPr>
            <w:r w:rsidRPr="008C1137">
              <w:t>22.4</w:t>
            </w:r>
          </w:p>
        </w:tc>
        <w:tc>
          <w:tcPr>
            <w:tcW w:w="717" w:type="pct"/>
          </w:tcPr>
          <w:p w14:paraId="7E633E27" w14:textId="77777777" w:rsidR="00A4454A" w:rsidRPr="008C1137" w:rsidRDefault="00A4454A" w:rsidP="00390380">
            <w:pPr>
              <w:pStyle w:val="TableBody"/>
            </w:pPr>
            <w:r w:rsidRPr="008C1137">
              <w:t>22.8</w:t>
            </w:r>
          </w:p>
        </w:tc>
        <w:tc>
          <w:tcPr>
            <w:tcW w:w="717" w:type="pct"/>
          </w:tcPr>
          <w:p w14:paraId="40544E09" w14:textId="77777777" w:rsidR="00A4454A" w:rsidRPr="008C1137" w:rsidRDefault="00A4454A" w:rsidP="00390380">
            <w:pPr>
              <w:pStyle w:val="TableBody"/>
            </w:pPr>
            <w:r w:rsidRPr="008C1137">
              <w:t>13.6</w:t>
            </w:r>
          </w:p>
        </w:tc>
        <w:tc>
          <w:tcPr>
            <w:tcW w:w="717" w:type="pct"/>
          </w:tcPr>
          <w:p w14:paraId="7D429073" w14:textId="77777777" w:rsidR="00A4454A" w:rsidRPr="008C1137" w:rsidRDefault="00A4454A" w:rsidP="00390380">
            <w:pPr>
              <w:pStyle w:val="TableBody"/>
            </w:pPr>
            <w:r w:rsidRPr="008C1137">
              <w:t>0.7</w:t>
            </w:r>
          </w:p>
        </w:tc>
      </w:tr>
      <w:tr w:rsidR="006A0A62" w:rsidRPr="008C1137" w14:paraId="0370EE3F" w14:textId="77777777" w:rsidTr="00CF2074">
        <w:trPr>
          <w:trHeight w:val="60"/>
        </w:trPr>
        <w:tc>
          <w:tcPr>
            <w:tcW w:w="700" w:type="pct"/>
          </w:tcPr>
          <w:p w14:paraId="5D246924" w14:textId="77777777" w:rsidR="00A4454A" w:rsidRPr="008C1137" w:rsidRDefault="00A4454A" w:rsidP="00390380">
            <w:pPr>
              <w:pStyle w:val="TableBody"/>
            </w:pPr>
            <w:r w:rsidRPr="008C1137">
              <w:lastRenderedPageBreak/>
              <w:t>2021</w:t>
            </w:r>
          </w:p>
        </w:tc>
        <w:tc>
          <w:tcPr>
            <w:tcW w:w="716" w:type="pct"/>
          </w:tcPr>
          <w:p w14:paraId="58E27D18" w14:textId="77777777" w:rsidR="00A4454A" w:rsidRPr="008C1137" w:rsidRDefault="00A4454A" w:rsidP="00390380">
            <w:pPr>
              <w:pStyle w:val="TableBody"/>
            </w:pPr>
            <w:r w:rsidRPr="008C1137">
              <w:t>23.6</w:t>
            </w:r>
          </w:p>
        </w:tc>
        <w:tc>
          <w:tcPr>
            <w:tcW w:w="717" w:type="pct"/>
          </w:tcPr>
          <w:p w14:paraId="03E5D498" w14:textId="77777777" w:rsidR="00A4454A" w:rsidRPr="008C1137" w:rsidRDefault="00A4454A" w:rsidP="00390380">
            <w:pPr>
              <w:pStyle w:val="TableBody"/>
            </w:pPr>
            <w:r w:rsidRPr="008C1137">
              <w:t>27.2</w:t>
            </w:r>
          </w:p>
        </w:tc>
        <w:tc>
          <w:tcPr>
            <w:tcW w:w="717" w:type="pct"/>
          </w:tcPr>
          <w:p w14:paraId="23197AA7" w14:textId="77777777" w:rsidR="00A4454A" w:rsidRPr="008C1137" w:rsidRDefault="00A4454A" w:rsidP="00390380">
            <w:pPr>
              <w:pStyle w:val="TableBody"/>
            </w:pPr>
            <w:r w:rsidRPr="008C1137">
              <w:t>21.3</w:t>
            </w:r>
          </w:p>
        </w:tc>
        <w:tc>
          <w:tcPr>
            <w:tcW w:w="717" w:type="pct"/>
          </w:tcPr>
          <w:p w14:paraId="23830B52" w14:textId="77777777" w:rsidR="00A4454A" w:rsidRPr="008C1137" w:rsidRDefault="00A4454A" w:rsidP="00390380">
            <w:pPr>
              <w:pStyle w:val="TableBody"/>
            </w:pPr>
            <w:r w:rsidRPr="008C1137">
              <w:t>22.9</w:t>
            </w:r>
          </w:p>
        </w:tc>
        <w:tc>
          <w:tcPr>
            <w:tcW w:w="717" w:type="pct"/>
          </w:tcPr>
          <w:p w14:paraId="75561A88" w14:textId="77777777" w:rsidR="00A4454A" w:rsidRPr="008C1137" w:rsidRDefault="00A4454A" w:rsidP="00390380">
            <w:pPr>
              <w:pStyle w:val="TableBody"/>
            </w:pPr>
            <w:r w:rsidRPr="008C1137">
              <w:t>15.0</w:t>
            </w:r>
          </w:p>
        </w:tc>
        <w:tc>
          <w:tcPr>
            <w:tcW w:w="717" w:type="pct"/>
          </w:tcPr>
          <w:p w14:paraId="0344DA22" w14:textId="77777777" w:rsidR="00A4454A" w:rsidRPr="008C1137" w:rsidRDefault="00A4454A" w:rsidP="00390380">
            <w:pPr>
              <w:pStyle w:val="TableBody"/>
            </w:pPr>
            <w:r w:rsidRPr="008C1137">
              <w:t>0.4</w:t>
            </w:r>
          </w:p>
        </w:tc>
      </w:tr>
      <w:tr w:rsidR="006A0A62" w:rsidRPr="008C1137" w14:paraId="7DBAC4E1" w14:textId="77777777" w:rsidTr="00CF2074">
        <w:trPr>
          <w:trHeight w:val="60"/>
        </w:trPr>
        <w:tc>
          <w:tcPr>
            <w:tcW w:w="700" w:type="pct"/>
          </w:tcPr>
          <w:p w14:paraId="1E709A98" w14:textId="77777777" w:rsidR="00A4454A" w:rsidRPr="008C1137" w:rsidRDefault="00A4454A" w:rsidP="00390380">
            <w:pPr>
              <w:pStyle w:val="TableBody"/>
            </w:pPr>
            <w:r w:rsidRPr="008C1137">
              <w:t>2022</w:t>
            </w:r>
          </w:p>
        </w:tc>
        <w:tc>
          <w:tcPr>
            <w:tcW w:w="716" w:type="pct"/>
          </w:tcPr>
          <w:p w14:paraId="60E76A10" w14:textId="77777777" w:rsidR="00A4454A" w:rsidRPr="008C1137" w:rsidRDefault="00A4454A" w:rsidP="00390380">
            <w:pPr>
              <w:pStyle w:val="TableBody"/>
            </w:pPr>
            <w:r w:rsidRPr="008C1137">
              <w:t>17.8</w:t>
            </w:r>
          </w:p>
        </w:tc>
        <w:tc>
          <w:tcPr>
            <w:tcW w:w="717" w:type="pct"/>
          </w:tcPr>
          <w:p w14:paraId="28DCC2E4" w14:textId="77777777" w:rsidR="00A4454A" w:rsidRPr="008C1137" w:rsidRDefault="00A4454A" w:rsidP="00390380">
            <w:pPr>
              <w:pStyle w:val="TableBody"/>
            </w:pPr>
            <w:r w:rsidRPr="008C1137">
              <w:t>19.9</w:t>
            </w:r>
          </w:p>
        </w:tc>
        <w:tc>
          <w:tcPr>
            <w:tcW w:w="717" w:type="pct"/>
          </w:tcPr>
          <w:p w14:paraId="382D632B" w14:textId="77777777" w:rsidR="00A4454A" w:rsidRPr="008C1137" w:rsidRDefault="00A4454A" w:rsidP="00390380">
            <w:pPr>
              <w:pStyle w:val="TableBody"/>
            </w:pPr>
            <w:r w:rsidRPr="008C1137">
              <w:t>15.5</w:t>
            </w:r>
          </w:p>
        </w:tc>
        <w:tc>
          <w:tcPr>
            <w:tcW w:w="717" w:type="pct"/>
          </w:tcPr>
          <w:p w14:paraId="40424741" w14:textId="77777777" w:rsidR="00A4454A" w:rsidRPr="008C1137" w:rsidRDefault="00A4454A" w:rsidP="00390380">
            <w:pPr>
              <w:pStyle w:val="TableBody"/>
            </w:pPr>
            <w:r w:rsidRPr="008C1137">
              <w:t>15.4</w:t>
            </w:r>
          </w:p>
        </w:tc>
        <w:tc>
          <w:tcPr>
            <w:tcW w:w="717" w:type="pct"/>
          </w:tcPr>
          <w:p w14:paraId="49B47243" w14:textId="77777777" w:rsidR="00A4454A" w:rsidRPr="008C1137" w:rsidRDefault="00A4454A" w:rsidP="00390380">
            <w:pPr>
              <w:pStyle w:val="TableBody"/>
            </w:pPr>
            <w:r w:rsidRPr="008C1137">
              <w:t>9.0</w:t>
            </w:r>
          </w:p>
        </w:tc>
        <w:tc>
          <w:tcPr>
            <w:tcW w:w="717" w:type="pct"/>
          </w:tcPr>
          <w:p w14:paraId="2A905287" w14:textId="77777777" w:rsidR="00A4454A" w:rsidRPr="008C1137" w:rsidRDefault="00A4454A" w:rsidP="00390380">
            <w:pPr>
              <w:pStyle w:val="TableBody"/>
            </w:pPr>
            <w:r w:rsidRPr="008C1137">
              <w:t>0.4</w:t>
            </w:r>
          </w:p>
        </w:tc>
      </w:tr>
      <w:tr w:rsidR="006A0A62" w:rsidRPr="008C1137" w14:paraId="727B9C52" w14:textId="77777777" w:rsidTr="00CF2074">
        <w:trPr>
          <w:trHeight w:val="60"/>
        </w:trPr>
        <w:tc>
          <w:tcPr>
            <w:tcW w:w="700" w:type="pct"/>
          </w:tcPr>
          <w:p w14:paraId="011FE2A7" w14:textId="77777777" w:rsidR="00A4454A" w:rsidRPr="008C1137" w:rsidRDefault="00A4454A" w:rsidP="00390380">
            <w:pPr>
              <w:pStyle w:val="TableBody"/>
            </w:pPr>
            <w:r w:rsidRPr="008C1137">
              <w:t>2023</w:t>
            </w:r>
          </w:p>
        </w:tc>
        <w:tc>
          <w:tcPr>
            <w:tcW w:w="716" w:type="pct"/>
          </w:tcPr>
          <w:p w14:paraId="3F46DE56" w14:textId="77777777" w:rsidR="00A4454A" w:rsidRPr="008C1137" w:rsidRDefault="00A4454A" w:rsidP="00390380">
            <w:pPr>
              <w:pStyle w:val="TableBody"/>
            </w:pPr>
            <w:r w:rsidRPr="008C1137">
              <w:t>14.5</w:t>
            </w:r>
          </w:p>
        </w:tc>
        <w:tc>
          <w:tcPr>
            <w:tcW w:w="717" w:type="pct"/>
          </w:tcPr>
          <w:p w14:paraId="1CCC4F87" w14:textId="77777777" w:rsidR="00A4454A" w:rsidRPr="008C1137" w:rsidRDefault="00A4454A" w:rsidP="00390380">
            <w:pPr>
              <w:pStyle w:val="TableBody"/>
            </w:pPr>
            <w:r w:rsidRPr="008C1137">
              <w:t>17.4</w:t>
            </w:r>
          </w:p>
        </w:tc>
        <w:tc>
          <w:tcPr>
            <w:tcW w:w="717" w:type="pct"/>
          </w:tcPr>
          <w:p w14:paraId="6513BB84" w14:textId="77777777" w:rsidR="00A4454A" w:rsidRPr="008C1137" w:rsidRDefault="00A4454A" w:rsidP="00390380">
            <w:pPr>
              <w:pStyle w:val="TableBody"/>
            </w:pPr>
            <w:r w:rsidRPr="008C1137">
              <w:t>11.9</w:t>
            </w:r>
          </w:p>
        </w:tc>
        <w:tc>
          <w:tcPr>
            <w:tcW w:w="717" w:type="pct"/>
          </w:tcPr>
          <w:p w14:paraId="410DB01D" w14:textId="77777777" w:rsidR="00A4454A" w:rsidRPr="008C1137" w:rsidRDefault="00A4454A" w:rsidP="00390380">
            <w:pPr>
              <w:pStyle w:val="TableBody"/>
            </w:pPr>
            <w:r w:rsidRPr="008C1137">
              <w:t>14.4</w:t>
            </w:r>
          </w:p>
        </w:tc>
        <w:tc>
          <w:tcPr>
            <w:tcW w:w="717" w:type="pct"/>
          </w:tcPr>
          <w:p w14:paraId="452A175C" w14:textId="77777777" w:rsidR="00A4454A" w:rsidRPr="008C1137" w:rsidRDefault="00A4454A" w:rsidP="00390380">
            <w:pPr>
              <w:pStyle w:val="TableBody"/>
            </w:pPr>
            <w:r w:rsidRPr="008C1137">
              <w:t>7.5</w:t>
            </w:r>
          </w:p>
        </w:tc>
        <w:tc>
          <w:tcPr>
            <w:tcW w:w="717" w:type="pct"/>
          </w:tcPr>
          <w:p w14:paraId="7ACF018E" w14:textId="77777777" w:rsidR="00A4454A" w:rsidRPr="008C1137" w:rsidRDefault="00A4454A" w:rsidP="00390380">
            <w:pPr>
              <w:pStyle w:val="TableBody"/>
            </w:pPr>
            <w:r w:rsidRPr="008C1137">
              <w:t>0.3</w:t>
            </w:r>
          </w:p>
        </w:tc>
      </w:tr>
      <w:tr w:rsidR="006A0A62" w:rsidRPr="008C1137" w14:paraId="5144824F" w14:textId="77777777" w:rsidTr="00CF2074">
        <w:trPr>
          <w:trHeight w:val="60"/>
        </w:trPr>
        <w:tc>
          <w:tcPr>
            <w:tcW w:w="700" w:type="pct"/>
          </w:tcPr>
          <w:p w14:paraId="0B28D9D2" w14:textId="77777777" w:rsidR="00A4454A" w:rsidRPr="008C1137" w:rsidRDefault="00A4454A" w:rsidP="00390380">
            <w:pPr>
              <w:pStyle w:val="TableBody"/>
            </w:pPr>
            <w:r w:rsidRPr="008C1137">
              <w:t>2024</w:t>
            </w:r>
          </w:p>
        </w:tc>
        <w:tc>
          <w:tcPr>
            <w:tcW w:w="716" w:type="pct"/>
          </w:tcPr>
          <w:p w14:paraId="393913A6" w14:textId="77777777" w:rsidR="00A4454A" w:rsidRPr="008C1137" w:rsidRDefault="00A4454A" w:rsidP="00390380">
            <w:pPr>
              <w:pStyle w:val="TableBody"/>
            </w:pPr>
            <w:r w:rsidRPr="008C1137">
              <w:t>14.3</w:t>
            </w:r>
          </w:p>
        </w:tc>
        <w:tc>
          <w:tcPr>
            <w:tcW w:w="717" w:type="pct"/>
          </w:tcPr>
          <w:p w14:paraId="5DB39049" w14:textId="77777777" w:rsidR="00A4454A" w:rsidRPr="008C1137" w:rsidRDefault="00A4454A" w:rsidP="00390380">
            <w:pPr>
              <w:pStyle w:val="TableBody"/>
            </w:pPr>
            <w:r w:rsidRPr="008C1137">
              <w:t>15.5</w:t>
            </w:r>
          </w:p>
        </w:tc>
        <w:tc>
          <w:tcPr>
            <w:tcW w:w="717" w:type="pct"/>
          </w:tcPr>
          <w:p w14:paraId="4CB31736" w14:textId="77777777" w:rsidR="00A4454A" w:rsidRPr="008C1137" w:rsidRDefault="00A4454A" w:rsidP="00390380">
            <w:pPr>
              <w:pStyle w:val="TableBody"/>
            </w:pPr>
            <w:r w:rsidRPr="008C1137">
              <w:t>10.8</w:t>
            </w:r>
          </w:p>
        </w:tc>
        <w:tc>
          <w:tcPr>
            <w:tcW w:w="717" w:type="pct"/>
          </w:tcPr>
          <w:p w14:paraId="0D8E5287" w14:textId="77777777" w:rsidR="00A4454A" w:rsidRPr="008C1137" w:rsidRDefault="00A4454A" w:rsidP="00390380">
            <w:pPr>
              <w:pStyle w:val="TableBody"/>
            </w:pPr>
            <w:r w:rsidRPr="008C1137">
              <w:t>13.7</w:t>
            </w:r>
          </w:p>
        </w:tc>
        <w:tc>
          <w:tcPr>
            <w:tcW w:w="717" w:type="pct"/>
          </w:tcPr>
          <w:p w14:paraId="2800CBB4" w14:textId="77777777" w:rsidR="00A4454A" w:rsidRPr="008C1137" w:rsidRDefault="00A4454A" w:rsidP="00390380">
            <w:pPr>
              <w:pStyle w:val="TableBody"/>
            </w:pPr>
            <w:r w:rsidRPr="008C1137">
              <w:t>7.6</w:t>
            </w:r>
          </w:p>
        </w:tc>
        <w:tc>
          <w:tcPr>
            <w:tcW w:w="717" w:type="pct"/>
          </w:tcPr>
          <w:p w14:paraId="419376E2" w14:textId="77777777" w:rsidR="00A4454A" w:rsidRPr="008C1137" w:rsidRDefault="00A4454A" w:rsidP="00390380">
            <w:pPr>
              <w:pStyle w:val="TableBody"/>
            </w:pPr>
            <w:r w:rsidRPr="008C1137">
              <w:t>0.3</w:t>
            </w:r>
          </w:p>
        </w:tc>
      </w:tr>
      <w:tr w:rsidR="006A0A62" w:rsidRPr="008C1137" w14:paraId="1518E522" w14:textId="77777777" w:rsidTr="00CF2074">
        <w:trPr>
          <w:trHeight w:val="60"/>
        </w:trPr>
        <w:tc>
          <w:tcPr>
            <w:tcW w:w="700" w:type="pct"/>
          </w:tcPr>
          <w:p w14:paraId="4C47F21B" w14:textId="77777777" w:rsidR="00A4454A" w:rsidRPr="000C258A" w:rsidRDefault="00A4454A" w:rsidP="00390380">
            <w:pPr>
              <w:pStyle w:val="TableBody"/>
              <w:rPr>
                <w:rStyle w:val="Strong"/>
              </w:rPr>
            </w:pPr>
            <w:r w:rsidRPr="000C258A">
              <w:rPr>
                <w:rStyle w:val="Strong"/>
              </w:rPr>
              <w:t>Change in rate</w:t>
            </w:r>
          </w:p>
        </w:tc>
        <w:tc>
          <w:tcPr>
            <w:tcW w:w="716" w:type="pct"/>
          </w:tcPr>
          <w:p w14:paraId="7F1FD4BD" w14:textId="77777777" w:rsidR="00A4454A" w:rsidRPr="000C258A" w:rsidRDefault="00A4454A" w:rsidP="00390380">
            <w:pPr>
              <w:pStyle w:val="TableBody"/>
              <w:rPr>
                <w:rStyle w:val="Strong"/>
              </w:rPr>
            </w:pPr>
            <w:r w:rsidRPr="000C258A">
              <w:rPr>
                <w:rStyle w:val="Strong"/>
              </w:rPr>
              <w:t>6.7</w:t>
            </w:r>
          </w:p>
        </w:tc>
        <w:tc>
          <w:tcPr>
            <w:tcW w:w="717" w:type="pct"/>
          </w:tcPr>
          <w:p w14:paraId="03315C30" w14:textId="77777777" w:rsidR="00A4454A" w:rsidRPr="000C258A" w:rsidRDefault="00A4454A" w:rsidP="00390380">
            <w:pPr>
              <w:pStyle w:val="TableBody"/>
              <w:rPr>
                <w:rStyle w:val="Strong"/>
              </w:rPr>
            </w:pPr>
            <w:r w:rsidRPr="000C258A">
              <w:rPr>
                <w:rStyle w:val="Strong"/>
              </w:rPr>
              <w:t>3.9</w:t>
            </w:r>
          </w:p>
        </w:tc>
        <w:tc>
          <w:tcPr>
            <w:tcW w:w="717" w:type="pct"/>
          </w:tcPr>
          <w:p w14:paraId="17AA44ED" w14:textId="77777777" w:rsidR="00A4454A" w:rsidRPr="000C258A" w:rsidRDefault="00A4454A" w:rsidP="00390380">
            <w:pPr>
              <w:pStyle w:val="TableBody"/>
              <w:rPr>
                <w:rStyle w:val="Strong"/>
              </w:rPr>
            </w:pPr>
            <w:r w:rsidRPr="000C258A">
              <w:rPr>
                <w:rStyle w:val="Strong"/>
              </w:rPr>
              <w:t>2.5</w:t>
            </w:r>
          </w:p>
        </w:tc>
        <w:tc>
          <w:tcPr>
            <w:tcW w:w="717" w:type="pct"/>
          </w:tcPr>
          <w:p w14:paraId="7A23075F" w14:textId="77777777" w:rsidR="00A4454A" w:rsidRPr="000C258A" w:rsidRDefault="00A4454A" w:rsidP="00390380">
            <w:pPr>
              <w:pStyle w:val="TableBody"/>
              <w:rPr>
                <w:rStyle w:val="Strong"/>
              </w:rPr>
            </w:pPr>
            <w:r w:rsidRPr="000C258A">
              <w:rPr>
                <w:rStyle w:val="Strong"/>
              </w:rPr>
              <w:t>10.4</w:t>
            </w:r>
          </w:p>
        </w:tc>
        <w:tc>
          <w:tcPr>
            <w:tcW w:w="717" w:type="pct"/>
          </w:tcPr>
          <w:p w14:paraId="2CDEBF19" w14:textId="77777777" w:rsidR="00A4454A" w:rsidRPr="000C258A" w:rsidRDefault="00A4454A" w:rsidP="00390380">
            <w:pPr>
              <w:pStyle w:val="TableBody"/>
              <w:rPr>
                <w:rStyle w:val="Strong"/>
              </w:rPr>
            </w:pPr>
            <w:r w:rsidRPr="000C258A">
              <w:rPr>
                <w:rStyle w:val="Strong"/>
              </w:rPr>
              <w:t>3.4</w:t>
            </w:r>
          </w:p>
        </w:tc>
        <w:tc>
          <w:tcPr>
            <w:tcW w:w="717" w:type="pct"/>
          </w:tcPr>
          <w:p w14:paraId="7855F806" w14:textId="77777777" w:rsidR="00A4454A" w:rsidRPr="000C258A" w:rsidRDefault="00A4454A" w:rsidP="00390380">
            <w:pPr>
              <w:pStyle w:val="TableBody"/>
              <w:rPr>
                <w:rStyle w:val="Strong"/>
              </w:rPr>
            </w:pPr>
            <w:r w:rsidRPr="000C258A">
              <w:rPr>
                <w:rStyle w:val="Strong"/>
              </w:rPr>
              <w:t>−1.8</w:t>
            </w:r>
          </w:p>
        </w:tc>
      </w:tr>
    </w:tbl>
    <w:p w14:paraId="64B4FC68" w14:textId="77777777" w:rsidR="00A4454A" w:rsidRPr="008C1137" w:rsidRDefault="00A4454A" w:rsidP="00BE4EDC">
      <w:pPr>
        <w:pStyle w:val="Caption"/>
      </w:pPr>
      <w:r w:rsidRPr="00157502">
        <w:t>Table A7</w:t>
      </w:r>
      <w:r w:rsidRPr="008C1137">
        <w:t>: Average custodial sentence length (months) in the Magistrates’ Court</w:t>
      </w:r>
    </w:p>
    <w:tbl>
      <w:tblPr>
        <w:tblStyle w:val="Table"/>
        <w:tblW w:w="5000" w:type="pct"/>
        <w:tblLook w:val="0020" w:firstRow="1" w:lastRow="0" w:firstColumn="0" w:lastColumn="0" w:noHBand="0" w:noVBand="0"/>
      </w:tblPr>
      <w:tblGrid>
        <w:gridCol w:w="1486"/>
        <w:gridCol w:w="1233"/>
        <w:gridCol w:w="1235"/>
        <w:gridCol w:w="1235"/>
        <w:gridCol w:w="1235"/>
        <w:gridCol w:w="1358"/>
        <w:gridCol w:w="1234"/>
      </w:tblGrid>
      <w:tr w:rsidR="006A0A62" w:rsidRPr="008C1137" w14:paraId="18C96EC3" w14:textId="77777777" w:rsidTr="00CF2074">
        <w:trPr>
          <w:trHeight w:val="60"/>
          <w:tblHeader/>
        </w:trPr>
        <w:tc>
          <w:tcPr>
            <w:tcW w:w="700" w:type="pct"/>
          </w:tcPr>
          <w:p w14:paraId="0E44031E" w14:textId="77777777" w:rsidR="00A4454A" w:rsidRPr="00281603" w:rsidRDefault="00A4454A" w:rsidP="00281603">
            <w:pPr>
              <w:pStyle w:val="TableHeading"/>
            </w:pPr>
            <w:r w:rsidRPr="00281603">
              <w:t>Financial year</w:t>
            </w:r>
          </w:p>
        </w:tc>
        <w:tc>
          <w:tcPr>
            <w:tcW w:w="716" w:type="pct"/>
          </w:tcPr>
          <w:p w14:paraId="62384780" w14:textId="77777777" w:rsidR="00A4454A" w:rsidRPr="00281603" w:rsidRDefault="00A4454A" w:rsidP="00281603">
            <w:pPr>
              <w:pStyle w:val="TableHeading"/>
            </w:pPr>
            <w:r w:rsidRPr="00281603">
              <w:t>Offences against the person</w:t>
            </w:r>
          </w:p>
        </w:tc>
        <w:tc>
          <w:tcPr>
            <w:tcW w:w="717" w:type="pct"/>
          </w:tcPr>
          <w:p w14:paraId="241BDCC8" w14:textId="77777777" w:rsidR="00A4454A" w:rsidRPr="00281603" w:rsidRDefault="00A4454A" w:rsidP="00281603">
            <w:pPr>
              <w:pStyle w:val="TableHeading"/>
            </w:pPr>
            <w:r w:rsidRPr="00281603">
              <w:t>Property offences</w:t>
            </w:r>
          </w:p>
        </w:tc>
        <w:tc>
          <w:tcPr>
            <w:tcW w:w="717" w:type="pct"/>
          </w:tcPr>
          <w:p w14:paraId="5BF1B1FB" w14:textId="77777777" w:rsidR="00A4454A" w:rsidRPr="00281603" w:rsidRDefault="00A4454A" w:rsidP="00281603">
            <w:pPr>
              <w:pStyle w:val="TableHeading"/>
            </w:pPr>
            <w:r w:rsidRPr="00281603">
              <w:t>Drug offences</w:t>
            </w:r>
          </w:p>
        </w:tc>
        <w:tc>
          <w:tcPr>
            <w:tcW w:w="717" w:type="pct"/>
          </w:tcPr>
          <w:p w14:paraId="6245D567" w14:textId="77777777" w:rsidR="00A4454A" w:rsidRPr="00281603" w:rsidRDefault="00A4454A" w:rsidP="00281603">
            <w:pPr>
              <w:pStyle w:val="TableHeading"/>
            </w:pPr>
            <w:r w:rsidRPr="00281603">
              <w:t>Public order offences</w:t>
            </w:r>
          </w:p>
        </w:tc>
        <w:tc>
          <w:tcPr>
            <w:tcW w:w="717" w:type="pct"/>
          </w:tcPr>
          <w:p w14:paraId="2C18CDD9" w14:textId="77777777" w:rsidR="00A4454A" w:rsidRPr="00281603" w:rsidRDefault="00A4454A" w:rsidP="00281603">
            <w:pPr>
              <w:pStyle w:val="TableHeading"/>
            </w:pPr>
            <w:r w:rsidRPr="00281603">
              <w:t>Justice procedure offences</w:t>
            </w:r>
          </w:p>
        </w:tc>
        <w:tc>
          <w:tcPr>
            <w:tcW w:w="717" w:type="pct"/>
          </w:tcPr>
          <w:p w14:paraId="4E9DDA38" w14:textId="77777777" w:rsidR="00A4454A" w:rsidRPr="00281603" w:rsidRDefault="00A4454A" w:rsidP="00281603">
            <w:pPr>
              <w:pStyle w:val="TableHeading"/>
            </w:pPr>
            <w:r w:rsidRPr="00281603">
              <w:t>Other offences</w:t>
            </w:r>
          </w:p>
        </w:tc>
      </w:tr>
      <w:tr w:rsidR="006A0A62" w:rsidRPr="008C1137" w14:paraId="2D4305E3" w14:textId="77777777" w:rsidTr="00CF2074">
        <w:trPr>
          <w:trHeight w:val="60"/>
        </w:trPr>
        <w:tc>
          <w:tcPr>
            <w:tcW w:w="700" w:type="pct"/>
          </w:tcPr>
          <w:p w14:paraId="02AAEF35" w14:textId="77777777" w:rsidR="00A4454A" w:rsidRPr="008C1137" w:rsidRDefault="00A4454A" w:rsidP="00390380">
            <w:pPr>
              <w:pStyle w:val="TableBody"/>
            </w:pPr>
            <w:r w:rsidRPr="008C1137">
              <w:t>2007</w:t>
            </w:r>
          </w:p>
        </w:tc>
        <w:tc>
          <w:tcPr>
            <w:tcW w:w="716" w:type="pct"/>
          </w:tcPr>
          <w:p w14:paraId="72A778DA" w14:textId="77777777" w:rsidR="00A4454A" w:rsidRPr="008C1137" w:rsidRDefault="00A4454A" w:rsidP="00390380">
            <w:pPr>
              <w:pStyle w:val="TableBody"/>
            </w:pPr>
            <w:r w:rsidRPr="008C1137">
              <w:t>6.2</w:t>
            </w:r>
          </w:p>
        </w:tc>
        <w:tc>
          <w:tcPr>
            <w:tcW w:w="717" w:type="pct"/>
          </w:tcPr>
          <w:p w14:paraId="1DD430AC" w14:textId="77777777" w:rsidR="00A4454A" w:rsidRPr="008C1137" w:rsidRDefault="00A4454A" w:rsidP="00390380">
            <w:pPr>
              <w:pStyle w:val="TableBody"/>
            </w:pPr>
            <w:r w:rsidRPr="008C1137">
              <w:t>5.7</w:t>
            </w:r>
          </w:p>
        </w:tc>
        <w:tc>
          <w:tcPr>
            <w:tcW w:w="717" w:type="pct"/>
          </w:tcPr>
          <w:p w14:paraId="705BE90F" w14:textId="77777777" w:rsidR="00A4454A" w:rsidRPr="008C1137" w:rsidRDefault="00A4454A" w:rsidP="00390380">
            <w:pPr>
              <w:pStyle w:val="TableBody"/>
            </w:pPr>
            <w:r w:rsidRPr="008C1137">
              <w:t>6.5</w:t>
            </w:r>
          </w:p>
        </w:tc>
        <w:tc>
          <w:tcPr>
            <w:tcW w:w="717" w:type="pct"/>
          </w:tcPr>
          <w:p w14:paraId="1108D598" w14:textId="77777777" w:rsidR="00A4454A" w:rsidRPr="008C1137" w:rsidRDefault="00A4454A" w:rsidP="00390380">
            <w:pPr>
              <w:pStyle w:val="TableBody"/>
            </w:pPr>
            <w:r w:rsidRPr="008C1137">
              <w:t>4.3</w:t>
            </w:r>
          </w:p>
        </w:tc>
        <w:tc>
          <w:tcPr>
            <w:tcW w:w="717" w:type="pct"/>
          </w:tcPr>
          <w:p w14:paraId="1AF6E67D" w14:textId="77777777" w:rsidR="00A4454A" w:rsidRPr="008C1137" w:rsidRDefault="00A4454A" w:rsidP="00390380">
            <w:pPr>
              <w:pStyle w:val="TableBody"/>
            </w:pPr>
            <w:r w:rsidRPr="008C1137">
              <w:t>1.8</w:t>
            </w:r>
          </w:p>
        </w:tc>
        <w:tc>
          <w:tcPr>
            <w:tcW w:w="717" w:type="pct"/>
          </w:tcPr>
          <w:p w14:paraId="0CF4FAB7" w14:textId="77777777" w:rsidR="00A4454A" w:rsidRPr="008C1137" w:rsidRDefault="00A4454A" w:rsidP="00390380">
            <w:pPr>
              <w:pStyle w:val="TableBody"/>
            </w:pPr>
            <w:r w:rsidRPr="008C1137">
              <w:t>2.6</w:t>
            </w:r>
          </w:p>
        </w:tc>
      </w:tr>
      <w:tr w:rsidR="006A0A62" w:rsidRPr="008C1137" w14:paraId="4365B0A3" w14:textId="77777777" w:rsidTr="00CF2074">
        <w:trPr>
          <w:trHeight w:val="60"/>
        </w:trPr>
        <w:tc>
          <w:tcPr>
            <w:tcW w:w="700" w:type="pct"/>
          </w:tcPr>
          <w:p w14:paraId="7F45B346" w14:textId="77777777" w:rsidR="00A4454A" w:rsidRPr="008C1137" w:rsidRDefault="00A4454A" w:rsidP="00390380">
            <w:pPr>
              <w:pStyle w:val="TableBody"/>
            </w:pPr>
            <w:r w:rsidRPr="008C1137">
              <w:t>2008</w:t>
            </w:r>
          </w:p>
        </w:tc>
        <w:tc>
          <w:tcPr>
            <w:tcW w:w="716" w:type="pct"/>
          </w:tcPr>
          <w:p w14:paraId="2FFB6E28" w14:textId="77777777" w:rsidR="00A4454A" w:rsidRPr="008C1137" w:rsidRDefault="00A4454A" w:rsidP="00390380">
            <w:pPr>
              <w:pStyle w:val="TableBody"/>
            </w:pPr>
            <w:r w:rsidRPr="008C1137">
              <w:t>6.9</w:t>
            </w:r>
          </w:p>
        </w:tc>
        <w:tc>
          <w:tcPr>
            <w:tcW w:w="717" w:type="pct"/>
          </w:tcPr>
          <w:p w14:paraId="5BBDB365" w14:textId="77777777" w:rsidR="00A4454A" w:rsidRPr="008C1137" w:rsidRDefault="00A4454A" w:rsidP="00390380">
            <w:pPr>
              <w:pStyle w:val="TableBody"/>
            </w:pPr>
            <w:r w:rsidRPr="008C1137">
              <w:t>5.8</w:t>
            </w:r>
          </w:p>
        </w:tc>
        <w:tc>
          <w:tcPr>
            <w:tcW w:w="717" w:type="pct"/>
          </w:tcPr>
          <w:p w14:paraId="179812BE" w14:textId="77777777" w:rsidR="00A4454A" w:rsidRPr="008C1137" w:rsidRDefault="00A4454A" w:rsidP="00390380">
            <w:pPr>
              <w:pStyle w:val="TableBody"/>
            </w:pPr>
            <w:r w:rsidRPr="008C1137">
              <w:t>6.9</w:t>
            </w:r>
          </w:p>
        </w:tc>
        <w:tc>
          <w:tcPr>
            <w:tcW w:w="717" w:type="pct"/>
          </w:tcPr>
          <w:p w14:paraId="4013CFD3" w14:textId="77777777" w:rsidR="00A4454A" w:rsidRPr="008C1137" w:rsidRDefault="00A4454A" w:rsidP="00390380">
            <w:pPr>
              <w:pStyle w:val="TableBody"/>
            </w:pPr>
            <w:r w:rsidRPr="008C1137">
              <w:t>5.3</w:t>
            </w:r>
          </w:p>
        </w:tc>
        <w:tc>
          <w:tcPr>
            <w:tcW w:w="717" w:type="pct"/>
          </w:tcPr>
          <w:p w14:paraId="5318B275" w14:textId="77777777" w:rsidR="00A4454A" w:rsidRPr="008C1137" w:rsidRDefault="00A4454A" w:rsidP="00390380">
            <w:pPr>
              <w:pStyle w:val="TableBody"/>
            </w:pPr>
            <w:r w:rsidRPr="008C1137">
              <w:t>2.3</w:t>
            </w:r>
          </w:p>
        </w:tc>
        <w:tc>
          <w:tcPr>
            <w:tcW w:w="717" w:type="pct"/>
          </w:tcPr>
          <w:p w14:paraId="7583266A" w14:textId="77777777" w:rsidR="00A4454A" w:rsidRPr="008C1137" w:rsidRDefault="00A4454A" w:rsidP="00390380">
            <w:pPr>
              <w:pStyle w:val="TableBody"/>
            </w:pPr>
            <w:r w:rsidRPr="008C1137">
              <w:t>2.7</w:t>
            </w:r>
          </w:p>
        </w:tc>
      </w:tr>
      <w:tr w:rsidR="006A0A62" w:rsidRPr="008C1137" w14:paraId="1520EAF0" w14:textId="77777777" w:rsidTr="00CF2074">
        <w:trPr>
          <w:trHeight w:val="60"/>
        </w:trPr>
        <w:tc>
          <w:tcPr>
            <w:tcW w:w="700" w:type="pct"/>
          </w:tcPr>
          <w:p w14:paraId="2F362812" w14:textId="77777777" w:rsidR="00A4454A" w:rsidRPr="008C1137" w:rsidRDefault="00A4454A" w:rsidP="00390380">
            <w:pPr>
              <w:pStyle w:val="TableBody"/>
            </w:pPr>
            <w:r w:rsidRPr="008C1137">
              <w:t>2009</w:t>
            </w:r>
          </w:p>
        </w:tc>
        <w:tc>
          <w:tcPr>
            <w:tcW w:w="716" w:type="pct"/>
          </w:tcPr>
          <w:p w14:paraId="4BABFF9F" w14:textId="77777777" w:rsidR="00A4454A" w:rsidRPr="008C1137" w:rsidRDefault="00A4454A" w:rsidP="00390380">
            <w:pPr>
              <w:pStyle w:val="TableBody"/>
            </w:pPr>
            <w:r w:rsidRPr="008C1137">
              <w:t>6.8</w:t>
            </w:r>
          </w:p>
        </w:tc>
        <w:tc>
          <w:tcPr>
            <w:tcW w:w="717" w:type="pct"/>
          </w:tcPr>
          <w:p w14:paraId="207A62BC" w14:textId="77777777" w:rsidR="00A4454A" w:rsidRPr="008C1137" w:rsidRDefault="00A4454A" w:rsidP="00390380">
            <w:pPr>
              <w:pStyle w:val="TableBody"/>
            </w:pPr>
            <w:r w:rsidRPr="008C1137">
              <w:t>5.8</w:t>
            </w:r>
          </w:p>
        </w:tc>
        <w:tc>
          <w:tcPr>
            <w:tcW w:w="717" w:type="pct"/>
          </w:tcPr>
          <w:p w14:paraId="122A9653" w14:textId="77777777" w:rsidR="00A4454A" w:rsidRPr="008C1137" w:rsidRDefault="00A4454A" w:rsidP="00390380">
            <w:pPr>
              <w:pStyle w:val="TableBody"/>
            </w:pPr>
            <w:r w:rsidRPr="008C1137">
              <w:t>7.1</w:t>
            </w:r>
          </w:p>
        </w:tc>
        <w:tc>
          <w:tcPr>
            <w:tcW w:w="717" w:type="pct"/>
          </w:tcPr>
          <w:p w14:paraId="06D5A155" w14:textId="77777777" w:rsidR="00A4454A" w:rsidRPr="008C1137" w:rsidRDefault="00A4454A" w:rsidP="00390380">
            <w:pPr>
              <w:pStyle w:val="TableBody"/>
            </w:pPr>
            <w:r w:rsidRPr="008C1137">
              <w:t>4.9</w:t>
            </w:r>
          </w:p>
        </w:tc>
        <w:tc>
          <w:tcPr>
            <w:tcW w:w="717" w:type="pct"/>
          </w:tcPr>
          <w:p w14:paraId="4C9AEFAD" w14:textId="77777777" w:rsidR="00A4454A" w:rsidRPr="008C1137" w:rsidRDefault="00A4454A" w:rsidP="00390380">
            <w:pPr>
              <w:pStyle w:val="TableBody"/>
            </w:pPr>
            <w:r w:rsidRPr="008C1137">
              <w:t>1.8</w:t>
            </w:r>
          </w:p>
        </w:tc>
        <w:tc>
          <w:tcPr>
            <w:tcW w:w="717" w:type="pct"/>
          </w:tcPr>
          <w:p w14:paraId="6EE9A9B8" w14:textId="77777777" w:rsidR="00A4454A" w:rsidRPr="008C1137" w:rsidRDefault="00A4454A" w:rsidP="00390380">
            <w:pPr>
              <w:pStyle w:val="TableBody"/>
            </w:pPr>
            <w:r w:rsidRPr="008C1137">
              <w:t>2.4</w:t>
            </w:r>
          </w:p>
        </w:tc>
      </w:tr>
      <w:tr w:rsidR="006A0A62" w:rsidRPr="008C1137" w14:paraId="11BBCD5B" w14:textId="77777777" w:rsidTr="00CF2074">
        <w:trPr>
          <w:trHeight w:val="60"/>
        </w:trPr>
        <w:tc>
          <w:tcPr>
            <w:tcW w:w="700" w:type="pct"/>
          </w:tcPr>
          <w:p w14:paraId="2AE1ACAA" w14:textId="77777777" w:rsidR="00A4454A" w:rsidRPr="008C1137" w:rsidRDefault="00A4454A" w:rsidP="00390380">
            <w:pPr>
              <w:pStyle w:val="TableBody"/>
            </w:pPr>
            <w:r w:rsidRPr="008C1137">
              <w:t>2010</w:t>
            </w:r>
          </w:p>
        </w:tc>
        <w:tc>
          <w:tcPr>
            <w:tcW w:w="716" w:type="pct"/>
          </w:tcPr>
          <w:p w14:paraId="2EA9C76E" w14:textId="77777777" w:rsidR="00A4454A" w:rsidRPr="008C1137" w:rsidRDefault="00A4454A" w:rsidP="00390380">
            <w:pPr>
              <w:pStyle w:val="TableBody"/>
            </w:pPr>
            <w:r w:rsidRPr="008C1137">
              <w:t>7.1</w:t>
            </w:r>
          </w:p>
        </w:tc>
        <w:tc>
          <w:tcPr>
            <w:tcW w:w="717" w:type="pct"/>
          </w:tcPr>
          <w:p w14:paraId="4254A05A" w14:textId="77777777" w:rsidR="00A4454A" w:rsidRPr="008C1137" w:rsidRDefault="00A4454A" w:rsidP="00390380">
            <w:pPr>
              <w:pStyle w:val="TableBody"/>
            </w:pPr>
            <w:r w:rsidRPr="008C1137">
              <w:t>5.8</w:t>
            </w:r>
          </w:p>
        </w:tc>
        <w:tc>
          <w:tcPr>
            <w:tcW w:w="717" w:type="pct"/>
          </w:tcPr>
          <w:p w14:paraId="43986AEC" w14:textId="77777777" w:rsidR="00A4454A" w:rsidRPr="008C1137" w:rsidRDefault="00A4454A" w:rsidP="00390380">
            <w:pPr>
              <w:pStyle w:val="TableBody"/>
            </w:pPr>
            <w:r w:rsidRPr="008C1137">
              <w:t>6.3</w:t>
            </w:r>
          </w:p>
        </w:tc>
        <w:tc>
          <w:tcPr>
            <w:tcW w:w="717" w:type="pct"/>
          </w:tcPr>
          <w:p w14:paraId="494AAB7D" w14:textId="77777777" w:rsidR="00A4454A" w:rsidRPr="008C1137" w:rsidRDefault="00A4454A" w:rsidP="00390380">
            <w:pPr>
              <w:pStyle w:val="TableBody"/>
            </w:pPr>
            <w:r w:rsidRPr="008C1137">
              <w:t>4.8</w:t>
            </w:r>
          </w:p>
        </w:tc>
        <w:tc>
          <w:tcPr>
            <w:tcW w:w="717" w:type="pct"/>
          </w:tcPr>
          <w:p w14:paraId="50A1A663" w14:textId="77777777" w:rsidR="00A4454A" w:rsidRPr="008C1137" w:rsidRDefault="00A4454A" w:rsidP="00390380">
            <w:pPr>
              <w:pStyle w:val="TableBody"/>
            </w:pPr>
            <w:r w:rsidRPr="008C1137">
              <w:t>2.5</w:t>
            </w:r>
          </w:p>
        </w:tc>
        <w:tc>
          <w:tcPr>
            <w:tcW w:w="717" w:type="pct"/>
          </w:tcPr>
          <w:p w14:paraId="647904D8" w14:textId="77777777" w:rsidR="00A4454A" w:rsidRPr="008C1137" w:rsidRDefault="00A4454A" w:rsidP="00390380">
            <w:pPr>
              <w:pStyle w:val="TableBody"/>
            </w:pPr>
            <w:r w:rsidRPr="008C1137">
              <w:t>2.9</w:t>
            </w:r>
          </w:p>
        </w:tc>
      </w:tr>
      <w:tr w:rsidR="006A0A62" w:rsidRPr="008C1137" w14:paraId="6FC02CC3" w14:textId="77777777" w:rsidTr="00CF2074">
        <w:trPr>
          <w:trHeight w:val="60"/>
        </w:trPr>
        <w:tc>
          <w:tcPr>
            <w:tcW w:w="700" w:type="pct"/>
          </w:tcPr>
          <w:p w14:paraId="6CC1CB56" w14:textId="77777777" w:rsidR="00A4454A" w:rsidRPr="008C1137" w:rsidRDefault="00A4454A" w:rsidP="00390380">
            <w:pPr>
              <w:pStyle w:val="TableBody"/>
            </w:pPr>
            <w:r w:rsidRPr="008C1137">
              <w:t>2011</w:t>
            </w:r>
          </w:p>
        </w:tc>
        <w:tc>
          <w:tcPr>
            <w:tcW w:w="716" w:type="pct"/>
          </w:tcPr>
          <w:p w14:paraId="61A293AF" w14:textId="77777777" w:rsidR="00A4454A" w:rsidRPr="008C1137" w:rsidRDefault="00A4454A" w:rsidP="00390380">
            <w:pPr>
              <w:pStyle w:val="TableBody"/>
            </w:pPr>
            <w:r w:rsidRPr="008C1137">
              <w:t>7.5</w:t>
            </w:r>
          </w:p>
        </w:tc>
        <w:tc>
          <w:tcPr>
            <w:tcW w:w="717" w:type="pct"/>
          </w:tcPr>
          <w:p w14:paraId="35087AB7" w14:textId="77777777" w:rsidR="00A4454A" w:rsidRPr="008C1137" w:rsidRDefault="00A4454A" w:rsidP="00390380">
            <w:pPr>
              <w:pStyle w:val="TableBody"/>
            </w:pPr>
            <w:r w:rsidRPr="008C1137">
              <w:t>5.7</w:t>
            </w:r>
          </w:p>
        </w:tc>
        <w:tc>
          <w:tcPr>
            <w:tcW w:w="717" w:type="pct"/>
          </w:tcPr>
          <w:p w14:paraId="215885AA" w14:textId="77777777" w:rsidR="00A4454A" w:rsidRPr="008C1137" w:rsidRDefault="00A4454A" w:rsidP="00390380">
            <w:pPr>
              <w:pStyle w:val="TableBody"/>
            </w:pPr>
            <w:r w:rsidRPr="008C1137">
              <w:t>8.5</w:t>
            </w:r>
          </w:p>
        </w:tc>
        <w:tc>
          <w:tcPr>
            <w:tcW w:w="717" w:type="pct"/>
          </w:tcPr>
          <w:p w14:paraId="5C0C93A9" w14:textId="77777777" w:rsidR="00A4454A" w:rsidRPr="008C1137" w:rsidRDefault="00A4454A" w:rsidP="00390380">
            <w:pPr>
              <w:pStyle w:val="TableBody"/>
            </w:pPr>
            <w:r w:rsidRPr="008C1137">
              <w:t>4.5</w:t>
            </w:r>
          </w:p>
        </w:tc>
        <w:tc>
          <w:tcPr>
            <w:tcW w:w="717" w:type="pct"/>
          </w:tcPr>
          <w:p w14:paraId="6989B07B" w14:textId="77777777" w:rsidR="00A4454A" w:rsidRPr="008C1137" w:rsidRDefault="00A4454A" w:rsidP="00390380">
            <w:pPr>
              <w:pStyle w:val="TableBody"/>
            </w:pPr>
            <w:r w:rsidRPr="008C1137">
              <w:t>2.2</w:t>
            </w:r>
          </w:p>
        </w:tc>
        <w:tc>
          <w:tcPr>
            <w:tcW w:w="717" w:type="pct"/>
          </w:tcPr>
          <w:p w14:paraId="624442B6" w14:textId="77777777" w:rsidR="00A4454A" w:rsidRPr="008C1137" w:rsidRDefault="00A4454A" w:rsidP="00390380">
            <w:pPr>
              <w:pStyle w:val="TableBody"/>
            </w:pPr>
            <w:r w:rsidRPr="008C1137">
              <w:t>2.5</w:t>
            </w:r>
          </w:p>
        </w:tc>
      </w:tr>
      <w:tr w:rsidR="006A0A62" w:rsidRPr="008C1137" w14:paraId="5B18DEEA" w14:textId="77777777" w:rsidTr="00CF2074">
        <w:trPr>
          <w:trHeight w:val="60"/>
        </w:trPr>
        <w:tc>
          <w:tcPr>
            <w:tcW w:w="700" w:type="pct"/>
          </w:tcPr>
          <w:p w14:paraId="3A821D37" w14:textId="77777777" w:rsidR="00A4454A" w:rsidRPr="008C1137" w:rsidRDefault="00A4454A" w:rsidP="00390380">
            <w:pPr>
              <w:pStyle w:val="TableBody"/>
            </w:pPr>
            <w:r w:rsidRPr="008C1137">
              <w:t>2012</w:t>
            </w:r>
          </w:p>
        </w:tc>
        <w:tc>
          <w:tcPr>
            <w:tcW w:w="716" w:type="pct"/>
          </w:tcPr>
          <w:p w14:paraId="2CA7A1DF" w14:textId="77777777" w:rsidR="00A4454A" w:rsidRPr="008C1137" w:rsidRDefault="00A4454A" w:rsidP="00390380">
            <w:pPr>
              <w:pStyle w:val="TableBody"/>
            </w:pPr>
            <w:r w:rsidRPr="008C1137">
              <w:t>7</w:t>
            </w:r>
          </w:p>
        </w:tc>
        <w:tc>
          <w:tcPr>
            <w:tcW w:w="717" w:type="pct"/>
          </w:tcPr>
          <w:p w14:paraId="35F9A827" w14:textId="77777777" w:rsidR="00A4454A" w:rsidRPr="008C1137" w:rsidRDefault="00A4454A" w:rsidP="00390380">
            <w:pPr>
              <w:pStyle w:val="TableBody"/>
            </w:pPr>
            <w:r w:rsidRPr="008C1137">
              <w:t>5.8</w:t>
            </w:r>
          </w:p>
        </w:tc>
        <w:tc>
          <w:tcPr>
            <w:tcW w:w="717" w:type="pct"/>
          </w:tcPr>
          <w:p w14:paraId="45B4A63A" w14:textId="77777777" w:rsidR="00A4454A" w:rsidRPr="008C1137" w:rsidRDefault="00A4454A" w:rsidP="00390380">
            <w:pPr>
              <w:pStyle w:val="TableBody"/>
            </w:pPr>
            <w:r w:rsidRPr="008C1137">
              <w:t>7.3</w:t>
            </w:r>
          </w:p>
        </w:tc>
        <w:tc>
          <w:tcPr>
            <w:tcW w:w="717" w:type="pct"/>
          </w:tcPr>
          <w:p w14:paraId="3E59D28A" w14:textId="77777777" w:rsidR="00A4454A" w:rsidRPr="008C1137" w:rsidRDefault="00A4454A" w:rsidP="00390380">
            <w:pPr>
              <w:pStyle w:val="TableBody"/>
            </w:pPr>
            <w:r w:rsidRPr="008C1137">
              <w:t>4.8</w:t>
            </w:r>
          </w:p>
        </w:tc>
        <w:tc>
          <w:tcPr>
            <w:tcW w:w="717" w:type="pct"/>
          </w:tcPr>
          <w:p w14:paraId="16EEDF50" w14:textId="77777777" w:rsidR="00A4454A" w:rsidRPr="008C1137" w:rsidRDefault="00A4454A" w:rsidP="00390380">
            <w:pPr>
              <w:pStyle w:val="TableBody"/>
            </w:pPr>
            <w:r w:rsidRPr="008C1137">
              <w:t>2.4</w:t>
            </w:r>
          </w:p>
        </w:tc>
        <w:tc>
          <w:tcPr>
            <w:tcW w:w="717" w:type="pct"/>
          </w:tcPr>
          <w:p w14:paraId="64F9B81B" w14:textId="77777777" w:rsidR="00A4454A" w:rsidRPr="008C1137" w:rsidRDefault="00A4454A" w:rsidP="00390380">
            <w:pPr>
              <w:pStyle w:val="TableBody"/>
            </w:pPr>
            <w:r w:rsidRPr="008C1137">
              <w:t>2.6</w:t>
            </w:r>
          </w:p>
        </w:tc>
      </w:tr>
      <w:tr w:rsidR="006A0A62" w:rsidRPr="008C1137" w14:paraId="62758801" w14:textId="77777777" w:rsidTr="00CF2074">
        <w:trPr>
          <w:trHeight w:val="60"/>
        </w:trPr>
        <w:tc>
          <w:tcPr>
            <w:tcW w:w="700" w:type="pct"/>
          </w:tcPr>
          <w:p w14:paraId="642CA18E" w14:textId="77777777" w:rsidR="00A4454A" w:rsidRPr="008C1137" w:rsidRDefault="00A4454A" w:rsidP="00390380">
            <w:pPr>
              <w:pStyle w:val="TableBody"/>
            </w:pPr>
            <w:r w:rsidRPr="008C1137">
              <w:t>2013</w:t>
            </w:r>
          </w:p>
        </w:tc>
        <w:tc>
          <w:tcPr>
            <w:tcW w:w="716" w:type="pct"/>
          </w:tcPr>
          <w:p w14:paraId="1F3EA9AB" w14:textId="77777777" w:rsidR="00A4454A" w:rsidRPr="008C1137" w:rsidRDefault="00A4454A" w:rsidP="00390380">
            <w:pPr>
              <w:pStyle w:val="TableBody"/>
            </w:pPr>
            <w:r w:rsidRPr="008C1137">
              <w:t>7</w:t>
            </w:r>
          </w:p>
        </w:tc>
        <w:tc>
          <w:tcPr>
            <w:tcW w:w="717" w:type="pct"/>
          </w:tcPr>
          <w:p w14:paraId="41FFB9DF" w14:textId="77777777" w:rsidR="00A4454A" w:rsidRPr="008C1137" w:rsidRDefault="00A4454A" w:rsidP="00390380">
            <w:pPr>
              <w:pStyle w:val="TableBody"/>
            </w:pPr>
            <w:r w:rsidRPr="008C1137">
              <w:t>5.8</w:t>
            </w:r>
          </w:p>
        </w:tc>
        <w:tc>
          <w:tcPr>
            <w:tcW w:w="717" w:type="pct"/>
          </w:tcPr>
          <w:p w14:paraId="0A8A750F" w14:textId="77777777" w:rsidR="00A4454A" w:rsidRPr="008C1137" w:rsidRDefault="00A4454A" w:rsidP="00390380">
            <w:pPr>
              <w:pStyle w:val="TableBody"/>
            </w:pPr>
            <w:r w:rsidRPr="008C1137">
              <w:t>7.2</w:t>
            </w:r>
          </w:p>
        </w:tc>
        <w:tc>
          <w:tcPr>
            <w:tcW w:w="717" w:type="pct"/>
          </w:tcPr>
          <w:p w14:paraId="7CB97A24" w14:textId="77777777" w:rsidR="00A4454A" w:rsidRPr="008C1137" w:rsidRDefault="00A4454A" w:rsidP="00390380">
            <w:pPr>
              <w:pStyle w:val="TableBody"/>
            </w:pPr>
            <w:r w:rsidRPr="008C1137">
              <w:t>5.2</w:t>
            </w:r>
          </w:p>
        </w:tc>
        <w:tc>
          <w:tcPr>
            <w:tcW w:w="717" w:type="pct"/>
          </w:tcPr>
          <w:p w14:paraId="728FB208" w14:textId="77777777" w:rsidR="00A4454A" w:rsidRPr="008C1137" w:rsidRDefault="00A4454A" w:rsidP="00390380">
            <w:pPr>
              <w:pStyle w:val="TableBody"/>
            </w:pPr>
            <w:r w:rsidRPr="008C1137">
              <w:t>1.7</w:t>
            </w:r>
          </w:p>
        </w:tc>
        <w:tc>
          <w:tcPr>
            <w:tcW w:w="717" w:type="pct"/>
          </w:tcPr>
          <w:p w14:paraId="0DADDFF6" w14:textId="77777777" w:rsidR="00A4454A" w:rsidRPr="008C1137" w:rsidRDefault="00A4454A" w:rsidP="00390380">
            <w:pPr>
              <w:pStyle w:val="TableBody"/>
            </w:pPr>
            <w:r w:rsidRPr="008C1137">
              <w:t>2.4</w:t>
            </w:r>
          </w:p>
        </w:tc>
      </w:tr>
      <w:tr w:rsidR="006A0A62" w:rsidRPr="008C1137" w14:paraId="137D4238" w14:textId="77777777" w:rsidTr="00CF2074">
        <w:trPr>
          <w:trHeight w:val="60"/>
        </w:trPr>
        <w:tc>
          <w:tcPr>
            <w:tcW w:w="700" w:type="pct"/>
          </w:tcPr>
          <w:p w14:paraId="51EF6B93" w14:textId="77777777" w:rsidR="00A4454A" w:rsidRPr="008C1137" w:rsidRDefault="00A4454A" w:rsidP="00390380">
            <w:pPr>
              <w:pStyle w:val="TableBody"/>
            </w:pPr>
            <w:r w:rsidRPr="008C1137">
              <w:t>2014</w:t>
            </w:r>
          </w:p>
        </w:tc>
        <w:tc>
          <w:tcPr>
            <w:tcW w:w="716" w:type="pct"/>
          </w:tcPr>
          <w:p w14:paraId="68FEBEBE" w14:textId="77777777" w:rsidR="00A4454A" w:rsidRPr="008C1137" w:rsidRDefault="00A4454A" w:rsidP="00390380">
            <w:pPr>
              <w:pStyle w:val="TableBody"/>
            </w:pPr>
            <w:r w:rsidRPr="008C1137">
              <w:t>6.2</w:t>
            </w:r>
          </w:p>
        </w:tc>
        <w:tc>
          <w:tcPr>
            <w:tcW w:w="717" w:type="pct"/>
          </w:tcPr>
          <w:p w14:paraId="0FE85EC9" w14:textId="77777777" w:rsidR="00A4454A" w:rsidRPr="008C1137" w:rsidRDefault="00A4454A" w:rsidP="00390380">
            <w:pPr>
              <w:pStyle w:val="TableBody"/>
            </w:pPr>
            <w:r w:rsidRPr="008C1137">
              <w:t>5.1</w:t>
            </w:r>
          </w:p>
        </w:tc>
        <w:tc>
          <w:tcPr>
            <w:tcW w:w="717" w:type="pct"/>
          </w:tcPr>
          <w:p w14:paraId="6088FDBD" w14:textId="77777777" w:rsidR="00A4454A" w:rsidRPr="008C1137" w:rsidRDefault="00A4454A" w:rsidP="00390380">
            <w:pPr>
              <w:pStyle w:val="TableBody"/>
            </w:pPr>
            <w:r w:rsidRPr="008C1137">
              <w:t>6.4</w:t>
            </w:r>
          </w:p>
        </w:tc>
        <w:tc>
          <w:tcPr>
            <w:tcW w:w="717" w:type="pct"/>
          </w:tcPr>
          <w:p w14:paraId="027B28C3" w14:textId="77777777" w:rsidR="00A4454A" w:rsidRPr="008C1137" w:rsidRDefault="00A4454A" w:rsidP="00390380">
            <w:pPr>
              <w:pStyle w:val="TableBody"/>
            </w:pPr>
            <w:r w:rsidRPr="008C1137">
              <w:t>4.6</w:t>
            </w:r>
          </w:p>
        </w:tc>
        <w:tc>
          <w:tcPr>
            <w:tcW w:w="717" w:type="pct"/>
          </w:tcPr>
          <w:p w14:paraId="49D75FEF" w14:textId="77777777" w:rsidR="00A4454A" w:rsidRPr="008C1137" w:rsidRDefault="00A4454A" w:rsidP="00390380">
            <w:pPr>
              <w:pStyle w:val="TableBody"/>
            </w:pPr>
            <w:r w:rsidRPr="008C1137">
              <w:t>2.4</w:t>
            </w:r>
          </w:p>
        </w:tc>
        <w:tc>
          <w:tcPr>
            <w:tcW w:w="717" w:type="pct"/>
          </w:tcPr>
          <w:p w14:paraId="66883C46" w14:textId="77777777" w:rsidR="00A4454A" w:rsidRPr="008C1137" w:rsidRDefault="00A4454A" w:rsidP="00390380">
            <w:pPr>
              <w:pStyle w:val="TableBody"/>
            </w:pPr>
            <w:r w:rsidRPr="008C1137">
              <w:t>2.3</w:t>
            </w:r>
          </w:p>
        </w:tc>
      </w:tr>
      <w:tr w:rsidR="006A0A62" w:rsidRPr="008C1137" w14:paraId="315BE553" w14:textId="77777777" w:rsidTr="00CF2074">
        <w:trPr>
          <w:trHeight w:val="60"/>
        </w:trPr>
        <w:tc>
          <w:tcPr>
            <w:tcW w:w="700" w:type="pct"/>
          </w:tcPr>
          <w:p w14:paraId="47620A54" w14:textId="77777777" w:rsidR="00A4454A" w:rsidRPr="008C1137" w:rsidRDefault="00A4454A" w:rsidP="00390380">
            <w:pPr>
              <w:pStyle w:val="TableBody"/>
            </w:pPr>
            <w:r w:rsidRPr="008C1137">
              <w:t>2015</w:t>
            </w:r>
          </w:p>
        </w:tc>
        <w:tc>
          <w:tcPr>
            <w:tcW w:w="716" w:type="pct"/>
          </w:tcPr>
          <w:p w14:paraId="173303E5" w14:textId="77777777" w:rsidR="00A4454A" w:rsidRPr="008C1137" w:rsidRDefault="00A4454A" w:rsidP="00390380">
            <w:pPr>
              <w:pStyle w:val="TableBody"/>
            </w:pPr>
            <w:r w:rsidRPr="008C1137">
              <w:t>5.7</w:t>
            </w:r>
          </w:p>
        </w:tc>
        <w:tc>
          <w:tcPr>
            <w:tcW w:w="717" w:type="pct"/>
          </w:tcPr>
          <w:p w14:paraId="1B2937B1" w14:textId="77777777" w:rsidR="00A4454A" w:rsidRPr="008C1137" w:rsidRDefault="00A4454A" w:rsidP="00390380">
            <w:pPr>
              <w:pStyle w:val="TableBody"/>
            </w:pPr>
            <w:r w:rsidRPr="008C1137">
              <w:t>4.8</w:t>
            </w:r>
          </w:p>
        </w:tc>
        <w:tc>
          <w:tcPr>
            <w:tcW w:w="717" w:type="pct"/>
          </w:tcPr>
          <w:p w14:paraId="174A506E" w14:textId="77777777" w:rsidR="00A4454A" w:rsidRPr="008C1137" w:rsidRDefault="00A4454A" w:rsidP="00390380">
            <w:pPr>
              <w:pStyle w:val="TableBody"/>
            </w:pPr>
            <w:r w:rsidRPr="008C1137">
              <w:t>6.4</w:t>
            </w:r>
          </w:p>
        </w:tc>
        <w:tc>
          <w:tcPr>
            <w:tcW w:w="717" w:type="pct"/>
          </w:tcPr>
          <w:p w14:paraId="18FC383F" w14:textId="77777777" w:rsidR="00A4454A" w:rsidRPr="008C1137" w:rsidRDefault="00A4454A" w:rsidP="00390380">
            <w:pPr>
              <w:pStyle w:val="TableBody"/>
            </w:pPr>
            <w:r w:rsidRPr="008C1137">
              <w:t>5.4</w:t>
            </w:r>
          </w:p>
        </w:tc>
        <w:tc>
          <w:tcPr>
            <w:tcW w:w="717" w:type="pct"/>
          </w:tcPr>
          <w:p w14:paraId="1F0689C7" w14:textId="77777777" w:rsidR="00A4454A" w:rsidRPr="008C1137" w:rsidRDefault="00A4454A" w:rsidP="00390380">
            <w:pPr>
              <w:pStyle w:val="TableBody"/>
            </w:pPr>
            <w:r w:rsidRPr="008C1137">
              <w:t>2.2</w:t>
            </w:r>
          </w:p>
        </w:tc>
        <w:tc>
          <w:tcPr>
            <w:tcW w:w="717" w:type="pct"/>
          </w:tcPr>
          <w:p w14:paraId="58E0564E" w14:textId="77777777" w:rsidR="00A4454A" w:rsidRPr="008C1137" w:rsidRDefault="00A4454A" w:rsidP="00390380">
            <w:pPr>
              <w:pStyle w:val="TableBody"/>
            </w:pPr>
            <w:r w:rsidRPr="008C1137">
              <w:t>2.2</w:t>
            </w:r>
          </w:p>
        </w:tc>
      </w:tr>
      <w:tr w:rsidR="006A0A62" w:rsidRPr="008C1137" w14:paraId="797D8FE5" w14:textId="77777777" w:rsidTr="00CF2074">
        <w:trPr>
          <w:trHeight w:val="60"/>
        </w:trPr>
        <w:tc>
          <w:tcPr>
            <w:tcW w:w="700" w:type="pct"/>
          </w:tcPr>
          <w:p w14:paraId="2D7965B7" w14:textId="77777777" w:rsidR="00A4454A" w:rsidRPr="008C1137" w:rsidRDefault="00A4454A" w:rsidP="00390380">
            <w:pPr>
              <w:pStyle w:val="TableBody"/>
            </w:pPr>
            <w:r w:rsidRPr="008C1137">
              <w:t>2016</w:t>
            </w:r>
          </w:p>
        </w:tc>
        <w:tc>
          <w:tcPr>
            <w:tcW w:w="716" w:type="pct"/>
          </w:tcPr>
          <w:p w14:paraId="253FD8AD" w14:textId="77777777" w:rsidR="00A4454A" w:rsidRPr="008C1137" w:rsidRDefault="00A4454A" w:rsidP="00390380">
            <w:pPr>
              <w:pStyle w:val="TableBody"/>
            </w:pPr>
            <w:r w:rsidRPr="008C1137">
              <w:t>5.2</w:t>
            </w:r>
          </w:p>
        </w:tc>
        <w:tc>
          <w:tcPr>
            <w:tcW w:w="717" w:type="pct"/>
          </w:tcPr>
          <w:p w14:paraId="1D682B5C" w14:textId="77777777" w:rsidR="00A4454A" w:rsidRPr="008C1137" w:rsidRDefault="00A4454A" w:rsidP="00390380">
            <w:pPr>
              <w:pStyle w:val="TableBody"/>
            </w:pPr>
            <w:r w:rsidRPr="008C1137">
              <w:t>4.3</w:t>
            </w:r>
          </w:p>
        </w:tc>
        <w:tc>
          <w:tcPr>
            <w:tcW w:w="717" w:type="pct"/>
          </w:tcPr>
          <w:p w14:paraId="405418FA" w14:textId="77777777" w:rsidR="00A4454A" w:rsidRPr="008C1137" w:rsidRDefault="00A4454A" w:rsidP="00390380">
            <w:pPr>
              <w:pStyle w:val="TableBody"/>
            </w:pPr>
            <w:r w:rsidRPr="008C1137">
              <w:t>5.5</w:t>
            </w:r>
          </w:p>
        </w:tc>
        <w:tc>
          <w:tcPr>
            <w:tcW w:w="717" w:type="pct"/>
          </w:tcPr>
          <w:p w14:paraId="754EFD44" w14:textId="77777777" w:rsidR="00A4454A" w:rsidRPr="008C1137" w:rsidRDefault="00A4454A" w:rsidP="00390380">
            <w:pPr>
              <w:pStyle w:val="TableBody"/>
            </w:pPr>
            <w:r w:rsidRPr="008C1137">
              <w:t>4.5</w:t>
            </w:r>
          </w:p>
        </w:tc>
        <w:tc>
          <w:tcPr>
            <w:tcW w:w="717" w:type="pct"/>
          </w:tcPr>
          <w:p w14:paraId="725720B9" w14:textId="77777777" w:rsidR="00A4454A" w:rsidRPr="008C1137" w:rsidRDefault="00A4454A" w:rsidP="00390380">
            <w:pPr>
              <w:pStyle w:val="TableBody"/>
            </w:pPr>
            <w:r w:rsidRPr="008C1137">
              <w:t>2</w:t>
            </w:r>
          </w:p>
        </w:tc>
        <w:tc>
          <w:tcPr>
            <w:tcW w:w="717" w:type="pct"/>
          </w:tcPr>
          <w:p w14:paraId="138F3F56" w14:textId="77777777" w:rsidR="00A4454A" w:rsidRPr="008C1137" w:rsidRDefault="00A4454A" w:rsidP="00390380">
            <w:pPr>
              <w:pStyle w:val="TableBody"/>
            </w:pPr>
            <w:r w:rsidRPr="008C1137">
              <w:t>2.2</w:t>
            </w:r>
          </w:p>
        </w:tc>
      </w:tr>
      <w:tr w:rsidR="006A0A62" w:rsidRPr="008C1137" w14:paraId="727F15CF" w14:textId="77777777" w:rsidTr="00CF2074">
        <w:trPr>
          <w:trHeight w:val="60"/>
        </w:trPr>
        <w:tc>
          <w:tcPr>
            <w:tcW w:w="700" w:type="pct"/>
          </w:tcPr>
          <w:p w14:paraId="6106333C" w14:textId="77777777" w:rsidR="00A4454A" w:rsidRPr="008C1137" w:rsidRDefault="00A4454A" w:rsidP="00390380">
            <w:pPr>
              <w:pStyle w:val="TableBody"/>
            </w:pPr>
            <w:r w:rsidRPr="008C1137">
              <w:t>2017</w:t>
            </w:r>
          </w:p>
        </w:tc>
        <w:tc>
          <w:tcPr>
            <w:tcW w:w="716" w:type="pct"/>
          </w:tcPr>
          <w:p w14:paraId="45E86621" w14:textId="77777777" w:rsidR="00A4454A" w:rsidRPr="008C1137" w:rsidRDefault="00A4454A" w:rsidP="00390380">
            <w:pPr>
              <w:pStyle w:val="TableBody"/>
            </w:pPr>
            <w:r w:rsidRPr="008C1137">
              <w:t>5.6</w:t>
            </w:r>
          </w:p>
        </w:tc>
        <w:tc>
          <w:tcPr>
            <w:tcW w:w="717" w:type="pct"/>
          </w:tcPr>
          <w:p w14:paraId="7FA2D7F3" w14:textId="77777777" w:rsidR="00A4454A" w:rsidRPr="008C1137" w:rsidRDefault="00A4454A" w:rsidP="00390380">
            <w:pPr>
              <w:pStyle w:val="TableBody"/>
            </w:pPr>
            <w:r w:rsidRPr="008C1137">
              <w:t>4.4</w:t>
            </w:r>
          </w:p>
        </w:tc>
        <w:tc>
          <w:tcPr>
            <w:tcW w:w="717" w:type="pct"/>
          </w:tcPr>
          <w:p w14:paraId="25438EEC" w14:textId="77777777" w:rsidR="00A4454A" w:rsidRPr="008C1137" w:rsidRDefault="00A4454A" w:rsidP="00390380">
            <w:pPr>
              <w:pStyle w:val="TableBody"/>
            </w:pPr>
            <w:r w:rsidRPr="008C1137">
              <w:t>6.2</w:t>
            </w:r>
          </w:p>
        </w:tc>
        <w:tc>
          <w:tcPr>
            <w:tcW w:w="717" w:type="pct"/>
          </w:tcPr>
          <w:p w14:paraId="2BCEC123" w14:textId="77777777" w:rsidR="00A4454A" w:rsidRPr="008C1137" w:rsidRDefault="00A4454A" w:rsidP="00390380">
            <w:pPr>
              <w:pStyle w:val="TableBody"/>
            </w:pPr>
            <w:r w:rsidRPr="008C1137">
              <w:t>4.8</w:t>
            </w:r>
          </w:p>
        </w:tc>
        <w:tc>
          <w:tcPr>
            <w:tcW w:w="717" w:type="pct"/>
          </w:tcPr>
          <w:p w14:paraId="35D4278B" w14:textId="77777777" w:rsidR="00A4454A" w:rsidRPr="008C1137" w:rsidRDefault="00A4454A" w:rsidP="00390380">
            <w:pPr>
              <w:pStyle w:val="TableBody"/>
            </w:pPr>
            <w:r w:rsidRPr="008C1137">
              <w:t>2.2</w:t>
            </w:r>
          </w:p>
        </w:tc>
        <w:tc>
          <w:tcPr>
            <w:tcW w:w="717" w:type="pct"/>
          </w:tcPr>
          <w:p w14:paraId="26FDD272" w14:textId="77777777" w:rsidR="00A4454A" w:rsidRPr="008C1137" w:rsidRDefault="00A4454A" w:rsidP="00390380">
            <w:pPr>
              <w:pStyle w:val="TableBody"/>
            </w:pPr>
            <w:r w:rsidRPr="008C1137">
              <w:t>2.2</w:t>
            </w:r>
          </w:p>
        </w:tc>
      </w:tr>
      <w:tr w:rsidR="006A0A62" w:rsidRPr="008C1137" w14:paraId="0668A7F6" w14:textId="77777777" w:rsidTr="00CF2074">
        <w:trPr>
          <w:trHeight w:val="60"/>
        </w:trPr>
        <w:tc>
          <w:tcPr>
            <w:tcW w:w="700" w:type="pct"/>
          </w:tcPr>
          <w:p w14:paraId="1074A176" w14:textId="77777777" w:rsidR="00A4454A" w:rsidRPr="008C1137" w:rsidRDefault="00A4454A" w:rsidP="00390380">
            <w:pPr>
              <w:pStyle w:val="TableBody"/>
            </w:pPr>
            <w:r w:rsidRPr="008C1137">
              <w:t>2018</w:t>
            </w:r>
          </w:p>
        </w:tc>
        <w:tc>
          <w:tcPr>
            <w:tcW w:w="716" w:type="pct"/>
          </w:tcPr>
          <w:p w14:paraId="6562D7B3" w14:textId="77777777" w:rsidR="00A4454A" w:rsidRPr="008C1137" w:rsidRDefault="00A4454A" w:rsidP="00390380">
            <w:pPr>
              <w:pStyle w:val="TableBody"/>
            </w:pPr>
            <w:r w:rsidRPr="008C1137">
              <w:t>5.6</w:t>
            </w:r>
          </w:p>
        </w:tc>
        <w:tc>
          <w:tcPr>
            <w:tcW w:w="717" w:type="pct"/>
          </w:tcPr>
          <w:p w14:paraId="1BF9D1D6" w14:textId="77777777" w:rsidR="00A4454A" w:rsidRPr="008C1137" w:rsidRDefault="00A4454A" w:rsidP="00390380">
            <w:pPr>
              <w:pStyle w:val="TableBody"/>
            </w:pPr>
            <w:r w:rsidRPr="008C1137">
              <w:t>4</w:t>
            </w:r>
          </w:p>
        </w:tc>
        <w:tc>
          <w:tcPr>
            <w:tcW w:w="717" w:type="pct"/>
          </w:tcPr>
          <w:p w14:paraId="59F3B01E" w14:textId="77777777" w:rsidR="00A4454A" w:rsidRPr="008C1137" w:rsidRDefault="00A4454A" w:rsidP="00390380">
            <w:pPr>
              <w:pStyle w:val="TableBody"/>
            </w:pPr>
            <w:r w:rsidRPr="008C1137">
              <w:t>5.8</w:t>
            </w:r>
          </w:p>
        </w:tc>
        <w:tc>
          <w:tcPr>
            <w:tcW w:w="717" w:type="pct"/>
          </w:tcPr>
          <w:p w14:paraId="74B863A2" w14:textId="77777777" w:rsidR="00A4454A" w:rsidRPr="008C1137" w:rsidRDefault="00A4454A" w:rsidP="00390380">
            <w:pPr>
              <w:pStyle w:val="TableBody"/>
            </w:pPr>
            <w:r w:rsidRPr="008C1137">
              <w:t>4.6</w:t>
            </w:r>
          </w:p>
        </w:tc>
        <w:tc>
          <w:tcPr>
            <w:tcW w:w="717" w:type="pct"/>
          </w:tcPr>
          <w:p w14:paraId="60D33DE7" w14:textId="77777777" w:rsidR="00A4454A" w:rsidRPr="008C1137" w:rsidRDefault="00A4454A" w:rsidP="00390380">
            <w:pPr>
              <w:pStyle w:val="TableBody"/>
            </w:pPr>
            <w:r w:rsidRPr="008C1137">
              <w:t>2.3</w:t>
            </w:r>
          </w:p>
        </w:tc>
        <w:tc>
          <w:tcPr>
            <w:tcW w:w="717" w:type="pct"/>
          </w:tcPr>
          <w:p w14:paraId="22FAB118" w14:textId="77777777" w:rsidR="00A4454A" w:rsidRPr="008C1137" w:rsidRDefault="00A4454A" w:rsidP="00390380">
            <w:pPr>
              <w:pStyle w:val="TableBody"/>
            </w:pPr>
            <w:r w:rsidRPr="008C1137">
              <w:t>2.5</w:t>
            </w:r>
          </w:p>
        </w:tc>
      </w:tr>
      <w:tr w:rsidR="006A0A62" w:rsidRPr="008C1137" w14:paraId="460729D3" w14:textId="77777777" w:rsidTr="00CF2074">
        <w:trPr>
          <w:trHeight w:val="60"/>
        </w:trPr>
        <w:tc>
          <w:tcPr>
            <w:tcW w:w="700" w:type="pct"/>
          </w:tcPr>
          <w:p w14:paraId="78002B5B" w14:textId="77777777" w:rsidR="00A4454A" w:rsidRPr="008C1137" w:rsidRDefault="00A4454A" w:rsidP="00390380">
            <w:pPr>
              <w:pStyle w:val="TableBody"/>
            </w:pPr>
            <w:r w:rsidRPr="008C1137">
              <w:t>2019</w:t>
            </w:r>
          </w:p>
        </w:tc>
        <w:tc>
          <w:tcPr>
            <w:tcW w:w="716" w:type="pct"/>
          </w:tcPr>
          <w:p w14:paraId="398C3B98" w14:textId="77777777" w:rsidR="00A4454A" w:rsidRPr="008C1137" w:rsidRDefault="00A4454A" w:rsidP="00390380">
            <w:pPr>
              <w:pStyle w:val="TableBody"/>
            </w:pPr>
            <w:r w:rsidRPr="008C1137">
              <w:t>5.2</w:t>
            </w:r>
          </w:p>
        </w:tc>
        <w:tc>
          <w:tcPr>
            <w:tcW w:w="717" w:type="pct"/>
          </w:tcPr>
          <w:p w14:paraId="53D701AC" w14:textId="77777777" w:rsidR="00A4454A" w:rsidRPr="008C1137" w:rsidRDefault="00A4454A" w:rsidP="00390380">
            <w:pPr>
              <w:pStyle w:val="TableBody"/>
            </w:pPr>
            <w:r w:rsidRPr="008C1137">
              <w:t>3.6</w:t>
            </w:r>
          </w:p>
        </w:tc>
        <w:tc>
          <w:tcPr>
            <w:tcW w:w="717" w:type="pct"/>
          </w:tcPr>
          <w:p w14:paraId="7A67F9F3" w14:textId="77777777" w:rsidR="00A4454A" w:rsidRPr="008C1137" w:rsidRDefault="00A4454A" w:rsidP="00390380">
            <w:pPr>
              <w:pStyle w:val="TableBody"/>
            </w:pPr>
            <w:r w:rsidRPr="008C1137">
              <w:t>5.4</w:t>
            </w:r>
          </w:p>
        </w:tc>
        <w:tc>
          <w:tcPr>
            <w:tcW w:w="717" w:type="pct"/>
          </w:tcPr>
          <w:p w14:paraId="01ECD0A6" w14:textId="77777777" w:rsidR="00A4454A" w:rsidRPr="008C1137" w:rsidRDefault="00A4454A" w:rsidP="00390380">
            <w:pPr>
              <w:pStyle w:val="TableBody"/>
            </w:pPr>
            <w:r w:rsidRPr="008C1137">
              <w:t>4.2</w:t>
            </w:r>
          </w:p>
        </w:tc>
        <w:tc>
          <w:tcPr>
            <w:tcW w:w="717" w:type="pct"/>
          </w:tcPr>
          <w:p w14:paraId="750D1D09" w14:textId="77777777" w:rsidR="00A4454A" w:rsidRPr="008C1137" w:rsidRDefault="00A4454A" w:rsidP="00390380">
            <w:pPr>
              <w:pStyle w:val="TableBody"/>
            </w:pPr>
            <w:r w:rsidRPr="008C1137">
              <w:t>2.1</w:t>
            </w:r>
          </w:p>
        </w:tc>
        <w:tc>
          <w:tcPr>
            <w:tcW w:w="717" w:type="pct"/>
          </w:tcPr>
          <w:p w14:paraId="131FCCF9" w14:textId="77777777" w:rsidR="00A4454A" w:rsidRPr="008C1137" w:rsidRDefault="00A4454A" w:rsidP="00390380">
            <w:pPr>
              <w:pStyle w:val="TableBody"/>
            </w:pPr>
            <w:r w:rsidRPr="008C1137">
              <w:t>2.4</w:t>
            </w:r>
          </w:p>
        </w:tc>
      </w:tr>
      <w:tr w:rsidR="006A0A62" w:rsidRPr="008C1137" w14:paraId="0807B925" w14:textId="77777777" w:rsidTr="00CF2074">
        <w:trPr>
          <w:trHeight w:val="60"/>
        </w:trPr>
        <w:tc>
          <w:tcPr>
            <w:tcW w:w="700" w:type="pct"/>
          </w:tcPr>
          <w:p w14:paraId="1BDC546D" w14:textId="77777777" w:rsidR="00A4454A" w:rsidRPr="008C1137" w:rsidRDefault="00A4454A" w:rsidP="00390380">
            <w:pPr>
              <w:pStyle w:val="TableBody"/>
            </w:pPr>
            <w:r w:rsidRPr="008C1137">
              <w:t>2020</w:t>
            </w:r>
          </w:p>
        </w:tc>
        <w:tc>
          <w:tcPr>
            <w:tcW w:w="716" w:type="pct"/>
          </w:tcPr>
          <w:p w14:paraId="6E9FAC17" w14:textId="77777777" w:rsidR="00A4454A" w:rsidRPr="008C1137" w:rsidRDefault="00A4454A" w:rsidP="00390380">
            <w:pPr>
              <w:pStyle w:val="TableBody"/>
            </w:pPr>
            <w:r w:rsidRPr="008C1137">
              <w:t>4.8</w:t>
            </w:r>
          </w:p>
        </w:tc>
        <w:tc>
          <w:tcPr>
            <w:tcW w:w="717" w:type="pct"/>
          </w:tcPr>
          <w:p w14:paraId="7E99EE08" w14:textId="77777777" w:rsidR="00A4454A" w:rsidRPr="008C1137" w:rsidRDefault="00A4454A" w:rsidP="00390380">
            <w:pPr>
              <w:pStyle w:val="TableBody"/>
            </w:pPr>
            <w:r w:rsidRPr="008C1137">
              <w:t>3.4</w:t>
            </w:r>
          </w:p>
        </w:tc>
        <w:tc>
          <w:tcPr>
            <w:tcW w:w="717" w:type="pct"/>
          </w:tcPr>
          <w:p w14:paraId="724D9686" w14:textId="77777777" w:rsidR="00A4454A" w:rsidRPr="008C1137" w:rsidRDefault="00A4454A" w:rsidP="00390380">
            <w:pPr>
              <w:pStyle w:val="TableBody"/>
            </w:pPr>
            <w:r w:rsidRPr="008C1137">
              <w:t>5</w:t>
            </w:r>
          </w:p>
        </w:tc>
        <w:tc>
          <w:tcPr>
            <w:tcW w:w="717" w:type="pct"/>
          </w:tcPr>
          <w:p w14:paraId="259488FE" w14:textId="77777777" w:rsidR="00A4454A" w:rsidRPr="008C1137" w:rsidRDefault="00A4454A" w:rsidP="00390380">
            <w:pPr>
              <w:pStyle w:val="TableBody"/>
            </w:pPr>
            <w:r w:rsidRPr="008C1137">
              <w:t>4.3</w:t>
            </w:r>
          </w:p>
        </w:tc>
        <w:tc>
          <w:tcPr>
            <w:tcW w:w="717" w:type="pct"/>
          </w:tcPr>
          <w:p w14:paraId="4E584AEB" w14:textId="77777777" w:rsidR="00A4454A" w:rsidRPr="008C1137" w:rsidRDefault="00A4454A" w:rsidP="00390380">
            <w:pPr>
              <w:pStyle w:val="TableBody"/>
            </w:pPr>
            <w:r w:rsidRPr="008C1137">
              <w:t>1.9</w:t>
            </w:r>
          </w:p>
        </w:tc>
        <w:tc>
          <w:tcPr>
            <w:tcW w:w="717" w:type="pct"/>
          </w:tcPr>
          <w:p w14:paraId="2C3F00A0" w14:textId="77777777" w:rsidR="00A4454A" w:rsidRPr="008C1137" w:rsidRDefault="00A4454A" w:rsidP="00390380">
            <w:pPr>
              <w:pStyle w:val="TableBody"/>
            </w:pPr>
            <w:r w:rsidRPr="008C1137">
              <w:t>2.5</w:t>
            </w:r>
          </w:p>
        </w:tc>
      </w:tr>
      <w:tr w:rsidR="006A0A62" w:rsidRPr="008C1137" w14:paraId="1DC51F25" w14:textId="77777777" w:rsidTr="00CF2074">
        <w:trPr>
          <w:trHeight w:val="60"/>
        </w:trPr>
        <w:tc>
          <w:tcPr>
            <w:tcW w:w="700" w:type="pct"/>
          </w:tcPr>
          <w:p w14:paraId="2B566AB4" w14:textId="77777777" w:rsidR="00A4454A" w:rsidRPr="008C1137" w:rsidRDefault="00A4454A" w:rsidP="00390380">
            <w:pPr>
              <w:pStyle w:val="TableBody"/>
            </w:pPr>
            <w:r w:rsidRPr="008C1137">
              <w:t>2021</w:t>
            </w:r>
          </w:p>
        </w:tc>
        <w:tc>
          <w:tcPr>
            <w:tcW w:w="716" w:type="pct"/>
          </w:tcPr>
          <w:p w14:paraId="2D483FF4" w14:textId="77777777" w:rsidR="00A4454A" w:rsidRPr="008C1137" w:rsidRDefault="00A4454A" w:rsidP="00390380">
            <w:pPr>
              <w:pStyle w:val="TableBody"/>
            </w:pPr>
            <w:r w:rsidRPr="008C1137">
              <w:t>4.8</w:t>
            </w:r>
          </w:p>
        </w:tc>
        <w:tc>
          <w:tcPr>
            <w:tcW w:w="717" w:type="pct"/>
          </w:tcPr>
          <w:p w14:paraId="47CA2ED5" w14:textId="77777777" w:rsidR="00A4454A" w:rsidRPr="008C1137" w:rsidRDefault="00A4454A" w:rsidP="00390380">
            <w:pPr>
              <w:pStyle w:val="TableBody"/>
            </w:pPr>
            <w:r w:rsidRPr="008C1137">
              <w:t>3</w:t>
            </w:r>
          </w:p>
        </w:tc>
        <w:tc>
          <w:tcPr>
            <w:tcW w:w="717" w:type="pct"/>
          </w:tcPr>
          <w:p w14:paraId="32738E40" w14:textId="77777777" w:rsidR="00A4454A" w:rsidRPr="008C1137" w:rsidRDefault="00A4454A" w:rsidP="00390380">
            <w:pPr>
              <w:pStyle w:val="TableBody"/>
            </w:pPr>
            <w:r w:rsidRPr="008C1137">
              <w:t>5.2</w:t>
            </w:r>
          </w:p>
        </w:tc>
        <w:tc>
          <w:tcPr>
            <w:tcW w:w="717" w:type="pct"/>
          </w:tcPr>
          <w:p w14:paraId="1625042B" w14:textId="77777777" w:rsidR="00A4454A" w:rsidRPr="008C1137" w:rsidRDefault="00A4454A" w:rsidP="00390380">
            <w:pPr>
              <w:pStyle w:val="TableBody"/>
            </w:pPr>
            <w:r w:rsidRPr="008C1137">
              <w:t>4</w:t>
            </w:r>
          </w:p>
        </w:tc>
        <w:tc>
          <w:tcPr>
            <w:tcW w:w="717" w:type="pct"/>
          </w:tcPr>
          <w:p w14:paraId="251DB413" w14:textId="77777777" w:rsidR="00A4454A" w:rsidRPr="008C1137" w:rsidRDefault="00A4454A" w:rsidP="00390380">
            <w:pPr>
              <w:pStyle w:val="TableBody"/>
            </w:pPr>
            <w:r w:rsidRPr="008C1137">
              <w:t>1.7</w:t>
            </w:r>
          </w:p>
        </w:tc>
        <w:tc>
          <w:tcPr>
            <w:tcW w:w="717" w:type="pct"/>
          </w:tcPr>
          <w:p w14:paraId="7F91F731" w14:textId="77777777" w:rsidR="00A4454A" w:rsidRPr="008C1137" w:rsidRDefault="00A4454A" w:rsidP="00390380">
            <w:pPr>
              <w:pStyle w:val="TableBody"/>
            </w:pPr>
            <w:r w:rsidRPr="008C1137">
              <w:t>3.6</w:t>
            </w:r>
          </w:p>
        </w:tc>
      </w:tr>
      <w:tr w:rsidR="006A0A62" w:rsidRPr="008C1137" w14:paraId="5F36A839" w14:textId="77777777" w:rsidTr="00CF2074">
        <w:trPr>
          <w:trHeight w:val="60"/>
        </w:trPr>
        <w:tc>
          <w:tcPr>
            <w:tcW w:w="700" w:type="pct"/>
          </w:tcPr>
          <w:p w14:paraId="2E488A29" w14:textId="77777777" w:rsidR="00A4454A" w:rsidRPr="008C1137" w:rsidRDefault="00A4454A" w:rsidP="00390380">
            <w:pPr>
              <w:pStyle w:val="TableBody"/>
            </w:pPr>
            <w:r w:rsidRPr="008C1137">
              <w:t>2022</w:t>
            </w:r>
          </w:p>
        </w:tc>
        <w:tc>
          <w:tcPr>
            <w:tcW w:w="716" w:type="pct"/>
          </w:tcPr>
          <w:p w14:paraId="2FE917D2" w14:textId="77777777" w:rsidR="00A4454A" w:rsidRPr="008C1137" w:rsidRDefault="00A4454A" w:rsidP="00390380">
            <w:pPr>
              <w:pStyle w:val="TableBody"/>
            </w:pPr>
            <w:r w:rsidRPr="008C1137">
              <w:t>5.1</w:t>
            </w:r>
          </w:p>
        </w:tc>
        <w:tc>
          <w:tcPr>
            <w:tcW w:w="717" w:type="pct"/>
          </w:tcPr>
          <w:p w14:paraId="1C438D5C" w14:textId="77777777" w:rsidR="00A4454A" w:rsidRPr="008C1137" w:rsidRDefault="00A4454A" w:rsidP="00390380">
            <w:pPr>
              <w:pStyle w:val="TableBody"/>
            </w:pPr>
            <w:r w:rsidRPr="008C1137">
              <w:t>3.3</w:t>
            </w:r>
          </w:p>
        </w:tc>
        <w:tc>
          <w:tcPr>
            <w:tcW w:w="717" w:type="pct"/>
          </w:tcPr>
          <w:p w14:paraId="6692D37E" w14:textId="77777777" w:rsidR="00A4454A" w:rsidRPr="008C1137" w:rsidRDefault="00A4454A" w:rsidP="00390380">
            <w:pPr>
              <w:pStyle w:val="TableBody"/>
            </w:pPr>
            <w:r w:rsidRPr="008C1137">
              <w:t>5.3</w:t>
            </w:r>
          </w:p>
        </w:tc>
        <w:tc>
          <w:tcPr>
            <w:tcW w:w="717" w:type="pct"/>
          </w:tcPr>
          <w:p w14:paraId="29C87725" w14:textId="77777777" w:rsidR="00A4454A" w:rsidRPr="008C1137" w:rsidRDefault="00A4454A" w:rsidP="00390380">
            <w:pPr>
              <w:pStyle w:val="TableBody"/>
            </w:pPr>
            <w:r w:rsidRPr="008C1137">
              <w:t>4.3</w:t>
            </w:r>
          </w:p>
        </w:tc>
        <w:tc>
          <w:tcPr>
            <w:tcW w:w="717" w:type="pct"/>
          </w:tcPr>
          <w:p w14:paraId="0A8F8F46" w14:textId="77777777" w:rsidR="00A4454A" w:rsidRPr="008C1137" w:rsidRDefault="00A4454A" w:rsidP="00390380">
            <w:pPr>
              <w:pStyle w:val="TableBody"/>
            </w:pPr>
            <w:r w:rsidRPr="008C1137">
              <w:t>2.2</w:t>
            </w:r>
          </w:p>
        </w:tc>
        <w:tc>
          <w:tcPr>
            <w:tcW w:w="717" w:type="pct"/>
          </w:tcPr>
          <w:p w14:paraId="4078392F" w14:textId="77777777" w:rsidR="00A4454A" w:rsidRPr="008C1137" w:rsidRDefault="00A4454A" w:rsidP="00390380">
            <w:pPr>
              <w:pStyle w:val="TableBody"/>
            </w:pPr>
            <w:r w:rsidRPr="008C1137">
              <w:t>3.4</w:t>
            </w:r>
          </w:p>
        </w:tc>
      </w:tr>
      <w:tr w:rsidR="006A0A62" w:rsidRPr="008C1137" w14:paraId="66E873F9" w14:textId="77777777" w:rsidTr="00CF2074">
        <w:trPr>
          <w:trHeight w:val="60"/>
        </w:trPr>
        <w:tc>
          <w:tcPr>
            <w:tcW w:w="700" w:type="pct"/>
          </w:tcPr>
          <w:p w14:paraId="4EE07EFA" w14:textId="77777777" w:rsidR="00A4454A" w:rsidRPr="008C1137" w:rsidRDefault="00A4454A" w:rsidP="00390380">
            <w:pPr>
              <w:pStyle w:val="TableBody"/>
            </w:pPr>
            <w:r w:rsidRPr="008C1137">
              <w:t>2023</w:t>
            </w:r>
          </w:p>
        </w:tc>
        <w:tc>
          <w:tcPr>
            <w:tcW w:w="716" w:type="pct"/>
          </w:tcPr>
          <w:p w14:paraId="157428B8" w14:textId="77777777" w:rsidR="00A4454A" w:rsidRPr="008C1137" w:rsidRDefault="00A4454A" w:rsidP="00390380">
            <w:pPr>
              <w:pStyle w:val="TableBody"/>
            </w:pPr>
            <w:r w:rsidRPr="008C1137">
              <w:t>5.2</w:t>
            </w:r>
          </w:p>
        </w:tc>
        <w:tc>
          <w:tcPr>
            <w:tcW w:w="717" w:type="pct"/>
          </w:tcPr>
          <w:p w14:paraId="244AE3E7" w14:textId="77777777" w:rsidR="00A4454A" w:rsidRPr="008C1137" w:rsidRDefault="00A4454A" w:rsidP="00390380">
            <w:pPr>
              <w:pStyle w:val="TableBody"/>
            </w:pPr>
            <w:r w:rsidRPr="008C1137">
              <w:t>3.5</w:t>
            </w:r>
          </w:p>
        </w:tc>
        <w:tc>
          <w:tcPr>
            <w:tcW w:w="717" w:type="pct"/>
          </w:tcPr>
          <w:p w14:paraId="6815CC37" w14:textId="77777777" w:rsidR="00A4454A" w:rsidRPr="008C1137" w:rsidRDefault="00A4454A" w:rsidP="00390380">
            <w:pPr>
              <w:pStyle w:val="TableBody"/>
            </w:pPr>
            <w:r w:rsidRPr="008C1137">
              <w:t>4.8</w:t>
            </w:r>
          </w:p>
        </w:tc>
        <w:tc>
          <w:tcPr>
            <w:tcW w:w="717" w:type="pct"/>
          </w:tcPr>
          <w:p w14:paraId="274835C5" w14:textId="77777777" w:rsidR="00A4454A" w:rsidRPr="008C1137" w:rsidRDefault="00A4454A" w:rsidP="00390380">
            <w:pPr>
              <w:pStyle w:val="TableBody"/>
            </w:pPr>
            <w:r w:rsidRPr="008C1137">
              <w:t>4.5</w:t>
            </w:r>
          </w:p>
        </w:tc>
        <w:tc>
          <w:tcPr>
            <w:tcW w:w="717" w:type="pct"/>
          </w:tcPr>
          <w:p w14:paraId="18438D9A" w14:textId="77777777" w:rsidR="00A4454A" w:rsidRPr="008C1137" w:rsidRDefault="00A4454A" w:rsidP="00390380">
            <w:pPr>
              <w:pStyle w:val="TableBody"/>
            </w:pPr>
            <w:r w:rsidRPr="008C1137">
              <w:t>2.2</w:t>
            </w:r>
          </w:p>
        </w:tc>
        <w:tc>
          <w:tcPr>
            <w:tcW w:w="717" w:type="pct"/>
          </w:tcPr>
          <w:p w14:paraId="729C07E9" w14:textId="77777777" w:rsidR="00A4454A" w:rsidRPr="008C1137" w:rsidRDefault="00A4454A" w:rsidP="00390380">
            <w:pPr>
              <w:pStyle w:val="TableBody"/>
            </w:pPr>
            <w:r w:rsidRPr="008C1137">
              <w:t>3.2</w:t>
            </w:r>
          </w:p>
        </w:tc>
      </w:tr>
      <w:tr w:rsidR="006A0A62" w:rsidRPr="008C1137" w14:paraId="4EF6689C" w14:textId="77777777" w:rsidTr="00CF2074">
        <w:trPr>
          <w:trHeight w:val="60"/>
        </w:trPr>
        <w:tc>
          <w:tcPr>
            <w:tcW w:w="700" w:type="pct"/>
          </w:tcPr>
          <w:p w14:paraId="7EB5FAE2" w14:textId="77777777" w:rsidR="00A4454A" w:rsidRPr="008C1137" w:rsidRDefault="00A4454A" w:rsidP="00390380">
            <w:pPr>
              <w:pStyle w:val="TableBody"/>
            </w:pPr>
            <w:r w:rsidRPr="008C1137">
              <w:t>2024</w:t>
            </w:r>
          </w:p>
        </w:tc>
        <w:tc>
          <w:tcPr>
            <w:tcW w:w="716" w:type="pct"/>
          </w:tcPr>
          <w:p w14:paraId="2666B1BB" w14:textId="77777777" w:rsidR="00A4454A" w:rsidRPr="008C1137" w:rsidRDefault="00A4454A" w:rsidP="00390380">
            <w:pPr>
              <w:pStyle w:val="TableBody"/>
            </w:pPr>
            <w:r w:rsidRPr="008C1137">
              <w:t>5.4</w:t>
            </w:r>
          </w:p>
        </w:tc>
        <w:tc>
          <w:tcPr>
            <w:tcW w:w="717" w:type="pct"/>
          </w:tcPr>
          <w:p w14:paraId="4CBD0FB3" w14:textId="77777777" w:rsidR="00A4454A" w:rsidRPr="008C1137" w:rsidRDefault="00A4454A" w:rsidP="00390380">
            <w:pPr>
              <w:pStyle w:val="TableBody"/>
            </w:pPr>
            <w:r w:rsidRPr="008C1137">
              <w:t>3.7</w:t>
            </w:r>
          </w:p>
        </w:tc>
        <w:tc>
          <w:tcPr>
            <w:tcW w:w="717" w:type="pct"/>
          </w:tcPr>
          <w:p w14:paraId="0C102BC9" w14:textId="77777777" w:rsidR="00A4454A" w:rsidRPr="008C1137" w:rsidRDefault="00A4454A" w:rsidP="00390380">
            <w:pPr>
              <w:pStyle w:val="TableBody"/>
            </w:pPr>
            <w:r w:rsidRPr="008C1137">
              <w:t>5.4</w:t>
            </w:r>
          </w:p>
        </w:tc>
        <w:tc>
          <w:tcPr>
            <w:tcW w:w="717" w:type="pct"/>
          </w:tcPr>
          <w:p w14:paraId="636C64C1" w14:textId="77777777" w:rsidR="00A4454A" w:rsidRPr="008C1137" w:rsidRDefault="00A4454A" w:rsidP="00390380">
            <w:pPr>
              <w:pStyle w:val="TableBody"/>
            </w:pPr>
            <w:r w:rsidRPr="008C1137">
              <w:t>4.8</w:t>
            </w:r>
          </w:p>
        </w:tc>
        <w:tc>
          <w:tcPr>
            <w:tcW w:w="717" w:type="pct"/>
          </w:tcPr>
          <w:p w14:paraId="50623CCB" w14:textId="77777777" w:rsidR="00A4454A" w:rsidRPr="008C1137" w:rsidRDefault="00A4454A" w:rsidP="00390380">
            <w:pPr>
              <w:pStyle w:val="TableBody"/>
            </w:pPr>
            <w:r w:rsidRPr="008C1137">
              <w:t>2.1</w:t>
            </w:r>
          </w:p>
        </w:tc>
        <w:tc>
          <w:tcPr>
            <w:tcW w:w="717" w:type="pct"/>
          </w:tcPr>
          <w:p w14:paraId="63C31B2D" w14:textId="77777777" w:rsidR="00A4454A" w:rsidRPr="008C1137" w:rsidRDefault="00A4454A" w:rsidP="00390380">
            <w:pPr>
              <w:pStyle w:val="TableBody"/>
            </w:pPr>
            <w:r w:rsidRPr="008C1137">
              <w:t>2.7</w:t>
            </w:r>
          </w:p>
        </w:tc>
      </w:tr>
      <w:tr w:rsidR="006A0A62" w:rsidRPr="008C1137" w14:paraId="033FD82E" w14:textId="77777777" w:rsidTr="00CF2074">
        <w:trPr>
          <w:trHeight w:val="60"/>
        </w:trPr>
        <w:tc>
          <w:tcPr>
            <w:tcW w:w="700" w:type="pct"/>
          </w:tcPr>
          <w:p w14:paraId="5E180BA7" w14:textId="77777777" w:rsidR="00A4454A" w:rsidRPr="000C258A" w:rsidRDefault="00A4454A" w:rsidP="00390380">
            <w:pPr>
              <w:pStyle w:val="TableBody"/>
              <w:rPr>
                <w:rStyle w:val="Strong"/>
              </w:rPr>
            </w:pPr>
            <w:r w:rsidRPr="000C258A">
              <w:rPr>
                <w:rStyle w:val="Strong"/>
              </w:rPr>
              <w:t>Percentage change</w:t>
            </w:r>
          </w:p>
        </w:tc>
        <w:tc>
          <w:tcPr>
            <w:tcW w:w="716" w:type="pct"/>
          </w:tcPr>
          <w:p w14:paraId="5B83DD7C" w14:textId="77777777" w:rsidR="00A4454A" w:rsidRPr="000C258A" w:rsidRDefault="00A4454A" w:rsidP="00390380">
            <w:pPr>
              <w:pStyle w:val="TableBody"/>
              <w:rPr>
                <w:rStyle w:val="Strong"/>
              </w:rPr>
            </w:pPr>
            <w:r w:rsidRPr="000C258A">
              <w:rPr>
                <w:rStyle w:val="Strong"/>
              </w:rPr>
              <w:t>−12.9%</w:t>
            </w:r>
          </w:p>
        </w:tc>
        <w:tc>
          <w:tcPr>
            <w:tcW w:w="717" w:type="pct"/>
          </w:tcPr>
          <w:p w14:paraId="6CD4B363" w14:textId="77777777" w:rsidR="00A4454A" w:rsidRPr="000C258A" w:rsidRDefault="00A4454A" w:rsidP="00390380">
            <w:pPr>
              <w:pStyle w:val="TableBody"/>
              <w:rPr>
                <w:rStyle w:val="Strong"/>
              </w:rPr>
            </w:pPr>
            <w:r w:rsidRPr="000C258A">
              <w:rPr>
                <w:rStyle w:val="Strong"/>
              </w:rPr>
              <w:t>−35.1%</w:t>
            </w:r>
          </w:p>
        </w:tc>
        <w:tc>
          <w:tcPr>
            <w:tcW w:w="717" w:type="pct"/>
          </w:tcPr>
          <w:p w14:paraId="36F2D8E6" w14:textId="77777777" w:rsidR="00A4454A" w:rsidRPr="000C258A" w:rsidRDefault="00A4454A" w:rsidP="00390380">
            <w:pPr>
              <w:pStyle w:val="TableBody"/>
              <w:rPr>
                <w:rStyle w:val="Strong"/>
              </w:rPr>
            </w:pPr>
            <w:r w:rsidRPr="000C258A">
              <w:rPr>
                <w:rStyle w:val="Strong"/>
              </w:rPr>
              <w:t>−16.9%</w:t>
            </w:r>
          </w:p>
        </w:tc>
        <w:tc>
          <w:tcPr>
            <w:tcW w:w="717" w:type="pct"/>
          </w:tcPr>
          <w:p w14:paraId="1D77B3D1" w14:textId="77777777" w:rsidR="00A4454A" w:rsidRPr="000C258A" w:rsidRDefault="00A4454A" w:rsidP="00390380">
            <w:pPr>
              <w:pStyle w:val="TableBody"/>
              <w:rPr>
                <w:rStyle w:val="Strong"/>
              </w:rPr>
            </w:pPr>
            <w:r w:rsidRPr="000C258A">
              <w:rPr>
                <w:rStyle w:val="Strong"/>
              </w:rPr>
              <w:t>11.6%</w:t>
            </w:r>
          </w:p>
        </w:tc>
        <w:tc>
          <w:tcPr>
            <w:tcW w:w="717" w:type="pct"/>
          </w:tcPr>
          <w:p w14:paraId="143A1E9D" w14:textId="77777777" w:rsidR="00A4454A" w:rsidRPr="000C258A" w:rsidRDefault="00A4454A" w:rsidP="00390380">
            <w:pPr>
              <w:pStyle w:val="TableBody"/>
              <w:rPr>
                <w:rStyle w:val="Strong"/>
              </w:rPr>
            </w:pPr>
            <w:r w:rsidRPr="000C258A">
              <w:rPr>
                <w:rStyle w:val="Strong"/>
              </w:rPr>
              <w:t>16.7%</w:t>
            </w:r>
          </w:p>
        </w:tc>
        <w:tc>
          <w:tcPr>
            <w:tcW w:w="717" w:type="pct"/>
          </w:tcPr>
          <w:p w14:paraId="14B51DAB" w14:textId="77777777" w:rsidR="00A4454A" w:rsidRPr="000C258A" w:rsidRDefault="00A4454A" w:rsidP="00390380">
            <w:pPr>
              <w:pStyle w:val="TableBody"/>
              <w:rPr>
                <w:rStyle w:val="Strong"/>
              </w:rPr>
            </w:pPr>
            <w:r w:rsidRPr="000C258A">
              <w:rPr>
                <w:rStyle w:val="Strong"/>
              </w:rPr>
              <w:t>3.8%</w:t>
            </w:r>
          </w:p>
        </w:tc>
      </w:tr>
    </w:tbl>
    <w:p w14:paraId="31C24E75" w14:textId="77777777" w:rsidR="00A4454A" w:rsidRPr="008C1137" w:rsidRDefault="00A4454A" w:rsidP="00ED7287">
      <w:pPr>
        <w:pStyle w:val="Heading1"/>
        <w:pageBreakBefore/>
      </w:pPr>
      <w:bookmarkStart w:id="14" w:name="_Toc210672558"/>
      <w:r w:rsidRPr="008C1137">
        <w:lastRenderedPageBreak/>
        <w:t>References</w:t>
      </w:r>
      <w:bookmarkEnd w:id="14"/>
    </w:p>
    <w:p w14:paraId="0648ADA2" w14:textId="77777777" w:rsidR="00A4454A" w:rsidRPr="008C1137" w:rsidRDefault="00A4454A" w:rsidP="0002476E">
      <w:pPr>
        <w:pStyle w:val="Heading2"/>
      </w:pPr>
      <w:r w:rsidRPr="008C1137">
        <w:t>Bibliography</w:t>
      </w:r>
    </w:p>
    <w:p w14:paraId="2D39CC23" w14:textId="77777777" w:rsidR="00A4454A" w:rsidRPr="008C1137" w:rsidRDefault="00A4454A" w:rsidP="00B5476D">
      <w:r w:rsidRPr="008C1137">
        <w:t xml:space="preserve">Adult Parole Board, </w:t>
      </w:r>
      <w:r w:rsidRPr="003B3217">
        <w:rPr>
          <w:rStyle w:val="Italic"/>
        </w:rPr>
        <w:t>Annual Report</w:t>
      </w:r>
      <w:r w:rsidRPr="008C1137">
        <w:t xml:space="preserve"> </w:t>
      </w:r>
      <w:r w:rsidRPr="003B3217">
        <w:rPr>
          <w:rStyle w:val="Italic"/>
        </w:rPr>
        <w:t xml:space="preserve">2013–2014 </w:t>
      </w:r>
      <w:r w:rsidRPr="008C1137">
        <w:t>(2014).</w:t>
      </w:r>
    </w:p>
    <w:p w14:paraId="1D591B9B" w14:textId="77777777" w:rsidR="00A4454A" w:rsidRPr="008C1137" w:rsidRDefault="00A4454A" w:rsidP="00B5476D">
      <w:r w:rsidRPr="008C1137">
        <w:t xml:space="preserve">Adult Parole Board, </w:t>
      </w:r>
      <w:r w:rsidRPr="003B3217">
        <w:rPr>
          <w:rStyle w:val="Italic"/>
        </w:rPr>
        <w:t>Annual Report 2014–15</w:t>
      </w:r>
      <w:r w:rsidRPr="008C1137">
        <w:t xml:space="preserve"> (2015).</w:t>
      </w:r>
    </w:p>
    <w:p w14:paraId="7E84C852" w14:textId="77777777" w:rsidR="00A4454A" w:rsidRPr="008C1137" w:rsidRDefault="00A4454A" w:rsidP="00B5476D">
      <w:r w:rsidRPr="008C1137">
        <w:t xml:space="preserve">Adult Parole Board, </w:t>
      </w:r>
      <w:r w:rsidRPr="003B3217">
        <w:rPr>
          <w:rStyle w:val="Italic"/>
        </w:rPr>
        <w:t>Annual Report 2015–16</w:t>
      </w:r>
      <w:r w:rsidRPr="008C1137">
        <w:t xml:space="preserve"> (2016).</w:t>
      </w:r>
    </w:p>
    <w:p w14:paraId="4705E8C6" w14:textId="77777777" w:rsidR="00A4454A" w:rsidRPr="008C1137" w:rsidRDefault="00A4454A" w:rsidP="00B5476D">
      <w:r w:rsidRPr="008C1137">
        <w:t xml:space="preserve">Adult Parole Board, </w:t>
      </w:r>
      <w:r w:rsidRPr="003B3217">
        <w:rPr>
          <w:rStyle w:val="Italic"/>
        </w:rPr>
        <w:t>Annual Report 2023–24</w:t>
      </w:r>
      <w:r w:rsidRPr="008C1137">
        <w:t xml:space="preserve"> (2024).</w:t>
      </w:r>
    </w:p>
    <w:p w14:paraId="48BFDEDA" w14:textId="77777777" w:rsidR="00A4454A" w:rsidRPr="008C1137" w:rsidRDefault="00A4454A" w:rsidP="00B5476D">
      <w:r w:rsidRPr="008C1137">
        <w:t>Adult Parole Board, ‘Publications – Annual Reports’ (adultparoleboard.vic.gov.au, 2025) &lt;https://www.adultparoleboard.vic.gov.au/publications-and-news/annual-reports&gt;.</w:t>
      </w:r>
    </w:p>
    <w:p w14:paraId="03D532C2" w14:textId="77777777" w:rsidR="00A4454A" w:rsidRPr="008C1137" w:rsidRDefault="00A4454A" w:rsidP="00B5476D">
      <w:r w:rsidRPr="008C1137">
        <w:t xml:space="preserve">Adult Parole Board, </w:t>
      </w:r>
      <w:r w:rsidRPr="003B3217">
        <w:rPr>
          <w:rStyle w:val="Italic"/>
        </w:rPr>
        <w:t>Parole Manual, Adult Parole Board of Victoria, 2020 Edition</w:t>
      </w:r>
      <w:r w:rsidRPr="008C1137">
        <w:t xml:space="preserve"> (Adult Parole Board, 2024).</w:t>
      </w:r>
    </w:p>
    <w:p w14:paraId="2508DC9F" w14:textId="77777777" w:rsidR="00A4454A" w:rsidRPr="008C1137" w:rsidRDefault="00A4454A" w:rsidP="00B5476D">
      <w:r w:rsidRPr="008C1137">
        <w:t xml:space="preserve">Australian Bureau of Statistics, </w:t>
      </w:r>
      <w:r w:rsidRPr="003B3217">
        <w:rPr>
          <w:rStyle w:val="Italic"/>
        </w:rPr>
        <w:t>Australian and New Zealand Standard Offence Classification (ANZSOC)</w:t>
      </w:r>
      <w:r w:rsidRPr="008C1137">
        <w:t xml:space="preserve"> (abs.gov.au, 2025) &lt;https://www.abs.gov.au/statistics/classifications/australian-and-new-zealand-standard-offence-classification-anzsoc/2011&gt;.</w:t>
      </w:r>
    </w:p>
    <w:p w14:paraId="600496AD" w14:textId="77777777" w:rsidR="00A4454A" w:rsidRPr="008C1137" w:rsidRDefault="00A4454A" w:rsidP="00B5476D">
      <w:r w:rsidRPr="008C1137">
        <w:t xml:space="preserve">Australian Bureau of Statistics, </w:t>
      </w:r>
      <w:r w:rsidRPr="003B3217">
        <w:rPr>
          <w:rStyle w:val="Italic"/>
        </w:rPr>
        <w:t xml:space="preserve">Australian Demographic Statistics, Jun 2005, </w:t>
      </w:r>
      <w:r w:rsidRPr="008C1137">
        <w:t>cat. no 3101.0 (2005).</w:t>
      </w:r>
    </w:p>
    <w:p w14:paraId="2B155FAA" w14:textId="77777777" w:rsidR="00A4454A" w:rsidRPr="008C1137" w:rsidRDefault="00A4454A" w:rsidP="00B5476D">
      <w:r w:rsidRPr="008C1137">
        <w:t xml:space="preserve">Australian Bureau of Statistics, </w:t>
      </w:r>
      <w:r w:rsidRPr="003B3217">
        <w:rPr>
          <w:rStyle w:val="Italic"/>
        </w:rPr>
        <w:t>Estimates and Projections, Australian Aboriginal and Torres Strait Islander Population, 2011 to 2031</w:t>
      </w:r>
      <w:r w:rsidRPr="008C1137">
        <w:t xml:space="preserve"> (abs.gov.au, 2024) &lt;https://www.abs.gov.au/statistics/people/aboriginal-and-torres-strait-islander-peoples/estimates-and-projections-australian-aboriginal-and-torres-strait-islander-population/latest-release&gt;.</w:t>
      </w:r>
    </w:p>
    <w:p w14:paraId="6E03B70D" w14:textId="77777777" w:rsidR="00A4454A" w:rsidRPr="008C1137" w:rsidRDefault="00A4454A" w:rsidP="00B5476D">
      <w:r w:rsidRPr="008C1137">
        <w:t xml:space="preserve">Australian Bureau of Statistics, </w:t>
      </w:r>
      <w:r w:rsidRPr="003B3217">
        <w:rPr>
          <w:rStyle w:val="Italic"/>
        </w:rPr>
        <w:t>National Offence Index (NOI)</w:t>
      </w:r>
      <w:r w:rsidRPr="008C1137">
        <w:t xml:space="preserve"> (abs.gov.au, 2024) &lt;https://www.abs.gov.au/statistics/classifications/australian-and-new-zealand-standard-offence-classification-anzsoc/2023/national-offence-index-noi&gt;.</w:t>
      </w:r>
    </w:p>
    <w:p w14:paraId="1F9253B4" w14:textId="77777777" w:rsidR="00A4454A" w:rsidRPr="008C1137" w:rsidRDefault="00A4454A" w:rsidP="00B5476D">
      <w:r w:rsidRPr="008C1137">
        <w:lastRenderedPageBreak/>
        <w:t xml:space="preserve">Australian Bureau of Statistics, </w:t>
      </w:r>
      <w:r w:rsidRPr="003B3217">
        <w:rPr>
          <w:rStyle w:val="Italic"/>
        </w:rPr>
        <w:t xml:space="preserve">National, State and Territory Population, </w:t>
      </w:r>
      <w:r w:rsidRPr="008C1137">
        <w:t>cat. no. 3101.0 (abs.gov.au, 2024) &lt;https://www.abs.gov.au/statistics/people/population/national-state-and-territory-population/jun-2024&gt;.</w:t>
      </w:r>
    </w:p>
    <w:p w14:paraId="4BA1DC1C" w14:textId="77777777" w:rsidR="00A4454A" w:rsidRPr="008C1137" w:rsidRDefault="00A4454A" w:rsidP="00B5476D">
      <w:r w:rsidRPr="008C1137">
        <w:t xml:space="preserve">Australian Bureau of Statistics, </w:t>
      </w:r>
      <w:r w:rsidRPr="003B3217">
        <w:rPr>
          <w:rStyle w:val="Italic"/>
        </w:rPr>
        <w:t xml:space="preserve">Prisoners in Australia, </w:t>
      </w:r>
      <w:r w:rsidRPr="008C1137">
        <w:t>cat. no. 4517.0 (abs.gov.au, 2024) &lt;https://www.abs.gov.au/statistics/people/crime-and-justice/prisoners-australia/latest-release#state-territory&gt;.</w:t>
      </w:r>
    </w:p>
    <w:p w14:paraId="1B85EF19" w14:textId="77777777" w:rsidR="00A4454A" w:rsidRPr="008C1137" w:rsidRDefault="00A4454A" w:rsidP="00B5476D">
      <w:r w:rsidRPr="008C1137">
        <w:t xml:space="preserve">Australian Bureau of Statistics, </w:t>
      </w:r>
      <w:r w:rsidRPr="003B3217">
        <w:rPr>
          <w:rStyle w:val="Italic"/>
        </w:rPr>
        <w:t>Victoria: Aboriginal and Torres Strait Islander Population Summary</w:t>
      </w:r>
      <w:r w:rsidRPr="008C1137">
        <w:t xml:space="preserve"> (abs.gov.au, 2022) &lt;https://www.abs.gov.au/articles/victoria-aboriginal-and-torres-strait-islander-population-summary&gt;.</w:t>
      </w:r>
    </w:p>
    <w:p w14:paraId="7C324C26" w14:textId="77777777" w:rsidR="00A4454A" w:rsidRPr="008C1137" w:rsidRDefault="00A4454A" w:rsidP="00B5476D">
      <w:r w:rsidRPr="008C1137">
        <w:t>Australian Institute of Health and Welfare, ‘Health of People in Prison’ (2024) &lt;https://www.aihw.gov.au/reports/australias-health/health-of-people-in-prison&gt;.</w:t>
      </w:r>
    </w:p>
    <w:p w14:paraId="30A0453E" w14:textId="77777777" w:rsidR="00A4454A" w:rsidRPr="008C1137" w:rsidRDefault="00A4454A" w:rsidP="00B5476D">
      <w:r w:rsidRPr="008C1137">
        <w:t xml:space="preserve">Australian Law Reform Commission, </w:t>
      </w:r>
      <w:r w:rsidRPr="003B3217">
        <w:rPr>
          <w:rStyle w:val="Italic"/>
        </w:rPr>
        <w:t>Family Violence – A National Legal Response</w:t>
      </w:r>
      <w:r w:rsidRPr="008C1137">
        <w:t>, Report 114 (Australian Law Reform Commission, 2010).</w:t>
      </w:r>
    </w:p>
    <w:p w14:paraId="0F8D23AF" w14:textId="77777777" w:rsidR="00A4454A" w:rsidRPr="008C1137" w:rsidRDefault="00A4454A" w:rsidP="00B5476D">
      <w:r w:rsidRPr="008C1137">
        <w:t xml:space="preserve">Australian Law Reform Commission, </w:t>
      </w:r>
      <w:r w:rsidRPr="003B3217">
        <w:rPr>
          <w:rStyle w:val="Italic"/>
        </w:rPr>
        <w:t xml:space="preserve">Pathways to Justice – An Inquiry into the Incarceration Rate of Aboriginal and Torres Strait Islander Peoples, </w:t>
      </w:r>
      <w:r w:rsidRPr="008C1137">
        <w:t>Final Report (Australian Law Reform Commission, 2017).</w:t>
      </w:r>
    </w:p>
    <w:p w14:paraId="349EA0FB" w14:textId="77777777" w:rsidR="00A4454A" w:rsidRPr="008C1137" w:rsidRDefault="00A4454A" w:rsidP="00B5476D">
      <w:r w:rsidRPr="008C1137">
        <w:t xml:space="preserve">Bales, William D. and Alex R. Piquero, ‘Assessing the Impact of Imprisonment on Recidivism’ (2012) 8(1) </w:t>
      </w:r>
      <w:r w:rsidRPr="003B3217">
        <w:rPr>
          <w:rStyle w:val="Italic"/>
        </w:rPr>
        <w:t>Journal of Experimental Criminology</w:t>
      </w:r>
      <w:r w:rsidRPr="008C1137">
        <w:t xml:space="preserve"> 71.</w:t>
      </w:r>
    </w:p>
    <w:p w14:paraId="44927DB2" w14:textId="77777777" w:rsidR="00A4454A" w:rsidRPr="008C1137" w:rsidRDefault="00A4454A" w:rsidP="00B5476D">
      <w:r w:rsidRPr="008C1137">
        <w:t xml:space="preserve">Bartels, Lorena, </w:t>
      </w:r>
      <w:r w:rsidRPr="003B3217">
        <w:rPr>
          <w:rStyle w:val="Italic"/>
        </w:rPr>
        <w:t>The Growth in Remand and its Impact on Indigenous Over-representation in the Criminal Justice System</w:t>
      </w:r>
      <w:r w:rsidRPr="008C1137">
        <w:t>, Research Brief no. 24 (Indigenous Justice Clearinghouse, 2019).</w:t>
      </w:r>
    </w:p>
    <w:p w14:paraId="42ECFE90" w14:textId="77777777" w:rsidR="00A4454A" w:rsidRPr="008C1137" w:rsidRDefault="00A4454A" w:rsidP="00B5476D">
      <w:r w:rsidRPr="008C1137">
        <w:t xml:space="preserve">Bartels, Lorena, Karen Gelb, Caroline Sprianovic, Rick Sarre and Shannon Dodd, ‘Bail, Risk and Law Reform: A Review of Bail Legislation Across Australia’ (2018) 42 </w:t>
      </w:r>
      <w:r w:rsidRPr="003B3217">
        <w:rPr>
          <w:rStyle w:val="Italic"/>
        </w:rPr>
        <w:t>Criminal Law Journal</w:t>
      </w:r>
      <w:r w:rsidRPr="008C1137">
        <w:t xml:space="preserve"> 91.</w:t>
      </w:r>
    </w:p>
    <w:p w14:paraId="18EEBF8B" w14:textId="77777777" w:rsidR="00A4454A" w:rsidRPr="008C1137" w:rsidRDefault="00A4454A" w:rsidP="00B5476D">
      <w:r w:rsidRPr="008C1137">
        <w:lastRenderedPageBreak/>
        <w:t xml:space="preserve">Bartkowiak-Theron, Isabelle and Emma Colvin, ‘Understanding the Impact of Bail Refusal on the Australian Public Health System’ (2022) 7(4) </w:t>
      </w:r>
      <w:r w:rsidRPr="003B3217">
        <w:rPr>
          <w:rStyle w:val="Italic"/>
        </w:rPr>
        <w:t>Journal of Community Safety and Well-Being</w:t>
      </w:r>
      <w:r w:rsidRPr="008C1137">
        <w:t xml:space="preserve"> 1.</w:t>
      </w:r>
    </w:p>
    <w:p w14:paraId="1A36FA2F" w14:textId="77777777" w:rsidR="00A4454A" w:rsidRPr="008C1137" w:rsidRDefault="00A4454A" w:rsidP="00B5476D">
      <w:r w:rsidRPr="008C1137">
        <w:t xml:space="preserve">Bennett, Sarah, David P. Farrington and L. Rowell Huesmann, ‘Explaining Gender Differences in Crime and Violence: The Importance of Social Cognitive Skills’ (2005) 10(3) </w:t>
      </w:r>
      <w:r w:rsidRPr="003B3217">
        <w:rPr>
          <w:rStyle w:val="Italic"/>
        </w:rPr>
        <w:t>Aggression and Violent Behavior</w:t>
      </w:r>
      <w:r w:rsidRPr="008C1137">
        <w:t xml:space="preserve"> 263.</w:t>
      </w:r>
    </w:p>
    <w:p w14:paraId="4A28A9E0" w14:textId="77777777" w:rsidR="00A4454A" w:rsidRPr="008C1137" w:rsidRDefault="00A4454A" w:rsidP="00B5476D">
      <w:r w:rsidRPr="008C1137">
        <w:t xml:space="preserve">Borzycki, Maria and Eileen Baldry, </w:t>
      </w:r>
      <w:r w:rsidRPr="003B3217">
        <w:rPr>
          <w:rStyle w:val="Italic"/>
        </w:rPr>
        <w:t>Promoting Integration: The Provision of Prisoner Post-Release Supervision</w:t>
      </w:r>
      <w:r w:rsidRPr="008C1137">
        <w:t>, Trends &amp; Issues in Criminal Justice no. 262 (Australian Institute of Criminology, 2003).</w:t>
      </w:r>
    </w:p>
    <w:p w14:paraId="1509D72F" w14:textId="77777777" w:rsidR="00A4454A" w:rsidRPr="008C1137" w:rsidRDefault="00A4454A" w:rsidP="00B5476D">
      <w:r w:rsidRPr="008C1137">
        <w:t xml:space="preserve">Callinan, Ian, </w:t>
      </w:r>
      <w:r w:rsidRPr="003B3217">
        <w:rPr>
          <w:rStyle w:val="Italic"/>
        </w:rPr>
        <w:t>Review of the Parole System in Victoria</w:t>
      </w:r>
      <w:r w:rsidRPr="008C1137">
        <w:t xml:space="preserve"> (Corrections Victoria, 2013).</w:t>
      </w:r>
    </w:p>
    <w:p w14:paraId="3590F3A0" w14:textId="77777777" w:rsidR="00A4454A" w:rsidRPr="008C1137" w:rsidRDefault="00A4454A" w:rsidP="00B5476D">
      <w:r w:rsidRPr="008C1137">
        <w:t xml:space="preserve">Carson, Elizabeth Ann and William J. Sabol, </w:t>
      </w:r>
      <w:r w:rsidRPr="003B3217">
        <w:rPr>
          <w:rStyle w:val="Italic"/>
        </w:rPr>
        <w:t xml:space="preserve">Aging of the State Prison Population, 1993–2013, </w:t>
      </w:r>
      <w:r w:rsidRPr="008C1137">
        <w:t>Bureau of Justice Statistics (U.S Department of Justice, 2016).</w:t>
      </w:r>
    </w:p>
    <w:p w14:paraId="14DF1AE4" w14:textId="77777777" w:rsidR="00A4454A" w:rsidRPr="008C1137" w:rsidRDefault="00A4454A" w:rsidP="00B5476D">
      <w:r w:rsidRPr="008C1137">
        <w:t>Closing the Gap, ‘Closing the Gap Targets and Outcomes’ (closingthegap.gov.au, [2025]) &lt;https://www.closingthegap.gov.au/national-agreement/targets&gt;.</w:t>
      </w:r>
    </w:p>
    <w:p w14:paraId="4E176788" w14:textId="77777777" w:rsidR="00A4454A" w:rsidRPr="008C1137" w:rsidRDefault="00A4454A" w:rsidP="00B5476D">
      <w:r w:rsidRPr="008C1137">
        <w:t xml:space="preserve">Cid, Jose, ‘Is Imprisonment Criminogenic? A Comparative Study of Recidivism Rates Between Prison and Suspended Prison Sanctions’ (2009) 6(6) </w:t>
      </w:r>
      <w:r w:rsidRPr="003B3217">
        <w:rPr>
          <w:rStyle w:val="Italic"/>
        </w:rPr>
        <w:t>European Journal of Criminology</w:t>
      </w:r>
      <w:r w:rsidRPr="008C1137">
        <w:t xml:space="preserve"> 459.</w:t>
      </w:r>
    </w:p>
    <w:p w14:paraId="72EBA9EA" w14:textId="77777777" w:rsidR="00A4454A" w:rsidRPr="008C1137" w:rsidRDefault="00A4454A" w:rsidP="00B5476D">
      <w:r w:rsidRPr="008C1137">
        <w:t xml:space="preserve">Coghlan, Paul, </w:t>
      </w:r>
      <w:r w:rsidRPr="003B3217">
        <w:rPr>
          <w:rStyle w:val="Italic"/>
        </w:rPr>
        <w:t>Bail Review: First Advice to the Victorian Government</w:t>
      </w:r>
      <w:r w:rsidRPr="008C1137">
        <w:t xml:space="preserve"> (State of Victoria, 2017).</w:t>
      </w:r>
    </w:p>
    <w:p w14:paraId="55E26A38" w14:textId="77777777" w:rsidR="00A4454A" w:rsidRPr="008C1137" w:rsidRDefault="00A4454A" w:rsidP="00B5476D">
      <w:r w:rsidRPr="008C1137">
        <w:t xml:space="preserve">Coghlan, Paul, </w:t>
      </w:r>
      <w:r w:rsidRPr="003B3217">
        <w:rPr>
          <w:rStyle w:val="Italic"/>
        </w:rPr>
        <w:t>Bail Review: Second Advice to the Victorian Government</w:t>
      </w:r>
      <w:r w:rsidRPr="008C1137">
        <w:t xml:space="preserve"> (State of Victoria, 2017).</w:t>
      </w:r>
    </w:p>
    <w:p w14:paraId="6A11DC0E" w14:textId="77777777" w:rsidR="00A4454A" w:rsidRPr="008C1137" w:rsidRDefault="00A4454A" w:rsidP="00B5476D">
      <w:r w:rsidRPr="008C1137">
        <w:t xml:space="preserve">Commonwealth of Australia, House of Representatives Standing Committee, </w:t>
      </w:r>
      <w:r w:rsidRPr="003B3217">
        <w:rPr>
          <w:rStyle w:val="Italic"/>
        </w:rPr>
        <w:t xml:space="preserve">Inquiry into Family, Domestic and Sexual Violence </w:t>
      </w:r>
      <w:r w:rsidRPr="008C1137">
        <w:t>(Commonwealth of Australia, 2021).</w:t>
      </w:r>
    </w:p>
    <w:p w14:paraId="4A33ECA3" w14:textId="77777777" w:rsidR="00A4454A" w:rsidRPr="008C1137" w:rsidRDefault="00A4454A" w:rsidP="00B5476D">
      <w:r w:rsidRPr="008C1137">
        <w:lastRenderedPageBreak/>
        <w:t xml:space="preserve">Commonwealth of Australia, </w:t>
      </w:r>
      <w:r w:rsidRPr="003B3217">
        <w:rPr>
          <w:rStyle w:val="Italic"/>
        </w:rPr>
        <w:t>Royal Commission into Aboriginal Deaths in Custody, Final Report,</w:t>
      </w:r>
      <w:r w:rsidRPr="008C1137">
        <w:t xml:space="preserve"> vol. 1 (Australian Government Publishing Service, 1991).</w:t>
      </w:r>
    </w:p>
    <w:p w14:paraId="450A041A" w14:textId="77777777" w:rsidR="00A4454A" w:rsidRPr="008C1137" w:rsidRDefault="00A4454A" w:rsidP="00B5476D">
      <w:r w:rsidRPr="008C1137">
        <w:t xml:space="preserve">Commonwealth of Australia, </w:t>
      </w:r>
      <w:r w:rsidRPr="003B3217">
        <w:rPr>
          <w:rStyle w:val="Italic"/>
        </w:rPr>
        <w:t>Royal Commission into Aboriginal Deaths in Custody, Final Report,</w:t>
      </w:r>
      <w:r w:rsidRPr="008C1137">
        <w:t xml:space="preserve"> vol. 3 (Australian Government Publishing Service, 1991).</w:t>
      </w:r>
    </w:p>
    <w:p w14:paraId="2C4C3FF3" w14:textId="77777777" w:rsidR="00A4454A" w:rsidRPr="008C1137" w:rsidRDefault="00A4454A" w:rsidP="00B5476D">
      <w:r w:rsidRPr="008C1137">
        <w:t xml:space="preserve">Complex Adult Victim Sex Offender Management Review Panel, </w:t>
      </w:r>
      <w:r w:rsidRPr="003B3217">
        <w:rPr>
          <w:rStyle w:val="Italic"/>
        </w:rPr>
        <w:t>Advice on the Legislative and Governance Models Under the Serious Sex Offenders (Detention and Supervision) Act 2009 (Vic)</w:t>
      </w:r>
      <w:r w:rsidRPr="008C1137">
        <w:t xml:space="preserve"> (Complex Adult Victim Sex Offender Management Review Panel, 2015).</w:t>
      </w:r>
    </w:p>
    <w:p w14:paraId="043E1357" w14:textId="77777777" w:rsidR="00A4454A" w:rsidRPr="008C1137" w:rsidRDefault="00A4454A" w:rsidP="00B5476D">
      <w:r w:rsidRPr="008C1137">
        <w:t xml:space="preserve">Corrections Victoria, </w:t>
      </w:r>
      <w:r w:rsidRPr="003B3217">
        <w:rPr>
          <w:rStyle w:val="Italic"/>
        </w:rPr>
        <w:t xml:space="preserve">Annual Prisons Statistical Profile 2015 to 2024, </w:t>
      </w:r>
      <w:r w:rsidRPr="008C1137">
        <w:t>Corrections, Prisons &amp; Parole (2025) &lt;https://www.corrections.vic.gov.au/about-the-corrections-system/statistics-and-research/annual-prisons-statistical-profile&gt;.</w:t>
      </w:r>
    </w:p>
    <w:p w14:paraId="5C789DB6" w14:textId="77777777" w:rsidR="00A4454A" w:rsidRPr="008C1137" w:rsidRDefault="00A4454A" w:rsidP="00B5476D">
      <w:r w:rsidRPr="008C1137">
        <w:t>Corrections Victoria, ‘Monthly Prison and Community Corrections Snapshot</w:t>
      </w:r>
      <w:r w:rsidRPr="003B3217">
        <w:rPr>
          <w:rStyle w:val="Italic"/>
        </w:rPr>
        <w:t xml:space="preserve">s’, </w:t>
      </w:r>
      <w:r w:rsidRPr="008C1137">
        <w:t>Corrections, Prisons &amp; Parole (corrections.vic.gov.au, 2025) &lt;https://www.corrections.vic.gov.au/about-the-corrections-system/statistics-and-research/monthly-prison-and-community-corrections&gt;.</w:t>
      </w:r>
    </w:p>
    <w:p w14:paraId="1A47364C" w14:textId="77777777" w:rsidR="00A4454A" w:rsidRPr="008C1137" w:rsidRDefault="00A4454A" w:rsidP="00B5476D">
      <w:r w:rsidRPr="008C1137">
        <w:t>Corrections Victoria, ‘Monthly Time Series Prison and Community Corrections Data’</w:t>
      </w:r>
      <w:r w:rsidRPr="003B3217">
        <w:rPr>
          <w:rStyle w:val="Italic"/>
        </w:rPr>
        <w:t xml:space="preserve">, </w:t>
      </w:r>
      <w:r w:rsidRPr="008C1137">
        <w:t>Corrections, Prison &amp; Parole (corrections.vic.gov.au, 2025) &lt;https://www.corrections.vic.gov.au/about-the-corrections-system/statistics-and-research/monthly-time-series-prison-and-community&gt;.</w:t>
      </w:r>
    </w:p>
    <w:p w14:paraId="38FAB9A8" w14:textId="77777777" w:rsidR="00A4454A" w:rsidRPr="008C1137" w:rsidRDefault="00A4454A" w:rsidP="00B5476D">
      <w:r w:rsidRPr="008C1137">
        <w:t xml:space="preserve">Corrections Victoria, </w:t>
      </w:r>
      <w:r w:rsidRPr="003B3217">
        <w:rPr>
          <w:rStyle w:val="Italic"/>
        </w:rPr>
        <w:t>Women in the Victorian Prison System</w:t>
      </w:r>
      <w:r w:rsidRPr="008C1137">
        <w:t xml:space="preserve"> (State of Victoria, 2019).</w:t>
      </w:r>
    </w:p>
    <w:p w14:paraId="05B136C7" w14:textId="77777777" w:rsidR="00A4454A" w:rsidRPr="008C1137" w:rsidRDefault="00A4454A" w:rsidP="00B5476D">
      <w:r w:rsidRPr="008C1137">
        <w:t xml:space="preserve">Crime Statistics Agency, </w:t>
      </w:r>
      <w:r w:rsidRPr="003B3217">
        <w:rPr>
          <w:rStyle w:val="Italic"/>
        </w:rPr>
        <w:t>Characteristics and Offending of Women in Prison in Victoria, 2012–2018</w:t>
      </w:r>
      <w:r w:rsidRPr="008C1137">
        <w:t xml:space="preserve"> (Crime Statistics Agency, 2019).</w:t>
      </w:r>
    </w:p>
    <w:p w14:paraId="7A8F3479" w14:textId="77777777" w:rsidR="00A4454A" w:rsidRPr="008C1137" w:rsidRDefault="00A4454A" w:rsidP="00B5476D">
      <w:r w:rsidRPr="008C1137">
        <w:lastRenderedPageBreak/>
        <w:t xml:space="preserve">Crime Statistics Agency, </w:t>
      </w:r>
      <w:r w:rsidRPr="003B3217">
        <w:rPr>
          <w:rStyle w:val="Italic"/>
        </w:rPr>
        <w:t>Characteristics of Chronic Offenders in Victoria</w:t>
      </w:r>
      <w:r w:rsidRPr="008C1137">
        <w:t>, In Fact no. 7 (Crime Statistics Agency, 2018).</w:t>
      </w:r>
    </w:p>
    <w:p w14:paraId="62DD1166" w14:textId="77777777" w:rsidR="00A4454A" w:rsidRPr="008C1137" w:rsidRDefault="00A4454A" w:rsidP="00B5476D">
      <w:r w:rsidRPr="008C1137">
        <w:t>Crime Statistics Agency, ‘Cost-of-Living Pressures May Be Contributing to 17% Increase in Thefts During the Last 12 Months’, Media Release (20 August 2024) &lt;https://www.crimestatistics.vic.gov.au/media-centre/news/media-release-cost-of-living-pressures-may-be-contributing-to-17-increase-in&gt;.</w:t>
      </w:r>
    </w:p>
    <w:p w14:paraId="55F1513E" w14:textId="77777777" w:rsidR="00A4454A" w:rsidRPr="008C1137" w:rsidRDefault="00A4454A" w:rsidP="00B5476D">
      <w:r w:rsidRPr="008C1137">
        <w:t>Crime Statistics Agency, ‘Download Crime Data’ (crimestatistics.vic.gov.au, 2025) &lt;https://www.crimestatistics.vic.gov.au/crime-statistics/download-crime-data&gt;.</w:t>
      </w:r>
    </w:p>
    <w:p w14:paraId="25C6938A" w14:textId="77777777" w:rsidR="00A4454A" w:rsidRPr="008C1137" w:rsidRDefault="00A4454A" w:rsidP="00B5476D">
      <w:r w:rsidRPr="008C1137">
        <w:t>Crime Statistics Agency, ‘Explanatory Notes – Historical Data and Revisions’ (crimestatistics.vic.gov.au, 2025) &lt;https://www.crimestatistics.vic.gov.au/about-the-data/explanatory-notes#Historical%20Data%20and%20Revisions&gt;.</w:t>
      </w:r>
    </w:p>
    <w:p w14:paraId="4E16CAB5" w14:textId="77777777" w:rsidR="00A4454A" w:rsidRPr="008C1137" w:rsidRDefault="00A4454A" w:rsidP="00B5476D">
      <w:r w:rsidRPr="008C1137">
        <w:t xml:space="preserve">Crime Statistics Agency, </w:t>
      </w:r>
      <w:r w:rsidRPr="003B3217">
        <w:rPr>
          <w:rStyle w:val="Italic"/>
        </w:rPr>
        <w:t>Family Incidents Visualisation Year Ending June 2024</w:t>
      </w:r>
      <w:r w:rsidRPr="008C1137">
        <w:t xml:space="preserve"> (Crime Statistics Agency, 2024).</w:t>
      </w:r>
    </w:p>
    <w:p w14:paraId="5B6B56B9" w14:textId="77777777" w:rsidR="00A4454A" w:rsidRPr="008C1137" w:rsidRDefault="00A4454A" w:rsidP="00B5476D">
      <w:r w:rsidRPr="008C1137">
        <w:t xml:space="preserve">Crime Statistics Agency, Family </w:t>
      </w:r>
      <w:r w:rsidRPr="003B3217">
        <w:rPr>
          <w:rStyle w:val="Italic"/>
        </w:rPr>
        <w:t>Incidents Visualisation Year Ending June 2020</w:t>
      </w:r>
      <w:r w:rsidRPr="008C1137">
        <w:t xml:space="preserve"> (Crime Statistics Agency, 2020).</w:t>
      </w:r>
    </w:p>
    <w:p w14:paraId="3FEAD04C" w14:textId="77777777" w:rsidR="00A4454A" w:rsidRPr="008C1137" w:rsidRDefault="00A4454A" w:rsidP="00B5476D">
      <w:r w:rsidRPr="008C1137">
        <w:t xml:space="preserve">Crime Statistics Agency, </w:t>
      </w:r>
      <w:r w:rsidRPr="003B3217">
        <w:rPr>
          <w:rStyle w:val="Italic"/>
        </w:rPr>
        <w:t>Recorded Offences Visualisation Year Ending June 2024</w:t>
      </w:r>
      <w:r w:rsidRPr="008C1137">
        <w:t xml:space="preserve"> (Crime Statistics Agency, 2024).</w:t>
      </w:r>
    </w:p>
    <w:p w14:paraId="2E45CC53" w14:textId="77777777" w:rsidR="00A4454A" w:rsidRPr="008C1137" w:rsidRDefault="00A4454A" w:rsidP="00B5476D">
      <w:r w:rsidRPr="008C1137">
        <w:t xml:space="preserve">Crime Statistics Agency, </w:t>
      </w:r>
      <w:r w:rsidRPr="003B3217">
        <w:rPr>
          <w:rStyle w:val="Italic"/>
        </w:rPr>
        <w:t>Recorded Offences Visualisation Year Ending June 2020</w:t>
      </w:r>
      <w:r w:rsidRPr="008C1137">
        <w:t xml:space="preserve"> (Crime Statistics Agency, 2020).</w:t>
      </w:r>
    </w:p>
    <w:p w14:paraId="46BC6864" w14:textId="77777777" w:rsidR="00A4454A" w:rsidRPr="008C1137" w:rsidRDefault="00A4454A" w:rsidP="00B5476D">
      <w:r w:rsidRPr="008C1137">
        <w:t>Crime Statistics Agency, ‘Glossary and Data Dictionary’ (crimestatistics.vic.gov.au, 2025) &lt;https://www.crimestatistics.vic.gov.au/about-the-data/glossary-and-data-dictionary&gt;.</w:t>
      </w:r>
    </w:p>
    <w:p w14:paraId="44FD8ECF" w14:textId="77777777" w:rsidR="00A4454A" w:rsidRPr="008C1137" w:rsidRDefault="00A4454A" w:rsidP="00B5476D">
      <w:r w:rsidRPr="008C1137">
        <w:lastRenderedPageBreak/>
        <w:t>Crime Statistics Agency, ‘Offence Classification’ (crimestatistics.vic.gov.au, 2025) &lt;https://www.crimestatistics.vic.gov.au/index.php/about-the-data/classifications-and-victorian-map-boundaries/offence-classification&gt;.</w:t>
      </w:r>
    </w:p>
    <w:p w14:paraId="4E5C63CE" w14:textId="77777777" w:rsidR="00A4454A" w:rsidRPr="008C1137" w:rsidRDefault="00A4454A" w:rsidP="00B5476D">
      <w:r w:rsidRPr="008C1137">
        <w:t>Crime Statistics Agency, ‘Police-recorded Crime Trends in Victoria during the COVID-19 Pandemic: Update to End of December’ (crimestatistics.vic.gov.au, 2024) &lt;https://www.crimestatistics.vic.gov.au/research-and-evaluation/publications/police-recorded-crime-trends-in-victoria-during-the-covid-19-1&gt;.</w:t>
      </w:r>
    </w:p>
    <w:p w14:paraId="496DB00D" w14:textId="77777777" w:rsidR="00A4454A" w:rsidRPr="008C1137" w:rsidRDefault="00A4454A" w:rsidP="00B5476D">
      <w:r w:rsidRPr="008C1137">
        <w:t>Crime Statistics Agency, ‘Spotlight: Breaches of Orders – The Impact of Legislative Changes’ (crimestatistics.vic.gov.au, 2024) &lt;https://www.crimestatistics.vic.gov.au/spotlight-breaches-of-orders-the-impact-of-legislative-changes&gt;.</w:t>
      </w:r>
    </w:p>
    <w:p w14:paraId="1007B0E0" w14:textId="77777777" w:rsidR="00A4454A" w:rsidRPr="008C1137" w:rsidRDefault="00A4454A" w:rsidP="00B5476D">
      <w:r w:rsidRPr="008C1137">
        <w:t xml:space="preserve">Department of Justice, </w:t>
      </w:r>
      <w:r w:rsidRPr="003B3217">
        <w:rPr>
          <w:rStyle w:val="Italic"/>
        </w:rPr>
        <w:t>Statistical Profile of the Victorian Prison System 2000–01 to 2004–05</w:t>
      </w:r>
      <w:r w:rsidRPr="008C1137">
        <w:t xml:space="preserve"> (Department of Justice, 2006).</w:t>
      </w:r>
    </w:p>
    <w:p w14:paraId="1219462A" w14:textId="77777777" w:rsidR="00A4454A" w:rsidRPr="008C1137" w:rsidRDefault="00A4454A" w:rsidP="00B5476D">
      <w:r w:rsidRPr="008C1137">
        <w:t xml:space="preserve">England and Wales House of Commons, Justice Committee, </w:t>
      </w:r>
      <w:r w:rsidRPr="003B3217">
        <w:rPr>
          <w:rStyle w:val="Italic"/>
        </w:rPr>
        <w:t>Aging Prison Population, Fifth Report of Session 2019–21</w:t>
      </w:r>
      <w:r w:rsidRPr="008C1137">
        <w:t xml:space="preserve"> (England and Wales House of Commons, 2020).</w:t>
      </w:r>
    </w:p>
    <w:p w14:paraId="6EA562FE" w14:textId="77777777" w:rsidR="00A4454A" w:rsidRPr="008C1137" w:rsidRDefault="00A4454A" w:rsidP="00B5476D">
      <w:r w:rsidRPr="008C1137">
        <w:t xml:space="preserve">Expert Reference Group, </w:t>
      </w:r>
      <w:r w:rsidRPr="003B3217">
        <w:rPr>
          <w:rStyle w:val="Italic"/>
        </w:rPr>
        <w:t>Seeing the Clear Light of Day: Expert Reference Group on Decriminalising Public Drunkenness, Report to the Attorney-General</w:t>
      </w:r>
      <w:r w:rsidRPr="008C1137">
        <w:t xml:space="preserve"> (Expert Reference Group, 2020).</w:t>
      </w:r>
    </w:p>
    <w:p w14:paraId="59D38AC8" w14:textId="77777777" w:rsidR="00A4454A" w:rsidRPr="008C1137" w:rsidRDefault="00A4454A" w:rsidP="00B5476D">
      <w:r w:rsidRPr="008C1137">
        <w:t xml:space="preserve">Farrington, David P., ‘Age and Crime’ (1986) 7 </w:t>
      </w:r>
      <w:r w:rsidRPr="003B3217">
        <w:rPr>
          <w:rStyle w:val="Italic"/>
        </w:rPr>
        <w:t>Crime and Justice</w:t>
      </w:r>
      <w:r w:rsidRPr="008C1137">
        <w:t xml:space="preserve"> 189.</w:t>
      </w:r>
    </w:p>
    <w:p w14:paraId="237FF2B3" w14:textId="77777777" w:rsidR="00A4454A" w:rsidRPr="008C1137" w:rsidRDefault="00A4454A" w:rsidP="00B5476D">
      <w:r w:rsidRPr="008C1137">
        <w:t xml:space="preserve">Fé, Eduardo, ‘Partial Identification of the Dark Figure of Crime with Survey Data Under Misreporting Errors’ (2024) 41 </w:t>
      </w:r>
      <w:r w:rsidRPr="003B3217">
        <w:rPr>
          <w:rStyle w:val="Italic"/>
        </w:rPr>
        <w:t>Journal of Quantitative Criminology</w:t>
      </w:r>
      <w:r w:rsidRPr="008C1137">
        <w:t xml:space="preserve"> 241.</w:t>
      </w:r>
    </w:p>
    <w:p w14:paraId="7E8E80E9" w14:textId="77777777" w:rsidR="00A4454A" w:rsidRPr="008C1137" w:rsidRDefault="00A4454A" w:rsidP="00B5476D">
      <w:r w:rsidRPr="008C1137">
        <w:t xml:space="preserve">Freiberg, Arie, Lorena Bartels, Robin Fitzgerald and Shannon Dodd, ‘Parole, Politics and Penal Policy’ (2018) 18(1) </w:t>
      </w:r>
      <w:r w:rsidRPr="003B3217">
        <w:rPr>
          <w:rStyle w:val="Italic"/>
        </w:rPr>
        <w:t>QUT Law Review</w:t>
      </w:r>
      <w:r w:rsidRPr="008C1137">
        <w:t xml:space="preserve"> 191.</w:t>
      </w:r>
    </w:p>
    <w:p w14:paraId="3BF45A37" w14:textId="77777777" w:rsidR="00A4454A" w:rsidRPr="008C1137" w:rsidRDefault="00A4454A" w:rsidP="00B5476D">
      <w:r w:rsidRPr="008C1137">
        <w:lastRenderedPageBreak/>
        <w:t xml:space="preserve">Gelb, Karen, Nigel Stobbs and Russel Hogg, </w:t>
      </w:r>
      <w:r w:rsidRPr="003B3217">
        <w:rPr>
          <w:rStyle w:val="Italic"/>
        </w:rPr>
        <w:t xml:space="preserve">Community-Based Sentencing Orders and Parole: A Review of Literature and Evaluations Across Jurisdictions </w:t>
      </w:r>
      <w:r w:rsidRPr="008C1137">
        <w:t>(Queensland University of Technology, 2019).</w:t>
      </w:r>
    </w:p>
    <w:p w14:paraId="2835B54A" w14:textId="77777777" w:rsidR="00A4454A" w:rsidRPr="008C1137" w:rsidRDefault="00A4454A" w:rsidP="00B5476D">
      <w:r w:rsidRPr="008C1137">
        <w:t>Human Rights Law Centre, ‘Explainer: Victoria’s Broken Bail Laws’, Media Release (3 August 2021) &lt;https://www.hrlc.org.au/explainers/2021-8-3-explainer-victorias-broken-bail-laws/&gt;.</w:t>
      </w:r>
    </w:p>
    <w:p w14:paraId="2F78B266" w14:textId="77777777" w:rsidR="00A4454A" w:rsidRPr="008C1137" w:rsidRDefault="00A4454A" w:rsidP="00B5476D">
      <w:r w:rsidRPr="008C1137">
        <w:t xml:space="preserve">Hurley, Monique, ‘Towards Ending Over-imprisonment: Addressing the Impact of Bail Laws on Women in Victoria’ (2022) 31(170) </w:t>
      </w:r>
      <w:r w:rsidRPr="003B3217">
        <w:rPr>
          <w:rStyle w:val="Italic"/>
        </w:rPr>
        <w:t>Precedent</w:t>
      </w:r>
      <w:r w:rsidRPr="008C1137">
        <w:t xml:space="preserve"> 32.</w:t>
      </w:r>
    </w:p>
    <w:p w14:paraId="4460B6B7" w14:textId="77777777" w:rsidR="00A4454A" w:rsidRPr="008C1137" w:rsidRDefault="00A4454A" w:rsidP="00B5476D">
      <w:r w:rsidRPr="008C1137">
        <w:t>Institute for Crime &amp; Justice Policy Research, ‘About World Prison Brief’, World Prison Brief (prisonstudies.org, 2025) &lt;https://www.prisonstudies.org/about-us&gt;.</w:t>
      </w:r>
    </w:p>
    <w:p w14:paraId="4D4E6525" w14:textId="77777777" w:rsidR="00A4454A" w:rsidRPr="008C1137" w:rsidRDefault="00A4454A" w:rsidP="00B5476D">
      <w:r w:rsidRPr="008C1137">
        <w:t>Institute for Crime &amp; Justice Policy Research, ‘World Prison Brief Data’, World Prison Brief (prisonstudies.org, 2024) &lt;https://www.prisonstudies.org/world-prison-brief-data&gt;.</w:t>
      </w:r>
    </w:p>
    <w:p w14:paraId="538B0E0A" w14:textId="77777777" w:rsidR="00A4454A" w:rsidRPr="008C1137" w:rsidRDefault="00A4454A" w:rsidP="00B5476D">
      <w:r w:rsidRPr="008C1137">
        <w:t>Irish Prison Service, ‘2024 Prison Population’ (irishprisons.ie, 2025) &lt;https://www.irishprisons.ie/2024-prison-populations/&gt;.</w:t>
      </w:r>
    </w:p>
    <w:p w14:paraId="18A6680F" w14:textId="77777777" w:rsidR="00A4454A" w:rsidRPr="008C1137" w:rsidRDefault="00A4454A" w:rsidP="00B5476D">
      <w:r w:rsidRPr="008C1137">
        <w:t xml:space="preserve">Lind, Bronwyn and Simon Eyland, </w:t>
      </w:r>
      <w:r w:rsidRPr="003B3217">
        <w:rPr>
          <w:rStyle w:val="Italic"/>
        </w:rPr>
        <w:t>The Impact of Abolishing Short Prison Sentences</w:t>
      </w:r>
      <w:r w:rsidRPr="008C1137">
        <w:t>, Contemporary Issues in Crime and Justice no. 73 (NSW Bureau of Crime Statistics and Research, 2002).</w:t>
      </w:r>
    </w:p>
    <w:p w14:paraId="42F2B36F" w14:textId="77777777" w:rsidR="00A4454A" w:rsidRPr="008C1137" w:rsidRDefault="00A4454A" w:rsidP="00B5476D">
      <w:r w:rsidRPr="008C1137">
        <w:t xml:space="preserve">McMahon, Marilyn, </w:t>
      </w:r>
      <w:r w:rsidRPr="003B3217">
        <w:rPr>
          <w:rStyle w:val="Italic"/>
        </w:rPr>
        <w:t>No Bail, More Jail? Breaking the Nexus Between Community Protection and Escalating Pre-Trial Detention</w:t>
      </w:r>
      <w:r w:rsidRPr="008C1137">
        <w:t>, Research Paper no. 3</w:t>
      </w:r>
      <w:r w:rsidRPr="003B3217">
        <w:rPr>
          <w:rStyle w:val="Italic"/>
        </w:rPr>
        <w:t xml:space="preserve"> </w:t>
      </w:r>
      <w:r w:rsidRPr="008C1137">
        <w:t>(State of Victoria, Department of Parliamentary Services, 2019).</w:t>
      </w:r>
    </w:p>
    <w:p w14:paraId="73DA74B3" w14:textId="77777777" w:rsidR="00A4454A" w:rsidRPr="008C1137" w:rsidRDefault="00A4454A" w:rsidP="00B5476D">
      <w:r w:rsidRPr="008C1137">
        <w:t xml:space="preserve">Moffa, Monique, Greg Stratton and Michele Ruyters, ‘Parole Populism: The Politicisation of Parole in Victoria’ (2019) 31(1) </w:t>
      </w:r>
      <w:r w:rsidRPr="003B3217">
        <w:rPr>
          <w:rStyle w:val="Italic"/>
        </w:rPr>
        <w:t>Current Issues in Criminal Justice</w:t>
      </w:r>
      <w:r w:rsidRPr="008C1137">
        <w:t xml:space="preserve"> 75.</w:t>
      </w:r>
    </w:p>
    <w:p w14:paraId="1EBBECE4" w14:textId="77777777" w:rsidR="00A4454A" w:rsidRPr="008C1137" w:rsidRDefault="00A4454A" w:rsidP="00B5476D">
      <w:r w:rsidRPr="008C1137">
        <w:t xml:space="preserve">Morgan, Anthony, </w:t>
      </w:r>
      <w:r w:rsidRPr="003B3217">
        <w:rPr>
          <w:rStyle w:val="Italic"/>
        </w:rPr>
        <w:t>How Much Does Prison Really Cost? Comparing the Costs of Imprisonment with Community Corrections</w:t>
      </w:r>
      <w:r w:rsidRPr="008C1137">
        <w:t>, Research Report 05 (Australian Institute of Criminology, 2018).</w:t>
      </w:r>
    </w:p>
    <w:p w14:paraId="2A7BB607" w14:textId="77777777" w:rsidR="00A4454A" w:rsidRPr="008C1137" w:rsidRDefault="00A4454A" w:rsidP="00B5476D">
      <w:r w:rsidRPr="008C1137">
        <w:lastRenderedPageBreak/>
        <w:t>New Zealand Department of Corrections, ‘Prison Statistics’ (corrections.govt.nz, 2025) &lt;https://www.corrections.govt.nz/resources/statistics/quarterly_prison_statistics/prison_facts_and_statistics_-_june_2024&gt;.</w:t>
      </w:r>
    </w:p>
    <w:p w14:paraId="67030428" w14:textId="77777777" w:rsidR="00A4454A" w:rsidRPr="008C1137" w:rsidRDefault="00A4454A" w:rsidP="00B5476D">
      <w:r w:rsidRPr="008C1137">
        <w:t xml:space="preserve">NSW Bureau of Crime Statistics and Research, </w:t>
      </w:r>
      <w:r w:rsidRPr="003B3217">
        <w:rPr>
          <w:rStyle w:val="Italic"/>
        </w:rPr>
        <w:t>New South Wales, Recorded Crime Statistics, Quarterly Update, June Quarter 2024</w:t>
      </w:r>
      <w:r w:rsidRPr="008C1137">
        <w:t xml:space="preserve"> (NSW Bureau of Crime Statistics and Research, 2024).</w:t>
      </w:r>
    </w:p>
    <w:p w14:paraId="79C355A8" w14:textId="77777777" w:rsidR="00A4454A" w:rsidRPr="008C1137" w:rsidRDefault="00A4454A" w:rsidP="00B5476D">
      <w:r w:rsidRPr="008C1137">
        <w:t xml:space="preserve">Ogloff, James, </w:t>
      </w:r>
      <w:r w:rsidRPr="003B3217">
        <w:rPr>
          <w:rStyle w:val="Italic"/>
        </w:rPr>
        <w:t>Review of Parolee Reoffending by Way of Murder</w:t>
      </w:r>
      <w:r w:rsidRPr="008C1137">
        <w:t xml:space="preserve"> (Department of Justice, Victoria, 2011).</w:t>
      </w:r>
    </w:p>
    <w:p w14:paraId="55BA1A25" w14:textId="77777777" w:rsidR="00A4454A" w:rsidRPr="008C1137" w:rsidRDefault="00A4454A" w:rsidP="00B5476D">
      <w:r w:rsidRPr="008C1137">
        <w:t>Post Sentence Authority, ‘Publications’ (postsentenceauthority.vic.gov.au, 2025) &lt;https://www.postsentenceauthority.vic.gov.au/about-us/publications&gt;.</w:t>
      </w:r>
    </w:p>
    <w:p w14:paraId="5F89F10E" w14:textId="77777777" w:rsidR="00A4454A" w:rsidRPr="008C1137" w:rsidRDefault="00A4454A" w:rsidP="00B5476D">
      <w:r w:rsidRPr="008C1137">
        <w:t>Premier of Victoria, ‘Creating a Modern and Secure Corrections System’, Media Release (26 June 2024) &lt;https://www.premier.vic.gov.au/creating-modern-and-secure-corrections-system&gt;.</w:t>
      </w:r>
    </w:p>
    <w:p w14:paraId="49F18A57" w14:textId="77777777" w:rsidR="00A4454A" w:rsidRPr="008C1137" w:rsidRDefault="00A4454A" w:rsidP="00B5476D">
      <w:r w:rsidRPr="008C1137">
        <w:t>Premier of Victoria, ‘Major Reforms to Overhaul Bail System Pass Parliament’, Media Release (23 June 2017) &lt;https://www.premier.vic.gov.au/major-reforms-overhaul-bail-system-pass-parliament&gt;.</w:t>
      </w:r>
    </w:p>
    <w:p w14:paraId="525506CB" w14:textId="77777777" w:rsidR="00A4454A" w:rsidRPr="008C1137" w:rsidRDefault="00A4454A" w:rsidP="00B5476D">
      <w:r w:rsidRPr="008C1137">
        <w:t>Premier of Victoria, ‘New Health-Based Response to Public Drunkenness’, Media Release (22 August 2019) &lt;https://www.premier.vic.gov.au/new-health-based-response-public-drunkenness&gt;.</w:t>
      </w:r>
    </w:p>
    <w:p w14:paraId="22F275C3" w14:textId="77777777" w:rsidR="00A4454A" w:rsidRPr="008C1137" w:rsidRDefault="00A4454A" w:rsidP="00B5476D">
      <w:r w:rsidRPr="008C1137">
        <w:t>Premier of Victoria, ‘New Reforms to Make Victoria’s Bail Laws Fairer’, Media Release (14 August 2023) &lt;https://www.premier.vic.gov.au/new-reforms-make-victorias-bail-laws-fairer&gt;.</w:t>
      </w:r>
    </w:p>
    <w:p w14:paraId="4A9C6F6A" w14:textId="77777777" w:rsidR="00A4454A" w:rsidRPr="008C1137" w:rsidRDefault="00A4454A" w:rsidP="00B5476D">
      <w:r w:rsidRPr="008C1137">
        <w:t>Premier of Victoria, ‘Tough Bail Laws to Keep Victorians Safe’, Media Release (12 March 2025) &lt;https://www.premier.vic.gov.au/tough-bail-laws-keep-victorians-safe&gt;.</w:t>
      </w:r>
    </w:p>
    <w:p w14:paraId="6E6B0A79" w14:textId="77777777" w:rsidR="00A4454A" w:rsidRPr="008C1137" w:rsidRDefault="00A4454A" w:rsidP="00B5476D">
      <w:r w:rsidRPr="008C1137">
        <w:lastRenderedPageBreak/>
        <w:t xml:space="preserve">Productivity Commission, </w:t>
      </w:r>
      <w:r w:rsidRPr="003B3217">
        <w:rPr>
          <w:rStyle w:val="Italic"/>
        </w:rPr>
        <w:t>Australia’s Prison Dilemma: Research Paper</w:t>
      </w:r>
      <w:r w:rsidRPr="008C1137">
        <w:t xml:space="preserve"> (Productivity Commission, 2021).</w:t>
      </w:r>
    </w:p>
    <w:p w14:paraId="1B7DC36A" w14:textId="77777777" w:rsidR="00A4454A" w:rsidRPr="008C1137" w:rsidRDefault="00A4454A" w:rsidP="00B5476D">
      <w:r w:rsidRPr="008C1137">
        <w:t>Productivity Commission, ‘Closing the Gap Dashboard’ (pc.gov.au, 2025) &lt;https://www.pc.gov.au/closing-the-gap-data/dashboard&gt;.</w:t>
      </w:r>
    </w:p>
    <w:p w14:paraId="42BE6BEF" w14:textId="77777777" w:rsidR="00A4454A" w:rsidRPr="008C1137" w:rsidRDefault="00A4454A" w:rsidP="00B5476D">
      <w:r w:rsidRPr="008C1137">
        <w:t xml:space="preserve">Productivity Commission, </w:t>
      </w:r>
      <w:r w:rsidRPr="003B3217">
        <w:rPr>
          <w:rStyle w:val="Italic"/>
        </w:rPr>
        <w:t>Report on Government Services</w:t>
      </w:r>
      <w:r w:rsidRPr="008C1137">
        <w:t xml:space="preserve"> (pc.gov.au, 2025) &lt;https://www.pc.gov.au/ongoing/report-on-government-services&gt;.</w:t>
      </w:r>
    </w:p>
    <w:p w14:paraId="1E3F9308" w14:textId="77777777" w:rsidR="00A4454A" w:rsidRPr="008C1137" w:rsidRDefault="00A4454A" w:rsidP="00B5476D">
      <w:r w:rsidRPr="008C1137">
        <w:t xml:space="preserve">Queensland Women’s Safety and Justice Taskforce, </w:t>
      </w:r>
      <w:r w:rsidRPr="003B3217">
        <w:rPr>
          <w:rStyle w:val="Italic"/>
        </w:rPr>
        <w:t>Hear her Voice, Report One, Addressing Coercive Control and Domestic and Family Violence in Queensland</w:t>
      </w:r>
      <w:r w:rsidRPr="008C1137">
        <w:t xml:space="preserve"> (Queensland Women’s Safety and Justice Taskforce, 2021).</w:t>
      </w:r>
    </w:p>
    <w:p w14:paraId="07F86045" w14:textId="77777777" w:rsidR="00A4454A" w:rsidRPr="008C1137" w:rsidRDefault="00A4454A" w:rsidP="00B5476D">
      <w:r w:rsidRPr="008C1137">
        <w:t xml:space="preserve">Queensland Women’s Safety and Justice Taskforce, </w:t>
      </w:r>
      <w:r w:rsidRPr="003B3217">
        <w:rPr>
          <w:rStyle w:val="Italic"/>
        </w:rPr>
        <w:t>Hear her Voice, Report Two, Volume One, Women and Girls’ Experiences Across the Criminal Justice System</w:t>
      </w:r>
      <w:r w:rsidRPr="008C1137">
        <w:t xml:space="preserve"> (Queensland Women’s Safety and Justice Taskforce, 2022).</w:t>
      </w:r>
    </w:p>
    <w:p w14:paraId="5E91D9AF" w14:textId="77777777" w:rsidR="00A4454A" w:rsidRPr="008C1137" w:rsidRDefault="00A4454A" w:rsidP="00B5476D">
      <w:r w:rsidRPr="008C1137">
        <w:t xml:space="preserve">Ramsey, Stephanie and Jackie Fitzgerald, </w:t>
      </w:r>
      <w:r w:rsidRPr="003B3217">
        <w:rPr>
          <w:rStyle w:val="Italic"/>
        </w:rPr>
        <w:t>Offenders Sentenced to Time Already Served in Custody</w:t>
      </w:r>
      <w:r w:rsidRPr="008C1137">
        <w:t>, Issues paper no. 140 (NSW Bureau of Crime Statistics and Research, 2019).</w:t>
      </w:r>
    </w:p>
    <w:p w14:paraId="1C58E545" w14:textId="77777777" w:rsidR="00A4454A" w:rsidRPr="008C1137" w:rsidRDefault="00A4454A" w:rsidP="00B5476D">
      <w:r w:rsidRPr="008C1137">
        <w:t xml:space="preserve">Rosenfeld, Richard and Aaron Levin, ‘Acquisitive Crime and Inflation in the United States: 1960–2012’ (2016) 32 </w:t>
      </w:r>
      <w:r w:rsidRPr="003B3217">
        <w:rPr>
          <w:rStyle w:val="Italic"/>
        </w:rPr>
        <w:t>Journal of Quantitative Criminology</w:t>
      </w:r>
      <w:r w:rsidRPr="008C1137">
        <w:t xml:space="preserve"> 427.</w:t>
      </w:r>
    </w:p>
    <w:p w14:paraId="1960419D" w14:textId="77777777" w:rsidR="00A4454A" w:rsidRPr="008C1137" w:rsidRDefault="00A4454A" w:rsidP="00B5476D">
      <w:r w:rsidRPr="008C1137">
        <w:t xml:space="preserve">Rosenfeld, Richard and Steven F. Messner, ‘The Crime Drop in Comparative Perspective: The Impact of the Economy and Imprisonment on American and European Burglary Rates’ (2009) 60(3) </w:t>
      </w:r>
      <w:r w:rsidRPr="003B3217">
        <w:rPr>
          <w:rStyle w:val="Italic"/>
        </w:rPr>
        <w:t xml:space="preserve">The British Journal of Sociology </w:t>
      </w:r>
      <w:r w:rsidRPr="008C1137">
        <w:t>445.</w:t>
      </w:r>
    </w:p>
    <w:p w14:paraId="1CC1EAB2" w14:textId="77777777" w:rsidR="00A4454A" w:rsidRPr="008C1137" w:rsidRDefault="00A4454A" w:rsidP="00B5476D">
      <w:r w:rsidRPr="008C1137">
        <w:t xml:space="preserve">Rocque, Michael, Chad Posick and Justin Hoyle, ‘Age and Crime’ in Wesley G. Jennings (ed.), </w:t>
      </w:r>
      <w:r w:rsidRPr="003B3217">
        <w:rPr>
          <w:rStyle w:val="Italic"/>
        </w:rPr>
        <w:t xml:space="preserve">The Encyclopedia of Crime and Punishment </w:t>
      </w:r>
      <w:r w:rsidRPr="008C1137">
        <w:t>(John Wiley &amp; Sons Inc, 2016).</w:t>
      </w:r>
    </w:p>
    <w:p w14:paraId="56556D27" w14:textId="77777777" w:rsidR="00A4454A" w:rsidRPr="008C1137" w:rsidRDefault="00A4454A" w:rsidP="00B5476D">
      <w:r w:rsidRPr="008C1137">
        <w:lastRenderedPageBreak/>
        <w:t xml:space="preserve">Russell, Emma, Bree Carlton, Danielle Tyson, Hui Zhou, Megan Pearce and Jill Faulkner, </w:t>
      </w:r>
      <w:r w:rsidRPr="003B3217">
        <w:rPr>
          <w:rStyle w:val="Italic"/>
        </w:rPr>
        <w:t>A Constellation of Circumstances: The Drivers of Women’s Increasing Rates of Remand in Victoria</w:t>
      </w:r>
      <w:r w:rsidRPr="008C1137">
        <w:t xml:space="preserve"> (Fitzroy Legal Service and La Trobe Centre for Health, Law and Society, 2020).</w:t>
      </w:r>
    </w:p>
    <w:p w14:paraId="26495DBE" w14:textId="77777777" w:rsidR="00A4454A" w:rsidRPr="008C1137" w:rsidRDefault="00A4454A" w:rsidP="00B5476D">
      <w:r w:rsidRPr="008C1137">
        <w:t xml:space="preserve">Russell, Sophie and Eileen Baldry, </w:t>
      </w:r>
      <w:r w:rsidRPr="003B3217">
        <w:rPr>
          <w:rStyle w:val="Italic"/>
        </w:rPr>
        <w:t xml:space="preserve">The Booming Industry Continued: Australian Prisons, A 2020 Update </w:t>
      </w:r>
      <w:r w:rsidRPr="008C1137">
        <w:t>(University of New South Wales, 2020).</w:t>
      </w:r>
    </w:p>
    <w:p w14:paraId="679DFD11" w14:textId="77777777" w:rsidR="00A4454A" w:rsidRPr="008C1137" w:rsidRDefault="00A4454A" w:rsidP="00B5476D">
      <w:r w:rsidRPr="008C1137">
        <w:t xml:space="preserve">Satyen, Lata, John W. Toumbourou, Jess Heerde, Meu Supol and Archna Ranganathan, ‘The Royal Commission into Family Violence: Trends in the Reporting of Intimate Partner Violence and Help-Seeking Behaviour’ (2021) 36(23–24) </w:t>
      </w:r>
      <w:r w:rsidRPr="003B3217">
        <w:rPr>
          <w:rStyle w:val="Italic"/>
        </w:rPr>
        <w:t>Journal of Interpersonal Violence</w:t>
      </w:r>
      <w:r w:rsidRPr="008C1137">
        <w:t xml:space="preserve"> 11009.</w:t>
      </w:r>
    </w:p>
    <w:p w14:paraId="3302541C" w14:textId="77777777" w:rsidR="00A4454A" w:rsidRPr="008C1137" w:rsidRDefault="00A4454A" w:rsidP="00B5476D">
      <w:r w:rsidRPr="008C1137">
        <w:t xml:space="preserve">Schonsheck, Jonathon, </w:t>
      </w:r>
      <w:r w:rsidRPr="003B3217">
        <w:rPr>
          <w:rStyle w:val="Italic"/>
        </w:rPr>
        <w:t>On Criminalization: An Essay in the Philosophy of the Criminal Law</w:t>
      </w:r>
      <w:r w:rsidRPr="008C1137">
        <w:t xml:space="preserve"> (Kluwer Academic Publishers, 1994).</w:t>
      </w:r>
    </w:p>
    <w:p w14:paraId="7B619554" w14:textId="77777777" w:rsidR="00A4454A" w:rsidRPr="008C1137" w:rsidRDefault="00A4454A" w:rsidP="00B5476D">
      <w:r w:rsidRPr="008C1137">
        <w:t>Scottish Prison Service, ‘Data, Research and Evidence’ (sps.gov.uk, 2025) &lt;https://www.sps.gov.uk/about-us/transparency/data-research-and-evidence&gt;.</w:t>
      </w:r>
    </w:p>
    <w:p w14:paraId="69AAAB94" w14:textId="77777777" w:rsidR="00A4454A" w:rsidRPr="008C1137" w:rsidRDefault="00A4454A" w:rsidP="00B5476D">
      <w:r w:rsidRPr="008C1137">
        <w:t xml:space="preserve">Second United Nations Congress on the Prevention of Crime and the Treatment of Offenders, </w:t>
      </w:r>
      <w:r w:rsidRPr="003B3217">
        <w:rPr>
          <w:rStyle w:val="Italic"/>
        </w:rPr>
        <w:t>Short-Term Imprisonment</w:t>
      </w:r>
      <w:r w:rsidRPr="008C1137">
        <w:t>, UN Doc A/CONF.17/5 (20 August 1960).</w:t>
      </w:r>
    </w:p>
    <w:p w14:paraId="5385348A" w14:textId="77777777" w:rsidR="00A4454A" w:rsidRPr="008C1137" w:rsidRDefault="00A4454A" w:rsidP="00B5476D">
      <w:r w:rsidRPr="008C1137">
        <w:t xml:space="preserve">Sentencing Advisory Council, </w:t>
      </w:r>
      <w:r w:rsidRPr="003B3217">
        <w:rPr>
          <w:rStyle w:val="Italic"/>
        </w:rPr>
        <w:t>Changes to Sentencing Practice: Young Adult Offenders, Report</w:t>
      </w:r>
      <w:r w:rsidRPr="008C1137">
        <w:t xml:space="preserve"> (Sentencing Advisory Council, 2015).</w:t>
      </w:r>
    </w:p>
    <w:p w14:paraId="383D81ED" w14:textId="77777777" w:rsidR="00A4454A" w:rsidRPr="008C1137" w:rsidRDefault="00A4454A" w:rsidP="00B5476D">
      <w:r w:rsidRPr="008C1137">
        <w:t xml:space="preserve">Sentencing Advisory Council, </w:t>
      </w:r>
      <w:r w:rsidRPr="003B3217">
        <w:rPr>
          <w:rStyle w:val="Italic"/>
        </w:rPr>
        <w:t>Combined Orders of Imprisonment with a Community Correction Order in Victoria</w:t>
      </w:r>
      <w:r w:rsidRPr="008C1137">
        <w:t xml:space="preserve"> (Sentencing Advisory Council, 2023).</w:t>
      </w:r>
    </w:p>
    <w:p w14:paraId="2AAE3B3D" w14:textId="77777777" w:rsidR="00A4454A" w:rsidRPr="008C1137" w:rsidRDefault="00A4454A" w:rsidP="00B5476D">
      <w:r w:rsidRPr="008C1137">
        <w:t xml:space="preserve">Sentencing Advisory Council, </w:t>
      </w:r>
      <w:r w:rsidRPr="003B3217">
        <w:rPr>
          <w:rStyle w:val="Italic"/>
        </w:rPr>
        <w:t xml:space="preserve">Gender Differences in Sentencing Outcomes </w:t>
      </w:r>
      <w:r w:rsidRPr="008C1137">
        <w:t>(Sentencing Advisory Council, 2010).</w:t>
      </w:r>
    </w:p>
    <w:p w14:paraId="79235A57" w14:textId="77777777" w:rsidR="00A4454A" w:rsidRPr="008C1137" w:rsidRDefault="00A4454A" w:rsidP="00B5476D">
      <w:r w:rsidRPr="008C1137">
        <w:t xml:space="preserve">Sentencing Advisory Council, </w:t>
      </w:r>
      <w:r w:rsidRPr="003B3217">
        <w:rPr>
          <w:rStyle w:val="Italic"/>
        </w:rPr>
        <w:t>Long-Term Sentencing Trends in Victoria</w:t>
      </w:r>
      <w:r w:rsidRPr="008C1137">
        <w:t xml:space="preserve"> (Sentencing Advisory Council, 2022).</w:t>
      </w:r>
    </w:p>
    <w:p w14:paraId="5C4DAADF" w14:textId="77777777" w:rsidR="00A4454A" w:rsidRPr="008C1137" w:rsidRDefault="00A4454A" w:rsidP="00B5476D">
      <w:r w:rsidRPr="008C1137">
        <w:lastRenderedPageBreak/>
        <w:t xml:space="preserve">Sentencing Advisory Council, </w:t>
      </w:r>
      <w:r w:rsidRPr="003B3217">
        <w:rPr>
          <w:rStyle w:val="Italic"/>
        </w:rPr>
        <w:t xml:space="preserve">Parole and Sentencing: Research Report </w:t>
      </w:r>
      <w:r w:rsidRPr="008C1137">
        <w:t>(Sentencing Advisory Council, 2016).</w:t>
      </w:r>
    </w:p>
    <w:p w14:paraId="2AA1232D" w14:textId="77777777" w:rsidR="00A4454A" w:rsidRPr="008C1137" w:rsidRDefault="00A4454A" w:rsidP="00B5476D">
      <w:r w:rsidRPr="008C1137">
        <w:t xml:space="preserve">Sentencing Advisory Council, </w:t>
      </w:r>
      <w:r w:rsidRPr="003B3217">
        <w:rPr>
          <w:rStyle w:val="Italic"/>
        </w:rPr>
        <w:t>Rethinking Sentencing for Young Adult Offenders</w:t>
      </w:r>
      <w:r w:rsidRPr="008C1137">
        <w:t xml:space="preserve"> (Sentencing Advisory Council, 2019).</w:t>
      </w:r>
    </w:p>
    <w:p w14:paraId="02CF39FC" w14:textId="77777777" w:rsidR="00A4454A" w:rsidRPr="008C1137" w:rsidRDefault="00A4454A" w:rsidP="00B5476D">
      <w:r w:rsidRPr="008C1137">
        <w:t xml:space="preserve">Sentencing Advisory Council, </w:t>
      </w:r>
      <w:r w:rsidRPr="003B3217">
        <w:rPr>
          <w:rStyle w:val="Italic"/>
        </w:rPr>
        <w:t>Review of the Victorian Adult Parole System: Report</w:t>
      </w:r>
      <w:r w:rsidRPr="008C1137">
        <w:t xml:space="preserve"> (Sentencing Advisory Council, 2012).</w:t>
      </w:r>
    </w:p>
    <w:p w14:paraId="62F03AB5" w14:textId="77777777" w:rsidR="00A4454A" w:rsidRPr="008C1137" w:rsidRDefault="00A4454A" w:rsidP="00B5476D">
      <w:r w:rsidRPr="008C1137">
        <w:t>Sentencing Advisory Council, ‘Armed Robbery [Higher Courts]’, SACStat (sacstat.vic.gov.au, 2025) &lt;https://www.sacstat.vic.gov.au/hc-vic/armed-robbery-6231-75a-hc.html&gt;.</w:t>
      </w:r>
    </w:p>
    <w:p w14:paraId="35091A82" w14:textId="77777777" w:rsidR="00A4454A" w:rsidRPr="008C1137" w:rsidRDefault="00A4454A" w:rsidP="00B5476D">
      <w:r w:rsidRPr="008C1137">
        <w:t xml:space="preserve">Sentencing Advisory Council, </w:t>
      </w:r>
      <w:r w:rsidRPr="003B3217">
        <w:rPr>
          <w:rStyle w:val="Italic"/>
        </w:rPr>
        <w:t>Secondary Offences in Victoria</w:t>
      </w:r>
      <w:r w:rsidRPr="008C1137">
        <w:t xml:space="preserve"> (Sentencing Advisory Council, 2017).</w:t>
      </w:r>
    </w:p>
    <w:p w14:paraId="394AB529" w14:textId="77777777" w:rsidR="00A4454A" w:rsidRPr="008C1137" w:rsidRDefault="00A4454A" w:rsidP="00B5476D">
      <w:r w:rsidRPr="008C1137">
        <w:t xml:space="preserve">Sentencing Advisory Council, </w:t>
      </w:r>
      <w:r w:rsidRPr="003B3217">
        <w:rPr>
          <w:rStyle w:val="Italic"/>
        </w:rPr>
        <w:t>Sentencing Breaches of Family Violence Intervention Orders and Safety Notices: Third Monitoring Report</w:t>
      </w:r>
      <w:r w:rsidRPr="008C1137">
        <w:t xml:space="preserve"> (Sentencing Advisory Council, 2022).</w:t>
      </w:r>
    </w:p>
    <w:p w14:paraId="0214A7C3" w14:textId="77777777" w:rsidR="00A4454A" w:rsidRPr="008C1137" w:rsidRDefault="00A4454A" w:rsidP="00B5476D">
      <w:r w:rsidRPr="008C1137">
        <w:t xml:space="preserve">Sentencing Advisory Council, </w:t>
      </w:r>
      <w:r w:rsidRPr="003B3217">
        <w:rPr>
          <w:rStyle w:val="Italic"/>
        </w:rPr>
        <w:t>Sentencing in Victoria 2013–14 to 2022–23</w:t>
      </w:r>
      <w:r w:rsidRPr="008C1137">
        <w:t xml:space="preserve"> (Sentencing Advisory Council, 2024).</w:t>
      </w:r>
    </w:p>
    <w:p w14:paraId="6D748A5A" w14:textId="77777777" w:rsidR="00A4454A" w:rsidRPr="008C1137" w:rsidRDefault="00A4454A" w:rsidP="00B5476D">
      <w:r w:rsidRPr="008C1137">
        <w:t xml:space="preserve">Sentencing Advisory Council, </w:t>
      </w:r>
      <w:r w:rsidRPr="003B3217">
        <w:rPr>
          <w:rStyle w:val="Italic"/>
        </w:rPr>
        <w:t>Sentencing Older Offenders in Victoria</w:t>
      </w:r>
      <w:r w:rsidRPr="008C1137">
        <w:t xml:space="preserve"> (Sentencing Advisory Council, 2021).</w:t>
      </w:r>
    </w:p>
    <w:p w14:paraId="2AEC867A" w14:textId="77777777" w:rsidR="00A4454A" w:rsidRPr="008C1137" w:rsidRDefault="00A4454A" w:rsidP="00B5476D">
      <w:r w:rsidRPr="008C1137">
        <w:t>Sentencing Advisory Council, ‘Sentencing Outcomes in the Magistrates’ Court’ (sentencingcouncil.vic.gov.au, 2025) &lt;https://www.sentencingcouncil.vic.gov.au/sentencing-statistics/sentencing-outcomes-magistrates-court&gt;.</w:t>
      </w:r>
    </w:p>
    <w:p w14:paraId="4EEFB064" w14:textId="77777777" w:rsidR="00A4454A" w:rsidRPr="008C1137" w:rsidRDefault="00A4454A" w:rsidP="00B5476D">
      <w:r w:rsidRPr="008C1137">
        <w:t xml:space="preserve">Sentencing Advisory Council, </w:t>
      </w:r>
      <w:r w:rsidRPr="003B3217">
        <w:rPr>
          <w:rStyle w:val="Italic"/>
        </w:rPr>
        <w:t>Sentencing Stalking in Victoria</w:t>
      </w:r>
      <w:r w:rsidRPr="008C1137">
        <w:t xml:space="preserve"> (Sentencing Advisory Council, 2022).</w:t>
      </w:r>
    </w:p>
    <w:p w14:paraId="5C4EBD66" w14:textId="77777777" w:rsidR="00A4454A" w:rsidRPr="008C1137" w:rsidRDefault="00A4454A" w:rsidP="00B5476D">
      <w:r w:rsidRPr="008C1137">
        <w:t xml:space="preserve">Sentencing Advisory Council, </w:t>
      </w:r>
      <w:r w:rsidRPr="003B3217">
        <w:rPr>
          <w:rStyle w:val="Italic"/>
        </w:rPr>
        <w:t>Time Served Prison Sentences in Victoria</w:t>
      </w:r>
      <w:r w:rsidRPr="008C1137">
        <w:t xml:space="preserve"> (Sentencing Advisory Council, 2020).</w:t>
      </w:r>
    </w:p>
    <w:p w14:paraId="53C4E06C" w14:textId="77777777" w:rsidR="00A4454A" w:rsidRPr="008C1137" w:rsidRDefault="00A4454A" w:rsidP="00B5476D">
      <w:r w:rsidRPr="008C1137">
        <w:t xml:space="preserve">Sentencing Advisory Council, </w:t>
      </w:r>
      <w:r w:rsidRPr="003B3217">
        <w:rPr>
          <w:rStyle w:val="Italic"/>
        </w:rPr>
        <w:t>Victoria’s Prison Population: 2001 to 2006</w:t>
      </w:r>
      <w:r w:rsidRPr="008C1137">
        <w:t xml:space="preserve"> (Sentencing Advisory Council, 2007).</w:t>
      </w:r>
    </w:p>
    <w:p w14:paraId="42E27E6E" w14:textId="77777777" w:rsidR="00A4454A" w:rsidRPr="008C1137" w:rsidRDefault="00A4454A" w:rsidP="00B5476D">
      <w:r w:rsidRPr="008C1137">
        <w:lastRenderedPageBreak/>
        <w:t xml:space="preserve">Sentencing Advisory Council, </w:t>
      </w:r>
      <w:r w:rsidRPr="003B3217">
        <w:rPr>
          <w:rStyle w:val="Italic"/>
        </w:rPr>
        <w:t>Victoria’s Prison Population 2002 to 2012</w:t>
      </w:r>
      <w:r w:rsidRPr="008C1137">
        <w:t xml:space="preserve"> (Sentencing Advisory Council, 2013).</w:t>
      </w:r>
    </w:p>
    <w:p w14:paraId="06190AB8" w14:textId="77777777" w:rsidR="00A4454A" w:rsidRPr="008C1137" w:rsidRDefault="00A4454A" w:rsidP="00B5476D">
      <w:r w:rsidRPr="008C1137">
        <w:t xml:space="preserve">Sentencing Advisory Council, </w:t>
      </w:r>
      <w:r w:rsidRPr="003B3217">
        <w:rPr>
          <w:rStyle w:val="Italic"/>
        </w:rPr>
        <w:t>Victoria’s Prison Population 2006 to 2016</w:t>
      </w:r>
      <w:r w:rsidRPr="008C1137">
        <w:t xml:space="preserve"> (Sentencing Advisory Council, 2016).</w:t>
      </w:r>
    </w:p>
    <w:p w14:paraId="09BCF6A2" w14:textId="77777777" w:rsidR="00A4454A" w:rsidRPr="008C1137" w:rsidRDefault="00A4454A" w:rsidP="00B5476D">
      <w:r w:rsidRPr="008C1137">
        <w:t>Statistics Canada, ‘Correctional Services Statistics: Interactive Dashboard’ (statcan.gc.ca, 2025) &lt;https://www150.statcan.gc.ca/n1/pub/71-607-x/71-607-x2019018-eng.htm&gt;.</w:t>
      </w:r>
    </w:p>
    <w:p w14:paraId="314E6AC3" w14:textId="77777777" w:rsidR="00A4454A" w:rsidRPr="008C1137" w:rsidRDefault="00A4454A" w:rsidP="00B5476D">
      <w:r w:rsidRPr="008C1137">
        <w:t xml:space="preserve">State of Victoria, Drugs and Crime Prevention Committee, </w:t>
      </w:r>
      <w:r w:rsidRPr="003B3217">
        <w:rPr>
          <w:rStyle w:val="Italic"/>
        </w:rPr>
        <w:t xml:space="preserve">Inquiry into Public Drunkenness, Final Report </w:t>
      </w:r>
      <w:r w:rsidRPr="008C1137">
        <w:t>(State of Victoria, 2001).</w:t>
      </w:r>
    </w:p>
    <w:p w14:paraId="28628060" w14:textId="77777777" w:rsidR="00A4454A" w:rsidRPr="008C1137" w:rsidRDefault="00A4454A" w:rsidP="00B5476D">
      <w:r w:rsidRPr="008C1137">
        <w:t xml:space="preserve">State of Victoria, Legal and Social Issues Committee, </w:t>
      </w:r>
      <w:r w:rsidRPr="003B3217">
        <w:rPr>
          <w:rStyle w:val="Italic"/>
        </w:rPr>
        <w:t>Inquiry into Victoria’s Criminal Justice System</w:t>
      </w:r>
      <w:r w:rsidRPr="008C1137">
        <w:t xml:space="preserve"> (State of Victoria, 2022).</w:t>
      </w:r>
    </w:p>
    <w:p w14:paraId="65E3ABEE" w14:textId="77777777" w:rsidR="00A4454A" w:rsidRPr="008C1137" w:rsidRDefault="00A4454A" w:rsidP="00B5476D">
      <w:r w:rsidRPr="008C1137">
        <w:t xml:space="preserve">State of Victoria, </w:t>
      </w:r>
      <w:r w:rsidRPr="003B3217">
        <w:rPr>
          <w:rStyle w:val="Italic"/>
        </w:rPr>
        <w:t>Royal Commission into Family Violence</w:t>
      </w:r>
      <w:r w:rsidRPr="008C1137">
        <w:t xml:space="preserve"> (State of Victoria, 2016).</w:t>
      </w:r>
    </w:p>
    <w:p w14:paraId="6A47A71E" w14:textId="77777777" w:rsidR="00A4454A" w:rsidRPr="008C1137" w:rsidRDefault="00A4454A" w:rsidP="00B5476D">
      <w:r w:rsidRPr="008C1137">
        <w:t xml:space="preserve">State of Victoria, </w:t>
      </w:r>
      <w:r w:rsidRPr="003B3217">
        <w:rPr>
          <w:rStyle w:val="Italic"/>
        </w:rPr>
        <w:t>Victorian Government Aboriginal Affairs Report 2023</w:t>
      </w:r>
      <w:r w:rsidRPr="008C1137">
        <w:t xml:space="preserve"> (State of Victoria, 2023).</w:t>
      </w:r>
    </w:p>
    <w:p w14:paraId="59E32C0C" w14:textId="77777777" w:rsidR="00A4454A" w:rsidRPr="008C1137" w:rsidRDefault="00A4454A" w:rsidP="00B5476D">
      <w:r w:rsidRPr="008C1137">
        <w:t xml:space="preserve">Sturge, Georgina, </w:t>
      </w:r>
      <w:r w:rsidRPr="003B3217">
        <w:rPr>
          <w:rStyle w:val="Italic"/>
        </w:rPr>
        <w:t>UK Prison Population Statistics</w:t>
      </w:r>
      <w:r w:rsidRPr="008C1137">
        <w:t xml:space="preserve"> (House of Commons: Library, 2024).</w:t>
      </w:r>
    </w:p>
    <w:p w14:paraId="7B1DB5C0" w14:textId="77777777" w:rsidR="00A4454A" w:rsidRPr="008C1137" w:rsidRDefault="00A4454A" w:rsidP="00B5476D">
      <w:r w:rsidRPr="008C1137">
        <w:t xml:space="preserve">The Justice Map, </w:t>
      </w:r>
      <w:r w:rsidRPr="003B3217">
        <w:rPr>
          <w:rStyle w:val="Italic"/>
        </w:rPr>
        <w:t xml:space="preserve">Doing Time for Men’s Crimes: How Male Violence is Driving Record Numbers of Women into Australian Prisons </w:t>
      </w:r>
      <w:r w:rsidRPr="008C1137">
        <w:t>(The Justice Map, 2024).</w:t>
      </w:r>
    </w:p>
    <w:p w14:paraId="3DD28E72" w14:textId="77777777" w:rsidR="00A4454A" w:rsidRPr="008C1137" w:rsidRDefault="00A4454A" w:rsidP="00B5476D">
      <w:r w:rsidRPr="008C1137">
        <w:t xml:space="preserve">Travers, Max, Emma Colvin, Isabelle Bartkowiak-Theron, Rick Sarre, Andrew Daly and Christine Bond, </w:t>
      </w:r>
      <w:r w:rsidRPr="003B3217">
        <w:rPr>
          <w:rStyle w:val="Italic"/>
        </w:rPr>
        <w:t>Bail Practices and Policy Alternatives in Australia</w:t>
      </w:r>
      <w:r w:rsidRPr="008C1137">
        <w:t>, Trends &amp; Issues in Crime and Criminal Justice no. 610 (Australian Institute of Criminology, 2020).</w:t>
      </w:r>
    </w:p>
    <w:p w14:paraId="51AF8374" w14:textId="77777777" w:rsidR="00A4454A" w:rsidRPr="008C1137" w:rsidRDefault="00A4454A" w:rsidP="00B5476D">
      <w:r w:rsidRPr="008C1137">
        <w:t xml:space="preserve">Tubex, Hilde, David Brown, Arie Freiberg, Karen Gelb and Rick Sarre, ‘Penal Diversity Within Australia’ (2015) 17(3) </w:t>
      </w:r>
      <w:r w:rsidRPr="003B3217">
        <w:rPr>
          <w:rStyle w:val="Italic"/>
        </w:rPr>
        <w:t>Punishment &amp; Society</w:t>
      </w:r>
      <w:r w:rsidRPr="008C1137">
        <w:t xml:space="preserve"> 345.</w:t>
      </w:r>
    </w:p>
    <w:p w14:paraId="5552E363" w14:textId="77777777" w:rsidR="00A4454A" w:rsidRPr="008C1137" w:rsidRDefault="00A4454A" w:rsidP="00B5476D">
      <w:r w:rsidRPr="008C1137">
        <w:lastRenderedPageBreak/>
        <w:t>United Kingdom Ministry of Justice, ‘Justice in Numbers – Public Protection’ (justice.gov.uk, 2025) &lt;https://data.justice.gov.uk/justice-in-numbers/jin-public-protection#population&gt;.</w:t>
      </w:r>
    </w:p>
    <w:p w14:paraId="67EA3C88" w14:textId="77777777" w:rsidR="00A4454A" w:rsidRPr="008C1137" w:rsidRDefault="00A4454A" w:rsidP="00B5476D">
      <w:r w:rsidRPr="008C1137">
        <w:t>Victorian Aboriginal Legal Service, ‘Bail Reform is Urgently Needed in Victoria’, Media Release (28 May 2021) &lt;https://www.vals.org.au/bail-reform-is-urgently-needed-in-victoria/&gt;.</w:t>
      </w:r>
    </w:p>
    <w:p w14:paraId="20211901" w14:textId="77777777" w:rsidR="00A4454A" w:rsidRPr="008C1137" w:rsidRDefault="00A4454A" w:rsidP="00B5476D">
      <w:r w:rsidRPr="008C1137">
        <w:t>Victorian Aboriginal Legal Service, ‘Coronial Inquest into Death of Veronica Marie Nelson to Examine Healthcare in Victorian Prisons and Bail Laws’, Media Release (29 March 2021) &lt;https://www.vals.org.au/coronial-inquest-into-death-of-veronica-marie-nelson-to-examine-healthcare-in-victorian-prisons-and-bail-laws/&gt;.</w:t>
      </w:r>
    </w:p>
    <w:p w14:paraId="30C90EE9" w14:textId="77777777" w:rsidR="00A4454A" w:rsidRPr="008C1137" w:rsidRDefault="00A4454A" w:rsidP="00B5476D">
      <w:r w:rsidRPr="008C1137">
        <w:t xml:space="preserve">Victorian Auditor-General’s Report, </w:t>
      </w:r>
      <w:r w:rsidRPr="003B3217">
        <w:rPr>
          <w:rStyle w:val="Italic"/>
        </w:rPr>
        <w:t>Administration of Parole</w:t>
      </w:r>
      <w:r w:rsidRPr="008C1137">
        <w:t xml:space="preserve"> (State of Victoria, 2016).</w:t>
      </w:r>
    </w:p>
    <w:p w14:paraId="2C4DC86D" w14:textId="77777777" w:rsidR="00A4454A" w:rsidRPr="008C1137" w:rsidRDefault="00A4454A" w:rsidP="00B5476D">
      <w:r w:rsidRPr="008C1137">
        <w:t>Victorian Government, ‘Family Violence Recommendations: Deploy Mobile Technology for Police Members’ (vic.gov.au, 2020) &lt;https://www.vic.gov.au/family-violence-recommendations/deploy-mobile-technology-police-members&gt;.</w:t>
      </w:r>
    </w:p>
    <w:p w14:paraId="3F0ED7E3" w14:textId="77777777" w:rsidR="00A4454A" w:rsidRPr="008C1137" w:rsidRDefault="00A4454A" w:rsidP="00B5476D">
      <w:r w:rsidRPr="008C1137">
        <w:t>Victorian Government, ‘Family Violence Reform: Strategies, Frameworks and Plans’ (vic.gov.au, 2021) &lt;https://www.vic.gov.au/family-violence-reform-rolling-action-plan-2020-2023/family-violence-reform-strategies-frameworks&gt;.</w:t>
      </w:r>
    </w:p>
    <w:p w14:paraId="377CF496" w14:textId="77777777" w:rsidR="00A4454A" w:rsidRPr="008C1137" w:rsidRDefault="00A4454A" w:rsidP="00B5476D">
      <w:r w:rsidRPr="008C1137">
        <w:t>Victorian Government, ‘Prison Locations in Victoria’ (justice.vic.gov.au, 2025) &lt;https://www.justice.vic.gov.au/prison-locations-in-victoria&gt;.</w:t>
      </w:r>
    </w:p>
    <w:p w14:paraId="4FBFDF28" w14:textId="77777777" w:rsidR="00A4454A" w:rsidRPr="008C1137" w:rsidRDefault="00A4454A" w:rsidP="00B5476D">
      <w:r w:rsidRPr="008C1137">
        <w:t>Victorian Government, ‘Ravenhall Prison Project’ (dtf.vic.gov.au, 2024) &lt;https://www.dtf.vic.gov.au/ravenhall-prison-project&gt;.</w:t>
      </w:r>
    </w:p>
    <w:p w14:paraId="0EE0D202" w14:textId="77777777" w:rsidR="00A4454A" w:rsidRPr="008C1137" w:rsidRDefault="00A4454A" w:rsidP="00B5476D">
      <w:r w:rsidRPr="008C1137">
        <w:t xml:space="preserve">Victoria Police, </w:t>
      </w:r>
      <w:r w:rsidRPr="003B3217">
        <w:rPr>
          <w:rStyle w:val="Italic"/>
        </w:rPr>
        <w:t>Code of Practice for the Investigation of Family Violence</w:t>
      </w:r>
      <w:r w:rsidRPr="008C1137">
        <w:t xml:space="preserve"> (4th ed., Victoria Police, 2022).</w:t>
      </w:r>
    </w:p>
    <w:p w14:paraId="61E54D59" w14:textId="77777777" w:rsidR="00A4454A" w:rsidRPr="008C1137" w:rsidRDefault="00A4454A" w:rsidP="00B5476D">
      <w:r w:rsidRPr="008C1137">
        <w:lastRenderedPageBreak/>
        <w:t xml:space="preserve">Victorian Ombudsman, </w:t>
      </w:r>
      <w:r w:rsidRPr="003B3217">
        <w:rPr>
          <w:rStyle w:val="Italic"/>
        </w:rPr>
        <w:t>Investigation into Healthcare Provision for Aboriginal People in Victorian Prisons</w:t>
      </w:r>
      <w:r w:rsidRPr="008C1137">
        <w:t xml:space="preserve"> (State of Victoria, 2024).</w:t>
      </w:r>
    </w:p>
    <w:p w14:paraId="34D53922" w14:textId="77777777" w:rsidR="00A4454A" w:rsidRPr="008C1137" w:rsidRDefault="00A4454A" w:rsidP="00B5476D">
      <w:r w:rsidRPr="008C1137">
        <w:t xml:space="preserve">Victorian Ombudsman, </w:t>
      </w:r>
      <w:r w:rsidRPr="003B3217">
        <w:rPr>
          <w:rStyle w:val="Italic"/>
        </w:rPr>
        <w:t>Investigation into the Rehabilitation and Reintegration of Prisoners in Victoria</w:t>
      </w:r>
      <w:r w:rsidRPr="008C1137">
        <w:t xml:space="preserve"> (State of Victoria, 2015).</w:t>
      </w:r>
    </w:p>
    <w:p w14:paraId="72FD931B" w14:textId="77777777" w:rsidR="00A4454A" w:rsidRPr="008C1137" w:rsidRDefault="00A4454A" w:rsidP="00B5476D">
      <w:r w:rsidRPr="008C1137">
        <w:t xml:space="preserve">Vieraitis, Lynne M., Tomislav V. Kovandzic and Thomas B. Marvell, ‘The Criminogenic Effects of Imprisonment: Evidence from State Panel Data, 1974–2002’ (2007) 6(3) </w:t>
      </w:r>
      <w:r w:rsidRPr="003B3217">
        <w:rPr>
          <w:rStyle w:val="Italic"/>
        </w:rPr>
        <w:t>Criminology &amp; Public Policy</w:t>
      </w:r>
      <w:r w:rsidRPr="008C1137">
        <w:t xml:space="preserve"> 589.</w:t>
      </w:r>
    </w:p>
    <w:p w14:paraId="05017723" w14:textId="77777777" w:rsidR="00A4454A" w:rsidRPr="008C1137" w:rsidRDefault="00A4454A" w:rsidP="00B5476D">
      <w:r w:rsidRPr="008C1137">
        <w:t xml:space="preserve">Weatherburn, Don, ‘Australian Imprisonment 2002–2016: Crime, Policing and Penal Policy’ (2018) 51(4) </w:t>
      </w:r>
      <w:r w:rsidRPr="003B3217">
        <w:rPr>
          <w:rStyle w:val="Italic"/>
        </w:rPr>
        <w:t>Australian &amp; New Zealand Journal of Criminology</w:t>
      </w:r>
      <w:r w:rsidRPr="008C1137">
        <w:t xml:space="preserve"> 537.</w:t>
      </w:r>
    </w:p>
    <w:p w14:paraId="244424CD" w14:textId="77777777" w:rsidR="00A4454A" w:rsidRPr="008C1137" w:rsidRDefault="00A4454A" w:rsidP="00B5476D">
      <w:r w:rsidRPr="008C1137">
        <w:t xml:space="preserve">Weatherburn, Don, </w:t>
      </w:r>
      <w:r w:rsidRPr="003B3217">
        <w:rPr>
          <w:rStyle w:val="Italic"/>
        </w:rPr>
        <w:t>The Effect of Prison on Adult Re-Offending</w:t>
      </w:r>
      <w:r w:rsidRPr="008C1137">
        <w:t>, Crime and Justice Bulletin no. 143 (NSW Bureau of Crime Statistics and Research, 2010).</w:t>
      </w:r>
    </w:p>
    <w:p w14:paraId="654490F5" w14:textId="77777777" w:rsidR="00A4454A" w:rsidRPr="008C1137" w:rsidRDefault="00A4454A" w:rsidP="00B5476D">
      <w:r w:rsidRPr="008C1137">
        <w:t xml:space="preserve">Weatherburn, Don, Katrina Grech and Jessie Holmes, </w:t>
      </w:r>
      <w:r w:rsidRPr="003B3217">
        <w:rPr>
          <w:rStyle w:val="Italic"/>
        </w:rPr>
        <w:t>Why Does NSW Have a Higher Imprisonment Rate than Victoria?</w:t>
      </w:r>
      <w:r w:rsidRPr="008C1137">
        <w:t xml:space="preserve"> Contemporary Issues in Crime and Criminal Justice no. 145 (NSW Bureau of Crime Statistics and Research, 2010).</w:t>
      </w:r>
    </w:p>
    <w:p w14:paraId="1279E198" w14:textId="77777777" w:rsidR="00A4454A" w:rsidRPr="008C1137" w:rsidRDefault="00A4454A" w:rsidP="00B5476D">
      <w:r w:rsidRPr="008C1137">
        <w:t xml:space="preserve">Weatherburn, Don, Simon Corben, Stephanie Ramsey and Jacqueline Fitzgerald, </w:t>
      </w:r>
      <w:r w:rsidRPr="003B3217">
        <w:rPr>
          <w:rStyle w:val="Italic"/>
        </w:rPr>
        <w:t xml:space="preserve">Why is the NSW Prison Population Still Growing? Another look at Prison Trends Between 2011 and 2015, </w:t>
      </w:r>
      <w:r w:rsidRPr="008C1137">
        <w:t>Crime and Justice Statistics, Issue Paper no. 113 (NSW Bureau of Crime Statistics and Research, 2016).</w:t>
      </w:r>
    </w:p>
    <w:p w14:paraId="68D04ED8" w14:textId="77777777" w:rsidR="00A4454A" w:rsidRPr="008C1137" w:rsidRDefault="00A4454A" w:rsidP="00B5476D">
      <w:r w:rsidRPr="008C1137">
        <w:t xml:space="preserve">Woods, Cat, ‘Women in Prison’, </w:t>
      </w:r>
      <w:r w:rsidRPr="003B3217">
        <w:rPr>
          <w:rStyle w:val="Italic"/>
        </w:rPr>
        <w:t>Law Society Journal</w:t>
      </w:r>
      <w:r w:rsidRPr="008C1137">
        <w:t xml:space="preserve"> (17 January 2023) &lt;https://lsj.com.au/articles/women-in-prison/&gt;.</w:t>
      </w:r>
    </w:p>
    <w:p w14:paraId="1A6DB160" w14:textId="77777777" w:rsidR="00A4454A" w:rsidRPr="008C1137" w:rsidRDefault="00A4454A" w:rsidP="0002476E">
      <w:pPr>
        <w:pStyle w:val="Heading2"/>
      </w:pPr>
      <w:r w:rsidRPr="008C1137">
        <w:t>Cases</w:t>
      </w:r>
    </w:p>
    <w:p w14:paraId="7D3A81D8" w14:textId="77777777" w:rsidR="00A4454A" w:rsidRPr="008C1137" w:rsidRDefault="00A4454A" w:rsidP="000C258A">
      <w:r w:rsidRPr="003B3217">
        <w:rPr>
          <w:rStyle w:val="Italic"/>
        </w:rPr>
        <w:t>Boulton &amp; Ors v The Queen</w:t>
      </w:r>
      <w:r w:rsidRPr="008C1137">
        <w:t xml:space="preserve"> [2014] VSCA 342</w:t>
      </w:r>
    </w:p>
    <w:p w14:paraId="489430BB" w14:textId="77777777" w:rsidR="00A4454A" w:rsidRPr="008C1137" w:rsidRDefault="00A4454A" w:rsidP="000C258A">
      <w:r w:rsidRPr="003B3217">
        <w:rPr>
          <w:rStyle w:val="Italic"/>
        </w:rPr>
        <w:t>Buckley v The Queen</w:t>
      </w:r>
      <w:r w:rsidRPr="008C1137">
        <w:t xml:space="preserve"> [2022] VSCA 138</w:t>
      </w:r>
    </w:p>
    <w:p w14:paraId="781E5A1C" w14:textId="77777777" w:rsidR="00A4454A" w:rsidRPr="008C1137" w:rsidRDefault="00A4454A" w:rsidP="000C258A">
      <w:r w:rsidRPr="003B3217">
        <w:rPr>
          <w:rStyle w:val="Italic"/>
        </w:rPr>
        <w:t>DPP v Bowen</w:t>
      </w:r>
      <w:r w:rsidRPr="008C1137">
        <w:t xml:space="preserve"> [2021] VSCA 355</w:t>
      </w:r>
    </w:p>
    <w:p w14:paraId="3F73DEC1" w14:textId="77777777" w:rsidR="00A4454A" w:rsidRPr="008C1137" w:rsidRDefault="00A4454A" w:rsidP="000C258A">
      <w:r w:rsidRPr="003B3217">
        <w:rPr>
          <w:rStyle w:val="Italic"/>
        </w:rPr>
        <w:lastRenderedPageBreak/>
        <w:t>DPP v Hillman</w:t>
      </w:r>
      <w:r w:rsidRPr="008C1137">
        <w:t xml:space="preserve"> [2024] VSC 100</w:t>
      </w:r>
    </w:p>
    <w:p w14:paraId="5B35723F" w14:textId="77777777" w:rsidR="00A4454A" w:rsidRPr="008C1137" w:rsidRDefault="00A4454A" w:rsidP="000C258A">
      <w:r w:rsidRPr="003B3217">
        <w:rPr>
          <w:rStyle w:val="Italic"/>
        </w:rPr>
        <w:t>DPP v Smith</w:t>
      </w:r>
      <w:r w:rsidRPr="008C1137">
        <w:t xml:space="preserve"> [2020] VCC 656</w:t>
      </w:r>
    </w:p>
    <w:p w14:paraId="2C6CB673" w14:textId="77777777" w:rsidR="00A4454A" w:rsidRPr="008C1137" w:rsidRDefault="00A4454A" w:rsidP="000C258A">
      <w:r w:rsidRPr="003B3217">
        <w:rPr>
          <w:rStyle w:val="Italic"/>
        </w:rPr>
        <w:t>Re Broes</w:t>
      </w:r>
      <w:r w:rsidRPr="008C1137">
        <w:t xml:space="preserve"> [2020] VSC 128</w:t>
      </w:r>
    </w:p>
    <w:p w14:paraId="61A03244" w14:textId="77777777" w:rsidR="00A4454A" w:rsidRPr="008C1137" w:rsidRDefault="00A4454A" w:rsidP="000C258A">
      <w:r w:rsidRPr="003B3217">
        <w:rPr>
          <w:rStyle w:val="Italic"/>
        </w:rPr>
        <w:t>Re DR</w:t>
      </w:r>
      <w:r w:rsidRPr="008C1137">
        <w:t xml:space="preserve"> [2019] VSC 151</w:t>
      </w:r>
    </w:p>
    <w:p w14:paraId="59B54866" w14:textId="77777777" w:rsidR="00A4454A" w:rsidRPr="008C1137" w:rsidRDefault="00A4454A" w:rsidP="000C258A">
      <w:r w:rsidRPr="003B3217">
        <w:rPr>
          <w:rStyle w:val="Italic"/>
        </w:rPr>
        <w:t>Re JK</w:t>
      </w:r>
      <w:r w:rsidRPr="008C1137">
        <w:t xml:space="preserve"> [2020] VSC 160</w:t>
      </w:r>
    </w:p>
    <w:p w14:paraId="1AA747E6" w14:textId="77777777" w:rsidR="00A4454A" w:rsidRPr="008C1137" w:rsidRDefault="00A4454A" w:rsidP="000C258A">
      <w:r w:rsidRPr="003B3217">
        <w:rPr>
          <w:rStyle w:val="Italic"/>
        </w:rPr>
        <w:t>Re Johnstone (No 2)</w:t>
      </w:r>
      <w:r w:rsidRPr="008C1137">
        <w:t xml:space="preserve"> [2018] VSC 803</w:t>
      </w:r>
    </w:p>
    <w:p w14:paraId="1E7E0A0A" w14:textId="77777777" w:rsidR="00A4454A" w:rsidRPr="008C1137" w:rsidRDefault="00A4454A" w:rsidP="000C258A">
      <w:r w:rsidRPr="003B3217">
        <w:rPr>
          <w:rStyle w:val="Italic"/>
        </w:rPr>
        <w:t>Re McCann</w:t>
      </w:r>
      <w:r w:rsidRPr="008C1137">
        <w:t xml:space="preserve"> [2020] VSC 138</w:t>
      </w:r>
    </w:p>
    <w:p w14:paraId="6453E00C" w14:textId="77777777" w:rsidR="00A4454A" w:rsidRPr="008C1137" w:rsidRDefault="00A4454A" w:rsidP="000C258A">
      <w:r w:rsidRPr="003B3217">
        <w:rPr>
          <w:rStyle w:val="Italic"/>
        </w:rPr>
        <w:t>R v Bayley</w:t>
      </w:r>
      <w:r w:rsidRPr="008C1137">
        <w:t xml:space="preserve"> [2013] VSC 313</w:t>
      </w:r>
    </w:p>
    <w:p w14:paraId="00C711F7" w14:textId="77777777" w:rsidR="00A4454A" w:rsidRPr="008C1137" w:rsidRDefault="00A4454A" w:rsidP="000C258A">
      <w:r w:rsidRPr="003B3217">
        <w:rPr>
          <w:rStyle w:val="Italic"/>
        </w:rPr>
        <w:t>R v Renzella</w:t>
      </w:r>
      <w:r w:rsidRPr="008C1137">
        <w:t xml:space="preserve"> (1997) 2 VR 88</w:t>
      </w:r>
    </w:p>
    <w:p w14:paraId="7008EFE4" w14:textId="77777777" w:rsidR="00A4454A" w:rsidRPr="008C1137" w:rsidRDefault="00A4454A" w:rsidP="000C258A">
      <w:r w:rsidRPr="003B3217">
        <w:rPr>
          <w:rStyle w:val="Italic"/>
        </w:rPr>
        <w:t>Woods v DPP</w:t>
      </w:r>
      <w:r w:rsidRPr="008C1137">
        <w:t xml:space="preserve"> [2014] VSC 1</w:t>
      </w:r>
    </w:p>
    <w:p w14:paraId="21E802C1" w14:textId="77777777" w:rsidR="00A4454A" w:rsidRPr="008C1137" w:rsidRDefault="00A4454A" w:rsidP="000C258A">
      <w:r w:rsidRPr="003B3217">
        <w:rPr>
          <w:rStyle w:val="Italic"/>
        </w:rPr>
        <w:t>Worboyes v The Queen</w:t>
      </w:r>
      <w:r w:rsidRPr="008C1137">
        <w:t xml:space="preserve"> [2021] VSCA 169</w:t>
      </w:r>
    </w:p>
    <w:p w14:paraId="5CBE6DF8" w14:textId="77777777" w:rsidR="00A4454A" w:rsidRPr="008C1137" w:rsidRDefault="00A4454A" w:rsidP="0002476E">
      <w:pPr>
        <w:pStyle w:val="Heading2"/>
      </w:pPr>
      <w:r w:rsidRPr="008C1137">
        <w:t>Legislation</w:t>
      </w:r>
    </w:p>
    <w:p w14:paraId="108DA45B" w14:textId="77777777" w:rsidR="00A4454A" w:rsidRPr="008C1137" w:rsidRDefault="00A4454A" w:rsidP="0002476E">
      <w:pPr>
        <w:pStyle w:val="Heading3"/>
      </w:pPr>
      <w:r w:rsidRPr="008C1137">
        <w:t>Victoria</w:t>
      </w:r>
    </w:p>
    <w:p w14:paraId="24E6E1B2" w14:textId="77777777" w:rsidR="00A4454A" w:rsidRPr="008C1137" w:rsidRDefault="00A4454A" w:rsidP="000C258A">
      <w:r w:rsidRPr="003B3217">
        <w:rPr>
          <w:rStyle w:val="Italic"/>
        </w:rPr>
        <w:t xml:space="preserve">Bail Act 1977 </w:t>
      </w:r>
      <w:r w:rsidRPr="008C1137">
        <w:t>(Vic)</w:t>
      </w:r>
    </w:p>
    <w:p w14:paraId="486D2AB4" w14:textId="77777777" w:rsidR="00A4454A" w:rsidRPr="008C1137" w:rsidRDefault="00A4454A" w:rsidP="000C258A">
      <w:r w:rsidRPr="003B3217">
        <w:rPr>
          <w:rStyle w:val="Italic"/>
        </w:rPr>
        <w:t xml:space="preserve">Bail Amendment Act 2013 </w:t>
      </w:r>
      <w:r w:rsidRPr="008C1137">
        <w:t>(Vic)</w:t>
      </w:r>
    </w:p>
    <w:p w14:paraId="1F0C0858" w14:textId="77777777" w:rsidR="00A4454A" w:rsidRPr="008C1137" w:rsidRDefault="00A4454A" w:rsidP="000C258A">
      <w:r w:rsidRPr="003B3217">
        <w:rPr>
          <w:rStyle w:val="Italic"/>
        </w:rPr>
        <w:t>Bail Amendment Act 2016</w:t>
      </w:r>
      <w:r w:rsidRPr="008C1137">
        <w:t xml:space="preserve"> (Vic)</w:t>
      </w:r>
    </w:p>
    <w:p w14:paraId="2BA8E05A" w14:textId="77777777" w:rsidR="00A4454A" w:rsidRPr="008C1137" w:rsidRDefault="00A4454A" w:rsidP="000C258A">
      <w:r w:rsidRPr="003B3217">
        <w:rPr>
          <w:rStyle w:val="Italic"/>
        </w:rPr>
        <w:t xml:space="preserve">Bail Amendment Act 2023 </w:t>
      </w:r>
      <w:r w:rsidRPr="008C1137">
        <w:t>(Vic)</w:t>
      </w:r>
    </w:p>
    <w:p w14:paraId="08B3A202" w14:textId="77777777" w:rsidR="00A4454A" w:rsidRPr="008C1137" w:rsidRDefault="00A4454A" w:rsidP="000C258A">
      <w:r w:rsidRPr="003B3217">
        <w:rPr>
          <w:rStyle w:val="Italic"/>
        </w:rPr>
        <w:t>Bail Amendment Act 2025</w:t>
      </w:r>
      <w:r w:rsidRPr="008C1137">
        <w:t xml:space="preserve"> (Vic)</w:t>
      </w:r>
    </w:p>
    <w:p w14:paraId="6E5ADAE0" w14:textId="77777777" w:rsidR="00A4454A" w:rsidRPr="008C1137" w:rsidRDefault="00A4454A" w:rsidP="000C258A">
      <w:r w:rsidRPr="003B3217">
        <w:rPr>
          <w:rStyle w:val="Italic"/>
        </w:rPr>
        <w:t>Bail Amendment (Stage One) Act 2017</w:t>
      </w:r>
      <w:r w:rsidRPr="008C1137">
        <w:t xml:space="preserve"> (Vic)</w:t>
      </w:r>
    </w:p>
    <w:p w14:paraId="2E8BAD66" w14:textId="77777777" w:rsidR="00A4454A" w:rsidRPr="008C1137" w:rsidRDefault="00A4454A" w:rsidP="000C258A">
      <w:r w:rsidRPr="003B3217">
        <w:rPr>
          <w:rStyle w:val="Italic"/>
        </w:rPr>
        <w:t>Bail Amendment (Stage Two) Act 2018</w:t>
      </w:r>
      <w:r w:rsidRPr="008C1137">
        <w:t xml:space="preserve"> (Vic)</w:t>
      </w:r>
    </w:p>
    <w:p w14:paraId="3F87FCCB" w14:textId="77777777" w:rsidR="00A4454A" w:rsidRPr="008C1137" w:rsidRDefault="00A4454A" w:rsidP="000C258A">
      <w:r w:rsidRPr="003B3217">
        <w:rPr>
          <w:rStyle w:val="Italic"/>
        </w:rPr>
        <w:t>Bail Further Amendment Act 2025</w:t>
      </w:r>
      <w:r w:rsidRPr="008C1137">
        <w:t xml:space="preserve"> (Vic)</w:t>
      </w:r>
    </w:p>
    <w:p w14:paraId="5EF9D04F" w14:textId="77777777" w:rsidR="00A4454A" w:rsidRPr="008C1137" w:rsidRDefault="00A4454A" w:rsidP="000C258A">
      <w:r w:rsidRPr="003B3217">
        <w:rPr>
          <w:rStyle w:val="Italic"/>
        </w:rPr>
        <w:t>Corrections Act 1986</w:t>
      </w:r>
      <w:r w:rsidRPr="008C1137">
        <w:t xml:space="preserve"> (Vic)</w:t>
      </w:r>
    </w:p>
    <w:p w14:paraId="30B95B5D" w14:textId="77777777" w:rsidR="00A4454A" w:rsidRPr="008C1137" w:rsidRDefault="00A4454A" w:rsidP="000C258A">
      <w:r w:rsidRPr="003B3217">
        <w:rPr>
          <w:rStyle w:val="Italic"/>
        </w:rPr>
        <w:t>Corrections Amendment (Breach of Parole) Act 2013</w:t>
      </w:r>
      <w:r w:rsidRPr="008C1137">
        <w:t xml:space="preserve"> (Vic)</w:t>
      </w:r>
    </w:p>
    <w:p w14:paraId="51F2D181" w14:textId="77777777" w:rsidR="00A4454A" w:rsidRPr="008C1137" w:rsidRDefault="00A4454A" w:rsidP="000C258A">
      <w:r w:rsidRPr="003B3217">
        <w:rPr>
          <w:rStyle w:val="Italic"/>
        </w:rPr>
        <w:lastRenderedPageBreak/>
        <w:t>Corrections Amendment (Further Parole Reform) Act 2014</w:t>
      </w:r>
      <w:r w:rsidRPr="008C1137">
        <w:t xml:space="preserve"> (Vic)</w:t>
      </w:r>
    </w:p>
    <w:p w14:paraId="6B5C3015" w14:textId="77777777" w:rsidR="00A4454A" w:rsidRPr="008C1137" w:rsidRDefault="00A4454A" w:rsidP="000C258A">
      <w:r w:rsidRPr="003B3217">
        <w:rPr>
          <w:rStyle w:val="Italic"/>
        </w:rPr>
        <w:t>Corrections Amendment (Parole Reform) Act 2013</w:t>
      </w:r>
      <w:r w:rsidRPr="008C1137">
        <w:t xml:space="preserve"> (Vic)</w:t>
      </w:r>
    </w:p>
    <w:p w14:paraId="4AAD76E3" w14:textId="77777777" w:rsidR="00A4454A" w:rsidRPr="008C1137" w:rsidRDefault="00A4454A" w:rsidP="000C258A">
      <w:r w:rsidRPr="003B3217">
        <w:rPr>
          <w:rStyle w:val="Italic"/>
        </w:rPr>
        <w:t>Crimes Act 1958</w:t>
      </w:r>
      <w:r w:rsidRPr="008C1137">
        <w:t xml:space="preserve"> (Vic)</w:t>
      </w:r>
    </w:p>
    <w:p w14:paraId="7BB6B39C" w14:textId="77777777" w:rsidR="00A4454A" w:rsidRPr="008C1137" w:rsidRDefault="00A4454A" w:rsidP="000C258A">
      <w:r w:rsidRPr="003B3217">
        <w:rPr>
          <w:rStyle w:val="Italic"/>
        </w:rPr>
        <w:t xml:space="preserve">Crimes Amendment (Carjacking and Home Invasion) Act 2016 </w:t>
      </w:r>
      <w:r w:rsidRPr="008C1137">
        <w:t>(Vic)</w:t>
      </w:r>
    </w:p>
    <w:p w14:paraId="2B155D03" w14:textId="77777777" w:rsidR="00A4454A" w:rsidRPr="008C1137" w:rsidRDefault="00A4454A" w:rsidP="000C258A">
      <w:r w:rsidRPr="003B3217">
        <w:rPr>
          <w:rStyle w:val="Italic"/>
        </w:rPr>
        <w:t xml:space="preserve">Crimes Amendment (Gross Violence Offences) Act 2013 </w:t>
      </w:r>
      <w:r w:rsidRPr="008C1137">
        <w:t>(Vic)</w:t>
      </w:r>
    </w:p>
    <w:p w14:paraId="6D9E00F2" w14:textId="77777777" w:rsidR="00A4454A" w:rsidRPr="008C1137" w:rsidRDefault="00A4454A" w:rsidP="000C258A">
      <w:r w:rsidRPr="003B3217">
        <w:rPr>
          <w:rStyle w:val="Italic"/>
        </w:rPr>
        <w:t>Drugs, Poisons and Controlled Substances Act 1981</w:t>
      </w:r>
      <w:r w:rsidRPr="008C1137">
        <w:t xml:space="preserve"> (Vic)</w:t>
      </w:r>
    </w:p>
    <w:p w14:paraId="61974158" w14:textId="77777777" w:rsidR="00A4454A" w:rsidRPr="008C1137" w:rsidRDefault="00A4454A" w:rsidP="000C258A">
      <w:r w:rsidRPr="003B3217">
        <w:rPr>
          <w:rStyle w:val="Italic"/>
        </w:rPr>
        <w:t>Family Violence Protection Act 2008</w:t>
      </w:r>
      <w:r w:rsidRPr="008C1137">
        <w:t xml:space="preserve"> (Vic)</w:t>
      </w:r>
    </w:p>
    <w:p w14:paraId="02B2A982" w14:textId="77777777" w:rsidR="00A4454A" w:rsidRPr="008C1137" w:rsidRDefault="00A4454A" w:rsidP="000C258A">
      <w:r w:rsidRPr="003B3217">
        <w:rPr>
          <w:rStyle w:val="Italic"/>
        </w:rPr>
        <w:t>Firearms Act 1996</w:t>
      </w:r>
      <w:r w:rsidRPr="008C1137">
        <w:t xml:space="preserve"> (Vic)</w:t>
      </w:r>
    </w:p>
    <w:p w14:paraId="1B1DA038" w14:textId="77777777" w:rsidR="00A4454A" w:rsidRPr="008C1137" w:rsidRDefault="00A4454A" w:rsidP="000C258A">
      <w:r w:rsidRPr="003B3217">
        <w:rPr>
          <w:rStyle w:val="Italic"/>
        </w:rPr>
        <w:t>Justice Legislation Amendment (Cancellation of Parole and Other Matters) Act 2013</w:t>
      </w:r>
      <w:r w:rsidRPr="008C1137">
        <w:t xml:space="preserve"> (Vic)</w:t>
      </w:r>
    </w:p>
    <w:p w14:paraId="5A983C77" w14:textId="77777777" w:rsidR="00A4454A" w:rsidRPr="008C1137" w:rsidRDefault="00A4454A" w:rsidP="000C258A">
      <w:r w:rsidRPr="003B3217">
        <w:rPr>
          <w:rStyle w:val="Italic"/>
        </w:rPr>
        <w:t xml:space="preserve">Justice Legislation Amendment (Drug Court and Other Matters) Act 2020 </w:t>
      </w:r>
      <w:r w:rsidRPr="008C1137">
        <w:t>(Vic)</w:t>
      </w:r>
    </w:p>
    <w:p w14:paraId="1D5493F3" w14:textId="77777777" w:rsidR="00A4454A" w:rsidRPr="008C1137" w:rsidRDefault="00A4454A" w:rsidP="000C258A">
      <w:r w:rsidRPr="003B3217">
        <w:rPr>
          <w:rStyle w:val="Italic"/>
        </w:rPr>
        <w:t>Justice Legislation Amendment (Family Violence and Other Matters) Act 2012</w:t>
      </w:r>
      <w:r w:rsidRPr="008C1137">
        <w:t xml:space="preserve"> (Vic)</w:t>
      </w:r>
    </w:p>
    <w:p w14:paraId="50BC8846" w14:textId="77777777" w:rsidR="00A4454A" w:rsidRPr="008C1137" w:rsidRDefault="00A4454A" w:rsidP="000C258A">
      <w:r w:rsidRPr="003B3217">
        <w:rPr>
          <w:rStyle w:val="Italic"/>
        </w:rPr>
        <w:t>Public Health and Wellbeing Act 2008</w:t>
      </w:r>
      <w:r w:rsidRPr="008C1137">
        <w:t xml:space="preserve"> (Vic)</w:t>
      </w:r>
    </w:p>
    <w:p w14:paraId="6BC4CBB4" w14:textId="77777777" w:rsidR="00A4454A" w:rsidRPr="008C1137" w:rsidRDefault="00A4454A" w:rsidP="000C258A">
      <w:r w:rsidRPr="003B3217">
        <w:rPr>
          <w:rStyle w:val="Italic"/>
        </w:rPr>
        <w:t xml:space="preserve">Sentencing Act 1991 </w:t>
      </w:r>
      <w:r w:rsidRPr="008C1137">
        <w:t>(Vic)</w:t>
      </w:r>
    </w:p>
    <w:p w14:paraId="77C7B644" w14:textId="77777777" w:rsidR="00A4454A" w:rsidRPr="008C1137" w:rsidRDefault="00A4454A" w:rsidP="000C258A">
      <w:r w:rsidRPr="003B3217">
        <w:rPr>
          <w:rStyle w:val="Italic"/>
        </w:rPr>
        <w:t xml:space="preserve">Sentencing Amendment (Abolition of Suspended Sentences and Other Matters) Act 2013 </w:t>
      </w:r>
      <w:r w:rsidRPr="008C1137">
        <w:t>(Vic)</w:t>
      </w:r>
    </w:p>
    <w:p w14:paraId="43A854E6" w14:textId="77777777" w:rsidR="00A4454A" w:rsidRPr="008C1137" w:rsidRDefault="00A4454A" w:rsidP="000C258A">
      <w:r w:rsidRPr="003B3217">
        <w:rPr>
          <w:rStyle w:val="Italic"/>
        </w:rPr>
        <w:t>Sentencing Amendment Act 2010</w:t>
      </w:r>
      <w:r w:rsidRPr="008C1137">
        <w:t xml:space="preserve"> (Vic)</w:t>
      </w:r>
    </w:p>
    <w:p w14:paraId="2BCDE1AF" w14:textId="77777777" w:rsidR="00A4454A" w:rsidRPr="008C1137" w:rsidRDefault="00A4454A" w:rsidP="000C258A">
      <w:r w:rsidRPr="003B3217">
        <w:rPr>
          <w:rStyle w:val="Italic"/>
        </w:rPr>
        <w:t>Sentencing Amendment (Community Correction Reform) Act 2011</w:t>
      </w:r>
      <w:r w:rsidRPr="008C1137">
        <w:t xml:space="preserve"> (Vic)</w:t>
      </w:r>
    </w:p>
    <w:p w14:paraId="1457C028" w14:textId="77777777" w:rsidR="00A4454A" w:rsidRPr="008C1137" w:rsidRDefault="00A4454A" w:rsidP="000C258A">
      <w:r w:rsidRPr="003B3217">
        <w:rPr>
          <w:rStyle w:val="Italic"/>
        </w:rPr>
        <w:t>Sentencing (Community Correction Order) and Other Acts Amendment Act 2016</w:t>
      </w:r>
      <w:r w:rsidRPr="008C1137">
        <w:t xml:space="preserve"> (Vic)</w:t>
      </w:r>
    </w:p>
    <w:p w14:paraId="0573803F" w14:textId="77777777" w:rsidR="00A4454A" w:rsidRPr="008C1137" w:rsidRDefault="00A4454A" w:rsidP="000C258A">
      <w:r w:rsidRPr="003B3217">
        <w:rPr>
          <w:rStyle w:val="Italic"/>
        </w:rPr>
        <w:t>Sentencing Amendment (Emergency Workers) Act 2014</w:t>
      </w:r>
      <w:r w:rsidRPr="008C1137">
        <w:t xml:space="preserve"> (Vic)</w:t>
      </w:r>
    </w:p>
    <w:p w14:paraId="3B0BAFD4" w14:textId="77777777" w:rsidR="00A4454A" w:rsidRPr="008C1137" w:rsidRDefault="00A4454A" w:rsidP="000C258A">
      <w:r w:rsidRPr="003B3217">
        <w:rPr>
          <w:rStyle w:val="Italic"/>
        </w:rPr>
        <w:t>Sentencing Amendment (Sentencing Standards) Act 2017</w:t>
      </w:r>
      <w:r w:rsidRPr="008C1137">
        <w:t xml:space="preserve"> (Vic)</w:t>
      </w:r>
    </w:p>
    <w:p w14:paraId="4A6521AB" w14:textId="77777777" w:rsidR="00A4454A" w:rsidRPr="008C1137" w:rsidRDefault="00A4454A" w:rsidP="000C258A">
      <w:r w:rsidRPr="003B3217">
        <w:rPr>
          <w:rStyle w:val="Italic"/>
        </w:rPr>
        <w:t>Sentencing Further Amendment Act 2011</w:t>
      </w:r>
      <w:r w:rsidRPr="008C1137">
        <w:t xml:space="preserve"> (Vic)</w:t>
      </w:r>
    </w:p>
    <w:p w14:paraId="24C98C2B" w14:textId="77777777" w:rsidR="00A4454A" w:rsidRPr="008C1137" w:rsidRDefault="00A4454A" w:rsidP="000C258A">
      <w:r w:rsidRPr="003B3217">
        <w:rPr>
          <w:rStyle w:val="Italic"/>
        </w:rPr>
        <w:lastRenderedPageBreak/>
        <w:t>Serious Offenders Act 2018</w:t>
      </w:r>
      <w:r w:rsidRPr="008C1137">
        <w:t xml:space="preserve"> (Vic)</w:t>
      </w:r>
    </w:p>
    <w:p w14:paraId="63130870" w14:textId="77777777" w:rsidR="00A4454A" w:rsidRPr="008C1137" w:rsidRDefault="00A4454A" w:rsidP="000C258A">
      <w:r w:rsidRPr="003B3217">
        <w:rPr>
          <w:rStyle w:val="Italic"/>
        </w:rPr>
        <w:t>Serious Sex Offenders (Detention and Supervision) Act 2009</w:t>
      </w:r>
      <w:r w:rsidRPr="008C1137">
        <w:t xml:space="preserve"> (Vic)</w:t>
      </w:r>
    </w:p>
    <w:p w14:paraId="6C37A114" w14:textId="77777777" w:rsidR="00A4454A" w:rsidRPr="008C1137" w:rsidRDefault="00A4454A" w:rsidP="000C258A">
      <w:r w:rsidRPr="003B3217">
        <w:rPr>
          <w:rStyle w:val="Italic"/>
        </w:rPr>
        <w:t>Serious Sex Offenders (Detention and Supervision) Amendment (Governance) Act 2017</w:t>
      </w:r>
      <w:r w:rsidRPr="008C1137">
        <w:t xml:space="preserve"> (Vic)</w:t>
      </w:r>
    </w:p>
    <w:p w14:paraId="2D2B67CA" w14:textId="77777777" w:rsidR="00A4454A" w:rsidRPr="008C1137" w:rsidRDefault="00A4454A" w:rsidP="000C258A">
      <w:r w:rsidRPr="003B3217">
        <w:rPr>
          <w:rStyle w:val="Italic"/>
        </w:rPr>
        <w:t>Serious Sex Offenders Monitoring Act 2005</w:t>
      </w:r>
      <w:r w:rsidRPr="008C1137">
        <w:t xml:space="preserve"> (Vic)</w:t>
      </w:r>
    </w:p>
    <w:p w14:paraId="75397D08" w14:textId="77777777" w:rsidR="00A4454A" w:rsidRPr="008C1137" w:rsidRDefault="00A4454A" w:rsidP="000C258A">
      <w:r w:rsidRPr="003B3217">
        <w:rPr>
          <w:rStyle w:val="Italic"/>
        </w:rPr>
        <w:t>Summary Offences Act 1966</w:t>
      </w:r>
      <w:r w:rsidRPr="008C1137">
        <w:t xml:space="preserve"> (Vic)</w:t>
      </w:r>
    </w:p>
    <w:p w14:paraId="397E9524" w14:textId="77777777" w:rsidR="00A4454A" w:rsidRPr="008C1137" w:rsidRDefault="00A4454A" w:rsidP="000C258A">
      <w:r w:rsidRPr="003B3217">
        <w:rPr>
          <w:rStyle w:val="Italic"/>
        </w:rPr>
        <w:t>Summary Offences Amendment (Decriminalisation of Public Drunkenness) Act 2021</w:t>
      </w:r>
      <w:r w:rsidRPr="008C1137">
        <w:t xml:space="preserve"> (Vic)</w:t>
      </w:r>
    </w:p>
    <w:p w14:paraId="482C5C05" w14:textId="77777777" w:rsidR="00A4454A" w:rsidRPr="008C1137" w:rsidRDefault="00A4454A" w:rsidP="0002476E">
      <w:pPr>
        <w:pStyle w:val="Heading3"/>
      </w:pPr>
      <w:r w:rsidRPr="008C1137">
        <w:t>Interstate and Commonwealth</w:t>
      </w:r>
    </w:p>
    <w:p w14:paraId="68D312C4" w14:textId="77777777" w:rsidR="00A4454A" w:rsidRPr="008C1137" w:rsidRDefault="00A4454A" w:rsidP="000C258A">
      <w:r w:rsidRPr="003B3217">
        <w:rPr>
          <w:rStyle w:val="Italic"/>
        </w:rPr>
        <w:t>Crimes Act 1914</w:t>
      </w:r>
      <w:r w:rsidRPr="008C1137">
        <w:t xml:space="preserve"> (Cth)</w:t>
      </w:r>
    </w:p>
    <w:p w14:paraId="0483D913" w14:textId="77777777" w:rsidR="00A4454A" w:rsidRPr="008C1137" w:rsidRDefault="00A4454A" w:rsidP="000C258A">
      <w:r w:rsidRPr="003B3217">
        <w:rPr>
          <w:rStyle w:val="Italic"/>
        </w:rPr>
        <w:t>Sentencing Act 1995</w:t>
      </w:r>
      <w:r w:rsidRPr="008C1137">
        <w:t xml:space="preserve"> (WA)</w:t>
      </w:r>
    </w:p>
    <w:p w14:paraId="512B68A5" w14:textId="77777777" w:rsidR="00A4454A" w:rsidRPr="008C1137" w:rsidRDefault="00A4454A" w:rsidP="0002476E">
      <w:pPr>
        <w:pStyle w:val="Heading3"/>
      </w:pPr>
      <w:r w:rsidRPr="008C1137">
        <w:t>International</w:t>
      </w:r>
    </w:p>
    <w:p w14:paraId="095A6B5F" w14:textId="77777777" w:rsidR="00A4454A" w:rsidRPr="008C1137" w:rsidRDefault="00A4454A" w:rsidP="000C258A">
      <w:r w:rsidRPr="003B3217">
        <w:rPr>
          <w:rStyle w:val="Italic"/>
        </w:rPr>
        <w:t>Criminal Procedure (Scotland) Act 1995</w:t>
      </w:r>
      <w:r w:rsidRPr="008C1137">
        <w:t xml:space="preserve"> (Scot)</w:t>
      </w:r>
    </w:p>
    <w:p w14:paraId="6CD5BE6D" w14:textId="77777777" w:rsidR="00A4454A" w:rsidRPr="008C1137" w:rsidRDefault="00A4454A" w:rsidP="0002476E">
      <w:pPr>
        <w:pStyle w:val="Heading2"/>
      </w:pPr>
      <w:r w:rsidRPr="008C1137">
        <w:t>Quasi-legislative materials</w:t>
      </w:r>
    </w:p>
    <w:p w14:paraId="5EF74E29" w14:textId="77777777" w:rsidR="00A4454A" w:rsidRPr="008C1137" w:rsidRDefault="00A4454A" w:rsidP="00B5476D">
      <w:r w:rsidRPr="003B3217">
        <w:rPr>
          <w:rStyle w:val="Italic"/>
        </w:rPr>
        <w:t>Finding with Inquest into the Death of Tanya Day</w:t>
      </w:r>
      <w:r w:rsidRPr="008C1137">
        <w:t>, COR 2017 6424 (9 April 2020).</w:t>
      </w:r>
    </w:p>
    <w:p w14:paraId="507E70C2" w14:textId="77777777" w:rsidR="00A4454A" w:rsidRPr="008C1137" w:rsidRDefault="00A4454A" w:rsidP="00B5476D">
      <w:r w:rsidRPr="003B3217">
        <w:rPr>
          <w:rStyle w:val="Italic"/>
        </w:rPr>
        <w:t>Finding with Inquest into the Death of Veronica Nelson</w:t>
      </w:r>
      <w:r w:rsidRPr="008C1137">
        <w:t>, COR 2020 0021 (30 January 2023).</w:t>
      </w:r>
    </w:p>
    <w:p w14:paraId="1DB8919A" w14:textId="77777777" w:rsidR="00A4454A" w:rsidRPr="008C1137" w:rsidRDefault="00A4454A" w:rsidP="00B5476D">
      <w:r w:rsidRPr="008C1137">
        <w:t xml:space="preserve">Victoria, </w:t>
      </w:r>
      <w:r w:rsidRPr="003B3217">
        <w:rPr>
          <w:rStyle w:val="Italic"/>
        </w:rPr>
        <w:t>Parliamentary Debates</w:t>
      </w:r>
      <w:r w:rsidRPr="008C1137">
        <w:t>, Legislative Assembly, 16 August 2023 (Anthony Carbines, Minister for Police, Minister for Crime Prevention, Minister for Racing).</w:t>
      </w:r>
    </w:p>
    <w:p w14:paraId="4CB69397" w14:textId="77777777" w:rsidR="00A4454A" w:rsidRPr="008C1137" w:rsidRDefault="00A4454A" w:rsidP="00B5476D">
      <w:r w:rsidRPr="008C1137">
        <w:t xml:space="preserve">Victoria, </w:t>
      </w:r>
      <w:r w:rsidRPr="003B3217">
        <w:rPr>
          <w:rStyle w:val="Italic"/>
        </w:rPr>
        <w:t>Parliamentary Debates</w:t>
      </w:r>
      <w:r w:rsidRPr="008C1137">
        <w:t>, Legislative Assembly, 25 May 2017 (Martin Pakula, Attorney-General).</w:t>
      </w:r>
    </w:p>
    <w:p w14:paraId="11F99664" w14:textId="77777777" w:rsidR="00DB0FC9" w:rsidRPr="000F1B94" w:rsidRDefault="00DB0FC9" w:rsidP="000F1B94">
      <w:pPr>
        <w:pageBreakBefore/>
      </w:pPr>
      <w:r w:rsidRPr="000F1B94">
        <w:lastRenderedPageBreak/>
        <w:t>Published by the Sentencing Advisory Council</w:t>
      </w:r>
      <w:r w:rsidRPr="000F1B94">
        <w:br/>
        <w:t>Melbourne, Victoria, Australia</w:t>
      </w:r>
    </w:p>
    <w:p w14:paraId="2F0B3A3E" w14:textId="77777777" w:rsidR="00DB0FC9" w:rsidRPr="000F1B94" w:rsidRDefault="00DB0FC9" w:rsidP="000F1B94">
      <w:r w:rsidRPr="000F1B94">
        <w:t>© Copyright State of Victoria, Sentencing Advisory Council, 2025</w:t>
      </w:r>
    </w:p>
    <w:p w14:paraId="5CC6340A" w14:textId="77777777" w:rsidR="00DB0FC9" w:rsidRPr="000F1B94" w:rsidRDefault="00DB0FC9" w:rsidP="000F1B94">
      <w:r w:rsidRPr="000F1B94">
        <w:t>This publication is protected by the laws of copyright. No part may be</w:t>
      </w:r>
      <w:r w:rsidRPr="000F1B94">
        <w:br/>
        <w:t>reproduced by any process except in accordance with the provisions of</w:t>
      </w:r>
      <w:r w:rsidRPr="000F1B94">
        <w:br/>
        <w:t>the Copyright Act 1968 (Cth).</w:t>
      </w:r>
    </w:p>
    <w:p w14:paraId="3AC74377" w14:textId="77777777" w:rsidR="00DB0FC9" w:rsidRPr="000F1B94" w:rsidRDefault="00DB0FC9" w:rsidP="000F1B94">
      <w:r w:rsidRPr="000F1B94">
        <w:t>ISBN 978-1-925071-86-3 (Online)</w:t>
      </w:r>
    </w:p>
    <w:p w14:paraId="09741249" w14:textId="77777777" w:rsidR="00DB0FC9" w:rsidRPr="000F1B94" w:rsidRDefault="00DB0FC9" w:rsidP="000F1B94">
      <w:r w:rsidRPr="000F1B94">
        <w:t>Authorised by the Sentencing Advisory Council,</w:t>
      </w:r>
      <w:r w:rsidRPr="000F1B94">
        <w:br/>
        <w:t>Level 3, 333 Queen Street, Melbourne VIC 3000</w:t>
      </w:r>
    </w:p>
    <w:p w14:paraId="44EE3D21" w14:textId="77777777" w:rsidR="00DB0FC9" w:rsidRPr="000F1B94" w:rsidRDefault="00DB0FC9" w:rsidP="000F1B94">
      <w:r w:rsidRPr="000F1B94">
        <w:t>Copyedited and typeset by Catherine Jeffreys AE</w:t>
      </w:r>
    </w:p>
    <w:sectPr w:rsidR="00DB0FC9" w:rsidRPr="000F1B94" w:rsidSect="00D6349A">
      <w:headerReference w:type="default" r:id="rId8"/>
      <w:footerReference w:type="default" r:id="rId9"/>
      <w:pgSz w:w="11906" w:h="16838"/>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90C1" w14:textId="77777777" w:rsidR="001D353A" w:rsidRDefault="001D353A">
      <w:pPr>
        <w:spacing w:after="0" w:line="240" w:lineRule="auto"/>
      </w:pPr>
      <w:r>
        <w:separator/>
      </w:r>
    </w:p>
  </w:endnote>
  <w:endnote w:type="continuationSeparator" w:id="0">
    <w:p w14:paraId="5A2F81F7" w14:textId="77777777" w:rsidR="001D353A" w:rsidRDefault="001D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Regular">
    <w:panose1 w:val="00000000000000000000"/>
    <w:charset w:val="00"/>
    <w:family w:val="auto"/>
    <w:notTrueType/>
    <w:pitch w:val="default"/>
    <w:sig w:usb0="00000003" w:usb1="00000000" w:usb2="00000000" w:usb3="00000000" w:csb0="00000001" w:csb1="00000000"/>
  </w:font>
  <w:font w:name="ITC Franklin Gothic Book">
    <w:altName w:val="Calibri"/>
    <w:panose1 w:val="00000000000000000000"/>
    <w:charset w:val="00"/>
    <w:family w:val="swiss"/>
    <w:notTrueType/>
    <w:pitch w:val="variable"/>
    <w:sig w:usb0="00000003" w:usb1="00000000" w:usb2="00000000" w:usb3="00000000" w:csb0="00000001" w:csb1="00000000"/>
  </w:font>
  <w:font w:name="Gill Sans Std">
    <w:panose1 w:val="020B0502020104020203"/>
    <w:charset w:val="00"/>
    <w:family w:val="swiss"/>
    <w:notTrueType/>
    <w:pitch w:val="variable"/>
    <w:sig w:usb0="00000003" w:usb1="00000000" w:usb2="00000000" w:usb3="00000000" w:csb0="00000001" w:csb1="00000000"/>
  </w:font>
  <w:font w:name="Gill Sans Std Light">
    <w:panose1 w:val="020B0302020104020203"/>
    <w:charset w:val="00"/>
    <w:family w:val="swiss"/>
    <w:notTrueType/>
    <w:pitch w:val="variable"/>
    <w:sig w:usb0="00000003" w:usb1="00000000" w:usb2="00000000" w:usb3="00000000" w:csb0="00000001"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ITC Franklin Gothic Demi">
    <w:altName w:val="Calibri"/>
    <w:panose1 w:val="00000000000000000000"/>
    <w:charset w:val="00"/>
    <w:family w:val="auto"/>
    <w:notTrueType/>
    <w:pitch w:val="default"/>
    <w:sig w:usb0="00000003" w:usb1="00000000" w:usb2="00000000" w:usb3="00000000" w:csb0="00000001" w:csb1="00000000"/>
  </w:font>
  <w:font w:name="ITC Franklin Gothic">
    <w:altName w:val="Calibri"/>
    <w:panose1 w:val="00000000000000000000"/>
    <w:charset w:val="00"/>
    <w:family w:val="auto"/>
    <w:notTrueType/>
    <w:pitch w:val="default"/>
    <w:sig w:usb0="00000003" w:usb1="00000000" w:usb2="00000000" w:usb3="00000000" w:csb0="00000001" w:csb1="00000000"/>
  </w:font>
  <w:font w:name="ITC Franklin Gothic Demi Italic">
    <w:altName w:val="Calibri"/>
    <w:panose1 w:val="00000000000000000000"/>
    <w:charset w:val="00"/>
    <w:family w:val="auto"/>
    <w:notTrueType/>
    <w:pitch w:val="default"/>
    <w:sig w:usb0="00000003" w:usb1="00000000" w:usb2="00000000" w:usb3="00000000" w:csb0="00000001" w:csb1="00000000"/>
  </w:font>
  <w:font w:name="ITC Franklin Gothic Std Book">
    <w:altName w:val="ITC Franklin Gothic Std Book"/>
    <w:panose1 w:val="020B0504030503020204"/>
    <w:charset w:val="00"/>
    <w:family w:val="swiss"/>
    <w:notTrueType/>
    <w:pitch w:val="variable"/>
    <w:sig w:usb0="800000AF" w:usb1="4000204A" w:usb2="00000000" w:usb3="00000000" w:csb0="00000001" w:csb1="00000000"/>
  </w:font>
  <w:font w:name="Poppins-Regular">
    <w:altName w:val="Poppins"/>
    <w:panose1 w:val="00000000000000000000"/>
    <w:charset w:val="00"/>
    <w:family w:val="auto"/>
    <w:notTrueType/>
    <w:pitch w:val="default"/>
    <w:sig w:usb0="00000003" w:usb1="00000000" w:usb2="00000000" w:usb3="00000000" w:csb0="00000001" w:csb1="00000000"/>
  </w:font>
  <w:font w:name="Poppins-Bold">
    <w:altName w:val="Poppins"/>
    <w:panose1 w:val="00000000000000000000"/>
    <w:charset w:val="00"/>
    <w:family w:val="auto"/>
    <w:notTrueType/>
    <w:pitch w:val="default"/>
    <w:sig w:usb0="00000003" w:usb1="00000000" w:usb2="00000000" w:usb3="00000000" w:csb0="00000001" w:csb1="00000000"/>
  </w:font>
  <w:font w:name="Poppins-Medium">
    <w:altName w:val="Poppin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E8B9" w14:textId="77777777" w:rsidR="00553AA8" w:rsidRDefault="00553AA8" w:rsidP="006A24A4">
    <w:pPr>
      <w:pStyle w:val="Footer"/>
      <w:ind w:left="4513" w:hanging="4513"/>
      <w:jc w:val="center"/>
    </w:pPr>
    <w:r>
      <w:fldChar w:fldCharType="begin"/>
    </w:r>
    <w:r>
      <w:instrText xml:space="preserve"> PAGE   \* MERGEFORMAT </w:instrText>
    </w:r>
    <w:r>
      <w:fldChar w:fldCharType="separate"/>
    </w:r>
    <w:r>
      <w:rPr>
        <w:noProof/>
      </w:rPr>
      <w:t>115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7553" w14:textId="77777777" w:rsidR="001D353A" w:rsidRDefault="001D353A">
      <w:pPr>
        <w:spacing w:after="0" w:line="240" w:lineRule="auto"/>
      </w:pPr>
      <w:r>
        <w:separator/>
      </w:r>
    </w:p>
  </w:footnote>
  <w:footnote w:type="continuationSeparator" w:id="0">
    <w:p w14:paraId="01847AE6" w14:textId="77777777" w:rsidR="001D353A" w:rsidRDefault="001D353A">
      <w:pPr>
        <w:spacing w:after="0" w:line="240" w:lineRule="auto"/>
      </w:pPr>
      <w:r>
        <w:continuationSeparator/>
      </w:r>
    </w:p>
  </w:footnote>
  <w:footnote w:id="1">
    <w:p w14:paraId="7009C42F" w14:textId="75F477A9" w:rsidR="00A4454A" w:rsidRPr="00975B77" w:rsidRDefault="00A4454A" w:rsidP="009E6528">
      <w:pPr>
        <w:pStyle w:val="Footnote"/>
      </w:pPr>
      <w:r w:rsidRPr="00975B77">
        <w:rPr>
          <w:vertAlign w:val="superscript"/>
        </w:rPr>
        <w:footnoteRef/>
      </w:r>
      <w:r w:rsidRPr="00975B77">
        <w:t>.</w:t>
      </w:r>
      <w:r w:rsidRPr="00975B77">
        <w:tab/>
        <w:t xml:space="preserve">The Council’s previous reports (released in 2007, 2013 and 2016) found significant growth in Victoria’s prison population, particularly since 2006: Sentencing Advisory Council, </w:t>
      </w:r>
      <w:r w:rsidRPr="00975B77">
        <w:rPr>
          <w:rStyle w:val="LightItalic"/>
          <w:rFonts w:ascii="Verdana" w:hAnsi="Verdana"/>
        </w:rPr>
        <w:t>Victoria’s Prison Population: 2001 to 2006</w:t>
      </w:r>
      <w:r w:rsidRPr="00975B77">
        <w:t xml:space="preserve"> (2007); Sentencing Advisory Council, </w:t>
      </w:r>
      <w:r w:rsidRPr="00975B77">
        <w:rPr>
          <w:rStyle w:val="LightItalic"/>
          <w:rFonts w:ascii="Verdana" w:hAnsi="Verdana"/>
        </w:rPr>
        <w:t>Victoria’s Prison Population 2002 to 2012</w:t>
      </w:r>
      <w:r w:rsidRPr="00975B77">
        <w:t xml:space="preserve"> (2013); Sentencing Advisory Council, </w:t>
      </w:r>
      <w:r w:rsidRPr="00975B77">
        <w:rPr>
          <w:rStyle w:val="LightItalic"/>
          <w:rFonts w:ascii="Verdana" w:hAnsi="Verdana"/>
        </w:rPr>
        <w:t>Victoria’s Prison Population 2006 to 2016</w:t>
      </w:r>
      <w:r w:rsidRPr="00975B77">
        <w:t xml:space="preserve"> (2016).</w:t>
      </w:r>
    </w:p>
  </w:footnote>
  <w:footnote w:id="2">
    <w:p w14:paraId="52FEC85F" w14:textId="6E201F08" w:rsidR="00A4454A" w:rsidRPr="00975B77" w:rsidRDefault="00A4454A" w:rsidP="009E6528">
      <w:pPr>
        <w:pStyle w:val="Footnote"/>
      </w:pPr>
      <w:r w:rsidRPr="00975B77">
        <w:rPr>
          <w:vertAlign w:val="superscript"/>
        </w:rPr>
        <w:footnoteRef/>
      </w:r>
      <w:r w:rsidRPr="00975B77">
        <w:t>.</w:t>
      </w:r>
      <w:r w:rsidRPr="00975B77">
        <w:tab/>
        <w:t>Sentencing Advisory Council (2016), above n 1, 1.</w:t>
      </w:r>
    </w:p>
  </w:footnote>
  <w:footnote w:id="3">
    <w:p w14:paraId="7610670B" w14:textId="6D8178C6" w:rsidR="00A4454A" w:rsidRPr="00975B77" w:rsidRDefault="00A4454A" w:rsidP="009E6528">
      <w:pPr>
        <w:pStyle w:val="Footnote"/>
      </w:pPr>
      <w:r w:rsidRPr="00975B77">
        <w:rPr>
          <w:vertAlign w:val="superscript"/>
        </w:rPr>
        <w:footnoteRef/>
      </w:r>
      <w:r w:rsidRPr="00975B77">
        <w:t>.</w:t>
      </w:r>
      <w:r w:rsidRPr="00975B77">
        <w:tab/>
        <w:t xml:space="preserve">For prison population statistics to March 2024 in the United Kingdom (Scotland, Northern Ireland, and England and Wales), see Georgina Sturge, </w:t>
      </w:r>
      <w:r w:rsidRPr="00975B77">
        <w:rPr>
          <w:rStyle w:val="LightItalic"/>
          <w:rFonts w:ascii="Verdana" w:hAnsi="Verdana"/>
        </w:rPr>
        <w:t>UK Prison Population Statistics</w:t>
      </w:r>
      <w:r w:rsidRPr="00975B77">
        <w:t xml:space="preserve"> (2024). For Canada, see Statistics Canada, ‘Correctional Services Statistics: Interactive Dashboard’ (statcan.gc.ca, 2025). And for New Zealand, see Department of Corrections, ‘Prison Statistics’ (corrections.govt.nz, 2025).</w:t>
      </w:r>
    </w:p>
  </w:footnote>
  <w:footnote w:id="4">
    <w:p w14:paraId="4386883E" w14:textId="312149DF" w:rsidR="00A4454A" w:rsidRPr="00975B77" w:rsidRDefault="00A4454A" w:rsidP="009E6528">
      <w:pPr>
        <w:pStyle w:val="Footnote"/>
      </w:pPr>
      <w:r w:rsidRPr="00975B77">
        <w:rPr>
          <w:vertAlign w:val="superscript"/>
        </w:rPr>
        <w:footnoteRef/>
      </w:r>
      <w:r w:rsidRPr="00975B77">
        <w:t>.</w:t>
      </w:r>
      <w:r w:rsidRPr="00975B77">
        <w:tab/>
        <w:t>We note that this trend has reversed since June 2024 (after our reference period); we discuss this reversal in the concluding chapter of this report.</w:t>
      </w:r>
    </w:p>
  </w:footnote>
  <w:footnote w:id="5">
    <w:p w14:paraId="0B8F1190" w14:textId="49BE76F7" w:rsidR="00A4454A" w:rsidRPr="00975B77" w:rsidRDefault="00A4454A" w:rsidP="009E6528">
      <w:pPr>
        <w:pStyle w:val="Footnote"/>
      </w:pPr>
      <w:r w:rsidRPr="00975B77">
        <w:rPr>
          <w:vertAlign w:val="superscript"/>
        </w:rPr>
        <w:footnoteRef/>
      </w:r>
      <w:r w:rsidRPr="00975B77">
        <w:t>.</w:t>
      </w:r>
      <w:r w:rsidRPr="00975B77">
        <w:tab/>
      </w:r>
      <w:r w:rsidRPr="00975B77">
        <w:rPr>
          <w:spacing w:val="-2"/>
        </w:rPr>
        <w:t xml:space="preserve">See, for example, Don Weatherburn, </w:t>
      </w:r>
      <w:r w:rsidRPr="00975B77">
        <w:rPr>
          <w:rStyle w:val="LightItalic"/>
          <w:rFonts w:ascii="Verdana" w:hAnsi="Verdana"/>
          <w:spacing w:val="-2"/>
        </w:rPr>
        <w:t>The Effect of Prison on Adult Re-Offending</w:t>
      </w:r>
      <w:r w:rsidRPr="00975B77">
        <w:rPr>
          <w:spacing w:val="-2"/>
        </w:rPr>
        <w:t>, Crime and Justice Bulletin no. 143</w:t>
      </w:r>
      <w:r w:rsidRPr="00975B77">
        <w:t xml:space="preserve"> (2010). International research has garnered similar findings: William D. Bales and Alex R. Piquero, ‘Assessing the Impact of Imprisonment on Recidivism’ (2012) 8(1) </w:t>
      </w:r>
      <w:r w:rsidRPr="00975B77">
        <w:rPr>
          <w:rStyle w:val="LightItalic"/>
          <w:rFonts w:ascii="Verdana" w:hAnsi="Verdana"/>
        </w:rPr>
        <w:t>Journal of Experimental Criminology</w:t>
      </w:r>
      <w:r w:rsidRPr="00975B77">
        <w:t xml:space="preserve"> 71; Jose Cid, ‘Is Imprisonment Criminogenic? A Comparative Study of Recidivism Rates Between Prison and Suspended Prison Sanctions’ (2009) 6(6) </w:t>
      </w:r>
      <w:r w:rsidRPr="00975B77">
        <w:rPr>
          <w:rStyle w:val="LightItalic"/>
          <w:rFonts w:ascii="Verdana" w:hAnsi="Verdana"/>
        </w:rPr>
        <w:t>European Journal of Criminology</w:t>
      </w:r>
      <w:r w:rsidRPr="00975B77">
        <w:t xml:space="preserve"> 459; Lynne M. Vieraitis et al., ‘The Criminogenic Effects of Imprisonment: Evidence from State Panel Data, 1974–2002’ (2007) 6(3) </w:t>
      </w:r>
      <w:r w:rsidRPr="00975B77">
        <w:rPr>
          <w:rStyle w:val="LightItalic"/>
          <w:rFonts w:ascii="Verdana" w:hAnsi="Verdana"/>
        </w:rPr>
        <w:t>Criminology &amp; Public Policy</w:t>
      </w:r>
      <w:r w:rsidRPr="00975B77">
        <w:t xml:space="preserve"> 589.</w:t>
      </w:r>
    </w:p>
  </w:footnote>
  <w:footnote w:id="6">
    <w:p w14:paraId="6FA57412" w14:textId="12B9099A" w:rsidR="00A4454A" w:rsidRPr="00975B77" w:rsidRDefault="00A4454A" w:rsidP="009E6528">
      <w:pPr>
        <w:pStyle w:val="Footnote"/>
      </w:pPr>
      <w:r w:rsidRPr="00975B77">
        <w:rPr>
          <w:vertAlign w:val="superscript"/>
        </w:rPr>
        <w:footnoteRef/>
      </w:r>
      <w:r w:rsidRPr="00975B77">
        <w:t>.</w:t>
      </w:r>
      <w:r w:rsidRPr="00975B77">
        <w:tab/>
        <w:t xml:space="preserve">Productivity Commission, </w:t>
      </w:r>
      <w:r w:rsidRPr="00975B77">
        <w:rPr>
          <w:rStyle w:val="LightItalic"/>
          <w:rFonts w:ascii="Verdana" w:hAnsi="Verdana"/>
        </w:rPr>
        <w:t>Australia’s Prison Dilemma: Research Paper</w:t>
      </w:r>
      <w:r w:rsidRPr="00975B77">
        <w:t xml:space="preserve"> (2021) 46.</w:t>
      </w:r>
    </w:p>
  </w:footnote>
  <w:footnote w:id="7">
    <w:p w14:paraId="1B293E93" w14:textId="7269DF98" w:rsidR="00A4454A" w:rsidRPr="00975B77" w:rsidRDefault="00A4454A" w:rsidP="009E6528">
      <w:pPr>
        <w:pStyle w:val="Footnote"/>
      </w:pPr>
      <w:r w:rsidRPr="00975B77">
        <w:rPr>
          <w:vertAlign w:val="superscript"/>
        </w:rPr>
        <w:footnoteRef/>
      </w:r>
      <w:r w:rsidRPr="00975B77">
        <w:t>.</w:t>
      </w:r>
      <w:r w:rsidRPr="00975B77">
        <w:tab/>
        <w:t xml:space="preserve">This is sometimes known as expanding or contracting the ‘spheres of criminalisation’: Jonathon Schonsheck, </w:t>
      </w:r>
      <w:r w:rsidRPr="00975B77">
        <w:rPr>
          <w:rStyle w:val="LightItalic"/>
          <w:rFonts w:ascii="Verdana" w:hAnsi="Verdana"/>
        </w:rPr>
        <w:t xml:space="preserve">On Criminalization: An Essay in the Philosophy of the Criminal Law </w:t>
      </w:r>
      <w:r w:rsidRPr="00975B77">
        <w:t>(1994).</w:t>
      </w:r>
    </w:p>
  </w:footnote>
  <w:footnote w:id="8">
    <w:p w14:paraId="25BDF2DA" w14:textId="0F4DA255" w:rsidR="00A4454A" w:rsidRPr="00975B77" w:rsidRDefault="00A4454A" w:rsidP="009E6528">
      <w:pPr>
        <w:pStyle w:val="Footnote"/>
      </w:pPr>
      <w:r w:rsidRPr="00975B77">
        <w:rPr>
          <w:vertAlign w:val="superscript"/>
        </w:rPr>
        <w:footnoteRef/>
      </w:r>
      <w:r w:rsidRPr="00975B77">
        <w:t>.</w:t>
      </w:r>
      <w:r w:rsidRPr="00975B77">
        <w:tab/>
        <w:t xml:space="preserve">See, for example, Hilde Tubex et al., ‘Penal Diversity Within Australia’ (2015) 17(3) </w:t>
      </w:r>
      <w:r w:rsidRPr="00975B77">
        <w:rPr>
          <w:rStyle w:val="LightItalic"/>
          <w:rFonts w:ascii="Verdana" w:hAnsi="Verdana"/>
        </w:rPr>
        <w:t>Punishment &amp; Society</w:t>
      </w:r>
      <w:r w:rsidRPr="00975B77">
        <w:t xml:space="preserve"> 345, 353–356; Arie Freiberg et al., ‘Parole, Politics and Penal Policy’ (2018) 18(1) </w:t>
      </w:r>
      <w:r w:rsidRPr="00975B77">
        <w:rPr>
          <w:rStyle w:val="LightItalic"/>
          <w:rFonts w:ascii="Verdana" w:hAnsi="Verdana"/>
        </w:rPr>
        <w:t>QUT Law Review</w:t>
      </w:r>
      <w:r w:rsidRPr="00975B77">
        <w:t xml:space="preserve"> 191; Productivity Commission (2021), above n 6, 3, 11–12.</w:t>
      </w:r>
    </w:p>
  </w:footnote>
  <w:footnote w:id="9">
    <w:p w14:paraId="27286932" w14:textId="78FF32B8" w:rsidR="00A4454A" w:rsidRPr="00975B77" w:rsidRDefault="00A4454A" w:rsidP="009E6528">
      <w:pPr>
        <w:pStyle w:val="Footnote"/>
      </w:pPr>
      <w:r w:rsidRPr="00975B77">
        <w:rPr>
          <w:vertAlign w:val="superscript"/>
        </w:rPr>
        <w:footnoteRef/>
      </w:r>
      <w:r w:rsidRPr="00975B77">
        <w:t>.</w:t>
      </w:r>
      <w:r w:rsidRPr="00975B77">
        <w:tab/>
        <w:t xml:space="preserve">See, for example, Karen Gelb et al., </w:t>
      </w:r>
      <w:r w:rsidRPr="00975B77">
        <w:rPr>
          <w:rStyle w:val="LightItalic"/>
          <w:rFonts w:ascii="Verdana" w:hAnsi="Verdana"/>
        </w:rPr>
        <w:t xml:space="preserve">Community-Based Sentencing Orders and Parole: A Review of Literature and Evaluations Across Jurisdictions </w:t>
      </w:r>
      <w:r w:rsidRPr="00975B77">
        <w:t xml:space="preserve">(2019); Don Weatherburn et al., </w:t>
      </w:r>
      <w:r w:rsidRPr="00975B77">
        <w:rPr>
          <w:rStyle w:val="LightItalic"/>
          <w:rFonts w:ascii="Verdana" w:hAnsi="Verdana"/>
        </w:rPr>
        <w:t>Why Does NSW Have a Higher Imprisonment Rate Than Victoria?</w:t>
      </w:r>
      <w:r w:rsidRPr="00975B77">
        <w:t xml:space="preserve"> Contemporary Issues in Crime and Criminal Justice no. 145 (2010).</w:t>
      </w:r>
    </w:p>
  </w:footnote>
  <w:footnote w:id="10">
    <w:p w14:paraId="5DEC4423" w14:textId="1EB80C0B" w:rsidR="00A4454A" w:rsidRPr="00975B77" w:rsidRDefault="00A4454A" w:rsidP="009E6528">
      <w:pPr>
        <w:pStyle w:val="Footnote"/>
      </w:pPr>
      <w:r w:rsidRPr="00975B77">
        <w:rPr>
          <w:vertAlign w:val="superscript"/>
        </w:rPr>
        <w:footnoteRef/>
      </w:r>
      <w:r w:rsidRPr="00975B77">
        <w:t>.</w:t>
      </w:r>
      <w:r w:rsidRPr="00975B77">
        <w:tab/>
        <w:t>See, for example, Freiberg et al. (2018), above n 8.</w:t>
      </w:r>
    </w:p>
  </w:footnote>
  <w:footnote w:id="11">
    <w:p w14:paraId="0B2D9BEA" w14:textId="2F39DD33" w:rsidR="00A4454A" w:rsidRPr="00975B77" w:rsidRDefault="00A4454A" w:rsidP="009E6528">
      <w:pPr>
        <w:pStyle w:val="Footnote"/>
      </w:pPr>
      <w:r w:rsidRPr="00975B77">
        <w:rPr>
          <w:vertAlign w:val="superscript"/>
        </w:rPr>
        <w:footnoteRef/>
      </w:r>
      <w:r w:rsidRPr="00975B77">
        <w:t>.</w:t>
      </w:r>
      <w:r w:rsidRPr="00975B77">
        <w:tab/>
        <w:t xml:space="preserve">See, for example, Don Weatherburn, ‘Australian Imprisonment 2002–2016: Crime, Policing and Penal Policy’ (2018) 51(4) </w:t>
      </w:r>
      <w:r w:rsidRPr="00975B77">
        <w:rPr>
          <w:rStyle w:val="LightItalic"/>
          <w:rFonts w:ascii="Verdana" w:hAnsi="Verdana"/>
        </w:rPr>
        <w:t>Australian &amp; New Zealand Journal of Criminology</w:t>
      </w:r>
      <w:r w:rsidRPr="00975B77">
        <w:t xml:space="preserve"> 537. Weatherburn found that an increase in certain offences, and changes in police enforcement activity for those offences (such as drug offences, offences against the person and family violence offending) significantly contributed to the growth in prison populations across the country due to the likelihood of offenders charged with these offences being remanded and subsequently sentenced to imprisonment: 553–554. </w:t>
      </w:r>
    </w:p>
  </w:footnote>
  <w:footnote w:id="12">
    <w:p w14:paraId="296D921E" w14:textId="625D6A3C" w:rsidR="00A4454A" w:rsidRPr="00975B77" w:rsidRDefault="00A4454A" w:rsidP="009E6528">
      <w:pPr>
        <w:pStyle w:val="Footnote"/>
      </w:pPr>
      <w:r w:rsidRPr="00975B77">
        <w:rPr>
          <w:vertAlign w:val="superscript"/>
        </w:rPr>
        <w:footnoteRef/>
      </w:r>
      <w:r w:rsidRPr="00975B77">
        <w:t>.</w:t>
      </w:r>
      <w:r w:rsidRPr="00975B77">
        <w:tab/>
        <w:t xml:space="preserve">See, for example, Don Weatherburn et al., </w:t>
      </w:r>
      <w:r w:rsidRPr="00975B77">
        <w:rPr>
          <w:rStyle w:val="LightItalic"/>
          <w:rFonts w:ascii="Verdana" w:hAnsi="Verdana"/>
        </w:rPr>
        <w:t>Why Is the NSW Prison Population Still Growing? Another Look at Prison Trends Between 2011 and 2015</w:t>
      </w:r>
      <w:r w:rsidRPr="00975B77">
        <w:t>, Crime and Justice Statistics, Issue Paper no. 113</w:t>
      </w:r>
      <w:r w:rsidRPr="00975B77">
        <w:rPr>
          <w:rStyle w:val="LightItalic"/>
          <w:rFonts w:ascii="Verdana" w:hAnsi="Verdana"/>
        </w:rPr>
        <w:t xml:space="preserve"> </w:t>
      </w:r>
      <w:r w:rsidRPr="00975B77">
        <w:t xml:space="preserve">(2016). The authors found that the increase in ‘the sentenced prisoner population’ in New South Wales was ‘entirely due to an increase in the number of sentenced prisoners received into custody’: 6. </w:t>
      </w:r>
    </w:p>
  </w:footnote>
  <w:footnote w:id="13">
    <w:p w14:paraId="5B46D620" w14:textId="1BB276F0" w:rsidR="00A4454A" w:rsidRPr="00975B77" w:rsidRDefault="00A4454A" w:rsidP="009E6528">
      <w:pPr>
        <w:pStyle w:val="Footnote"/>
      </w:pPr>
      <w:r w:rsidRPr="00975B77">
        <w:rPr>
          <w:vertAlign w:val="superscript"/>
        </w:rPr>
        <w:footnoteRef/>
      </w:r>
      <w:r w:rsidRPr="00975B77">
        <w:t>.</w:t>
      </w:r>
      <w:r w:rsidRPr="00975B77">
        <w:tab/>
        <w:t>Tubex et al. (2015) above n 8, 353–356.</w:t>
      </w:r>
    </w:p>
  </w:footnote>
  <w:footnote w:id="14">
    <w:p w14:paraId="33FCEBBA" w14:textId="7C9AAD9D" w:rsidR="00A4454A" w:rsidRPr="00975B77" w:rsidRDefault="00A4454A" w:rsidP="009E6528">
      <w:pPr>
        <w:pStyle w:val="Footnote"/>
      </w:pPr>
      <w:r w:rsidRPr="00975B77">
        <w:rPr>
          <w:vertAlign w:val="superscript"/>
        </w:rPr>
        <w:footnoteRef/>
      </w:r>
      <w:r w:rsidRPr="00975B77">
        <w:t>.</w:t>
      </w:r>
      <w:r w:rsidRPr="00975B77">
        <w:tab/>
        <w:t xml:space="preserve">See, for example, </w:t>
      </w:r>
      <w:r w:rsidRPr="00975B77">
        <w:rPr>
          <w:rStyle w:val="LightItalic"/>
          <w:rFonts w:ascii="Verdana" w:hAnsi="Verdana"/>
        </w:rPr>
        <w:t>Justice Legislation Amendment (Family Violence and Other Matters) Act 2012</w:t>
      </w:r>
      <w:r w:rsidRPr="00975B77">
        <w:t xml:space="preserve"> (Vic) ss 6, 9 (introducing aggravated breaches of family violence intervention orders and safety notices with higher maximum penalties of 5 years); </w:t>
      </w:r>
      <w:r w:rsidRPr="00975B77">
        <w:rPr>
          <w:rStyle w:val="LightItalic"/>
          <w:rFonts w:ascii="Verdana" w:hAnsi="Verdana"/>
        </w:rPr>
        <w:t>Crimes Amendment (Gross Violence Offences) Act 2013</w:t>
      </w:r>
      <w:r w:rsidRPr="00975B77">
        <w:t xml:space="preserve"> (Vic) s 4 (introducing aggravated </w:t>
      </w:r>
      <w:r w:rsidRPr="00975B77">
        <w:rPr>
          <w:spacing w:val="-1"/>
        </w:rPr>
        <w:t xml:space="preserve">offences of intentionally or recklessly causing serious injury in circumstances of gross violence); </w:t>
      </w:r>
      <w:r w:rsidRPr="00975B77">
        <w:rPr>
          <w:rStyle w:val="LightItalic"/>
          <w:rFonts w:ascii="Verdana" w:hAnsi="Verdana"/>
          <w:spacing w:val="-1"/>
        </w:rPr>
        <w:t xml:space="preserve">Crimes Amendment </w:t>
      </w:r>
      <w:r w:rsidRPr="00975B77">
        <w:rPr>
          <w:rStyle w:val="LightItalic"/>
          <w:rFonts w:ascii="Verdana" w:hAnsi="Verdana"/>
        </w:rPr>
        <w:t>(Carjacking and Home Invasion) Act 2016</w:t>
      </w:r>
      <w:r w:rsidRPr="00975B77">
        <w:t xml:space="preserve"> (Vic) ss 3, 4 (introducing home invasion and carjacking offences as more </w:t>
      </w:r>
      <w:r w:rsidRPr="00975B77">
        <w:rPr>
          <w:spacing w:val="-3"/>
        </w:rPr>
        <w:t xml:space="preserve">aggravated versions of existing burglary offences and robbery offences). Further, </w:t>
      </w:r>
      <w:r w:rsidRPr="00975B77">
        <w:rPr>
          <w:rStyle w:val="LightItalic"/>
          <w:rFonts w:ascii="Verdana" w:hAnsi="Verdana"/>
          <w:spacing w:val="-3"/>
        </w:rPr>
        <w:t xml:space="preserve">Bail Amendment Act 2013 </w:t>
      </w:r>
      <w:r w:rsidRPr="00975B77">
        <w:rPr>
          <w:spacing w:val="-3"/>
        </w:rPr>
        <w:t>(Vic) s 8</w:t>
      </w:r>
      <w:r w:rsidRPr="00975B77">
        <w:t xml:space="preserve"> and </w:t>
      </w:r>
      <w:r w:rsidRPr="00975B77">
        <w:rPr>
          <w:rStyle w:val="LightItalic"/>
          <w:rFonts w:ascii="Verdana" w:hAnsi="Verdana"/>
        </w:rPr>
        <w:t xml:space="preserve">Bail Amendment Act 2023 </w:t>
      </w:r>
      <w:r w:rsidRPr="00975B77">
        <w:t xml:space="preserve">(Vic) ss 39, 40 also introduced, and then repealed, the offences of committing an indictable offence while on bail and contravening a conduct condition of bail. </w:t>
      </w:r>
      <w:r w:rsidRPr="00975B77">
        <w:rPr>
          <w:rStyle w:val="LightItalic"/>
          <w:rFonts w:ascii="Verdana" w:hAnsi="Verdana"/>
        </w:rPr>
        <w:t>Corrections Amendment (Breach of Parole) Act 2013</w:t>
      </w:r>
      <w:r w:rsidRPr="00975B77">
        <w:t xml:space="preserve"> (Vic) s 3 also introduced a distinct offence of breaching a term or condition of parole.</w:t>
      </w:r>
    </w:p>
  </w:footnote>
  <w:footnote w:id="15">
    <w:p w14:paraId="6077B399" w14:textId="50052E3E" w:rsidR="00A4454A" w:rsidRPr="00975B77" w:rsidRDefault="00A4454A" w:rsidP="009E6528">
      <w:pPr>
        <w:pStyle w:val="Footnote"/>
      </w:pPr>
      <w:r w:rsidRPr="00975B77">
        <w:rPr>
          <w:vertAlign w:val="superscript"/>
        </w:rPr>
        <w:footnoteRef/>
      </w:r>
      <w:r w:rsidRPr="00975B77">
        <w:t>.</w:t>
      </w:r>
      <w:r w:rsidRPr="00975B77">
        <w:tab/>
        <w:t xml:space="preserve">See, for example, </w:t>
      </w:r>
      <w:r w:rsidRPr="00975B77">
        <w:rPr>
          <w:rStyle w:val="LightItalic"/>
          <w:rFonts w:ascii="Verdana" w:hAnsi="Verdana"/>
        </w:rPr>
        <w:t xml:space="preserve">Bail Amendment Act 2013 </w:t>
      </w:r>
      <w:r w:rsidRPr="00975B77">
        <w:t xml:space="preserve">(Vic) s 5 (expanding the circumstances in which a bail application must be heard before a magistrate); </w:t>
      </w:r>
      <w:r w:rsidRPr="00975B77">
        <w:rPr>
          <w:rStyle w:val="LightItalic"/>
          <w:rFonts w:ascii="Verdana" w:hAnsi="Verdana"/>
        </w:rPr>
        <w:t>Bail Amendment Act 2016</w:t>
      </w:r>
      <w:r w:rsidRPr="00975B77">
        <w:t xml:space="preserve"> (Vic) s 7 (creating a default presumption of remand for certain alleged offenders); </w:t>
      </w:r>
      <w:r w:rsidRPr="00975B77">
        <w:rPr>
          <w:rStyle w:val="LightItalic"/>
          <w:rFonts w:ascii="Verdana" w:hAnsi="Verdana"/>
        </w:rPr>
        <w:t>Bail Amendment (Stage One) Act 2017</w:t>
      </w:r>
      <w:r w:rsidRPr="00975B77">
        <w:t xml:space="preserve"> (Vic) pt 2 (making community protection the primary risk consideration in all bail decision-making, and expanding the categories of people subject to reverse onus bail provisions); </w:t>
      </w:r>
      <w:r w:rsidRPr="00975B77">
        <w:rPr>
          <w:rStyle w:val="LightItalic"/>
          <w:rFonts w:ascii="Verdana" w:hAnsi="Verdana"/>
        </w:rPr>
        <w:t xml:space="preserve">Bail Amendment (Stage Two) Act 2018 </w:t>
      </w:r>
      <w:r w:rsidRPr="00975B77">
        <w:t xml:space="preserve">(Vic) s 7 (confirming that a risk of minor offending is sufficient to satisfy the ‘unacceptable risk’ test); </w:t>
      </w:r>
      <w:r w:rsidRPr="00975B77">
        <w:rPr>
          <w:rStyle w:val="LightItalic"/>
          <w:rFonts w:ascii="Verdana" w:hAnsi="Verdana"/>
        </w:rPr>
        <w:t>Bail Amendment Act 2023</w:t>
      </w:r>
      <w:r w:rsidRPr="00975B77">
        <w:t xml:space="preserve"> (Vic) pt 2 div 1 (reducing the categories of people subject to reverse onus bail provisions).</w:t>
      </w:r>
    </w:p>
  </w:footnote>
  <w:footnote w:id="16">
    <w:p w14:paraId="70DFD5DE" w14:textId="51AA813E" w:rsidR="00A4454A" w:rsidRPr="00975B77" w:rsidRDefault="00A4454A" w:rsidP="009E6528">
      <w:pPr>
        <w:pStyle w:val="Footnote"/>
      </w:pPr>
      <w:r w:rsidRPr="00975B77">
        <w:rPr>
          <w:vertAlign w:val="superscript"/>
        </w:rPr>
        <w:footnoteRef/>
      </w:r>
      <w:r w:rsidRPr="00975B77">
        <w:t>.</w:t>
      </w:r>
      <w:r w:rsidRPr="00975B77">
        <w:tab/>
        <w:t xml:space="preserve">See, for example, </w:t>
      </w:r>
      <w:r w:rsidRPr="00975B77">
        <w:rPr>
          <w:rStyle w:val="LightItalic"/>
          <w:rFonts w:ascii="Verdana" w:hAnsi="Verdana"/>
        </w:rPr>
        <w:t>Sentencing Amendment Act 2010</w:t>
      </w:r>
      <w:r w:rsidRPr="00975B77">
        <w:t xml:space="preserve"> (Vic) s 12; </w:t>
      </w:r>
      <w:r w:rsidRPr="00975B77">
        <w:rPr>
          <w:rStyle w:val="LightItalic"/>
          <w:rFonts w:ascii="Verdana" w:hAnsi="Verdana"/>
        </w:rPr>
        <w:t xml:space="preserve">Sentencing Further Amendment Act 2011 </w:t>
      </w:r>
      <w:r w:rsidRPr="00975B77">
        <w:t xml:space="preserve">(Vic) s 4 (abolishing suspended sentences for certain offences); </w:t>
      </w:r>
      <w:r w:rsidRPr="00975B77">
        <w:rPr>
          <w:rStyle w:val="LightItalic"/>
          <w:rFonts w:ascii="Verdana" w:hAnsi="Verdana"/>
        </w:rPr>
        <w:t>Sentencing Amendment (Community Correction Reform) Act 2011</w:t>
      </w:r>
      <w:r w:rsidRPr="00975B77">
        <w:t xml:space="preserve"> (Vic) pt 3A (introducing community correction orders and replacing a number of other pre-existing sentencing orders); </w:t>
      </w:r>
      <w:r w:rsidRPr="00975B77">
        <w:rPr>
          <w:rStyle w:val="LightItalic"/>
          <w:rFonts w:ascii="Verdana" w:hAnsi="Verdana"/>
        </w:rPr>
        <w:t>Crimes Amendment (Gross Violence Offences) Act 2013</w:t>
      </w:r>
      <w:r w:rsidRPr="00975B77">
        <w:t xml:space="preserve"> (Vic) s 4 (introducing mandatory non-parole periods for certain offences); </w:t>
      </w:r>
      <w:r w:rsidRPr="00975B77">
        <w:rPr>
          <w:rStyle w:val="LightItalic"/>
          <w:rFonts w:ascii="Verdana" w:hAnsi="Verdana"/>
        </w:rPr>
        <w:t>Sentencing Amendment (Abolition of Suspended Sentences and Other Matters) Act 2013</w:t>
      </w:r>
      <w:r w:rsidRPr="00975B77">
        <w:t xml:space="preserve"> (Vic) div 3 (abolishing partially and wholly suspended sentences for offences committed on or after </w:t>
      </w:r>
      <w:r w:rsidRPr="00975B77">
        <w:rPr>
          <w:spacing w:val="-1"/>
        </w:rPr>
        <w:t xml:space="preserve">certain dates); </w:t>
      </w:r>
      <w:r w:rsidRPr="00975B77">
        <w:rPr>
          <w:rStyle w:val="LightItalic"/>
          <w:rFonts w:ascii="Verdana" w:hAnsi="Verdana"/>
          <w:spacing w:val="-1"/>
        </w:rPr>
        <w:t xml:space="preserve">Boulton &amp; Ors v The Queen </w:t>
      </w:r>
      <w:r w:rsidRPr="00975B77">
        <w:rPr>
          <w:spacing w:val="-1"/>
        </w:rPr>
        <w:t xml:space="preserve">[2014] VSCA 342 (guideline judgment from the Court of Appeal on the </w:t>
      </w:r>
      <w:r w:rsidRPr="00975B77">
        <w:t xml:space="preserve">use of community correction orders); </w:t>
      </w:r>
      <w:r w:rsidRPr="00975B77">
        <w:rPr>
          <w:rStyle w:val="LightItalic"/>
          <w:rFonts w:ascii="Verdana" w:hAnsi="Verdana"/>
        </w:rPr>
        <w:t>Sentencing Amendment (Emergency Workers) Act 2014</w:t>
      </w:r>
      <w:r w:rsidRPr="00975B77">
        <w:t xml:space="preserve"> (Vic) s 18 (increasing the maximum term of imprisonment in combined orders from 3 months to 2 years); </w:t>
      </w:r>
      <w:r w:rsidRPr="00975B77">
        <w:rPr>
          <w:rStyle w:val="LightItalic"/>
          <w:rFonts w:ascii="Verdana" w:hAnsi="Verdana"/>
        </w:rPr>
        <w:t xml:space="preserve">Crimes Amendment </w:t>
      </w:r>
      <w:r w:rsidRPr="00975B77">
        <w:rPr>
          <w:rStyle w:val="LightItalic"/>
          <w:rFonts w:ascii="Verdana" w:hAnsi="Verdana"/>
          <w:spacing w:val="-1"/>
        </w:rPr>
        <w:t>(Carjacking and Home Invasion) Act 2016</w:t>
      </w:r>
      <w:r w:rsidRPr="00975B77">
        <w:rPr>
          <w:spacing w:val="-1"/>
        </w:rPr>
        <w:t xml:space="preserve"> (Vic) ss 3, 4 (creating new offences of carjacking and home invasion, both with a mandatory non-parole period of 3 years’ imprisonment); </w:t>
      </w:r>
      <w:r w:rsidRPr="00975B77">
        <w:rPr>
          <w:rStyle w:val="LightItalic"/>
          <w:rFonts w:ascii="Verdana" w:hAnsi="Verdana"/>
          <w:spacing w:val="-1"/>
        </w:rPr>
        <w:t xml:space="preserve">Sentencing (Community Correction Order) and Other </w:t>
      </w:r>
      <w:r w:rsidRPr="00975B77">
        <w:rPr>
          <w:rStyle w:val="LightItalic"/>
          <w:rFonts w:ascii="Verdana" w:hAnsi="Verdana"/>
        </w:rPr>
        <w:t>Acts Amendment Act 2016</w:t>
      </w:r>
      <w:r w:rsidRPr="00975B77">
        <w:t xml:space="preserve"> (Vic) pt 2 (introducing mandatory or presumptive prison sentences for category 1 and 2 offences, and decreasing the maximum term of imprisonment in combined orders from 2 years to 1 year); </w:t>
      </w:r>
      <w:r w:rsidRPr="00975B77">
        <w:rPr>
          <w:rStyle w:val="LightItalic"/>
          <w:rFonts w:ascii="Verdana" w:hAnsi="Verdana"/>
        </w:rPr>
        <w:t>Sentencing Amendment (Sentencing Standards) Act 2017</w:t>
      </w:r>
      <w:r w:rsidRPr="00975B77">
        <w:t xml:space="preserve"> (Vic) (introducing standard sentences); </w:t>
      </w:r>
      <w:r w:rsidRPr="00975B77">
        <w:rPr>
          <w:rStyle w:val="LightItalic"/>
          <w:rFonts w:ascii="Verdana" w:hAnsi="Verdana"/>
        </w:rPr>
        <w:t>Justice Legislation Amendment (Drug Court and Other Matters) Act 2020</w:t>
      </w:r>
      <w:r w:rsidRPr="00975B77">
        <w:t xml:space="preserve"> (Vic) (enabling drug and alcohol treatment orders in the County Court); </w:t>
      </w:r>
      <w:r w:rsidRPr="00975B77">
        <w:rPr>
          <w:rStyle w:val="LightItalic"/>
          <w:rFonts w:ascii="Verdana" w:hAnsi="Verdana"/>
        </w:rPr>
        <w:t xml:space="preserve">Worboyes v The Queen </w:t>
      </w:r>
      <w:r w:rsidRPr="00975B77">
        <w:t>[2021] VSCA 169 (providing for an enhanced guilty plea discount due to the additional utilitarian value of guilty pleas during the COVID-19 pandemic and for associated court backlogs).</w:t>
      </w:r>
    </w:p>
  </w:footnote>
  <w:footnote w:id="17">
    <w:p w14:paraId="2F52A25C" w14:textId="4E65C8D0" w:rsidR="00281603" w:rsidRPr="00975B77" w:rsidRDefault="00281603" w:rsidP="009E6528">
      <w:pPr>
        <w:pStyle w:val="Footnote"/>
      </w:pPr>
      <w:r w:rsidRPr="00975B77">
        <w:rPr>
          <w:vertAlign w:val="superscript"/>
        </w:rPr>
        <w:footnoteRef/>
      </w:r>
      <w:r w:rsidRPr="00975B77">
        <w:t>.</w:t>
      </w:r>
      <w:r w:rsidRPr="00975B77">
        <w:tab/>
        <w:t xml:space="preserve">See, for example, </w:t>
      </w:r>
      <w:r w:rsidRPr="00975B77">
        <w:rPr>
          <w:rStyle w:val="LightItalic"/>
          <w:rFonts w:ascii="Verdana" w:hAnsi="Verdana"/>
        </w:rPr>
        <w:t>Serious Sex Offenders Monitoring Act 2005 </w:t>
      </w:r>
      <w:r w:rsidRPr="00975B77">
        <w:t xml:space="preserve">(Vic) (introducing the post-sentence scheme); </w:t>
      </w:r>
      <w:r w:rsidRPr="00975B77">
        <w:rPr>
          <w:rStyle w:val="LightItalic"/>
          <w:rFonts w:ascii="Verdana" w:hAnsi="Verdana"/>
        </w:rPr>
        <w:t>Serious</w:t>
      </w:r>
      <w:r w:rsidRPr="00975B77">
        <w:t> </w:t>
      </w:r>
      <w:r w:rsidRPr="00975B77">
        <w:rPr>
          <w:rStyle w:val="LightItalic"/>
          <w:rFonts w:ascii="Verdana" w:hAnsi="Verdana"/>
        </w:rPr>
        <w:t>Sex Offenders (Detention and Supervision) Act 2009</w:t>
      </w:r>
      <w:r w:rsidRPr="00975B77">
        <w:t xml:space="preserve"> (Vic) (repealing and replacing the post-sentence scheme to introduce continuing detention orders); </w:t>
      </w:r>
      <w:r w:rsidRPr="00975B77">
        <w:rPr>
          <w:rStyle w:val="LightItalic"/>
          <w:rFonts w:ascii="Verdana" w:hAnsi="Verdana"/>
        </w:rPr>
        <w:t>Justice Legislation Amendment (Cancellation of Parole and Other Matters) Act 2013</w:t>
      </w:r>
      <w:r w:rsidRPr="00975B77">
        <w:t xml:space="preserve"> (Vic) s 3 (introducing automatic parole cancellation for violent offenders who reoffend while on parole); </w:t>
      </w:r>
      <w:r w:rsidRPr="00975B77">
        <w:rPr>
          <w:rStyle w:val="LightItalic"/>
          <w:rFonts w:ascii="Verdana" w:hAnsi="Verdana"/>
        </w:rPr>
        <w:t>Corrections Amendment (Parole Reform) Act 2013</w:t>
      </w:r>
      <w:r w:rsidRPr="00975B77">
        <w:t xml:space="preserve"> (Vic) s 11 (introducing protection of the community as the paramount consideration in all parole decisions); </w:t>
      </w:r>
      <w:r w:rsidRPr="00975B77">
        <w:rPr>
          <w:rStyle w:val="LightItalic"/>
          <w:rFonts w:ascii="Verdana" w:hAnsi="Verdana"/>
        </w:rPr>
        <w:t>Corrections Amendment (Further Parole Reform) Act 2014</w:t>
      </w:r>
      <w:r w:rsidRPr="00975B77">
        <w:t xml:space="preserve"> (Vic) (creating a two-tier process for the release of a prisoner on parole for a sex or serious violent offence); </w:t>
      </w:r>
      <w:r w:rsidRPr="00975B77">
        <w:rPr>
          <w:rStyle w:val="LightItalic"/>
          <w:rFonts w:ascii="Verdana" w:hAnsi="Verdana"/>
        </w:rPr>
        <w:t>Serious Sex Offenders (Detention and Supervision) Amendment (Governance) Act 2017</w:t>
      </w:r>
      <w:r w:rsidRPr="00975B77">
        <w:t xml:space="preserve"> (Vic) (establishing the Post Sentence Authority); </w:t>
      </w:r>
      <w:r w:rsidRPr="00975B77">
        <w:rPr>
          <w:rStyle w:val="LightItalic"/>
          <w:rFonts w:ascii="Verdana" w:hAnsi="Verdana"/>
        </w:rPr>
        <w:t>Serious Offenders Act 2018</w:t>
      </w:r>
      <w:r w:rsidRPr="00975B77">
        <w:t xml:space="preserve"> (Vic) (repealing and replacing the previous post-sentence scheme and extending it to cover violent offenders (as well as sex offenders)).</w:t>
      </w:r>
    </w:p>
  </w:footnote>
  <w:footnote w:id="18">
    <w:p w14:paraId="1F88808A" w14:textId="6E0E8545" w:rsidR="00A4454A" w:rsidRPr="00975B77" w:rsidRDefault="00A4454A" w:rsidP="009E6528">
      <w:pPr>
        <w:pStyle w:val="Footnote"/>
      </w:pPr>
      <w:r w:rsidRPr="00975B77">
        <w:rPr>
          <w:vertAlign w:val="superscript"/>
        </w:rPr>
        <w:footnoteRef/>
      </w:r>
      <w:r w:rsidRPr="00975B77">
        <w:t>.</w:t>
      </w:r>
      <w:r w:rsidRPr="00975B77">
        <w:tab/>
        <w:t xml:space="preserve">See, for example, Richard Rosenfeld and Steven F. Messner, ‘The Crime Drop in Comparative Perspective: The Impact of the Economy and Imprisonment on American and European Burglary Rates’ (2009) 60(3) </w:t>
      </w:r>
      <w:r w:rsidRPr="00975B77">
        <w:rPr>
          <w:rStyle w:val="LightItalic"/>
          <w:rFonts w:ascii="Verdana" w:hAnsi="Verdana"/>
        </w:rPr>
        <w:t>The British Journal of Sociology</w:t>
      </w:r>
      <w:r w:rsidRPr="00975B77">
        <w:t xml:space="preserve"> 445.</w:t>
      </w:r>
    </w:p>
  </w:footnote>
  <w:footnote w:id="19">
    <w:p w14:paraId="75A434D4" w14:textId="2177CA3E" w:rsidR="00A4454A" w:rsidRPr="00975B77" w:rsidRDefault="00A4454A" w:rsidP="009E6528">
      <w:pPr>
        <w:pStyle w:val="Footnote"/>
      </w:pPr>
      <w:r w:rsidRPr="00975B77">
        <w:rPr>
          <w:vertAlign w:val="superscript"/>
        </w:rPr>
        <w:footnoteRef/>
      </w:r>
      <w:r w:rsidRPr="00975B77">
        <w:t>.</w:t>
      </w:r>
      <w:r w:rsidRPr="00975B77">
        <w:tab/>
        <w:t xml:space="preserve">See, for example, Richard Rosenfeld and Aaron Levin, ‘Acquisitive Crime and Inflation in the United States: 1960–2012’ (2016) 32 </w:t>
      </w:r>
      <w:r w:rsidRPr="00975B77">
        <w:rPr>
          <w:rStyle w:val="LightItalic"/>
          <w:rFonts w:ascii="Verdana" w:hAnsi="Verdana"/>
        </w:rPr>
        <w:t xml:space="preserve">Journal of Quantitative Criminology </w:t>
      </w:r>
      <w:r w:rsidRPr="00975B77">
        <w:t>427. See also Crime Statistics Agency, ‘Cost-of-Living Pressures May Be Contributing to 17% Increase in Thefts During the Last 12 Months’, Media Release (20 August 2024).</w:t>
      </w:r>
    </w:p>
  </w:footnote>
  <w:footnote w:id="20">
    <w:p w14:paraId="03B6BD5E" w14:textId="54DDDA59" w:rsidR="00A4454A" w:rsidRPr="00975B77" w:rsidRDefault="00A4454A" w:rsidP="009E6528">
      <w:pPr>
        <w:pStyle w:val="Footnote"/>
      </w:pPr>
      <w:r w:rsidRPr="00975B77">
        <w:rPr>
          <w:vertAlign w:val="superscript"/>
        </w:rPr>
        <w:footnoteRef/>
      </w:r>
      <w:r w:rsidRPr="00975B77">
        <w:t>.</w:t>
      </w:r>
      <w:r w:rsidRPr="00975B77">
        <w:tab/>
        <w:t xml:space="preserve">Sentencing Advisory Council (2016), above n 1, 53–56; Marilyn McMahon, </w:t>
      </w:r>
      <w:r w:rsidRPr="00975B77">
        <w:rPr>
          <w:rStyle w:val="LightItalic"/>
          <w:rFonts w:ascii="Verdana" w:hAnsi="Verdana"/>
        </w:rPr>
        <w:t>No Bail, More Jail? Breaking the Nexus Between Community Protection and Escalating Pre-Trial Detention</w:t>
      </w:r>
      <w:r w:rsidRPr="00975B77">
        <w:t>, Research Paper no. 3</w:t>
      </w:r>
      <w:r w:rsidRPr="00975B77">
        <w:rPr>
          <w:rStyle w:val="LightItalic"/>
          <w:rFonts w:ascii="Verdana" w:hAnsi="Verdana"/>
        </w:rPr>
        <w:t xml:space="preserve"> </w:t>
      </w:r>
      <w:r w:rsidRPr="00975B77">
        <w:t xml:space="preserve">(2019); Max Travers et al., </w:t>
      </w:r>
      <w:r w:rsidRPr="00975B77">
        <w:rPr>
          <w:rStyle w:val="LightItalic"/>
          <w:rFonts w:ascii="Verdana" w:hAnsi="Verdana"/>
        </w:rPr>
        <w:t>Bail Practices and Policy Alternatives in Australia</w:t>
      </w:r>
      <w:r w:rsidRPr="00975B77">
        <w:t xml:space="preserve">, Trends &amp; Issues in Crime and Criminal Justice no. 610 (2020); Lorena Bartels et al., ‘Bail, Risk and Law Reform: A Review of Bail Legislation Across Australia’ (2018) 42 </w:t>
      </w:r>
      <w:r w:rsidRPr="00975B77">
        <w:rPr>
          <w:rStyle w:val="LightItalic"/>
          <w:rFonts w:ascii="Verdana" w:hAnsi="Verdana"/>
        </w:rPr>
        <w:t>Criminal Law Journal</w:t>
      </w:r>
      <w:r w:rsidRPr="00975B77">
        <w:t xml:space="preserve"> 91; Isabelle Bartkowiak-Theron and Emma Colvin, ‘Understanding the Impact of Bail Refusal on the Australian Public Health System’ (2022) 7(4) </w:t>
      </w:r>
      <w:r w:rsidRPr="00975B77">
        <w:rPr>
          <w:rStyle w:val="LightItalic"/>
          <w:rFonts w:ascii="Verdana" w:hAnsi="Verdana"/>
        </w:rPr>
        <w:t xml:space="preserve">Journal of Community Safety and Well-Being </w:t>
      </w:r>
      <w:r w:rsidRPr="00975B77">
        <w:t>1.</w:t>
      </w:r>
    </w:p>
  </w:footnote>
  <w:footnote w:id="21">
    <w:p w14:paraId="45BECA07" w14:textId="4ABA7DF7" w:rsidR="00A4454A" w:rsidRPr="00975B77" w:rsidRDefault="00A4454A" w:rsidP="009E6528">
      <w:pPr>
        <w:pStyle w:val="Footnote"/>
      </w:pPr>
      <w:r w:rsidRPr="00975B77">
        <w:rPr>
          <w:vertAlign w:val="superscript"/>
        </w:rPr>
        <w:footnoteRef/>
      </w:r>
      <w:r w:rsidRPr="00975B77">
        <w:t>.</w:t>
      </w:r>
      <w:r w:rsidRPr="00975B77">
        <w:tab/>
        <w:t xml:space="preserve">State of Victoria, Legal and Social Issues Committee, </w:t>
      </w:r>
      <w:r w:rsidRPr="00975B77">
        <w:rPr>
          <w:rStyle w:val="LightItalic"/>
          <w:rFonts w:ascii="Verdana" w:hAnsi="Verdana"/>
        </w:rPr>
        <w:t>Inquiry into Victoria’s Criminal Justice System</w:t>
      </w:r>
      <w:r w:rsidRPr="00975B77">
        <w:t xml:space="preserve"> (2022) 31, 444.</w:t>
      </w:r>
    </w:p>
  </w:footnote>
  <w:footnote w:id="22">
    <w:p w14:paraId="5473FB2D" w14:textId="4AE7988B" w:rsidR="00A4454A" w:rsidRPr="00975B77" w:rsidRDefault="00A4454A" w:rsidP="009E6528">
      <w:pPr>
        <w:pStyle w:val="Footnote"/>
      </w:pPr>
      <w:r w:rsidRPr="00975B77">
        <w:rPr>
          <w:vertAlign w:val="superscript"/>
        </w:rPr>
        <w:footnoteRef/>
      </w:r>
      <w:r w:rsidRPr="00975B77">
        <w:t>.</w:t>
      </w:r>
      <w:r w:rsidRPr="00975B77">
        <w:tab/>
        <w:t>Productivity Commission (2021), above n 6, 7, 8.</w:t>
      </w:r>
    </w:p>
  </w:footnote>
  <w:footnote w:id="23">
    <w:p w14:paraId="0FBC5B9E" w14:textId="473F0BFD" w:rsidR="00A4454A" w:rsidRPr="00975B77" w:rsidRDefault="00A4454A" w:rsidP="009E6528">
      <w:pPr>
        <w:pStyle w:val="Footnote"/>
      </w:pPr>
      <w:r w:rsidRPr="00975B77">
        <w:rPr>
          <w:vertAlign w:val="superscript"/>
        </w:rPr>
        <w:footnoteRef/>
      </w:r>
      <w:r w:rsidRPr="00975B77">
        <w:t>.</w:t>
      </w:r>
      <w:r w:rsidRPr="00975B77">
        <w:tab/>
        <w:t>Ibid 9.</w:t>
      </w:r>
    </w:p>
  </w:footnote>
  <w:footnote w:id="24">
    <w:p w14:paraId="30527809" w14:textId="29B2A9EE" w:rsidR="00A4454A" w:rsidRPr="00975B77" w:rsidRDefault="00A4454A" w:rsidP="009E6528">
      <w:pPr>
        <w:pStyle w:val="Footnote"/>
      </w:pPr>
      <w:r w:rsidRPr="00975B77">
        <w:rPr>
          <w:vertAlign w:val="superscript"/>
        </w:rPr>
        <w:footnoteRef/>
      </w:r>
      <w:r w:rsidRPr="00975B77">
        <w:t>.</w:t>
      </w:r>
      <w:r w:rsidRPr="00975B77">
        <w:tab/>
        <w:t>Ibid 3.</w:t>
      </w:r>
    </w:p>
  </w:footnote>
  <w:footnote w:id="25">
    <w:p w14:paraId="657FEA37" w14:textId="0DB69471" w:rsidR="00A4454A" w:rsidRPr="00975B77" w:rsidRDefault="00A4454A" w:rsidP="009E6528">
      <w:pPr>
        <w:pStyle w:val="Footnote"/>
      </w:pPr>
      <w:r w:rsidRPr="00975B77">
        <w:rPr>
          <w:vertAlign w:val="superscript"/>
        </w:rPr>
        <w:footnoteRef/>
      </w:r>
      <w:r w:rsidRPr="00975B77">
        <w:t>.</w:t>
      </w:r>
      <w:r w:rsidRPr="00975B77">
        <w:tab/>
        <w:t>Victorian Government, ‘Prison Locations in Victoria’ (justice.vic.gov.au, 2025). The publicly operated prisons as at 30 June 2024 are Barwon Prison, Beechworth Correctional Centre, Dhurringile Prison, Dame Phyllis Frost Centre, Hopkins Correctional Centre, Judy Lazarus Transition Centre, Langi Kal Kal Prison, Loddon Prison Precinct, Marngoneet Correctional Centre, Melbourne Assessment Prison, Metropolitan Remand Centre and Tarrengower Prison. The three privately operated prisons in Victoria as at 30 June 2024 are Fulham Correctional Centre, Port Philip Prison and Ravenhall Correctional Centre. The new publicly operated maximum security Western Plains Correctional Centre (capacity of approximately 1,200) is set to start housing prisoners from mid-2025: Premier of Victoria, ‘Creating a Modern and Secure Corrections System’, Media Release (26 June 2024).</w:t>
      </w:r>
    </w:p>
  </w:footnote>
  <w:footnote w:id="26">
    <w:p w14:paraId="4B143797" w14:textId="089447C5" w:rsidR="00A4454A" w:rsidRPr="00975B77" w:rsidRDefault="00A4454A" w:rsidP="009E6528">
      <w:pPr>
        <w:pStyle w:val="Footnote"/>
      </w:pPr>
      <w:r w:rsidRPr="00975B77">
        <w:rPr>
          <w:vertAlign w:val="superscript"/>
        </w:rPr>
        <w:footnoteRef/>
      </w:r>
      <w:r w:rsidRPr="00975B77">
        <w:t>.</w:t>
      </w:r>
      <w:r w:rsidRPr="00975B77">
        <w:tab/>
        <w:t xml:space="preserve">Corrections Victoria defines operational utilisation rate in its </w:t>
      </w:r>
      <w:r w:rsidRPr="00975B77">
        <w:rPr>
          <w:rStyle w:val="LightItalic"/>
          <w:rFonts w:ascii="Verdana" w:hAnsi="Verdana"/>
        </w:rPr>
        <w:t>Annual Prisons Statistical Profile</w:t>
      </w:r>
      <w:r w:rsidRPr="00975B77">
        <w:t xml:space="preserve"> as ‘the number of people in prison at 30 June divided by the operational capacity as at that date’: Corrections Victoria, </w:t>
      </w:r>
      <w:r w:rsidRPr="00975B77">
        <w:rPr>
          <w:rStyle w:val="LightItalic"/>
          <w:rFonts w:ascii="Verdana" w:hAnsi="Verdana"/>
        </w:rPr>
        <w:t>Annual Prisons Statistical Profile 2015 to 2024</w:t>
      </w:r>
      <w:r w:rsidRPr="00975B77">
        <w:t>, Corrections, Prisons &amp; Parole (2025) Glossary of Key Terms. In this report, we shorten the term to ‘utilisation rate’.</w:t>
      </w:r>
    </w:p>
  </w:footnote>
  <w:footnote w:id="27">
    <w:p w14:paraId="22DD8822" w14:textId="083CF899" w:rsidR="00A4454A" w:rsidRPr="00975B77" w:rsidRDefault="00A4454A" w:rsidP="009E6528">
      <w:pPr>
        <w:pStyle w:val="Footnote"/>
      </w:pPr>
      <w:r w:rsidRPr="00975B77">
        <w:rPr>
          <w:vertAlign w:val="superscript"/>
        </w:rPr>
        <w:footnoteRef/>
      </w:r>
      <w:r w:rsidRPr="00975B77">
        <w:t>.</w:t>
      </w:r>
      <w:r w:rsidRPr="00975B77">
        <w:tab/>
        <w:t>As at 30 June 2005, the 12 custodial facilities were Barwon Prison, Beechworth Correctional Centre, Bendigo Prison, Dame Phyllis Frost Centre, Dhurringile Prison, Fulham Correctional Centre, Hopkins Correctional Centre, Langi Kal Kal Prison, Loddon Prison Precinct, Melbourne Assessment Prison, Port Phillip Prison and Tarrengower Prison.</w:t>
      </w:r>
    </w:p>
  </w:footnote>
  <w:footnote w:id="28">
    <w:p w14:paraId="7BCC4A49" w14:textId="0B6291EE" w:rsidR="00A4454A" w:rsidRPr="00975B77" w:rsidRDefault="00A4454A" w:rsidP="009E6528">
      <w:pPr>
        <w:pStyle w:val="Footnote"/>
      </w:pPr>
      <w:r w:rsidRPr="00975B77">
        <w:rPr>
          <w:vertAlign w:val="superscript"/>
        </w:rPr>
        <w:footnoteRef/>
      </w:r>
      <w:r w:rsidRPr="00975B77">
        <w:t>.</w:t>
      </w:r>
      <w:r w:rsidRPr="00975B77">
        <w:tab/>
        <w:t xml:space="preserve">Corrective services custody refers to ‘people held in gazetted Victorian prisons’: Sentencing Advisory Council (2016), above n 1, 7. </w:t>
      </w:r>
    </w:p>
  </w:footnote>
  <w:footnote w:id="29">
    <w:p w14:paraId="3BCADD3B" w14:textId="6F2800AC" w:rsidR="00A4454A" w:rsidRPr="00975B77" w:rsidRDefault="00A4454A" w:rsidP="009E6528">
      <w:pPr>
        <w:pStyle w:val="Footnote"/>
      </w:pPr>
      <w:r w:rsidRPr="00975B77">
        <w:rPr>
          <w:vertAlign w:val="superscript"/>
        </w:rPr>
        <w:footnoteRef/>
      </w:r>
      <w:r w:rsidRPr="00975B77">
        <w:t>.</w:t>
      </w:r>
      <w:r w:rsidRPr="00975B77">
        <w:tab/>
        <w:t>The data is publicly available: Corrections Victoria, ‘Monthly Time Series Prison and Community Corrections Data’, Corrections, Prisons &amp; Parole (corrections.vic.gov.au, 2025).</w:t>
      </w:r>
    </w:p>
  </w:footnote>
  <w:footnote w:id="30">
    <w:p w14:paraId="44F13E21" w14:textId="2DF9370A" w:rsidR="00A4454A" w:rsidRPr="00975B77" w:rsidRDefault="00A4454A" w:rsidP="009E6528">
      <w:pPr>
        <w:pStyle w:val="Footnote"/>
      </w:pPr>
      <w:r w:rsidRPr="00975B77">
        <w:rPr>
          <w:vertAlign w:val="superscript"/>
        </w:rPr>
        <w:footnoteRef/>
      </w:r>
      <w:r w:rsidRPr="00975B77">
        <w:t>.</w:t>
      </w:r>
      <w:r w:rsidRPr="00975B77">
        <w:tab/>
        <w:t>The data is publicly available: Crime Statistics Agency, ‘Download Crime Data’ (crimestatistics.vic.gov.au, 2025). The Crime Statistics Agency publishes point-in-time data on offending recorded by Victoria Police and provides a caution when comparing historical data to current data due to the higher potential for revision as cases are investigated and records are updated: Crime Statistics Agency, ‘Explanatory Notes – Historical Data and Revisions’ (crimestatistics.vic.gov.au, 2025).</w:t>
      </w:r>
    </w:p>
  </w:footnote>
  <w:footnote w:id="31">
    <w:p w14:paraId="1031E381" w14:textId="3640DABF" w:rsidR="00A4454A" w:rsidRPr="00975B77" w:rsidRDefault="00A4454A" w:rsidP="009E6528">
      <w:pPr>
        <w:pStyle w:val="Footnote"/>
      </w:pPr>
      <w:r w:rsidRPr="00975B77">
        <w:rPr>
          <w:vertAlign w:val="superscript"/>
        </w:rPr>
        <w:footnoteRef/>
      </w:r>
      <w:r w:rsidRPr="00975B77">
        <w:t>.</w:t>
      </w:r>
      <w:r w:rsidRPr="00975B77">
        <w:tab/>
        <w:t xml:space="preserve">Australian Bureau of Statistics, </w:t>
      </w:r>
      <w:r w:rsidRPr="00975B77">
        <w:rPr>
          <w:rStyle w:val="LightItalic"/>
          <w:rFonts w:ascii="Verdana" w:hAnsi="Verdana"/>
        </w:rPr>
        <w:t>Prisoners in Australia</w:t>
      </w:r>
      <w:r w:rsidRPr="00975B77">
        <w:t>, cat. no. 4517.0 (abs.gov.au, 2024).</w:t>
      </w:r>
    </w:p>
  </w:footnote>
  <w:footnote w:id="32">
    <w:p w14:paraId="221062DD" w14:textId="0986CD63" w:rsidR="00A4454A" w:rsidRPr="00975B77" w:rsidRDefault="00A4454A" w:rsidP="009E6528">
      <w:pPr>
        <w:pStyle w:val="Footnote"/>
      </w:pPr>
      <w:r w:rsidRPr="00975B77">
        <w:rPr>
          <w:vertAlign w:val="superscript"/>
        </w:rPr>
        <w:footnoteRef/>
      </w:r>
      <w:r w:rsidRPr="00975B77">
        <w:t>.</w:t>
      </w:r>
      <w:r w:rsidRPr="00975B77">
        <w:tab/>
        <w:t>Adult Parole Board, ‘Publications – Annual Reports’ (adultparoleboard.vic.gov.au, 2025).</w:t>
      </w:r>
    </w:p>
  </w:footnote>
  <w:footnote w:id="33">
    <w:p w14:paraId="3E481B49" w14:textId="222B1A21" w:rsidR="00A4454A" w:rsidRPr="00975B77" w:rsidRDefault="00A4454A" w:rsidP="009E6528">
      <w:pPr>
        <w:pStyle w:val="Footnote"/>
      </w:pPr>
      <w:r w:rsidRPr="00975B77">
        <w:rPr>
          <w:vertAlign w:val="superscript"/>
        </w:rPr>
        <w:footnoteRef/>
      </w:r>
      <w:r w:rsidRPr="00975B77">
        <w:t>.</w:t>
      </w:r>
      <w:r w:rsidRPr="00975B77">
        <w:tab/>
        <w:t>Post Sentence Authority, ‘Publications’ (postsentenceauthority.vic.gov.au, 2025).</w:t>
      </w:r>
    </w:p>
  </w:footnote>
  <w:footnote w:id="34">
    <w:p w14:paraId="434424B7" w14:textId="38FFF4D2" w:rsidR="00A4454A" w:rsidRPr="00975B77" w:rsidRDefault="00A4454A" w:rsidP="009E6528">
      <w:pPr>
        <w:pStyle w:val="Footnote"/>
      </w:pPr>
      <w:r w:rsidRPr="00975B77">
        <w:rPr>
          <w:vertAlign w:val="superscript"/>
        </w:rPr>
        <w:footnoteRef/>
      </w:r>
      <w:r w:rsidRPr="00975B77">
        <w:t>.</w:t>
      </w:r>
      <w:r w:rsidRPr="00975B77">
        <w:tab/>
        <w:t xml:space="preserve">Productivity Commission, </w:t>
      </w:r>
      <w:r w:rsidRPr="00975B77">
        <w:rPr>
          <w:rStyle w:val="LightItalic"/>
          <w:rFonts w:ascii="Verdana" w:hAnsi="Verdana"/>
        </w:rPr>
        <w:t>Report on Government Services</w:t>
      </w:r>
      <w:r w:rsidRPr="00975B77">
        <w:t xml:space="preserve"> (pc.gov.au, 2025).</w:t>
      </w:r>
    </w:p>
  </w:footnote>
  <w:footnote w:id="35">
    <w:p w14:paraId="6B8C6BFB" w14:textId="6078573A" w:rsidR="00A4454A" w:rsidRPr="00975B77" w:rsidRDefault="00A4454A" w:rsidP="009E6528">
      <w:pPr>
        <w:pStyle w:val="Footnote"/>
      </w:pPr>
      <w:r w:rsidRPr="00975B77">
        <w:rPr>
          <w:vertAlign w:val="superscript"/>
        </w:rPr>
        <w:footnoteRef/>
      </w:r>
      <w:r w:rsidRPr="00975B77">
        <w:t>.</w:t>
      </w:r>
      <w:r w:rsidRPr="00975B77">
        <w:tab/>
        <w:t xml:space="preserve">Crime Statistics Agency, ‘Offence Classification’ (crimestatistics.vic.gov.au, 2025). </w:t>
      </w:r>
    </w:p>
  </w:footnote>
  <w:footnote w:id="36">
    <w:p w14:paraId="6D401F6C" w14:textId="141D740B" w:rsidR="00A4454A" w:rsidRPr="00975B77" w:rsidRDefault="00A4454A" w:rsidP="009E6528">
      <w:pPr>
        <w:pStyle w:val="Footnote"/>
      </w:pPr>
      <w:r w:rsidRPr="00975B77">
        <w:rPr>
          <w:vertAlign w:val="superscript"/>
        </w:rPr>
        <w:footnoteRef/>
      </w:r>
      <w:r w:rsidRPr="00975B77">
        <w:t>.</w:t>
      </w:r>
      <w:r w:rsidRPr="00975B77">
        <w:tab/>
        <w:t xml:space="preserve">Australian Bureau of Statistics, </w:t>
      </w:r>
      <w:r w:rsidRPr="00975B77">
        <w:rPr>
          <w:rStyle w:val="LightItalic"/>
          <w:rFonts w:ascii="Verdana" w:hAnsi="Verdana"/>
        </w:rPr>
        <w:t>Australian and New Zealand Standard Offence Classification (ANZSOC)</w:t>
      </w:r>
      <w:r w:rsidRPr="00975B77">
        <w:t xml:space="preserve"> (abs.gov.au, 2025). ANZSOC was updated in 2023, but this report uses the 2011 edition.</w:t>
      </w:r>
    </w:p>
  </w:footnote>
  <w:footnote w:id="37">
    <w:p w14:paraId="05ED86E5" w14:textId="5D7417EC" w:rsidR="00A4454A" w:rsidRPr="00975B77" w:rsidRDefault="00A4454A" w:rsidP="009E6528">
      <w:pPr>
        <w:pStyle w:val="Footnote"/>
      </w:pPr>
      <w:r w:rsidRPr="00975B77">
        <w:rPr>
          <w:vertAlign w:val="superscript"/>
        </w:rPr>
        <w:footnoteRef/>
      </w:r>
      <w:r w:rsidRPr="00975B77">
        <w:t>.</w:t>
      </w:r>
      <w:r w:rsidRPr="00975B77">
        <w:tab/>
        <w:t xml:space="preserve">The Crime Statistics Agency and the Australian Bureau of Statistics offence classifications use distinct terminology to group offences. To maintain consistency in this report, we use the terminology of </w:t>
      </w:r>
      <w:r w:rsidRPr="00975B77">
        <w:rPr>
          <w:rStyle w:val="LightItalic"/>
          <w:rFonts w:ascii="Verdana" w:hAnsi="Verdana"/>
        </w:rPr>
        <w:t>offence categories</w:t>
      </w:r>
      <w:r w:rsidRPr="00975B77">
        <w:t xml:space="preserve"> to refer to the six broad offence groupings (for example, offences against the person), and refer to offences within those categories as </w:t>
      </w:r>
      <w:r w:rsidRPr="00975B77">
        <w:rPr>
          <w:rStyle w:val="LightItalic"/>
          <w:rFonts w:ascii="Verdana" w:hAnsi="Verdana"/>
        </w:rPr>
        <w:t>offence types</w:t>
      </w:r>
      <w:r w:rsidRPr="00975B77">
        <w:t xml:space="preserve"> (for example, sexual assault offences).</w:t>
      </w:r>
    </w:p>
  </w:footnote>
  <w:footnote w:id="38">
    <w:p w14:paraId="715951A5" w14:textId="2EF04E7D" w:rsidR="00A4454A" w:rsidRPr="00975B77" w:rsidRDefault="00A4454A" w:rsidP="009E6528">
      <w:pPr>
        <w:pStyle w:val="Footnote"/>
      </w:pPr>
      <w:r w:rsidRPr="00975B77">
        <w:rPr>
          <w:vertAlign w:val="superscript"/>
        </w:rPr>
        <w:footnoteRef/>
      </w:r>
      <w:r w:rsidRPr="00975B77">
        <w:t>.</w:t>
      </w:r>
      <w:r w:rsidRPr="00975B77">
        <w:tab/>
        <w:t>The Crime Statistics Agency offence classifications and the Australian Bureau of Statistics’ ANZSOC divisions (and some subdivisions) are reproduced in Appendix A.</w:t>
      </w:r>
    </w:p>
  </w:footnote>
  <w:footnote w:id="39">
    <w:p w14:paraId="71225EAB" w14:textId="15748F01" w:rsidR="00A4454A" w:rsidRPr="00975B77" w:rsidRDefault="00A4454A" w:rsidP="009E6528">
      <w:pPr>
        <w:pStyle w:val="Footnote"/>
      </w:pPr>
      <w:r w:rsidRPr="00975B77">
        <w:rPr>
          <w:vertAlign w:val="superscript"/>
        </w:rPr>
        <w:footnoteRef/>
      </w:r>
      <w:r w:rsidRPr="00975B77">
        <w:t>.</w:t>
      </w:r>
      <w:r w:rsidRPr="00975B77">
        <w:tab/>
      </w:r>
      <w:r w:rsidRPr="00975B77">
        <w:rPr>
          <w:rStyle w:val="LightItalic"/>
          <w:rFonts w:ascii="Verdana" w:hAnsi="Verdana"/>
        </w:rPr>
        <w:t>Worboyes v The Queen</w:t>
      </w:r>
      <w:r w:rsidRPr="00975B77">
        <w:t xml:space="preserve"> [2021] VSCA 169.</w:t>
      </w:r>
    </w:p>
  </w:footnote>
  <w:footnote w:id="40">
    <w:p w14:paraId="0A1AC647" w14:textId="001E601B" w:rsidR="00A4454A" w:rsidRPr="00975B77" w:rsidRDefault="00A4454A" w:rsidP="009E6528">
      <w:pPr>
        <w:pStyle w:val="Footnote"/>
      </w:pPr>
      <w:r w:rsidRPr="00975B77">
        <w:rPr>
          <w:vertAlign w:val="superscript"/>
        </w:rPr>
        <w:footnoteRef/>
      </w:r>
      <w:r w:rsidRPr="00975B77">
        <w:t>.</w:t>
      </w:r>
      <w:r w:rsidRPr="00975B77">
        <w:tab/>
        <w:t xml:space="preserve">See, for example, Eduardo Fé, ‘Partial Identification of the Dark Figure of Crime with Survey Data Under Misreporting Errors’ (2024) 41 </w:t>
      </w:r>
      <w:r w:rsidRPr="00975B77">
        <w:rPr>
          <w:rStyle w:val="LightItalic"/>
          <w:rFonts w:ascii="Verdana" w:hAnsi="Verdana"/>
        </w:rPr>
        <w:t xml:space="preserve">Journal of Quantitative Criminology </w:t>
      </w:r>
      <w:r w:rsidRPr="00975B77">
        <w:t>241.</w:t>
      </w:r>
    </w:p>
  </w:footnote>
  <w:footnote w:id="41">
    <w:p w14:paraId="58614635" w14:textId="4C3FD672" w:rsidR="00A4454A" w:rsidRPr="00975B77" w:rsidRDefault="00A4454A" w:rsidP="009E6528">
      <w:pPr>
        <w:pStyle w:val="Footnote"/>
      </w:pPr>
      <w:r w:rsidRPr="00975B77">
        <w:rPr>
          <w:vertAlign w:val="superscript"/>
        </w:rPr>
        <w:footnoteRef/>
      </w:r>
      <w:r w:rsidRPr="00975B77">
        <w:t>.</w:t>
      </w:r>
      <w:r w:rsidRPr="00975B77">
        <w:tab/>
        <w:t xml:space="preserve">From 5,022,300 people in June 2005 to 6,981,400 people in June 2024: Australian Bureau of Statistics, </w:t>
      </w:r>
      <w:r w:rsidRPr="00975B77">
        <w:rPr>
          <w:rStyle w:val="LightItalic"/>
          <w:rFonts w:ascii="Verdana" w:hAnsi="Verdana"/>
        </w:rPr>
        <w:t>Australian Demographic Statistics, Jun 2005</w:t>
      </w:r>
      <w:r w:rsidRPr="00975B77">
        <w:t>, cat. no. 3101.0</w:t>
      </w:r>
      <w:r w:rsidRPr="00975B77">
        <w:rPr>
          <w:rStyle w:val="LightItalic"/>
          <w:rFonts w:ascii="Verdana" w:hAnsi="Verdana"/>
        </w:rPr>
        <w:t xml:space="preserve"> </w:t>
      </w:r>
      <w:r w:rsidRPr="00975B77">
        <w:t xml:space="preserve">(2005); Australian Bureau of Statistics, </w:t>
      </w:r>
      <w:r w:rsidRPr="00975B77">
        <w:rPr>
          <w:rStyle w:val="LightItalic"/>
          <w:rFonts w:ascii="Verdana" w:hAnsi="Verdana"/>
        </w:rPr>
        <w:t>National, State and Territory Population, June 2024</w:t>
      </w:r>
      <w:r w:rsidRPr="00975B77">
        <w:t xml:space="preserve"> (abs.gov.au, 2024).</w:t>
      </w:r>
    </w:p>
  </w:footnote>
  <w:footnote w:id="42">
    <w:p w14:paraId="7B37CC90" w14:textId="3F43E93B" w:rsidR="00A4454A" w:rsidRPr="00975B77" w:rsidRDefault="00A4454A" w:rsidP="009E6528">
      <w:pPr>
        <w:pStyle w:val="Footnote"/>
      </w:pPr>
      <w:r w:rsidRPr="00975B77">
        <w:rPr>
          <w:vertAlign w:val="superscript"/>
        </w:rPr>
        <w:footnoteRef/>
      </w:r>
      <w:r w:rsidRPr="00975B77">
        <w:t>.</w:t>
      </w:r>
      <w:r w:rsidRPr="00975B77">
        <w:tab/>
        <w:t xml:space="preserve">For example, in the 20 years to 30 June 2024, a number of ‘secondary offences’ were introduced, criminalising conduct that occurs secondarily to a person’s initial engagement with the criminal justice system, such as the offences of contravening a conduct condition of bail or committing an indictable offence while on bail: </w:t>
      </w:r>
      <w:r w:rsidRPr="00975B77">
        <w:rPr>
          <w:rStyle w:val="LightItalic"/>
          <w:rFonts w:ascii="Verdana" w:hAnsi="Verdana"/>
        </w:rPr>
        <w:t xml:space="preserve">Bail Act </w:t>
      </w:r>
      <w:r w:rsidRPr="00975B77">
        <w:rPr>
          <w:rStyle w:val="LightItalic"/>
          <w:rFonts w:ascii="Verdana" w:hAnsi="Verdana"/>
          <w:spacing w:val="-1"/>
        </w:rPr>
        <w:t>1977</w:t>
      </w:r>
      <w:r w:rsidRPr="00975B77">
        <w:rPr>
          <w:spacing w:val="-1"/>
        </w:rPr>
        <w:t xml:space="preserve"> (Vic) ss 30A, 30B (repealed). See further Sentencing Advisory Council, </w:t>
      </w:r>
      <w:r w:rsidRPr="00975B77">
        <w:rPr>
          <w:rStyle w:val="LightItalic"/>
          <w:rFonts w:ascii="Verdana" w:hAnsi="Verdana"/>
          <w:spacing w:val="-1"/>
        </w:rPr>
        <w:t xml:space="preserve">Secondary Offences in Victoria </w:t>
      </w:r>
      <w:r w:rsidRPr="00975B77">
        <w:rPr>
          <w:spacing w:val="-1"/>
        </w:rPr>
        <w:t>(2017)</w:t>
      </w:r>
      <w:r w:rsidRPr="00975B77">
        <w:t>.</w:t>
      </w:r>
    </w:p>
  </w:footnote>
  <w:footnote w:id="43">
    <w:p w14:paraId="3BC338E8" w14:textId="6B2B1F6C" w:rsidR="00A4454A" w:rsidRPr="00975B77" w:rsidRDefault="00A4454A" w:rsidP="009E6528">
      <w:pPr>
        <w:pStyle w:val="Footnote"/>
      </w:pPr>
      <w:r w:rsidRPr="00975B77">
        <w:rPr>
          <w:vertAlign w:val="superscript"/>
        </w:rPr>
        <w:footnoteRef/>
      </w:r>
      <w:r w:rsidRPr="00975B77">
        <w:t>.</w:t>
      </w:r>
      <w:r w:rsidRPr="00975B77">
        <w:tab/>
        <w:t xml:space="preserve">See, for example, Lata Satyen et al., ‘The Royal Commission into Family Violence: Trends in the Reporting of Intimate Partner Violence and Help-Seeking Behaviour’ (2021) 36(23–24) </w:t>
      </w:r>
      <w:r w:rsidRPr="00975B77">
        <w:rPr>
          <w:rStyle w:val="LightItalic"/>
          <w:rFonts w:ascii="Verdana" w:hAnsi="Verdana"/>
        </w:rPr>
        <w:t>Journal of Interpersonal Violence</w:t>
      </w:r>
      <w:r w:rsidRPr="00975B77">
        <w:t xml:space="preserve"> 11009.</w:t>
      </w:r>
    </w:p>
  </w:footnote>
  <w:footnote w:id="44">
    <w:p w14:paraId="60FAFA3C" w14:textId="0FD4478C" w:rsidR="00A4454A" w:rsidRPr="00975B77" w:rsidRDefault="00A4454A" w:rsidP="009E6528">
      <w:pPr>
        <w:pStyle w:val="Footnote"/>
      </w:pPr>
      <w:r w:rsidRPr="00975B77">
        <w:rPr>
          <w:vertAlign w:val="superscript"/>
        </w:rPr>
        <w:footnoteRef/>
      </w:r>
      <w:r w:rsidRPr="00975B77">
        <w:t>.</w:t>
      </w:r>
      <w:r w:rsidRPr="00975B77">
        <w:tab/>
        <w:t xml:space="preserve">There were 37,505 breach of chief health officer direction offences recorded in the 2020 calendar year: Crime Statistics Agency, ‘Police-Recorded Crime Trends in Victoria During the COVID-19 Pandemic: Update to End of December’ (crimestatistics.vic.gov.au, 2024). See </w:t>
      </w:r>
      <w:r w:rsidRPr="00975B77">
        <w:rPr>
          <w:rStyle w:val="LightItalic"/>
          <w:rFonts w:ascii="Verdana" w:hAnsi="Verdana"/>
        </w:rPr>
        <w:t>Public Health and Wellbeing Act 2008</w:t>
      </w:r>
      <w:r w:rsidRPr="00975B77">
        <w:t xml:space="preserve"> (Vic) s 203.</w:t>
      </w:r>
    </w:p>
  </w:footnote>
  <w:footnote w:id="45">
    <w:p w14:paraId="27E069E5" w14:textId="532FEED1" w:rsidR="00A4454A" w:rsidRPr="00975B77" w:rsidRDefault="00A4454A" w:rsidP="009E6528">
      <w:pPr>
        <w:pStyle w:val="Footnote"/>
      </w:pPr>
      <w:r w:rsidRPr="00975B77">
        <w:rPr>
          <w:vertAlign w:val="superscript"/>
        </w:rPr>
        <w:footnoteRef/>
      </w:r>
      <w:r w:rsidRPr="00975B77">
        <w:t>.</w:t>
      </w:r>
      <w:r w:rsidRPr="00975B77">
        <w:tab/>
        <w:t xml:space="preserve">There were 37,505 breach of chief health officer direction offences recorded as having been committed by 26,497 unique alleged offenders: Crime Statistics Agency (2024), above n 44. See </w:t>
      </w:r>
      <w:r w:rsidRPr="00975B77">
        <w:rPr>
          <w:rStyle w:val="LightItalic"/>
          <w:rFonts w:ascii="Verdana" w:hAnsi="Verdana"/>
        </w:rPr>
        <w:t>Public Health and Wellbeing Act 2008</w:t>
      </w:r>
      <w:r w:rsidRPr="00975B77">
        <w:t xml:space="preserve"> (Vic) s 203.</w:t>
      </w:r>
    </w:p>
  </w:footnote>
  <w:footnote w:id="46">
    <w:p w14:paraId="4BD1DC8A" w14:textId="7E1B7B99" w:rsidR="00A4454A" w:rsidRPr="00975B77" w:rsidRDefault="00A4454A" w:rsidP="009E6528">
      <w:pPr>
        <w:pStyle w:val="Footnote"/>
      </w:pPr>
      <w:r w:rsidRPr="00975B77">
        <w:rPr>
          <w:vertAlign w:val="superscript"/>
        </w:rPr>
        <w:footnoteRef/>
      </w:r>
      <w:r w:rsidRPr="00975B77">
        <w:t>.</w:t>
      </w:r>
      <w:r w:rsidRPr="00975B77">
        <w:tab/>
        <w:t xml:space="preserve">This is consistent with previous research by the Crime Statistics Agency, which found that people recorded for more than one offender incident (repeat offenders) were responsible for 82.9% of offender incidents between 1 July 2008 and 30 June 2017. Further, offenders who were recorded as committing more than 10 offender incidents in that same period (6.3%) were responsible for 43.9% of all offender incidents: Crime Statistics Agency, </w:t>
      </w:r>
      <w:r w:rsidRPr="00975B77">
        <w:rPr>
          <w:rStyle w:val="LightItalic"/>
          <w:rFonts w:ascii="Verdana" w:hAnsi="Verdana"/>
        </w:rPr>
        <w:t>Characteristics of Chronic Offenders in Victoria</w:t>
      </w:r>
      <w:r w:rsidRPr="00975B77">
        <w:t>, In Fact no. 7 (2018).</w:t>
      </w:r>
    </w:p>
  </w:footnote>
  <w:footnote w:id="47">
    <w:p w14:paraId="0CA73D1B" w14:textId="50526C8B" w:rsidR="00A4454A" w:rsidRPr="00975B77" w:rsidRDefault="00A4454A" w:rsidP="009E6528">
      <w:pPr>
        <w:pStyle w:val="Footnote"/>
      </w:pPr>
      <w:r w:rsidRPr="00975B77">
        <w:rPr>
          <w:vertAlign w:val="superscript"/>
        </w:rPr>
        <w:footnoteRef/>
      </w:r>
      <w:r w:rsidRPr="00975B77">
        <w:t>.</w:t>
      </w:r>
      <w:r w:rsidRPr="00975B77">
        <w:tab/>
        <w:t xml:space="preserve">See Sentencing Advisory Council (2017), above n 42. </w:t>
      </w:r>
    </w:p>
  </w:footnote>
  <w:footnote w:id="48">
    <w:p w14:paraId="56DC2A52" w14:textId="64167185" w:rsidR="00A4454A" w:rsidRPr="00975B77" w:rsidRDefault="00A4454A" w:rsidP="009E6528">
      <w:pPr>
        <w:pStyle w:val="Footnote"/>
      </w:pPr>
      <w:r w:rsidRPr="00975B77">
        <w:rPr>
          <w:vertAlign w:val="superscript"/>
        </w:rPr>
        <w:footnoteRef/>
      </w:r>
      <w:r w:rsidRPr="00975B77">
        <w:t>.</w:t>
      </w:r>
      <w:r w:rsidRPr="00975B77">
        <w:tab/>
        <w:t xml:space="preserve">See Sentencing Advisory Council, </w:t>
      </w:r>
      <w:r w:rsidRPr="00975B77">
        <w:rPr>
          <w:rStyle w:val="LightItalic"/>
          <w:rFonts w:ascii="Verdana" w:hAnsi="Verdana"/>
        </w:rPr>
        <w:t xml:space="preserve">Sentencing Breaches of Family Violence Intervention Orders and Safety Notices: Third Monitoring Report </w:t>
      </w:r>
      <w:r w:rsidRPr="00975B77">
        <w:t>(2022) 36.</w:t>
      </w:r>
    </w:p>
  </w:footnote>
  <w:footnote w:id="49">
    <w:p w14:paraId="42E47CD3" w14:textId="4841E541" w:rsidR="00A4454A" w:rsidRPr="00975B77" w:rsidRDefault="00A4454A" w:rsidP="006356A2">
      <w:pPr>
        <w:pStyle w:val="Footnote"/>
      </w:pPr>
      <w:r w:rsidRPr="00975B77">
        <w:rPr>
          <w:vertAlign w:val="superscript"/>
        </w:rPr>
        <w:footnoteRef/>
      </w:r>
      <w:r w:rsidRPr="00975B77">
        <w:t>.</w:t>
      </w:r>
      <w:r w:rsidRPr="00975B77">
        <w:tab/>
        <w:t xml:space="preserve">Other offences are excluded here because there were fewer than 1,200 unique alleged offenders recorded for this offence category almost every year, except in the 3 financial years to 30 June 2022 in which there were 3,108 (in 2019–20), 15,175 (in 2020–21) and 6,234 (in 2021–22), due to breach of chief health officer direction offences during COVID-19. See </w:t>
      </w:r>
      <w:r w:rsidRPr="00975B77">
        <w:rPr>
          <w:rStyle w:val="LightItalic"/>
          <w:rFonts w:ascii="Verdana" w:hAnsi="Verdana"/>
        </w:rPr>
        <w:t>Public Health and Wellbeing Act 2008</w:t>
      </w:r>
      <w:r w:rsidRPr="00975B77">
        <w:t xml:space="preserve"> (Vic) s 203.</w:t>
      </w:r>
    </w:p>
  </w:footnote>
  <w:footnote w:id="50">
    <w:p w14:paraId="4B7359AE" w14:textId="63A483E7" w:rsidR="00A4454A" w:rsidRPr="006356A2" w:rsidRDefault="00A4454A" w:rsidP="006356A2">
      <w:pPr>
        <w:pStyle w:val="Footnote"/>
        <w:rPr>
          <w:spacing w:val="-2"/>
        </w:rPr>
      </w:pPr>
      <w:r w:rsidRPr="00975B77">
        <w:rPr>
          <w:vertAlign w:val="superscript"/>
        </w:rPr>
        <w:footnoteRef/>
      </w:r>
      <w:r w:rsidRPr="00975B77">
        <w:t>.</w:t>
      </w:r>
      <w:r w:rsidRPr="00975B77">
        <w:tab/>
      </w:r>
      <w:r w:rsidRPr="00975B77">
        <w:rPr>
          <w:spacing w:val="-4"/>
        </w:rPr>
        <w:t xml:space="preserve">Data on recorded offence types within these broad categories (discussed below) was sourced from the Crime Statistics </w:t>
      </w:r>
      <w:r w:rsidRPr="00975B77">
        <w:rPr>
          <w:spacing w:val="-2"/>
        </w:rPr>
        <w:t>Agency’s archived publications and covers the period between 2010–11 and 2023–24. The Crime Statistics Agency publishes quarterly data on recorded offences by offence subcategory: Crime Statistics Agency (2025), above n 30.</w:t>
      </w:r>
    </w:p>
  </w:footnote>
  <w:footnote w:id="51">
    <w:p w14:paraId="0D6D1579" w14:textId="37B00557" w:rsidR="00A4454A" w:rsidRPr="00975B77" w:rsidRDefault="00A4454A" w:rsidP="006356A2">
      <w:pPr>
        <w:pStyle w:val="Footnote"/>
      </w:pPr>
      <w:r w:rsidRPr="00975B77">
        <w:rPr>
          <w:vertAlign w:val="superscript"/>
        </w:rPr>
        <w:footnoteRef/>
      </w:r>
      <w:r w:rsidRPr="00975B77">
        <w:t>.</w:t>
      </w:r>
      <w:r w:rsidRPr="00975B77">
        <w:tab/>
        <w:t xml:space="preserve">While data on family violence offending per </w:t>
      </w:r>
      <w:r w:rsidRPr="00975B77">
        <w:rPr>
          <w:rStyle w:val="LightItalic"/>
          <w:rFonts w:ascii="Verdana" w:hAnsi="Verdana"/>
        </w:rPr>
        <w:t>offender</w:t>
      </w:r>
      <w:r w:rsidRPr="00975B77">
        <w:t xml:space="preserve"> is not publicly available, the Crime Statistics Agency publishes data on the number of </w:t>
      </w:r>
      <w:r w:rsidRPr="00975B77">
        <w:rPr>
          <w:rStyle w:val="LightItalic"/>
          <w:rFonts w:ascii="Verdana" w:hAnsi="Verdana"/>
        </w:rPr>
        <w:t>recorded</w:t>
      </w:r>
      <w:r w:rsidRPr="00975B77">
        <w:t xml:space="preserve"> </w:t>
      </w:r>
      <w:r w:rsidRPr="00975B77">
        <w:rPr>
          <w:rStyle w:val="LightItalic"/>
          <w:rFonts w:ascii="Verdana" w:hAnsi="Verdana"/>
        </w:rPr>
        <w:t>offences</w:t>
      </w:r>
      <w:r w:rsidRPr="00975B77">
        <w:t xml:space="preserve"> where a ‘family incident flag’ was recorded.</w:t>
      </w:r>
    </w:p>
  </w:footnote>
  <w:footnote w:id="52">
    <w:p w14:paraId="4A654BD8" w14:textId="5B0FCE72" w:rsidR="00A4454A" w:rsidRPr="00975B77" w:rsidRDefault="00A4454A" w:rsidP="006356A2">
      <w:pPr>
        <w:pStyle w:val="Footnote"/>
      </w:pPr>
      <w:r w:rsidRPr="00975B77">
        <w:rPr>
          <w:vertAlign w:val="superscript"/>
        </w:rPr>
        <w:footnoteRef/>
      </w:r>
      <w:r w:rsidRPr="00975B77">
        <w:t>.</w:t>
      </w:r>
      <w:r w:rsidRPr="00975B77">
        <w:tab/>
        <w:t>‘A family incident flag is attached to any offence arising from an incident where Victoria Police completed a Risk Assessment and Risk Management Report (L17 form). The family incident flag allows the identification of offences, offender incidents and victim reports that are related to a family incident’: Crime Statistics Agency, ‘Glossary and Data Dictionary’ (crimestatistics.vic.gov.au, 2025) (definition of</w:t>
      </w:r>
      <w:r w:rsidRPr="00975B77">
        <w:rPr>
          <w:rStyle w:val="LightItalic"/>
          <w:rFonts w:ascii="Verdana" w:hAnsi="Verdana"/>
        </w:rPr>
        <w:t xml:space="preserve"> family incident flag</w:t>
      </w:r>
      <w:r w:rsidRPr="00975B77">
        <w:t>).</w:t>
      </w:r>
    </w:p>
  </w:footnote>
  <w:footnote w:id="53">
    <w:p w14:paraId="5974AF95" w14:textId="706A385A" w:rsidR="00A4454A" w:rsidRPr="006356A2" w:rsidRDefault="00A4454A" w:rsidP="006356A2">
      <w:pPr>
        <w:pStyle w:val="Footnote"/>
        <w:rPr>
          <w:spacing w:val="-4"/>
        </w:rPr>
      </w:pPr>
      <w:r w:rsidRPr="00975B77">
        <w:rPr>
          <w:vertAlign w:val="superscript"/>
        </w:rPr>
        <w:footnoteRef/>
      </w:r>
      <w:r w:rsidRPr="00975B77">
        <w:t>.</w:t>
      </w:r>
      <w:r w:rsidRPr="00975B77">
        <w:tab/>
        <w:t xml:space="preserve">The Council has previously reported that between 2011 and 2020, 68% of stalking offences sentenced in the </w:t>
      </w:r>
      <w:r w:rsidRPr="00975B77">
        <w:rPr>
          <w:spacing w:val="-5"/>
        </w:rPr>
        <w:t xml:space="preserve">Magistrates’ Court occurred in the context of family violence and were most often co-sentenced with breaches of family </w:t>
      </w:r>
      <w:r w:rsidRPr="00975B77">
        <w:rPr>
          <w:spacing w:val="-4"/>
        </w:rPr>
        <w:t xml:space="preserve">violence intervention orders and safety notices: Sentencing Advisory Council, </w:t>
      </w:r>
      <w:r w:rsidRPr="00975B77">
        <w:rPr>
          <w:rStyle w:val="LightItalic"/>
          <w:rFonts w:ascii="Verdana" w:hAnsi="Verdana"/>
          <w:spacing w:val="-4"/>
        </w:rPr>
        <w:t>Sentencing Stalking in Victoria</w:t>
      </w:r>
      <w:r w:rsidRPr="00975B77">
        <w:rPr>
          <w:spacing w:val="-4"/>
        </w:rPr>
        <w:t xml:space="preserve"> (2022) x–xi.</w:t>
      </w:r>
    </w:p>
  </w:footnote>
  <w:footnote w:id="54">
    <w:p w14:paraId="25A5372B" w14:textId="2339C725" w:rsidR="00A4454A" w:rsidRPr="00975B77" w:rsidRDefault="00A4454A" w:rsidP="006356A2">
      <w:pPr>
        <w:pStyle w:val="Footnote"/>
      </w:pPr>
      <w:r w:rsidRPr="00975B77">
        <w:rPr>
          <w:vertAlign w:val="superscript"/>
        </w:rPr>
        <w:footnoteRef/>
      </w:r>
      <w:r w:rsidRPr="00975B77">
        <w:t>.</w:t>
      </w:r>
      <w:r w:rsidRPr="00975B77">
        <w:tab/>
        <w:t xml:space="preserve">Crime Statistics Agency, </w:t>
      </w:r>
      <w:r w:rsidRPr="00975B77">
        <w:rPr>
          <w:rStyle w:val="LightItalic"/>
          <w:rFonts w:ascii="Verdana" w:hAnsi="Verdana"/>
        </w:rPr>
        <w:t>Family Incidents Visualisation Year Ending June 2024</w:t>
      </w:r>
      <w:r w:rsidRPr="00975B77">
        <w:t xml:space="preserve"> (2024) Table 03; Crime Statistics Agency, </w:t>
      </w:r>
      <w:r w:rsidRPr="00975B77">
        <w:rPr>
          <w:rStyle w:val="LightItalic"/>
          <w:rFonts w:ascii="Verdana" w:hAnsi="Verdana"/>
        </w:rPr>
        <w:t>Family Incidents Visualisation Year Ending June 2020</w:t>
      </w:r>
      <w:r w:rsidRPr="00975B77">
        <w:t xml:space="preserve"> (2020) Table 03.</w:t>
      </w:r>
    </w:p>
  </w:footnote>
  <w:footnote w:id="55">
    <w:p w14:paraId="5D3A49B2" w14:textId="78B56F7C" w:rsidR="00A4454A" w:rsidRPr="00975B77" w:rsidRDefault="00A4454A" w:rsidP="006356A2">
      <w:pPr>
        <w:pStyle w:val="Footnote"/>
      </w:pPr>
      <w:r w:rsidRPr="00975B77">
        <w:rPr>
          <w:vertAlign w:val="superscript"/>
        </w:rPr>
        <w:footnoteRef/>
      </w:r>
      <w:r w:rsidRPr="00975B77">
        <w:t>.</w:t>
      </w:r>
      <w:r w:rsidRPr="00975B77">
        <w:tab/>
        <w:t xml:space="preserve">Similar trends have been observed in New South Wales, with BOCSAR reporting a 28% increase in domestic violence assault incidents during the 10-year period to June 2024: NSW Bureau of Crime Statistics and Research, </w:t>
      </w:r>
      <w:r w:rsidRPr="00975B77">
        <w:rPr>
          <w:rStyle w:val="LightItalic"/>
          <w:rFonts w:ascii="Verdana" w:hAnsi="Verdana"/>
        </w:rPr>
        <w:t>New South Wales, Recorded Crime Statistics, Quarterly Update, June Quarter 2024</w:t>
      </w:r>
      <w:r w:rsidRPr="00975B77">
        <w:t xml:space="preserve"> (2024) 8.</w:t>
      </w:r>
    </w:p>
  </w:footnote>
  <w:footnote w:id="56">
    <w:p w14:paraId="0B2D0154" w14:textId="765DFC81" w:rsidR="00A4454A" w:rsidRPr="00975B77" w:rsidRDefault="00A4454A" w:rsidP="006356A2">
      <w:pPr>
        <w:pStyle w:val="Footnote"/>
      </w:pPr>
      <w:r w:rsidRPr="00975B77">
        <w:rPr>
          <w:vertAlign w:val="superscript"/>
        </w:rPr>
        <w:footnoteRef/>
      </w:r>
      <w:r w:rsidRPr="00975B77">
        <w:t>.</w:t>
      </w:r>
      <w:r w:rsidRPr="00975B77">
        <w:tab/>
        <w:t>In the 9 years to 2020, the number of breach of family violence order offences sentenced in Victorian courts also increased markedly, doubling in the Magistrates’ Court (from 5,429 to 11,042) and quadrupling in the higher courts (from 24 to 94): Sentencing Advisory Council (2022), above n 48, 39–43.</w:t>
      </w:r>
    </w:p>
  </w:footnote>
  <w:footnote w:id="57">
    <w:p w14:paraId="72C6F5E4" w14:textId="6218EE22" w:rsidR="00A4454A" w:rsidRPr="00975B77" w:rsidRDefault="00A4454A" w:rsidP="006356A2">
      <w:pPr>
        <w:pStyle w:val="Footnote"/>
      </w:pPr>
      <w:r w:rsidRPr="00975B77">
        <w:rPr>
          <w:vertAlign w:val="superscript"/>
        </w:rPr>
        <w:footnoteRef/>
      </w:r>
      <w:r w:rsidRPr="00975B77">
        <w:t>.</w:t>
      </w:r>
      <w:r w:rsidRPr="00975B77">
        <w:tab/>
        <w:t xml:space="preserve">Breach of family violence order offences include 5 offences under the </w:t>
      </w:r>
      <w:r w:rsidRPr="00975B77">
        <w:rPr>
          <w:rStyle w:val="LightItalic"/>
          <w:rFonts w:ascii="Verdana" w:hAnsi="Verdana"/>
        </w:rPr>
        <w:t>Family Violence Protection Act 2008</w:t>
      </w:r>
      <w:r w:rsidRPr="00975B77">
        <w:t xml:space="preserve"> (Vic): breach of family violence safety notice (section 37), breach of family violence safety notice while intending to cause harm or fear for safety (section 37A), breach of family violence intervention order (section 123), breach of family violence intervention order while intending to cause harm or fear for safety (section 123A) and persistent breaches of family violence intervention orders and safety notices (section 125A).</w:t>
      </w:r>
    </w:p>
  </w:footnote>
  <w:footnote w:id="58">
    <w:p w14:paraId="4742854F" w14:textId="1FBDFE5E" w:rsidR="00A4454A" w:rsidRPr="00975B77" w:rsidRDefault="00A4454A" w:rsidP="006356A2">
      <w:pPr>
        <w:pStyle w:val="Footnote"/>
      </w:pPr>
      <w:r w:rsidRPr="00975B77">
        <w:rPr>
          <w:vertAlign w:val="superscript"/>
        </w:rPr>
        <w:footnoteRef/>
      </w:r>
      <w:r w:rsidRPr="00975B77">
        <w:t>.</w:t>
      </w:r>
      <w:r w:rsidRPr="00975B77">
        <w:tab/>
        <w:t xml:space="preserve">See, for example, Victorian Government, ‘Family Violence Reform: Strategies, Frameworks and Plans’ (vic.gov.au, 2021). See also Queensland Women’s Safety and Justice Taskforce, </w:t>
      </w:r>
      <w:r w:rsidRPr="00975B77">
        <w:rPr>
          <w:rStyle w:val="LightItalic"/>
          <w:rFonts w:ascii="Verdana" w:hAnsi="Verdana"/>
        </w:rPr>
        <w:t xml:space="preserve">Hear Her Voice, Report One, Addressing Coercive Control and Domestic and Family Violence in Queensland </w:t>
      </w:r>
      <w:r w:rsidRPr="00975B77">
        <w:t xml:space="preserve">(2021); Queensland Women’s Safety and Justice Taskforce, </w:t>
      </w:r>
      <w:r w:rsidRPr="00975B77">
        <w:rPr>
          <w:rStyle w:val="LightItalic"/>
          <w:rFonts w:ascii="Verdana" w:hAnsi="Verdana"/>
        </w:rPr>
        <w:t>Hear Her Voice, Report Two, Volume One, Women and Girls’ Experiences Across the Criminal Justice System</w:t>
      </w:r>
      <w:r w:rsidRPr="00975B77">
        <w:t xml:space="preserve"> (2022); Commonwealth of Australia, House of Representatives Standing Committee, </w:t>
      </w:r>
      <w:r w:rsidRPr="00975B77">
        <w:rPr>
          <w:rStyle w:val="LightItalic"/>
          <w:rFonts w:ascii="Verdana" w:hAnsi="Verdana"/>
        </w:rPr>
        <w:t>Inquiry into Family, Domestic and Sexual Violence</w:t>
      </w:r>
      <w:r w:rsidRPr="00975B77">
        <w:t xml:space="preserve"> (2021); State of Victoria, </w:t>
      </w:r>
      <w:r w:rsidRPr="00975B77">
        <w:rPr>
          <w:rStyle w:val="LightItalic"/>
          <w:rFonts w:ascii="Verdana" w:hAnsi="Verdana"/>
        </w:rPr>
        <w:t>Royal Commission into Family Violence</w:t>
      </w:r>
      <w:r w:rsidRPr="00975B77">
        <w:t xml:space="preserve"> (2016); Australian Law Reform Commission, </w:t>
      </w:r>
      <w:r w:rsidRPr="00975B77">
        <w:rPr>
          <w:rStyle w:val="LightItalic"/>
          <w:rFonts w:ascii="Verdana" w:hAnsi="Verdana"/>
        </w:rPr>
        <w:t>Family Violence – A National Legal Response</w:t>
      </w:r>
      <w:r w:rsidRPr="00975B77">
        <w:t>, Report 114 (2010).</w:t>
      </w:r>
    </w:p>
  </w:footnote>
  <w:footnote w:id="59">
    <w:p w14:paraId="67DB7A58" w14:textId="3BA097D9" w:rsidR="00A4454A" w:rsidRPr="00975B77" w:rsidRDefault="00A4454A" w:rsidP="006356A2">
      <w:pPr>
        <w:pStyle w:val="Footnote"/>
      </w:pPr>
      <w:r w:rsidRPr="00975B77">
        <w:rPr>
          <w:vertAlign w:val="superscript"/>
        </w:rPr>
        <w:footnoteRef/>
      </w:r>
      <w:r w:rsidRPr="00975B77">
        <w:t>.</w:t>
      </w:r>
      <w:r w:rsidRPr="00975B77">
        <w:tab/>
        <w:t xml:space="preserve">A number of recommendations made by the Royal Commission into Family Violence in 2016 were targeted at improving system responses for victim-survivors. Some of the recommendations related to improving the collection of data on family violence incidents to ensure efficient service responses. In response to Recommendation 54, Victoria Police implemented mobile technology to enable L17 forms and family violence safety notices to be completed and issued in the field: Victorian Government, ‘Family Violence Recommendations: Deploy Mobile Technology for Police Members’ (vic.gov.au, 2020). Prior to these changes, in 2011, Victoria Police also undertook significant revision of its </w:t>
      </w:r>
      <w:r w:rsidRPr="00975B77">
        <w:rPr>
          <w:rStyle w:val="LightItalic"/>
          <w:rFonts w:ascii="Verdana" w:hAnsi="Verdana"/>
        </w:rPr>
        <w:t>Family Violence Code of Practice</w:t>
      </w:r>
      <w:r w:rsidRPr="00975B77">
        <w:t xml:space="preserve">, which resulted in improved recording of family violence incidents. The code of practice has been updated again since then, with the most recent edition published in 2022: Victoria Police, </w:t>
      </w:r>
      <w:r w:rsidRPr="00975B77">
        <w:rPr>
          <w:rStyle w:val="LightItalic"/>
          <w:rFonts w:ascii="Verdana" w:hAnsi="Verdana"/>
        </w:rPr>
        <w:t>Code of Practice for the Investigation of Family Violence</w:t>
      </w:r>
      <w:r w:rsidRPr="00975B77">
        <w:t xml:space="preserve"> (4th ed., 2022) 7. See also Crime Statistics Agency, ‘Spotlight: Breaches of Orders – The Impact of Legislative Changes’ (crimestatistics.vic.gov.au, 2024).</w:t>
      </w:r>
    </w:p>
  </w:footnote>
  <w:footnote w:id="60">
    <w:p w14:paraId="70CE0725" w14:textId="226602BC" w:rsidR="00A4454A" w:rsidRPr="00975B77" w:rsidRDefault="00A4454A" w:rsidP="006356A2">
      <w:pPr>
        <w:pStyle w:val="Footnote"/>
      </w:pPr>
      <w:r w:rsidRPr="00975B77">
        <w:rPr>
          <w:vertAlign w:val="superscript"/>
        </w:rPr>
        <w:footnoteRef/>
      </w:r>
      <w:r w:rsidRPr="00975B77">
        <w:t>.</w:t>
      </w:r>
      <w:r w:rsidRPr="00975B77">
        <w:tab/>
        <w:t>For example, the Council found that between 2012 and 2020, the number of family violence safety notices issued by police more than doubled, and the number of family violence intervention orders (both interim and final) made in the Magistrates’ Court increased by 44%: Sentencing Advisory Council (2022), above n 48, xi.</w:t>
      </w:r>
    </w:p>
  </w:footnote>
  <w:footnote w:id="61">
    <w:p w14:paraId="16CEB123" w14:textId="1412DE64" w:rsidR="00A4454A" w:rsidRPr="00975B77" w:rsidRDefault="00A4454A" w:rsidP="006356A2">
      <w:pPr>
        <w:pStyle w:val="Footnote"/>
      </w:pPr>
      <w:r w:rsidRPr="00975B77">
        <w:rPr>
          <w:vertAlign w:val="superscript"/>
        </w:rPr>
        <w:footnoteRef/>
      </w:r>
      <w:r w:rsidRPr="00975B77">
        <w:t>.</w:t>
      </w:r>
      <w:r w:rsidRPr="00975B77">
        <w:tab/>
        <w:t>See ibid ix–x, 36. See also Satyen et al. (2021), above n 43.</w:t>
      </w:r>
    </w:p>
  </w:footnote>
  <w:footnote w:id="62">
    <w:p w14:paraId="2D358D0C" w14:textId="5A9D7B73" w:rsidR="00A4454A" w:rsidRPr="00975B77" w:rsidRDefault="00A4454A" w:rsidP="006356A2">
      <w:pPr>
        <w:pStyle w:val="Footnote"/>
      </w:pPr>
      <w:r w:rsidRPr="00975B77">
        <w:rPr>
          <w:vertAlign w:val="superscript"/>
        </w:rPr>
        <w:footnoteRef/>
      </w:r>
      <w:r w:rsidRPr="00975B77">
        <w:t>.</w:t>
      </w:r>
      <w:r w:rsidRPr="00975B77">
        <w:tab/>
        <w:t>Sentencing Advisory Council (2017), above n 42</w:t>
      </w:r>
      <w:r w:rsidRPr="00975B77">
        <w:rPr>
          <w:rStyle w:val="LightItalic"/>
          <w:rFonts w:ascii="Verdana" w:hAnsi="Verdana"/>
        </w:rPr>
        <w:t>,</w:t>
      </w:r>
      <w:r w:rsidRPr="00975B77">
        <w:t xml:space="preserve"> ix.</w:t>
      </w:r>
    </w:p>
  </w:footnote>
  <w:footnote w:id="63">
    <w:p w14:paraId="5685E0D4" w14:textId="42F0B293"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Bail Act 1977</w:t>
      </w:r>
      <w:r w:rsidRPr="00975B77">
        <w:t xml:space="preserve"> (Vic) ss 30A, 30B, as inserted by </w:t>
      </w:r>
      <w:r w:rsidRPr="00975B77">
        <w:rPr>
          <w:rStyle w:val="LightItalic"/>
          <w:rFonts w:ascii="Verdana" w:hAnsi="Verdana"/>
        </w:rPr>
        <w:t>Bail Amendment Act 2013</w:t>
      </w:r>
      <w:r w:rsidRPr="00975B77">
        <w:t xml:space="preserve"> (Vic) s 8 (repealed). The offences of committing an indictable offence while on bail and contravening a conduct condition of bail were repealed on 25 March 2024 by the </w:t>
      </w:r>
      <w:r w:rsidRPr="00975B77">
        <w:rPr>
          <w:rStyle w:val="LightItalic"/>
          <w:rFonts w:ascii="Verdana" w:hAnsi="Verdana"/>
        </w:rPr>
        <w:t>Bail Amendment Act 2023</w:t>
      </w:r>
      <w:r w:rsidRPr="00975B77">
        <w:t xml:space="preserve"> (Vic) ss 39, 40. Committing an indictable offence while on bail was subsequently reintroduced on 26 March 2025 by the </w:t>
      </w:r>
      <w:r w:rsidRPr="00975B77">
        <w:rPr>
          <w:rStyle w:val="LightItalic"/>
          <w:rFonts w:ascii="Verdana" w:hAnsi="Verdana"/>
        </w:rPr>
        <w:t>Bail Amendment Act 2025</w:t>
      </w:r>
      <w:r w:rsidRPr="00975B77">
        <w:t xml:space="preserve"> (Vic) s 8.</w:t>
      </w:r>
    </w:p>
  </w:footnote>
  <w:footnote w:id="64">
    <w:p w14:paraId="0136D382" w14:textId="5C3CDA57" w:rsidR="00A4454A" w:rsidRPr="00975B77" w:rsidRDefault="00A4454A" w:rsidP="006356A2">
      <w:pPr>
        <w:pStyle w:val="Footnote"/>
      </w:pPr>
      <w:r w:rsidRPr="00975B77">
        <w:rPr>
          <w:vertAlign w:val="superscript"/>
        </w:rPr>
        <w:footnoteRef/>
      </w:r>
      <w:r w:rsidRPr="00975B77">
        <w:t>.</w:t>
      </w:r>
      <w:r w:rsidRPr="00975B77">
        <w:tab/>
        <w:t>In 2017, the Council found that over a five-year period, there were a total of 100,860 secondary offences sentenced in Victorian courts, 70% of which were bail related secondary offences (70,235 offences): Sentencing Advisory Council (2017), above n 42</w:t>
      </w:r>
      <w:r w:rsidRPr="00975B77">
        <w:rPr>
          <w:rStyle w:val="LightItalic"/>
          <w:rFonts w:ascii="Verdana" w:hAnsi="Verdana"/>
        </w:rPr>
        <w:t>,</w:t>
      </w:r>
      <w:r w:rsidRPr="00975B77">
        <w:t xml:space="preserve"> 47.</w:t>
      </w:r>
    </w:p>
  </w:footnote>
  <w:footnote w:id="65">
    <w:p w14:paraId="1728EFF2" w14:textId="20E60FB9" w:rsidR="00A4454A" w:rsidRPr="00975B77" w:rsidRDefault="00A4454A" w:rsidP="006356A2">
      <w:pPr>
        <w:pStyle w:val="Footnote"/>
      </w:pPr>
      <w:r w:rsidRPr="00975B77">
        <w:rPr>
          <w:vertAlign w:val="superscript"/>
        </w:rPr>
        <w:footnoteRef/>
      </w:r>
      <w:r w:rsidRPr="00975B77">
        <w:t>.</w:t>
      </w:r>
      <w:r w:rsidRPr="00975B77">
        <w:tab/>
        <w:t>Breach of bail offences include contravening a conduct condition of bail, failing to answer bail, and committing an indictable offence while on bail.</w:t>
      </w:r>
    </w:p>
  </w:footnote>
  <w:footnote w:id="66">
    <w:p w14:paraId="7C15DE2E" w14:textId="5AD4E565" w:rsidR="00A4454A" w:rsidRPr="00975B77" w:rsidRDefault="00A4454A" w:rsidP="006356A2">
      <w:pPr>
        <w:pStyle w:val="Footnote"/>
      </w:pPr>
      <w:r w:rsidRPr="00975B77">
        <w:rPr>
          <w:vertAlign w:val="superscript"/>
        </w:rPr>
        <w:footnoteRef/>
      </w:r>
      <w:r w:rsidRPr="00975B77">
        <w:t>.</w:t>
      </w:r>
      <w:r w:rsidRPr="00975B77">
        <w:tab/>
        <w:t xml:space="preserve">This decline seems to have been driven by a decline in being drunk and disorderly in public. The number of recorded offences of being drunk and disorderly in public declined from 14,266 in 2010–11 to 877 in 2023–24: Crime Statistics Agency, </w:t>
      </w:r>
      <w:r w:rsidRPr="00975B77">
        <w:rPr>
          <w:rStyle w:val="LightItalic"/>
          <w:rFonts w:ascii="Verdana" w:hAnsi="Verdana"/>
        </w:rPr>
        <w:t>Recorded Offences Visualisation Year Ending June 2024</w:t>
      </w:r>
      <w:r w:rsidRPr="00975B77">
        <w:t xml:space="preserve">, Table 01 (2024); Crime Statistics Agency, </w:t>
      </w:r>
      <w:r w:rsidRPr="00975B77">
        <w:rPr>
          <w:rStyle w:val="LightItalic"/>
          <w:rFonts w:ascii="Verdana" w:hAnsi="Verdana"/>
        </w:rPr>
        <w:t>Recorded Offences Visualisation Year Ending June 2020</w:t>
      </w:r>
      <w:r w:rsidRPr="00975B77">
        <w:t xml:space="preserve">, Table 01 (2020). The decrease in recorded offences of being drunk and disorderly in public is not surprising, given that the criminalisation of public drunkenness has been the subject of numerous reviews and recommendations for reform over the past 30 years (primarily because of its discriminatory effect on Aboriginal and Torres Strait Islander peoples and other vulnerable groups). See, for example, Commonwealth of Australia, </w:t>
      </w:r>
      <w:r w:rsidRPr="00975B77">
        <w:rPr>
          <w:rStyle w:val="LightItalic"/>
          <w:rFonts w:ascii="Verdana" w:hAnsi="Verdana"/>
        </w:rPr>
        <w:t xml:space="preserve">Royal Commission into Aboriginal Deaths in Custody, Final Report, </w:t>
      </w:r>
      <w:r w:rsidRPr="00975B77">
        <w:t xml:space="preserve">vol. 3 (1991); State of Victoria, Drugs and Crime Prevention Committee, </w:t>
      </w:r>
      <w:r w:rsidRPr="00975B77">
        <w:rPr>
          <w:rStyle w:val="LightItalic"/>
          <w:rFonts w:ascii="Verdana" w:hAnsi="Verdana"/>
        </w:rPr>
        <w:t>Inquiry into Public Drunkenness, Final Report</w:t>
      </w:r>
      <w:r w:rsidRPr="00975B77">
        <w:t xml:space="preserve"> (2001); </w:t>
      </w:r>
      <w:r w:rsidRPr="00975B77">
        <w:rPr>
          <w:rStyle w:val="LightItalic"/>
          <w:rFonts w:ascii="Verdana" w:hAnsi="Verdana"/>
        </w:rPr>
        <w:t>Finding with</w:t>
      </w:r>
      <w:r w:rsidRPr="00975B77">
        <w:t xml:space="preserve"> </w:t>
      </w:r>
      <w:r w:rsidRPr="00975B77">
        <w:rPr>
          <w:rStyle w:val="LightItalic"/>
          <w:rFonts w:ascii="Verdana" w:hAnsi="Verdana"/>
        </w:rPr>
        <w:t>Inquest into the Death of Tanya Day</w:t>
      </w:r>
      <w:r w:rsidRPr="00975B77">
        <w:t xml:space="preserve">, COR 2017 6424 (9 April 2020); Expert Reference Group, </w:t>
      </w:r>
      <w:r w:rsidRPr="00975B77">
        <w:rPr>
          <w:rStyle w:val="LightItalic"/>
          <w:rFonts w:ascii="Verdana" w:hAnsi="Verdana"/>
        </w:rPr>
        <w:t>Seeing the Clear Light of Day: Expert Reference Group on Decriminalising Public Drunkenness, Report to the Attorney-General</w:t>
      </w:r>
      <w:r w:rsidRPr="00975B77">
        <w:t xml:space="preserve"> (2020). Being drunk and disorderly in public was ultimately abolished in Victoria on 7 November 2023 (</w:t>
      </w:r>
      <w:r w:rsidRPr="00975B77">
        <w:rPr>
          <w:rStyle w:val="LightItalic"/>
          <w:rFonts w:ascii="Verdana" w:hAnsi="Verdana"/>
        </w:rPr>
        <w:t xml:space="preserve">Summary Offences Act 1966 </w:t>
      </w:r>
      <w:r w:rsidRPr="00975B77">
        <w:t>(Vic)</w:t>
      </w:r>
      <w:r w:rsidRPr="00975B77">
        <w:rPr>
          <w:rStyle w:val="LightItalic"/>
          <w:rFonts w:ascii="Verdana" w:hAnsi="Verdana"/>
        </w:rPr>
        <w:t xml:space="preserve"> </w:t>
      </w:r>
      <w:r w:rsidRPr="00975B77">
        <w:t xml:space="preserve">ss 13, 14, repealed by </w:t>
      </w:r>
      <w:r w:rsidRPr="00975B77">
        <w:rPr>
          <w:rStyle w:val="LightItalic"/>
          <w:rFonts w:ascii="Verdana" w:hAnsi="Verdana"/>
        </w:rPr>
        <w:t>Summary Offences Amendment (Decriminalisation of Public Drunkenness) Act 2021</w:t>
      </w:r>
      <w:r w:rsidRPr="00975B77">
        <w:t xml:space="preserve"> (Vic) pt 2); however, it is likely that changes in the policing of public drunkenness took place prior to the abolition of the offence, in view of the government announcing its intention to decriminalise public drunkenness almost 5 years prior: Premier of Victoria, ‘New Health-Based Response to Public Drunkenness’, Media Release (22 August 2019). </w:t>
      </w:r>
    </w:p>
  </w:footnote>
  <w:footnote w:id="67">
    <w:p w14:paraId="15DC3CB1" w14:textId="196DD659" w:rsidR="00A4454A" w:rsidRPr="00975B77" w:rsidRDefault="00A4454A" w:rsidP="006356A2">
      <w:pPr>
        <w:pStyle w:val="Footnote"/>
      </w:pPr>
      <w:r w:rsidRPr="00975B77">
        <w:rPr>
          <w:vertAlign w:val="superscript"/>
        </w:rPr>
        <w:footnoteRef/>
      </w:r>
      <w:r w:rsidRPr="00975B77">
        <w:t>.</w:t>
      </w:r>
      <w:r w:rsidRPr="00975B77">
        <w:tab/>
        <w:t>The Crime Statistics Agency commented that the ‘rapid increase in crimes involving the acquisition of property [in the 12 months to 31 March 2024] may be related to cost of living pressures’: Crime Statistics Agency, ‘Cost-of-Living Pressures May Be Contributing to 17% Increase in Thefts During the Last 12 Months’, Media Release (20 August 2024).</w:t>
      </w:r>
    </w:p>
  </w:footnote>
  <w:footnote w:id="68">
    <w:p w14:paraId="53679A53" w14:textId="29323B8C" w:rsidR="00A4454A" w:rsidRPr="00975B77" w:rsidRDefault="00A4454A" w:rsidP="006356A2">
      <w:pPr>
        <w:pStyle w:val="Footnote"/>
      </w:pPr>
      <w:r w:rsidRPr="00975B77">
        <w:rPr>
          <w:vertAlign w:val="superscript"/>
        </w:rPr>
        <w:footnoteRef/>
      </w:r>
      <w:r w:rsidRPr="00975B77">
        <w:t>.</w:t>
      </w:r>
      <w:r w:rsidRPr="00975B77">
        <w:tab/>
        <w:t>Sentences that result in an immediate custodial period are imprisonment only, imprisonment combined with community orders, and partially suspended sentences. In contrast, some custodial sentences not included are wholly suspended sentences, drug and alcohol treatment orders, and the former intensive correction orders, because these do not necessarily require the offender to spend any time in custody (unless they breach the order).</w:t>
      </w:r>
    </w:p>
  </w:footnote>
  <w:footnote w:id="69">
    <w:p w14:paraId="12735A43" w14:textId="467BAAA0" w:rsidR="00A4454A" w:rsidRPr="00975B77" w:rsidRDefault="00A4454A" w:rsidP="006356A2">
      <w:pPr>
        <w:pStyle w:val="Footnote"/>
      </w:pPr>
      <w:r w:rsidRPr="00975B77">
        <w:rPr>
          <w:vertAlign w:val="superscript"/>
        </w:rPr>
        <w:footnoteRef/>
      </w:r>
      <w:r w:rsidRPr="00975B77">
        <w:t>.</w:t>
      </w:r>
      <w:r w:rsidRPr="00975B77">
        <w:tab/>
        <w:t xml:space="preserve">The backlog in the Magistrates’ Court was cleared by the end of 2023: </w:t>
      </w:r>
      <w:r w:rsidRPr="00975B77">
        <w:rPr>
          <w:rStyle w:val="LightItalic"/>
          <w:rFonts w:ascii="Verdana" w:hAnsi="Verdana"/>
        </w:rPr>
        <w:t>DPP v Hillman</w:t>
      </w:r>
      <w:r w:rsidRPr="00975B77">
        <w:t xml:space="preserve"> [2024] VSC 100 [76].</w:t>
      </w:r>
    </w:p>
  </w:footnote>
  <w:footnote w:id="70">
    <w:p w14:paraId="1CE848F7" w14:textId="330957BD" w:rsidR="00A4454A" w:rsidRPr="00975B77" w:rsidRDefault="00A4454A" w:rsidP="006356A2">
      <w:pPr>
        <w:pStyle w:val="Footnote"/>
      </w:pPr>
      <w:r w:rsidRPr="00975B77">
        <w:rPr>
          <w:vertAlign w:val="superscript"/>
        </w:rPr>
        <w:footnoteRef/>
      </w:r>
      <w:r w:rsidRPr="00975B77">
        <w:t>.</w:t>
      </w:r>
      <w:r w:rsidRPr="00975B77">
        <w:tab/>
        <w:t>Due to court backlogs, serious offences were prioritised, meaning that fewer cases were heard in the Magistrates’ Court during this period, and at the same time, more offences with a likelihood of imprisonment were sentenced.</w:t>
      </w:r>
    </w:p>
  </w:footnote>
  <w:footnote w:id="71">
    <w:p w14:paraId="463B35E4" w14:textId="3950FF57" w:rsidR="00A4454A" w:rsidRPr="00975B77" w:rsidRDefault="00A4454A" w:rsidP="006356A2">
      <w:pPr>
        <w:pStyle w:val="Footnote"/>
      </w:pPr>
      <w:r w:rsidRPr="00975B77">
        <w:rPr>
          <w:vertAlign w:val="superscript"/>
        </w:rPr>
        <w:footnoteRef/>
      </w:r>
      <w:r w:rsidRPr="00975B77">
        <w:t>.</w:t>
      </w:r>
      <w:r w:rsidRPr="00975B77">
        <w:tab/>
        <w:t xml:space="preserve">Sentencing Advisory Council, </w:t>
      </w:r>
      <w:r w:rsidRPr="00975B77">
        <w:rPr>
          <w:rStyle w:val="LightItalic"/>
          <w:rFonts w:ascii="Verdana" w:hAnsi="Verdana"/>
        </w:rPr>
        <w:t xml:space="preserve">Long-Term Sentencing Trends in Victoria </w:t>
      </w:r>
      <w:r w:rsidRPr="00975B77">
        <w:t>(2022) 3.</w:t>
      </w:r>
    </w:p>
  </w:footnote>
  <w:footnote w:id="72">
    <w:p w14:paraId="5987D8C7" w14:textId="73A87E86" w:rsidR="00A4454A" w:rsidRPr="00975B77" w:rsidRDefault="00A4454A" w:rsidP="006356A2">
      <w:pPr>
        <w:pStyle w:val="Footnote"/>
      </w:pPr>
      <w:r w:rsidRPr="00975B77">
        <w:rPr>
          <w:vertAlign w:val="superscript"/>
        </w:rPr>
        <w:footnoteRef/>
      </w:r>
      <w:r w:rsidRPr="00975B77">
        <w:t>.</w:t>
      </w:r>
      <w:r w:rsidRPr="00975B77">
        <w:tab/>
        <w:t xml:space="preserve">This sentence type includes imprisonment combined with a community correction order (see </w:t>
      </w:r>
      <w:r w:rsidRPr="00975B77">
        <w:rPr>
          <w:rStyle w:val="LightItalic"/>
          <w:rFonts w:ascii="Verdana" w:hAnsi="Verdana"/>
        </w:rPr>
        <w:t>Sentencing Act 1991</w:t>
      </w:r>
      <w:r w:rsidRPr="00975B77">
        <w:t xml:space="preserve"> (Vic) s 44) and combined custody and treatment orders, which were abolished in 2012: </w:t>
      </w:r>
      <w:r w:rsidRPr="00975B77">
        <w:rPr>
          <w:rStyle w:val="LightItalic"/>
          <w:rFonts w:ascii="Verdana" w:hAnsi="Verdana"/>
        </w:rPr>
        <w:t>Sentencing Amendment (Community Correction Reform) Act 2011</w:t>
      </w:r>
      <w:r w:rsidRPr="00975B77">
        <w:t xml:space="preserve"> (Vic).</w:t>
      </w:r>
    </w:p>
  </w:footnote>
  <w:footnote w:id="73">
    <w:p w14:paraId="0EAAED79" w14:textId="7C0DA6A3" w:rsidR="00A4454A" w:rsidRPr="00975B77" w:rsidRDefault="00A4454A" w:rsidP="006356A2">
      <w:pPr>
        <w:pStyle w:val="Footnote"/>
      </w:pPr>
      <w:r w:rsidRPr="00975B77">
        <w:rPr>
          <w:vertAlign w:val="superscript"/>
        </w:rPr>
        <w:footnoteRef/>
      </w:r>
      <w:r w:rsidRPr="00975B77">
        <w:t>.</w:t>
      </w:r>
      <w:r w:rsidRPr="00975B77">
        <w:tab/>
        <w:t xml:space="preserve">This sentence type includes community correction orders (CCOs) (see </w:t>
      </w:r>
      <w:r w:rsidRPr="00975B77">
        <w:rPr>
          <w:rStyle w:val="LightItalic"/>
          <w:rFonts w:ascii="Verdana" w:hAnsi="Verdana"/>
        </w:rPr>
        <w:t>Sentencing Act 1991</w:t>
      </w:r>
      <w:r w:rsidRPr="00975B77">
        <w:t xml:space="preserve"> (Vic) pt 3A) as well as now abolished community-based orders (CBOs) and intensive correction orders (ICOs), both of which were repealed in 2012: </w:t>
      </w:r>
      <w:r w:rsidRPr="00975B77">
        <w:rPr>
          <w:rStyle w:val="LightItalic"/>
          <w:rFonts w:ascii="Verdana" w:hAnsi="Verdana"/>
        </w:rPr>
        <w:t>Sentencing Amendment (Community Correction Reform) Act 2011</w:t>
      </w:r>
      <w:r w:rsidRPr="00975B77">
        <w:t xml:space="preserve"> (Vic).</w:t>
      </w:r>
    </w:p>
  </w:footnote>
  <w:footnote w:id="74">
    <w:p w14:paraId="127A9A39" w14:textId="061F9802" w:rsidR="00A4454A" w:rsidRPr="00975B77" w:rsidRDefault="00A4454A" w:rsidP="006356A2">
      <w:pPr>
        <w:pStyle w:val="Footnote"/>
      </w:pPr>
      <w:r w:rsidRPr="00975B77">
        <w:rPr>
          <w:vertAlign w:val="superscript"/>
        </w:rPr>
        <w:footnoteRef/>
      </w:r>
      <w:r w:rsidRPr="00975B77">
        <w:t>.</w:t>
      </w:r>
      <w:r w:rsidRPr="00975B77">
        <w:tab/>
        <w:t>This sentence type includes partially suspended sentences as they existed in Victorian sentencing legislation until their repeal in 2014 (</w:t>
      </w:r>
      <w:r w:rsidRPr="00975B77">
        <w:rPr>
          <w:rStyle w:val="LightItalic"/>
          <w:rFonts w:ascii="Verdana" w:hAnsi="Verdana"/>
        </w:rPr>
        <w:t>Sentencing Amendment (Abolition of Suspended Sentences and Other Matters) Act 2013</w:t>
      </w:r>
      <w:r w:rsidRPr="00975B77">
        <w:t xml:space="preserve"> (Vic)) as well as Commonwealth sentencing orders that involve an active term of imprisonment coupled with a recognizance release order (RRO) which function like a partially suspended sentence and remain available today: </w:t>
      </w:r>
      <w:r w:rsidRPr="00975B77">
        <w:rPr>
          <w:rStyle w:val="LightItalic"/>
          <w:rFonts w:ascii="Verdana" w:hAnsi="Verdana"/>
        </w:rPr>
        <w:t>Crimes Act 1914</w:t>
      </w:r>
      <w:r w:rsidRPr="00975B77">
        <w:t xml:space="preserve"> (Cth) s 20(1)(b).</w:t>
      </w:r>
    </w:p>
  </w:footnote>
  <w:footnote w:id="75">
    <w:p w14:paraId="0447D482" w14:textId="044F151A" w:rsidR="00A4454A" w:rsidRPr="00975B77" w:rsidRDefault="00A4454A" w:rsidP="006356A2">
      <w:pPr>
        <w:pStyle w:val="Footnote"/>
      </w:pPr>
      <w:r w:rsidRPr="00975B77">
        <w:rPr>
          <w:vertAlign w:val="superscript"/>
        </w:rPr>
        <w:footnoteRef/>
      </w:r>
      <w:r w:rsidRPr="00975B77">
        <w:t>.</w:t>
      </w:r>
      <w:r w:rsidRPr="00975B77">
        <w:tab/>
        <w:t>This sentence type includes wholly suspended sentences as they existed in Victorian sentencing legislation until their repeal in 2014 (</w:t>
      </w:r>
      <w:r w:rsidRPr="00975B77">
        <w:rPr>
          <w:rStyle w:val="LightItalic"/>
          <w:rFonts w:ascii="Verdana" w:hAnsi="Verdana"/>
        </w:rPr>
        <w:t>Sentencing Amendment (Abolition of Suspended Sentences and Other Matters) Act 2013</w:t>
      </w:r>
      <w:r w:rsidRPr="00975B77">
        <w:t xml:space="preserve"> (Vic)) as well as Commonwealth sentencing orders of a term of imprisonment that is not activated but is coupled with an RRO, thereby functioning like a wholly suspended sentence and also remaining available today: </w:t>
      </w:r>
      <w:r w:rsidRPr="00975B77">
        <w:rPr>
          <w:rStyle w:val="LightItalic"/>
          <w:rFonts w:ascii="Verdana" w:hAnsi="Verdana"/>
        </w:rPr>
        <w:t>Crimes Act 1914</w:t>
      </w:r>
      <w:r w:rsidRPr="00975B77">
        <w:t xml:space="preserve"> (Cth) s 20(1)(b).</w:t>
      </w:r>
    </w:p>
  </w:footnote>
  <w:footnote w:id="76">
    <w:p w14:paraId="4F14185A" w14:textId="6456B420" w:rsidR="00A4454A" w:rsidRPr="00975B77" w:rsidRDefault="00A4454A" w:rsidP="006356A2">
      <w:pPr>
        <w:pStyle w:val="Footnote"/>
      </w:pPr>
      <w:r w:rsidRPr="00975B77">
        <w:rPr>
          <w:vertAlign w:val="superscript"/>
        </w:rPr>
        <w:footnoteRef/>
      </w:r>
      <w:r w:rsidRPr="00975B77">
        <w:t>.</w:t>
      </w:r>
      <w:r w:rsidRPr="00975B77">
        <w:tab/>
        <w:t>For example, in 2023–24, 53% of outcomes in the Magistrates’ Court were fines: Sentencing Advisory Council, ‘Sentencing Outcomes in the Magistrates’ Court’ (sentencingcouncil.vic.gov.au, 2025).</w:t>
      </w:r>
    </w:p>
  </w:footnote>
  <w:footnote w:id="77">
    <w:p w14:paraId="31C46622" w14:textId="7C834B44"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Sentencing Amendment (Abolition of Suspended Sentences and Other Matters) Act 2013</w:t>
      </w:r>
      <w:r w:rsidRPr="00975B77">
        <w:t xml:space="preserve"> (Vic).</w:t>
      </w:r>
    </w:p>
  </w:footnote>
  <w:footnote w:id="78">
    <w:p w14:paraId="42BD1AE0" w14:textId="10F955FF"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Sentencing Amendment (Community Correction Reform) Act 2011</w:t>
      </w:r>
      <w:r w:rsidRPr="00975B77">
        <w:t xml:space="preserve"> (Vic).</w:t>
      </w:r>
    </w:p>
  </w:footnote>
  <w:footnote w:id="79">
    <w:p w14:paraId="47A1D71A" w14:textId="6AD68B4F" w:rsidR="00A4454A" w:rsidRPr="00975B77" w:rsidRDefault="00A4454A" w:rsidP="006356A2">
      <w:pPr>
        <w:pStyle w:val="Footnote"/>
      </w:pPr>
      <w:r w:rsidRPr="00975B77">
        <w:rPr>
          <w:vertAlign w:val="superscript"/>
        </w:rPr>
        <w:footnoteRef/>
      </w:r>
      <w:r w:rsidRPr="00975B77">
        <w:t>.</w:t>
      </w:r>
      <w:r w:rsidRPr="00975B77">
        <w:tab/>
        <w:t xml:space="preserve">The </w:t>
      </w:r>
      <w:r w:rsidRPr="00975B77">
        <w:rPr>
          <w:rStyle w:val="LightItalic"/>
          <w:rFonts w:ascii="Verdana" w:hAnsi="Verdana"/>
        </w:rPr>
        <w:t>Sentencing Act</w:t>
      </w:r>
      <w:r w:rsidRPr="00975B77">
        <w:t xml:space="preserve"> notes that a CCO may be an appropriate sentence where the court may have imposed a wholly suspended sentence before its abolition: </w:t>
      </w:r>
      <w:r w:rsidRPr="00975B77">
        <w:rPr>
          <w:rStyle w:val="LightItalic"/>
          <w:rFonts w:ascii="Verdana" w:hAnsi="Verdana"/>
        </w:rPr>
        <w:t>Sentencing Act 1991</w:t>
      </w:r>
      <w:r w:rsidRPr="00975B77">
        <w:t xml:space="preserve"> (Vic) s 36(2).</w:t>
      </w:r>
    </w:p>
  </w:footnote>
  <w:footnote w:id="80">
    <w:p w14:paraId="0D9F07DA" w14:textId="62125326"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Boulton &amp; Ors v The Queen </w:t>
      </w:r>
      <w:r w:rsidRPr="00975B77">
        <w:t>[2014] VSCA 342.</w:t>
      </w:r>
    </w:p>
  </w:footnote>
  <w:footnote w:id="81">
    <w:p w14:paraId="0B6EE835" w14:textId="04CBB61B"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Sentencing Amendment (Emergency Workers) Act 2014</w:t>
      </w:r>
      <w:r w:rsidRPr="00975B77">
        <w:t xml:space="preserve"> (Vic) s 18(1), amending </w:t>
      </w:r>
      <w:r w:rsidRPr="00975B77">
        <w:rPr>
          <w:rStyle w:val="LightItalic"/>
          <w:rFonts w:ascii="Verdana" w:hAnsi="Verdana"/>
        </w:rPr>
        <w:t>Sentencing Act 1991</w:t>
      </w:r>
      <w:r w:rsidRPr="00975B77">
        <w:t xml:space="preserve"> (Vic) s 44(1). See also Sentencing Advisory Council, </w:t>
      </w:r>
      <w:r w:rsidRPr="00975B77">
        <w:rPr>
          <w:rStyle w:val="LightItalic"/>
          <w:rFonts w:ascii="Verdana" w:hAnsi="Verdana"/>
        </w:rPr>
        <w:t>Combined Orders of Imprisonment with a Community Correction Order in Victoria</w:t>
      </w:r>
      <w:r w:rsidRPr="00975B77">
        <w:t xml:space="preserve"> (2023) 10.</w:t>
      </w:r>
    </w:p>
  </w:footnote>
  <w:footnote w:id="82">
    <w:p w14:paraId="78BAECCE" w14:textId="72BB450A"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Sentencing (Community Correction Order) and Other Acts Amendment Act 2016</w:t>
      </w:r>
      <w:r w:rsidRPr="00975B77">
        <w:t xml:space="preserve"> (Vic) s 12(2), amending </w:t>
      </w:r>
      <w:r w:rsidRPr="00975B77">
        <w:rPr>
          <w:rStyle w:val="LightItalic"/>
          <w:rFonts w:ascii="Verdana" w:hAnsi="Verdana"/>
        </w:rPr>
        <w:t>Sentencing Act 1991</w:t>
      </w:r>
      <w:r w:rsidRPr="00975B77">
        <w:t xml:space="preserve"> (Vic) s 44(1).</w:t>
      </w:r>
    </w:p>
  </w:footnote>
  <w:footnote w:id="83">
    <w:p w14:paraId="5AB8F028" w14:textId="304DD006" w:rsidR="00A4454A" w:rsidRPr="00975B77" w:rsidRDefault="00A4454A" w:rsidP="006356A2">
      <w:pPr>
        <w:pStyle w:val="Footnote"/>
      </w:pPr>
      <w:r w:rsidRPr="00975B77">
        <w:rPr>
          <w:vertAlign w:val="superscript"/>
        </w:rPr>
        <w:footnoteRef/>
      </w:r>
      <w:r w:rsidRPr="00975B77">
        <w:t>.</w:t>
      </w:r>
      <w:r w:rsidRPr="00975B77">
        <w:tab/>
        <w:t xml:space="preserve">While drug and alcohol treatment orders (in both their current and repealed forms) involve a custodial sentence (which remains suspended unless conditions of the order are breached and the offender is ordered to serve some or all of the custodial portion), they comprised less than 0.2% of sentences imposed in the Magistrates’ Court each year and, as such, are not presented in Figure 14. </w:t>
      </w:r>
    </w:p>
  </w:footnote>
  <w:footnote w:id="84">
    <w:p w14:paraId="12FD43F4" w14:textId="543AC54D"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Sentencing Amendment (Community Correction Reform) Act 2011</w:t>
      </w:r>
      <w:r w:rsidRPr="00975B77">
        <w:t xml:space="preserve"> (Vic).</w:t>
      </w:r>
    </w:p>
  </w:footnote>
  <w:footnote w:id="85">
    <w:p w14:paraId="2B76CA0C" w14:textId="35CB2C10"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Sentencing Amendment (Abolition of Suspended Sentences and Other Matters) Act 2013</w:t>
      </w:r>
      <w:r w:rsidRPr="00975B77">
        <w:t xml:space="preserve"> (Vic).</w:t>
      </w:r>
    </w:p>
  </w:footnote>
  <w:footnote w:id="86">
    <w:p w14:paraId="23A852C4" w14:textId="103010F2"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Boulton &amp; Ors v The Queen </w:t>
      </w:r>
      <w:r w:rsidRPr="00975B77">
        <w:t>[2014] VSCA 342.</w:t>
      </w:r>
    </w:p>
  </w:footnote>
  <w:footnote w:id="87">
    <w:p w14:paraId="2A326C5C" w14:textId="035CFB96"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Sentencing Amendment (Emergency Workers) Act 2014</w:t>
      </w:r>
      <w:r w:rsidRPr="00975B77">
        <w:t xml:space="preserve"> (Vic) s 18(1), amending </w:t>
      </w:r>
      <w:r w:rsidRPr="00975B77">
        <w:rPr>
          <w:rStyle w:val="LightItalic"/>
          <w:rFonts w:ascii="Verdana" w:hAnsi="Verdana"/>
        </w:rPr>
        <w:t>Sentencing Act 1991</w:t>
      </w:r>
      <w:r w:rsidRPr="00975B77">
        <w:t xml:space="preserve"> (Vic) s 44(1).</w:t>
      </w:r>
    </w:p>
  </w:footnote>
  <w:footnote w:id="88">
    <w:p w14:paraId="52D97218" w14:textId="167944C4"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Sentencing (Community Correction Order) and Other Acts Amendment Act 2016</w:t>
      </w:r>
      <w:r w:rsidRPr="00975B77">
        <w:t xml:space="preserve"> (Vic) s 12(2), amending </w:t>
      </w:r>
      <w:r w:rsidRPr="00975B77">
        <w:rPr>
          <w:rStyle w:val="LightItalic"/>
          <w:rFonts w:ascii="Verdana" w:hAnsi="Verdana"/>
        </w:rPr>
        <w:t>Sentencing Act 1991</w:t>
      </w:r>
      <w:r w:rsidRPr="00975B77">
        <w:t xml:space="preserve"> (Vic) s 44(1).</w:t>
      </w:r>
    </w:p>
  </w:footnote>
  <w:footnote w:id="89">
    <w:p w14:paraId="07590FB1" w14:textId="3251356E" w:rsidR="00A4454A" w:rsidRPr="00975B77" w:rsidRDefault="00A4454A" w:rsidP="006356A2">
      <w:pPr>
        <w:pStyle w:val="Footnote"/>
      </w:pPr>
      <w:r w:rsidRPr="00975B77">
        <w:rPr>
          <w:vertAlign w:val="superscript"/>
        </w:rPr>
        <w:footnoteRef/>
      </w:r>
      <w:r w:rsidRPr="00975B77">
        <w:t>.</w:t>
      </w:r>
      <w:r w:rsidRPr="00975B77">
        <w:tab/>
      </w:r>
      <w:r w:rsidRPr="00975B77">
        <w:rPr>
          <w:spacing w:val="-4"/>
        </w:rPr>
        <w:t>In the 2 years to 30 June 2016, around 40% of imprisonment lengths in combined orders were more than 12 months</w:t>
      </w:r>
      <w:r w:rsidRPr="00975B77">
        <w:t>): Sentencing Advisory Council (2023), above n 81, 11.</w:t>
      </w:r>
    </w:p>
  </w:footnote>
  <w:footnote w:id="90">
    <w:p w14:paraId="7FA9ADEE" w14:textId="3CFBAF3A" w:rsidR="00A4454A" w:rsidRPr="00975B77" w:rsidRDefault="00A4454A" w:rsidP="006356A2">
      <w:pPr>
        <w:pStyle w:val="Footnote"/>
      </w:pPr>
      <w:r w:rsidRPr="00975B77">
        <w:rPr>
          <w:vertAlign w:val="superscript"/>
        </w:rPr>
        <w:footnoteRef/>
      </w:r>
      <w:r w:rsidRPr="00975B77">
        <w:t>.</w:t>
      </w:r>
      <w:r w:rsidRPr="00975B77">
        <w:tab/>
        <w:t xml:space="preserve">The ‘exceptional circumstances’ exception has been described by the Court of Appeal as ‘almost impossible to satisfy’: </w:t>
      </w:r>
      <w:r w:rsidRPr="00975B77">
        <w:rPr>
          <w:rStyle w:val="LightItalic"/>
          <w:rFonts w:ascii="Verdana" w:hAnsi="Verdana"/>
        </w:rPr>
        <w:t>DPP v Bowen</w:t>
      </w:r>
      <w:r w:rsidRPr="00975B77">
        <w:t xml:space="preserve"> [2021] VSCA 355, [11]. See also </w:t>
      </w:r>
      <w:r w:rsidRPr="00975B77">
        <w:rPr>
          <w:rStyle w:val="LightItalic"/>
          <w:rFonts w:ascii="Verdana" w:hAnsi="Verdana"/>
        </w:rPr>
        <w:t>Buckley v The Queen</w:t>
      </w:r>
      <w:r w:rsidRPr="00975B77">
        <w:t xml:space="preserve"> [2022] VSCA 138.</w:t>
      </w:r>
    </w:p>
  </w:footnote>
  <w:footnote w:id="91">
    <w:p w14:paraId="46ABFD67" w14:textId="2538D4F6"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Sentencing Act 1991</w:t>
      </w:r>
      <w:r w:rsidRPr="00975B77">
        <w:t xml:space="preserve"> (Vic) s 3 (definition of </w:t>
      </w:r>
      <w:r w:rsidRPr="00975B77">
        <w:rPr>
          <w:rStyle w:val="LightItalic"/>
          <w:rFonts w:ascii="Verdana" w:hAnsi="Verdana"/>
        </w:rPr>
        <w:t>category 1 offence</w:t>
      </w:r>
      <w:r w:rsidRPr="00975B77">
        <w:t xml:space="preserve"> and </w:t>
      </w:r>
      <w:r w:rsidRPr="00975B77">
        <w:rPr>
          <w:rStyle w:val="LightItalic"/>
          <w:rFonts w:ascii="Verdana" w:hAnsi="Verdana"/>
        </w:rPr>
        <w:t>category 2 offence</w:t>
      </w:r>
      <w:r w:rsidRPr="00975B77">
        <w:t xml:space="preserve">), as inserted by </w:t>
      </w:r>
      <w:r w:rsidRPr="00975B77">
        <w:rPr>
          <w:rStyle w:val="LightItalic"/>
          <w:rFonts w:ascii="Verdana" w:hAnsi="Verdana"/>
        </w:rPr>
        <w:t>Sentencing (Community Correction Order) and Other Acts Amendment Act 2016</w:t>
      </w:r>
      <w:r w:rsidRPr="00975B77">
        <w:t xml:space="preserve"> (Vic) pt 2.</w:t>
      </w:r>
    </w:p>
  </w:footnote>
  <w:footnote w:id="92">
    <w:p w14:paraId="63F9DDA2" w14:textId="60653BC8" w:rsidR="00A4454A" w:rsidRPr="00975B77" w:rsidRDefault="00A4454A" w:rsidP="006356A2">
      <w:pPr>
        <w:pStyle w:val="Footnote"/>
      </w:pPr>
      <w:r w:rsidRPr="00975B77">
        <w:rPr>
          <w:vertAlign w:val="superscript"/>
        </w:rPr>
        <w:footnoteRef/>
      </w:r>
      <w:r w:rsidRPr="00975B77">
        <w:t>.</w:t>
      </w:r>
      <w:r w:rsidRPr="00975B77">
        <w:tab/>
        <w:t xml:space="preserve">Similar to Figure 14, drug and alcohol treatment orders (both in their current and historical forms) are not presented in Figure 15 due to the small number imposed throughout the period. Drug and alcohol treatment orders, as they currently exist, were imposed in the higher courts from 2021–22 but comprised less than 1.5% of sentencing outcomes in each subsequent year. </w:t>
      </w:r>
    </w:p>
  </w:footnote>
  <w:footnote w:id="93">
    <w:p w14:paraId="58F72C37" w14:textId="74886081" w:rsidR="00A4454A" w:rsidRPr="00975B77" w:rsidRDefault="00A4454A" w:rsidP="006356A2">
      <w:pPr>
        <w:pStyle w:val="Footnote"/>
      </w:pPr>
      <w:r w:rsidRPr="00975B77">
        <w:rPr>
          <w:vertAlign w:val="superscript"/>
        </w:rPr>
        <w:footnoteRef/>
      </w:r>
      <w:r w:rsidRPr="00975B77">
        <w:t>.</w:t>
      </w:r>
      <w:r w:rsidRPr="00975B77">
        <w:tab/>
        <w:t>Court data on sentence lengths for the years 2004–05 and 2005–06 is incomplete and is therefore excluded from this analysis.</w:t>
      </w:r>
    </w:p>
  </w:footnote>
  <w:footnote w:id="94">
    <w:p w14:paraId="3F9EB080" w14:textId="24057C8F" w:rsidR="00A4454A" w:rsidRPr="00975B77" w:rsidRDefault="00A4454A" w:rsidP="006356A2">
      <w:pPr>
        <w:pStyle w:val="Footnote"/>
      </w:pPr>
      <w:r w:rsidRPr="00975B77">
        <w:rPr>
          <w:vertAlign w:val="superscript"/>
        </w:rPr>
        <w:footnoteRef/>
      </w:r>
      <w:r w:rsidRPr="00975B77">
        <w:t>.</w:t>
      </w:r>
      <w:r w:rsidRPr="00975B77">
        <w:tab/>
        <w:t xml:space="preserve">Courts are required to impose a non-parole period in cases involving a total effective sentence of 2 years or more, and courts have the discretion to impose a non-parole period in cases involving a total effective sentence of between 1 year and less than 2 years: </w:t>
      </w:r>
      <w:r w:rsidRPr="00975B77">
        <w:rPr>
          <w:rStyle w:val="LightItalic"/>
          <w:rFonts w:ascii="Verdana" w:hAnsi="Verdana"/>
        </w:rPr>
        <w:t xml:space="preserve">Sentencing Act 1991 </w:t>
      </w:r>
      <w:r w:rsidRPr="00975B77">
        <w:t>(Vic) s 11.</w:t>
      </w:r>
    </w:p>
  </w:footnote>
  <w:footnote w:id="95">
    <w:p w14:paraId="229A5199" w14:textId="406D1D5C" w:rsidR="00A4454A" w:rsidRPr="00975B77" w:rsidRDefault="00A4454A" w:rsidP="006356A2">
      <w:pPr>
        <w:pStyle w:val="Footnote"/>
      </w:pPr>
      <w:r w:rsidRPr="00975B77">
        <w:rPr>
          <w:vertAlign w:val="superscript"/>
        </w:rPr>
        <w:footnoteRef/>
      </w:r>
      <w:r w:rsidRPr="00975B77">
        <w:t>.</w:t>
      </w:r>
      <w:r w:rsidRPr="00975B77">
        <w:tab/>
        <w:t xml:space="preserve">See, for example, Sentencing Advisory Council, </w:t>
      </w:r>
      <w:r w:rsidRPr="00975B77">
        <w:rPr>
          <w:rStyle w:val="LightItalic"/>
          <w:rFonts w:ascii="Verdana" w:hAnsi="Verdana"/>
        </w:rPr>
        <w:t>Sentencing in Victoria 2013–14 to 2022–23</w:t>
      </w:r>
      <w:r w:rsidRPr="00975B77">
        <w:t xml:space="preserve"> (2024) 10, 15.</w:t>
      </w:r>
    </w:p>
  </w:footnote>
  <w:footnote w:id="96">
    <w:p w14:paraId="4C441FEF" w14:textId="33B99DC8" w:rsidR="00A4454A" w:rsidRPr="006356A2" w:rsidRDefault="00A4454A" w:rsidP="006356A2">
      <w:pPr>
        <w:pStyle w:val="Footnote"/>
        <w:rPr>
          <w:spacing w:val="-3"/>
        </w:rPr>
      </w:pPr>
      <w:r w:rsidRPr="00975B77">
        <w:rPr>
          <w:vertAlign w:val="superscript"/>
        </w:rPr>
        <w:footnoteRef/>
      </w:r>
      <w:r w:rsidRPr="00975B77">
        <w:t>.</w:t>
      </w:r>
      <w:r w:rsidRPr="00975B77">
        <w:tab/>
      </w:r>
      <w:r w:rsidRPr="00975B77">
        <w:rPr>
          <w:spacing w:val="-3"/>
        </w:rPr>
        <w:t>Court data on sentence lengths for the years 2004–05 and 2005–06 is incomplete and is excluded from this analysis.</w:t>
      </w:r>
    </w:p>
  </w:footnote>
  <w:footnote w:id="97">
    <w:p w14:paraId="04F62756" w14:textId="46915155" w:rsidR="00A4454A" w:rsidRPr="00975B77" w:rsidRDefault="00A4454A" w:rsidP="006356A2">
      <w:pPr>
        <w:pStyle w:val="Footnote"/>
      </w:pPr>
      <w:r w:rsidRPr="00975B77">
        <w:rPr>
          <w:vertAlign w:val="superscript"/>
        </w:rPr>
        <w:footnoteRef/>
      </w:r>
      <w:r w:rsidRPr="00975B77">
        <w:t>.</w:t>
      </w:r>
      <w:r w:rsidRPr="00975B77">
        <w:tab/>
        <w:t xml:space="preserve">Australian Bureau of Statistics, </w:t>
      </w:r>
      <w:r w:rsidRPr="00975B77">
        <w:rPr>
          <w:rStyle w:val="LightItalic"/>
          <w:rFonts w:ascii="Verdana" w:hAnsi="Verdana"/>
        </w:rPr>
        <w:t>National Offence Index (NOI)</w:t>
      </w:r>
      <w:r w:rsidRPr="00975B77">
        <w:t xml:space="preserve"> (abs.gov.au, 2024).</w:t>
      </w:r>
    </w:p>
  </w:footnote>
  <w:footnote w:id="98">
    <w:p w14:paraId="77BF0D69" w14:textId="672F8395" w:rsidR="00A4454A" w:rsidRPr="00975B77" w:rsidRDefault="00A4454A" w:rsidP="006356A2">
      <w:pPr>
        <w:pStyle w:val="Footnote"/>
      </w:pPr>
      <w:r w:rsidRPr="00975B77">
        <w:rPr>
          <w:vertAlign w:val="superscript"/>
        </w:rPr>
        <w:footnoteRef/>
      </w:r>
      <w:r w:rsidRPr="00975B77">
        <w:t>.</w:t>
      </w:r>
      <w:r w:rsidRPr="00975B77">
        <w:tab/>
        <w:t xml:space="preserve">Homicide offences are excluded from this analysis given that there were only 2 homicide offences sentenced to imprisonment in the Magistrates’ Court in the 20 years to 30 June 2024. Both offences were encouraging another person to suicide contrary to the </w:t>
      </w:r>
      <w:r w:rsidRPr="00975B77">
        <w:rPr>
          <w:rStyle w:val="LightItalic"/>
          <w:rFonts w:ascii="Verdana" w:hAnsi="Verdana"/>
        </w:rPr>
        <w:t>Crimes Act 1958</w:t>
      </w:r>
      <w:r w:rsidRPr="00975B77">
        <w:t xml:space="preserve"> (Vic) s 6B(2).</w:t>
      </w:r>
    </w:p>
  </w:footnote>
  <w:footnote w:id="99">
    <w:p w14:paraId="7C54B15A" w14:textId="76745EB9" w:rsidR="00A4454A" w:rsidRPr="006356A2" w:rsidRDefault="00A4454A" w:rsidP="006356A2">
      <w:pPr>
        <w:pStyle w:val="Footnote"/>
        <w:rPr>
          <w:spacing w:val="-1"/>
        </w:rPr>
      </w:pPr>
      <w:r w:rsidRPr="00975B77">
        <w:rPr>
          <w:vertAlign w:val="superscript"/>
        </w:rPr>
        <w:footnoteRef/>
      </w:r>
      <w:r w:rsidRPr="00975B77">
        <w:t>.</w:t>
      </w:r>
      <w:r w:rsidRPr="00975B77">
        <w:tab/>
      </w:r>
      <w:r w:rsidRPr="00975B77">
        <w:rPr>
          <w:spacing w:val="-1"/>
        </w:rPr>
        <w:t xml:space="preserve">Unlawful assault carries a maximum penalty of 3 months’ imprisonment: </w:t>
      </w:r>
      <w:r w:rsidRPr="00975B77">
        <w:rPr>
          <w:rStyle w:val="LightItalic"/>
          <w:rFonts w:ascii="Verdana" w:hAnsi="Verdana"/>
          <w:spacing w:val="-1"/>
        </w:rPr>
        <w:t xml:space="preserve">Summary Offences Act 1966 </w:t>
      </w:r>
      <w:r w:rsidRPr="00975B77">
        <w:rPr>
          <w:spacing w:val="-1"/>
        </w:rPr>
        <w:t>(Vic) s 23.</w:t>
      </w:r>
    </w:p>
  </w:footnote>
  <w:footnote w:id="100">
    <w:p w14:paraId="16A74B33" w14:textId="2C7E86D1" w:rsidR="00A4454A" w:rsidRPr="006356A2" w:rsidRDefault="00A4454A" w:rsidP="006356A2">
      <w:pPr>
        <w:pStyle w:val="Footnote"/>
        <w:rPr>
          <w:spacing w:val="-2"/>
        </w:rPr>
      </w:pPr>
      <w:r w:rsidRPr="00975B77">
        <w:rPr>
          <w:vertAlign w:val="superscript"/>
        </w:rPr>
        <w:footnoteRef/>
      </w:r>
      <w:r w:rsidRPr="00975B77">
        <w:t>.</w:t>
      </w:r>
      <w:r w:rsidRPr="00975B77">
        <w:tab/>
      </w:r>
      <w:r w:rsidRPr="00975B77">
        <w:rPr>
          <w:spacing w:val="-2"/>
        </w:rPr>
        <w:t xml:space="preserve">Recklessly causing serious injury carries a maximum penalty of 15 years’ imprisonment: </w:t>
      </w:r>
      <w:r w:rsidRPr="00975B77">
        <w:rPr>
          <w:rStyle w:val="LightItalic"/>
          <w:rFonts w:ascii="Verdana" w:hAnsi="Verdana"/>
          <w:spacing w:val="-2"/>
        </w:rPr>
        <w:t>Crimes Act 1958</w:t>
      </w:r>
      <w:r w:rsidRPr="00975B77">
        <w:rPr>
          <w:spacing w:val="-2"/>
        </w:rPr>
        <w:t xml:space="preserve"> (Vic) s 17.</w:t>
      </w:r>
    </w:p>
  </w:footnote>
  <w:footnote w:id="101">
    <w:p w14:paraId="3AA0CBDA" w14:textId="57FA5CD8" w:rsidR="00A4454A" w:rsidRPr="00975B77" w:rsidRDefault="00A4454A" w:rsidP="006356A2">
      <w:pPr>
        <w:pStyle w:val="Footnote"/>
      </w:pPr>
      <w:r w:rsidRPr="00975B77">
        <w:rPr>
          <w:vertAlign w:val="superscript"/>
        </w:rPr>
        <w:footnoteRef/>
      </w:r>
      <w:r w:rsidRPr="00975B77">
        <w:t>.</w:t>
      </w:r>
      <w:r w:rsidRPr="00975B77">
        <w:tab/>
        <w:t>Data on average custodial sentence lengths for 2004–05 to 2005–06 is incomplete and is therefore excluded here.</w:t>
      </w:r>
    </w:p>
  </w:footnote>
  <w:footnote w:id="102">
    <w:p w14:paraId="6C3AE40E" w14:textId="694845E2" w:rsidR="00A4454A" w:rsidRPr="00975B77" w:rsidRDefault="00A4454A" w:rsidP="006356A2">
      <w:pPr>
        <w:pStyle w:val="Footnote"/>
      </w:pPr>
      <w:r w:rsidRPr="00975B77">
        <w:rPr>
          <w:vertAlign w:val="superscript"/>
        </w:rPr>
        <w:footnoteRef/>
      </w:r>
      <w:r w:rsidRPr="00975B77">
        <w:t>.</w:t>
      </w:r>
      <w:r w:rsidRPr="00975B77">
        <w:tab/>
        <w:t>Justice procedure offences, public order offences and other offences are excluded here given their low numbers. Between 2004–05 and 2023–24 in the higher courts, there were fewer than 80 custodial sentences imposed for justice procedure offences each year, fewer than 80 custodial sentences for public order offences each year, and fewer than 40 custodial sentences for other offences each year. See Appendix B for exact numbers.</w:t>
      </w:r>
    </w:p>
  </w:footnote>
  <w:footnote w:id="103">
    <w:p w14:paraId="3CCFADBB" w14:textId="60ABBDE6" w:rsidR="00A4454A" w:rsidRPr="00975B77" w:rsidRDefault="00A4454A" w:rsidP="006356A2">
      <w:pPr>
        <w:pStyle w:val="Footnote"/>
      </w:pPr>
      <w:r w:rsidRPr="00975B77">
        <w:rPr>
          <w:vertAlign w:val="superscript"/>
        </w:rPr>
        <w:footnoteRef/>
      </w:r>
      <w:r w:rsidRPr="00975B77">
        <w:t>.</w:t>
      </w:r>
      <w:r w:rsidRPr="00975B77">
        <w:tab/>
        <w:t>Dangerous acts offences and abduction offences are not presented here given their small numbers. There were fewer than 50 custodial sentences imposed for each offence type each year over the 20-year period. As a result, the numbers show significant fluctuation, with no observable trends.</w:t>
      </w:r>
    </w:p>
  </w:footnote>
  <w:footnote w:id="104">
    <w:p w14:paraId="30DC5EF9" w14:textId="49502EB6" w:rsidR="00A4454A" w:rsidRPr="00975B77" w:rsidRDefault="00A4454A" w:rsidP="006356A2">
      <w:pPr>
        <w:pStyle w:val="Footnote"/>
      </w:pPr>
      <w:r w:rsidRPr="00975B77">
        <w:rPr>
          <w:vertAlign w:val="superscript"/>
        </w:rPr>
        <w:footnoteRef/>
      </w:r>
      <w:r w:rsidRPr="00975B77">
        <w:t>.</w:t>
      </w:r>
      <w:r w:rsidRPr="00975B77">
        <w:tab/>
        <w:t>See Sentencing Advisory Council (2022), above n 71, 3, 20.</w:t>
      </w:r>
    </w:p>
  </w:footnote>
  <w:footnote w:id="105">
    <w:p w14:paraId="1A505AF4" w14:textId="189E669C" w:rsidR="00A4454A" w:rsidRPr="00975B77" w:rsidRDefault="00A4454A" w:rsidP="006356A2">
      <w:pPr>
        <w:pStyle w:val="Footnote"/>
      </w:pPr>
      <w:r w:rsidRPr="00975B77">
        <w:rPr>
          <w:vertAlign w:val="superscript"/>
        </w:rPr>
        <w:footnoteRef/>
      </w:r>
      <w:r w:rsidRPr="00975B77">
        <w:t>.</w:t>
      </w:r>
      <w:r w:rsidRPr="00975B77">
        <w:tab/>
        <w:t>Court data on sentence lengths for 2004–05 and 2005–06 is incomplete and is therefore excluded from this analysis.</w:t>
      </w:r>
    </w:p>
  </w:footnote>
  <w:footnote w:id="106">
    <w:p w14:paraId="70DC28EF" w14:textId="334FF5C1"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Crimes Act 1958</w:t>
      </w:r>
      <w:r w:rsidRPr="00975B77">
        <w:t xml:space="preserve"> (Vic) s 3(1)(a).</w:t>
      </w:r>
    </w:p>
  </w:footnote>
  <w:footnote w:id="107">
    <w:p w14:paraId="37A3A531" w14:textId="72AE9C02"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 xml:space="preserve">Crimes Act 1958 </w:t>
      </w:r>
      <w:r w:rsidRPr="00975B77">
        <w:t>(Vic)</w:t>
      </w:r>
      <w:r w:rsidRPr="00975B77">
        <w:rPr>
          <w:rStyle w:val="LightItalic"/>
          <w:rFonts w:ascii="Verdana" w:hAnsi="Verdana"/>
        </w:rPr>
        <w:t xml:space="preserve"> </w:t>
      </w:r>
      <w:r w:rsidRPr="00975B77">
        <w:t xml:space="preserve">s 75A. In the 5 years to 30 June 2023, the median imprisonment length for cases with armed robbery as the principal offence was 2.83 years: Sentencing Advisory Council, ‘Armed Robbery [Higher Courts]’, SACStat (sacstat.vic.gov.au, 2025). Armed robbery is a category 2 offence where the offence is committed with a firearm, a victim suffers injury or the offence is committed in the company of one or more other persons. In any of those cases, a custodial sentence must be imposed. </w:t>
      </w:r>
    </w:p>
  </w:footnote>
  <w:footnote w:id="108">
    <w:p w14:paraId="0B98E48E" w14:textId="6195EC7F" w:rsidR="00A4454A" w:rsidRPr="00975B77" w:rsidRDefault="00A4454A" w:rsidP="006356A2">
      <w:pPr>
        <w:pStyle w:val="Footnote"/>
      </w:pPr>
      <w:r w:rsidRPr="00975B77">
        <w:rPr>
          <w:vertAlign w:val="superscript"/>
        </w:rPr>
        <w:footnoteRef/>
      </w:r>
      <w:r w:rsidRPr="00975B77">
        <w:t>.</w:t>
      </w:r>
      <w:r w:rsidRPr="00975B77">
        <w:tab/>
        <w:t xml:space="preserve">Where a breach of order offence is the principal offence, the case is counted in the justice procedure offence category. However, for some of these breach of order offences (particularly breach of drug and alcohol orders under sections 18X–18ZQ of the </w:t>
      </w:r>
      <w:r w:rsidRPr="00975B77">
        <w:rPr>
          <w:rStyle w:val="LightItalic"/>
          <w:rFonts w:ascii="Verdana" w:hAnsi="Verdana"/>
        </w:rPr>
        <w:t>Sentencing Act 1991</w:t>
      </w:r>
      <w:r w:rsidRPr="00975B77">
        <w:t xml:space="preserve"> (Vic)) the activation of the custodial sentence (in response to a breach of the order) is often recorded under the original offending and, as such, the justice procedure offence category may underestimate breach of order offences and their respective impact on the prison population.</w:t>
      </w:r>
    </w:p>
  </w:footnote>
  <w:footnote w:id="109">
    <w:p w14:paraId="1B4A307E" w14:textId="21AD74F3"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 xml:space="preserve">Crimes Act 1958 </w:t>
      </w:r>
      <w:r w:rsidRPr="00975B77">
        <w:t>(Vic) s 76.</w:t>
      </w:r>
    </w:p>
  </w:footnote>
  <w:footnote w:id="110">
    <w:p w14:paraId="2AA4BFAC" w14:textId="13810D47"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 xml:space="preserve">Summary Offences Act 1966 </w:t>
      </w:r>
      <w:r w:rsidRPr="00975B77">
        <w:t>(Vic) s 23.</w:t>
      </w:r>
    </w:p>
  </w:footnote>
  <w:footnote w:id="111">
    <w:p w14:paraId="4C89EF03" w14:textId="4FF44D4F"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 xml:space="preserve">Crimes Act 1958 </w:t>
      </w:r>
      <w:r w:rsidRPr="00975B77">
        <w:t>(Vic) s 18.</w:t>
      </w:r>
    </w:p>
  </w:footnote>
  <w:footnote w:id="112">
    <w:p w14:paraId="2709DF44" w14:textId="42350D6C" w:rsidR="00A4454A" w:rsidRPr="00975B77" w:rsidRDefault="00A4454A" w:rsidP="006356A2">
      <w:pPr>
        <w:pStyle w:val="Footnote"/>
      </w:pPr>
      <w:r w:rsidRPr="00975B77">
        <w:rPr>
          <w:vertAlign w:val="superscript"/>
        </w:rPr>
        <w:footnoteRef/>
      </w:r>
      <w:r w:rsidRPr="00975B77">
        <w:t>.</w:t>
      </w:r>
      <w:r w:rsidRPr="00975B77">
        <w:tab/>
        <w:t xml:space="preserve">The number of </w:t>
      </w:r>
      <w:r w:rsidRPr="00975B77">
        <w:rPr>
          <w:rStyle w:val="LightItalic"/>
          <w:rFonts w:ascii="Verdana" w:hAnsi="Verdana"/>
        </w:rPr>
        <w:t>cases</w:t>
      </w:r>
      <w:r w:rsidRPr="00975B77">
        <w:t xml:space="preserve"> where the offender was aged 40 to 59 increased from 960 cases in 2004–05 to 2,365 cases in 2023–24.</w:t>
      </w:r>
    </w:p>
  </w:footnote>
  <w:footnote w:id="113">
    <w:p w14:paraId="2A2C7B0C" w14:textId="1B8DEDC5" w:rsidR="00A4454A" w:rsidRPr="00975B77" w:rsidRDefault="00A4454A" w:rsidP="006356A2">
      <w:pPr>
        <w:pStyle w:val="Footnote"/>
      </w:pPr>
      <w:r w:rsidRPr="00975B77">
        <w:rPr>
          <w:vertAlign w:val="superscript"/>
        </w:rPr>
        <w:footnoteRef/>
      </w:r>
      <w:r w:rsidRPr="00975B77">
        <w:t>.</w:t>
      </w:r>
      <w:r w:rsidRPr="00975B77">
        <w:tab/>
        <w:t xml:space="preserve">The increasing number of older offenders sentenced to imprisonment occurs in the context of an overall increase in the number of </w:t>
      </w:r>
      <w:r w:rsidRPr="00975B77">
        <w:rPr>
          <w:rStyle w:val="LightItalic"/>
          <w:rFonts w:ascii="Verdana" w:hAnsi="Verdana"/>
        </w:rPr>
        <w:t>cases</w:t>
      </w:r>
      <w:r w:rsidRPr="00975B77">
        <w:t xml:space="preserve"> involving older offenders (from 1,832 cases in 2004–05 to 5,370 cases in 2023–24). See also Sentencing Advisory Council, </w:t>
      </w:r>
      <w:r w:rsidRPr="00975B77">
        <w:rPr>
          <w:rStyle w:val="LightItalic"/>
          <w:rFonts w:ascii="Verdana" w:hAnsi="Verdana"/>
        </w:rPr>
        <w:t>Sentencing Older Offenders in Victoria</w:t>
      </w:r>
      <w:r w:rsidRPr="00975B77">
        <w:t xml:space="preserve"> (2021) 27–29.</w:t>
      </w:r>
    </w:p>
  </w:footnote>
  <w:footnote w:id="114">
    <w:p w14:paraId="5331096F" w14:textId="50110E51" w:rsidR="00A4454A" w:rsidRPr="00975B77" w:rsidRDefault="00A4454A" w:rsidP="006356A2">
      <w:pPr>
        <w:pStyle w:val="Footnote"/>
      </w:pPr>
      <w:r w:rsidRPr="00975B77">
        <w:rPr>
          <w:vertAlign w:val="superscript"/>
        </w:rPr>
        <w:footnoteRef/>
      </w:r>
      <w:r w:rsidRPr="00975B77">
        <w:t>.</w:t>
      </w:r>
      <w:r w:rsidRPr="00975B77">
        <w:tab/>
        <w:t>For more detailed information on offenders aged 60 and over sentenced in Victorian courts, see ibid.</w:t>
      </w:r>
    </w:p>
  </w:footnote>
  <w:footnote w:id="115">
    <w:p w14:paraId="121C9102" w14:textId="21540B33"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Crimes Act 1958</w:t>
      </w:r>
      <w:r w:rsidRPr="00975B77">
        <w:t xml:space="preserve"> (Vic) s 47(1) (repealed).</w:t>
      </w:r>
    </w:p>
  </w:footnote>
  <w:footnote w:id="116">
    <w:p w14:paraId="5E986F69" w14:textId="473BDE4D" w:rsidR="00A4454A" w:rsidRPr="00975B77" w:rsidRDefault="00A4454A" w:rsidP="006356A2">
      <w:pPr>
        <w:pStyle w:val="Footnote"/>
      </w:pPr>
      <w:r w:rsidRPr="00975B77">
        <w:rPr>
          <w:vertAlign w:val="superscript"/>
        </w:rPr>
        <w:footnoteRef/>
      </w:r>
      <w:r w:rsidRPr="00975B77">
        <w:t>.</w:t>
      </w:r>
      <w:r w:rsidRPr="00975B77">
        <w:tab/>
      </w:r>
      <w:r w:rsidRPr="00975B77">
        <w:rPr>
          <w:rStyle w:val="LightItalic"/>
          <w:rFonts w:ascii="Verdana" w:hAnsi="Verdana"/>
        </w:rPr>
        <w:t>Crimes Act 1958</w:t>
      </w:r>
      <w:r w:rsidRPr="00975B77">
        <w:t xml:space="preserve"> (Vic) s 45(2) (repealed).</w:t>
      </w:r>
    </w:p>
  </w:footnote>
  <w:footnote w:id="117">
    <w:p w14:paraId="550F894D" w14:textId="0E380B59" w:rsidR="00A4454A" w:rsidRPr="00975B77" w:rsidRDefault="00A4454A" w:rsidP="006356A2">
      <w:pPr>
        <w:pStyle w:val="Footnote"/>
      </w:pPr>
      <w:r w:rsidRPr="00975B77">
        <w:rPr>
          <w:vertAlign w:val="superscript"/>
        </w:rPr>
        <w:footnoteRef/>
      </w:r>
      <w:r w:rsidRPr="00975B77">
        <w:t>.</w:t>
      </w:r>
      <w:r w:rsidRPr="00975B77">
        <w:tab/>
        <w:t xml:space="preserve">In </w:t>
      </w:r>
      <w:r w:rsidRPr="00975B77">
        <w:rPr>
          <w:rStyle w:val="LightItalic"/>
          <w:rFonts w:ascii="Verdana" w:hAnsi="Verdana"/>
        </w:rPr>
        <w:t>DPP v Smith</w:t>
      </w:r>
      <w:r w:rsidRPr="00975B77">
        <w:t xml:space="preserve"> [2020] VCC 656, a 79-year-old male offender was sentenced in the County Court for historical sex offending that occurred between 1959 and 1979. Hogan J commented on the reason for the delay between offending and sentence, stating that ‘[t]he law recognises that because of the confusing and deleterious impact of sexual offending on children, it is not uncommon for there to be substantial delay and, indeed, some victims never make a complaint at all’: </w:t>
      </w:r>
      <w:r w:rsidRPr="00975B77">
        <w:rPr>
          <w:rStyle w:val="LightItalic"/>
          <w:rFonts w:ascii="Verdana" w:hAnsi="Verdana"/>
        </w:rPr>
        <w:t>DPP v Smith</w:t>
      </w:r>
      <w:r w:rsidRPr="00975B77">
        <w:t xml:space="preserve"> [2020] VCC 656 [41].</w:t>
      </w:r>
    </w:p>
  </w:footnote>
  <w:footnote w:id="118">
    <w:p w14:paraId="0CA0E7C0" w14:textId="66C95025" w:rsidR="00A4454A" w:rsidRPr="006356A2" w:rsidRDefault="00A4454A" w:rsidP="006356A2">
      <w:pPr>
        <w:pStyle w:val="Footnote"/>
        <w:rPr>
          <w:spacing w:val="-3"/>
        </w:rPr>
      </w:pPr>
      <w:r w:rsidRPr="00975B77">
        <w:rPr>
          <w:vertAlign w:val="superscript"/>
        </w:rPr>
        <w:footnoteRef/>
      </w:r>
      <w:r w:rsidRPr="00975B77">
        <w:t>.</w:t>
      </w:r>
      <w:r w:rsidRPr="00975B77">
        <w:tab/>
      </w:r>
      <w:r w:rsidRPr="00975B77">
        <w:rPr>
          <w:spacing w:val="-3"/>
        </w:rPr>
        <w:t>For a discussion of advanced age as a sentencing factor, see Sentencing Advisory Council (2021), above n 113, 5–22.</w:t>
      </w:r>
    </w:p>
  </w:footnote>
  <w:footnote w:id="119">
    <w:p w14:paraId="31D6F5E5" w14:textId="5E9D3A0A" w:rsidR="00A4454A" w:rsidRPr="00975B77" w:rsidRDefault="00A4454A" w:rsidP="006356A2">
      <w:pPr>
        <w:pStyle w:val="Footnote"/>
      </w:pPr>
      <w:r w:rsidRPr="00975B77">
        <w:rPr>
          <w:vertAlign w:val="superscript"/>
        </w:rPr>
        <w:footnoteRef/>
      </w:r>
      <w:r w:rsidRPr="00975B77">
        <w:t>.</w:t>
      </w:r>
      <w:r w:rsidRPr="00975B77">
        <w:tab/>
        <w:t>Court data on sentence lengths for 2004–05 and 2005–06 is incomplete and is therefore excluded from this analysis.</w:t>
      </w:r>
    </w:p>
  </w:footnote>
  <w:footnote w:id="120">
    <w:p w14:paraId="1985143D" w14:textId="6F9AC4F7" w:rsidR="00A4454A" w:rsidRPr="00975B77" w:rsidRDefault="00A4454A" w:rsidP="006356A2">
      <w:pPr>
        <w:pStyle w:val="Footnote"/>
      </w:pPr>
      <w:r w:rsidRPr="00975B77">
        <w:rPr>
          <w:vertAlign w:val="superscript"/>
        </w:rPr>
        <w:footnoteRef/>
      </w:r>
      <w:r w:rsidRPr="00975B77">
        <w:t>.</w:t>
      </w:r>
      <w:r w:rsidRPr="00975B77">
        <w:tab/>
        <w:t xml:space="preserve">Currently, for most offences, a court can impose a prison sentence of up to 12 months combined with a CCO: </w:t>
      </w:r>
      <w:r w:rsidRPr="00975B77">
        <w:rPr>
          <w:rStyle w:val="LightItalic"/>
          <w:rFonts w:ascii="Verdana" w:hAnsi="Verdana"/>
        </w:rPr>
        <w:t>Sentencing Act 1991</w:t>
      </w:r>
      <w:r w:rsidRPr="00975B77">
        <w:t xml:space="preserve"> (Vic) s 44.</w:t>
      </w:r>
    </w:p>
  </w:footnote>
  <w:footnote w:id="121">
    <w:p w14:paraId="6710B8EF" w14:textId="3B51DABC" w:rsidR="00A4454A" w:rsidRPr="00975B77" w:rsidRDefault="00A4454A" w:rsidP="006356A2">
      <w:pPr>
        <w:pStyle w:val="Footnote"/>
      </w:pPr>
      <w:r w:rsidRPr="00975B77">
        <w:rPr>
          <w:vertAlign w:val="superscript"/>
        </w:rPr>
        <w:footnoteRef/>
      </w:r>
      <w:r w:rsidRPr="00975B77">
        <w:t>.</w:t>
      </w:r>
      <w:r w:rsidRPr="00975B77">
        <w:tab/>
        <w:t xml:space="preserve">Sentencing Advisory Council, </w:t>
      </w:r>
      <w:r w:rsidRPr="00975B77">
        <w:rPr>
          <w:rStyle w:val="LightItalic"/>
          <w:rFonts w:ascii="Verdana" w:hAnsi="Verdana"/>
        </w:rPr>
        <w:t>Time Served Prison Sentences in Victoria</w:t>
      </w:r>
      <w:r w:rsidRPr="00975B77">
        <w:t xml:space="preserve"> (2020) 1–3. Similar findings have been observed in New South Wales: Stephanie Ramsey and Jackie Fitzgerald, </w:t>
      </w:r>
      <w:r w:rsidRPr="00975B77">
        <w:rPr>
          <w:rStyle w:val="LightItalic"/>
          <w:rFonts w:ascii="Verdana" w:hAnsi="Verdana"/>
        </w:rPr>
        <w:t>Offenders Sentenced to Time Already Served in Custody</w:t>
      </w:r>
      <w:r w:rsidRPr="00975B77">
        <w:t>, Issues Paper no. 140 (2019).</w:t>
      </w:r>
    </w:p>
  </w:footnote>
  <w:footnote w:id="122">
    <w:p w14:paraId="4466DEA2" w14:textId="06B07C0B" w:rsidR="00A4454A" w:rsidRPr="00975B77" w:rsidRDefault="00A4454A" w:rsidP="006356A2">
      <w:pPr>
        <w:pStyle w:val="Footnote"/>
      </w:pPr>
      <w:r w:rsidRPr="00975B77">
        <w:rPr>
          <w:vertAlign w:val="superscript"/>
        </w:rPr>
        <w:footnoteRef/>
      </w:r>
      <w:r w:rsidRPr="00975B77">
        <w:t>.</w:t>
      </w:r>
      <w:r w:rsidRPr="00975B77">
        <w:tab/>
        <w:t xml:space="preserve">Consistent with past reports, a prison sentence was considered to be a time served prison sentence if its length was 5 days more or less than the length of time served on remand. </w:t>
      </w:r>
    </w:p>
  </w:footnote>
  <w:footnote w:id="123">
    <w:p w14:paraId="41AF95C0" w14:textId="716A5042" w:rsidR="00A4454A" w:rsidRPr="00975B77" w:rsidRDefault="00A4454A" w:rsidP="006356A2">
      <w:pPr>
        <w:pStyle w:val="Footnote"/>
      </w:pPr>
      <w:r w:rsidRPr="00975B77">
        <w:rPr>
          <w:vertAlign w:val="superscript"/>
        </w:rPr>
        <w:footnoteRef/>
      </w:r>
      <w:r w:rsidRPr="00975B77">
        <w:t>.</w:t>
      </w:r>
      <w:r w:rsidRPr="00975B77">
        <w:tab/>
        <w:t xml:space="preserve">As required by section 18(1) of the </w:t>
      </w:r>
      <w:r w:rsidRPr="00975B77">
        <w:rPr>
          <w:rStyle w:val="LightItalic"/>
          <w:rFonts w:ascii="Verdana" w:hAnsi="Verdana"/>
        </w:rPr>
        <w:t xml:space="preserve">Sentencing Act 1991 </w:t>
      </w:r>
      <w:r w:rsidRPr="00975B77">
        <w:t>(Vic).</w:t>
      </w:r>
    </w:p>
  </w:footnote>
  <w:footnote w:id="124">
    <w:p w14:paraId="06432C53" w14:textId="7C03034C" w:rsidR="00A4454A" w:rsidRPr="00975B77" w:rsidRDefault="00A4454A" w:rsidP="00815145">
      <w:pPr>
        <w:pStyle w:val="Footnote"/>
      </w:pPr>
      <w:r w:rsidRPr="00975B77">
        <w:rPr>
          <w:vertAlign w:val="superscript"/>
        </w:rPr>
        <w:footnoteRef/>
      </w:r>
      <w:r w:rsidRPr="00975B77">
        <w:t>.</w:t>
      </w:r>
      <w:r w:rsidRPr="00975B77">
        <w:tab/>
        <w:t xml:space="preserve">Where an offender is sentenced to a custodial sentence shorter than the time spent on remand, this can raise issues regarding any future engagement with the criminal justice system. </w:t>
      </w:r>
      <w:r w:rsidRPr="00975B77">
        <w:rPr>
          <w:rStyle w:val="LightItalic"/>
          <w:rFonts w:ascii="Verdana" w:hAnsi="Verdana"/>
        </w:rPr>
        <w:t xml:space="preserve">Renzella </w:t>
      </w:r>
      <w:r w:rsidRPr="00975B77">
        <w:t xml:space="preserve">dead time allows the court to take into account some or all of an offender’s time spent on remand that was not reckoned as time served in a previous case if they fall to be sentenced to imprisonment in a new case: </w:t>
      </w:r>
      <w:r w:rsidRPr="00975B77">
        <w:rPr>
          <w:rStyle w:val="LightItalic"/>
          <w:rFonts w:ascii="Verdana" w:hAnsi="Verdana"/>
        </w:rPr>
        <w:t>R v Renzella</w:t>
      </w:r>
      <w:r w:rsidRPr="00975B77">
        <w:t xml:space="preserve"> (1997) 2 VR 88. However, if that time has already been reckoned (even though the ultimate sentence imposed was less than the time on remand reckoned), the time served becomes unavailable to the offender. It is not clear on what basis a court could reckon a </w:t>
      </w:r>
      <w:r w:rsidRPr="00975B77">
        <w:rPr>
          <w:rStyle w:val="LightItalic"/>
          <w:rFonts w:ascii="Verdana" w:hAnsi="Verdana"/>
        </w:rPr>
        <w:t xml:space="preserve">longer </w:t>
      </w:r>
      <w:r w:rsidRPr="00975B77">
        <w:t>time served on remand than the sentence imposed.</w:t>
      </w:r>
    </w:p>
  </w:footnote>
  <w:footnote w:id="125">
    <w:p w14:paraId="03BB0049" w14:textId="3C015469" w:rsidR="00A4454A" w:rsidRPr="00975B77" w:rsidRDefault="00A4454A" w:rsidP="00815145">
      <w:pPr>
        <w:pStyle w:val="Footnote"/>
      </w:pPr>
      <w:r w:rsidRPr="00975B77">
        <w:rPr>
          <w:vertAlign w:val="superscript"/>
        </w:rPr>
        <w:footnoteRef/>
      </w:r>
      <w:r w:rsidRPr="00975B77">
        <w:t>.</w:t>
      </w:r>
      <w:r w:rsidRPr="00975B77">
        <w:tab/>
        <w:t>This is consistent with our previous finding that 96% of time served prison sentences between 2012–13 and 2017–18 were less than 6 months, and the average length of a time served prison sentence was 58 days (in the Magistrates’ Court) and 188 days (in the higher courts): Sentencing Advisory Council (2020), above n 121, 10.</w:t>
      </w:r>
    </w:p>
  </w:footnote>
  <w:footnote w:id="126">
    <w:p w14:paraId="731BB04E" w14:textId="16395F25" w:rsidR="00A4454A" w:rsidRPr="00975B77" w:rsidRDefault="00A4454A" w:rsidP="00815145">
      <w:pPr>
        <w:pStyle w:val="Footnote"/>
      </w:pPr>
      <w:r w:rsidRPr="00975B77">
        <w:rPr>
          <w:vertAlign w:val="superscript"/>
        </w:rPr>
        <w:footnoteRef/>
      </w:r>
      <w:r w:rsidRPr="00975B77">
        <w:t>.</w:t>
      </w:r>
      <w:r w:rsidRPr="00975B77">
        <w:tab/>
        <w:t xml:space="preserve">For example, in 1995 Western Australia abolished prison sentences of 3 months or less, increasing the threshold for abolition to 6 months in 2003: </w:t>
      </w:r>
      <w:r w:rsidRPr="00975B77">
        <w:rPr>
          <w:rStyle w:val="LightItalic"/>
          <w:rFonts w:ascii="Verdana" w:hAnsi="Verdana"/>
        </w:rPr>
        <w:t>Sentencing Act 1995</w:t>
      </w:r>
      <w:r w:rsidRPr="00975B77">
        <w:t xml:space="preserve"> (WA) s 86. See Australian Law Reform Commission, </w:t>
      </w:r>
      <w:r w:rsidRPr="00975B77">
        <w:rPr>
          <w:rStyle w:val="LightItalic"/>
          <w:rFonts w:ascii="Verdana" w:hAnsi="Verdana"/>
        </w:rPr>
        <w:t xml:space="preserve">Pathways to Justice – An Inquiry into the Incarceration Rate of Aboriginal and Torres Strait Islander </w:t>
      </w:r>
      <w:r w:rsidRPr="00975B77">
        <w:rPr>
          <w:rStyle w:val="LightItalic"/>
          <w:rFonts w:ascii="Verdana" w:hAnsi="Verdana"/>
          <w:spacing w:val="-1"/>
        </w:rPr>
        <w:t xml:space="preserve">Peoples, </w:t>
      </w:r>
      <w:r w:rsidRPr="00975B77">
        <w:rPr>
          <w:spacing w:val="-1"/>
        </w:rPr>
        <w:t>Final Report</w:t>
      </w:r>
      <w:r w:rsidRPr="00975B77">
        <w:rPr>
          <w:rStyle w:val="LightItalic"/>
          <w:rFonts w:ascii="Verdana" w:hAnsi="Verdana"/>
          <w:spacing w:val="-1"/>
        </w:rPr>
        <w:t xml:space="preserve"> </w:t>
      </w:r>
      <w:r w:rsidRPr="00975B77">
        <w:rPr>
          <w:spacing w:val="-1"/>
        </w:rPr>
        <w:t xml:space="preserve">(2017) 270–272. Internationally, Scotland has also created a legislative presumption against short prison sentences: see </w:t>
      </w:r>
      <w:r w:rsidRPr="00975B77">
        <w:rPr>
          <w:rStyle w:val="LightItalic"/>
          <w:rFonts w:ascii="Verdana" w:hAnsi="Verdana"/>
          <w:spacing w:val="-1"/>
        </w:rPr>
        <w:t>Criminal Procedure (Scotland) Act 1995</w:t>
      </w:r>
      <w:r w:rsidRPr="00975B77">
        <w:rPr>
          <w:spacing w:val="-1"/>
        </w:rPr>
        <w:t xml:space="preserve"> (Scot) s 204. For a discussion of short prison </w:t>
      </w:r>
      <w:r w:rsidRPr="00975B77">
        <w:t>sentences in Victoria, see State of Victoria, Legal and Social Issues Committee (2022), above n 21, 548–551.</w:t>
      </w:r>
    </w:p>
  </w:footnote>
  <w:footnote w:id="127">
    <w:p w14:paraId="3C2EFF2D" w14:textId="45AE7743" w:rsidR="00A4454A" w:rsidRPr="00975B77" w:rsidRDefault="00A4454A" w:rsidP="00815145">
      <w:pPr>
        <w:pStyle w:val="Footnote"/>
      </w:pPr>
      <w:r w:rsidRPr="00975B77">
        <w:rPr>
          <w:vertAlign w:val="superscript"/>
        </w:rPr>
        <w:footnoteRef/>
      </w:r>
      <w:r w:rsidRPr="00975B77">
        <w:t>.</w:t>
      </w:r>
      <w:r w:rsidRPr="00975B77">
        <w:tab/>
        <w:t>The offender’s gender could not be determined for 78 cases receiving a custodial sentence.</w:t>
      </w:r>
    </w:p>
  </w:footnote>
  <w:footnote w:id="128">
    <w:p w14:paraId="0EDFC71F" w14:textId="3C57B253" w:rsidR="00A4454A" w:rsidRPr="00975B77" w:rsidRDefault="00A4454A" w:rsidP="00815145">
      <w:pPr>
        <w:pStyle w:val="Footnote"/>
      </w:pPr>
      <w:r w:rsidRPr="00975B77">
        <w:rPr>
          <w:vertAlign w:val="superscript"/>
        </w:rPr>
        <w:footnoteRef/>
      </w:r>
      <w:r w:rsidRPr="00975B77">
        <w:t>.</w:t>
      </w:r>
      <w:r w:rsidRPr="00975B77">
        <w:tab/>
      </w:r>
      <w:r w:rsidRPr="00975B77">
        <w:rPr>
          <w:spacing w:val="-1"/>
        </w:rPr>
        <w:t xml:space="preserve">See, for example, Crime Statistics Agency, </w:t>
      </w:r>
      <w:r w:rsidRPr="00975B77">
        <w:rPr>
          <w:rStyle w:val="LightItalic"/>
          <w:rFonts w:ascii="Verdana" w:hAnsi="Verdana"/>
          <w:spacing w:val="-1"/>
        </w:rPr>
        <w:t>Characteristics and Offending of Women in Prison in Victoria, 2012–2018</w:t>
      </w:r>
      <w:r w:rsidRPr="00975B77">
        <w:rPr>
          <w:spacing w:val="-1"/>
        </w:rPr>
        <w:t xml:space="preserve"> </w:t>
      </w:r>
      <w:r w:rsidRPr="00975B77">
        <w:t xml:space="preserve">(2019); Sentencing Advisory Council, </w:t>
      </w:r>
      <w:r w:rsidRPr="00975B77">
        <w:rPr>
          <w:rStyle w:val="LightItalic"/>
          <w:rFonts w:ascii="Verdana" w:hAnsi="Verdana"/>
        </w:rPr>
        <w:t>Gender Differences in Sentencing Outcomes</w:t>
      </w:r>
      <w:r w:rsidRPr="00975B77">
        <w:t xml:space="preserve"> (2010); Sarah Bennett et al., ‘Explaining Gender Differences in Crime and Violence: The Importance of Social Cognitive Skills’ (2005) 10(3) </w:t>
      </w:r>
      <w:r w:rsidRPr="00975B77">
        <w:rPr>
          <w:rStyle w:val="LightItalic"/>
          <w:rFonts w:ascii="Verdana" w:hAnsi="Verdana"/>
        </w:rPr>
        <w:t>Aggression and Violent Behavior</w:t>
      </w:r>
      <w:r w:rsidRPr="00975B77">
        <w:t xml:space="preserve"> 263.</w:t>
      </w:r>
    </w:p>
  </w:footnote>
  <w:footnote w:id="129">
    <w:p w14:paraId="5F5564A4" w14:textId="420B45E5" w:rsidR="00A4454A" w:rsidRPr="00975B77" w:rsidRDefault="00A4454A" w:rsidP="00815145">
      <w:pPr>
        <w:pStyle w:val="Footnote"/>
      </w:pPr>
      <w:r w:rsidRPr="00975B77">
        <w:rPr>
          <w:vertAlign w:val="superscript"/>
        </w:rPr>
        <w:footnoteRef/>
      </w:r>
      <w:r w:rsidRPr="00975B77">
        <w:t>.</w:t>
      </w:r>
      <w:r w:rsidRPr="00975B77">
        <w:tab/>
        <w:t>Court data on sentence lengths is incomplete for the years 2004–05 to 2005–06 and is excluded. Imprisonment lengths that were indeterminate are also excluded from Figure 35.</w:t>
      </w:r>
    </w:p>
  </w:footnote>
  <w:footnote w:id="130">
    <w:p w14:paraId="0AEA87B2" w14:textId="659C39CF" w:rsidR="00A4454A" w:rsidRPr="00975B77" w:rsidRDefault="00A4454A" w:rsidP="00815145">
      <w:pPr>
        <w:pStyle w:val="Footnote"/>
      </w:pPr>
      <w:r w:rsidRPr="00975B77">
        <w:rPr>
          <w:vertAlign w:val="superscript"/>
        </w:rPr>
        <w:footnoteRef/>
      </w:r>
      <w:r w:rsidRPr="00975B77">
        <w:t>.</w:t>
      </w:r>
      <w:r w:rsidRPr="00975B77">
        <w:tab/>
      </w:r>
      <w:r w:rsidRPr="00975B77">
        <w:rPr>
          <w:rStyle w:val="LightItalic"/>
          <w:rFonts w:ascii="Verdana" w:hAnsi="Verdana"/>
        </w:rPr>
        <w:t>Crimes Act 1958</w:t>
      </w:r>
      <w:r w:rsidRPr="00975B77">
        <w:t xml:space="preserve"> (Vic) s 74.</w:t>
      </w:r>
    </w:p>
  </w:footnote>
  <w:footnote w:id="131">
    <w:p w14:paraId="42D385B7" w14:textId="79F2D3A8" w:rsidR="00A4454A" w:rsidRPr="00975B77" w:rsidRDefault="00A4454A" w:rsidP="00815145">
      <w:pPr>
        <w:pStyle w:val="Footnote"/>
      </w:pPr>
      <w:r w:rsidRPr="00975B77">
        <w:rPr>
          <w:vertAlign w:val="superscript"/>
        </w:rPr>
        <w:footnoteRef/>
      </w:r>
      <w:r w:rsidRPr="00975B77">
        <w:t>.</w:t>
      </w:r>
      <w:r w:rsidRPr="00975B77">
        <w:tab/>
      </w:r>
      <w:r w:rsidRPr="00975B77">
        <w:rPr>
          <w:rStyle w:val="LightItalic"/>
          <w:rFonts w:ascii="Verdana" w:hAnsi="Verdana"/>
        </w:rPr>
        <w:t>Drugs, Poisons and Controlled Substances Act 1981</w:t>
      </w:r>
      <w:r w:rsidRPr="00975B77">
        <w:t xml:space="preserve"> (Vic) s 71AC(1).</w:t>
      </w:r>
    </w:p>
  </w:footnote>
  <w:footnote w:id="132">
    <w:p w14:paraId="4D7A4C72" w14:textId="0D296516" w:rsidR="00A4454A" w:rsidRPr="00975B77" w:rsidRDefault="00A4454A" w:rsidP="00815145">
      <w:pPr>
        <w:pStyle w:val="Footnote"/>
      </w:pPr>
      <w:r w:rsidRPr="00975B77">
        <w:rPr>
          <w:vertAlign w:val="superscript"/>
        </w:rPr>
        <w:footnoteRef/>
      </w:r>
      <w:r w:rsidRPr="00975B77">
        <w:t>.</w:t>
      </w:r>
      <w:r w:rsidRPr="00975B77">
        <w:tab/>
      </w:r>
      <w:r w:rsidRPr="00975B77">
        <w:rPr>
          <w:rStyle w:val="LightItalic"/>
          <w:rFonts w:ascii="Verdana" w:hAnsi="Verdana"/>
        </w:rPr>
        <w:t xml:space="preserve">Crimes Act 1958 </w:t>
      </w:r>
      <w:r w:rsidRPr="00975B77">
        <w:t>(Vic) s 76.</w:t>
      </w:r>
    </w:p>
  </w:footnote>
  <w:footnote w:id="133">
    <w:p w14:paraId="3B01FDBB" w14:textId="5F875A59" w:rsidR="00A4454A" w:rsidRPr="00975B77" w:rsidRDefault="00A4454A" w:rsidP="00815145">
      <w:pPr>
        <w:pStyle w:val="Footnote"/>
      </w:pPr>
      <w:r w:rsidRPr="00975B77">
        <w:rPr>
          <w:vertAlign w:val="superscript"/>
        </w:rPr>
        <w:footnoteRef/>
      </w:r>
      <w:r w:rsidRPr="00975B77">
        <w:t>.</w:t>
      </w:r>
      <w:r w:rsidRPr="00975B77">
        <w:tab/>
        <w:t xml:space="preserve">World Prison Brief is a database of information on prison systems for 233 international jurisdictions and is published by the Institute for Crime &amp; Justice Policy Research at the University of London: Institute for Crime &amp; Justice Policy Research, ‘About World Prison Brief’, World Prison Brief (prisonstudies.org, 2025). World Prison Brief data is used here for Ireland, New Zealand, Scotland and England and Wales. </w:t>
      </w:r>
    </w:p>
  </w:footnote>
  <w:footnote w:id="134">
    <w:p w14:paraId="1AD4D5D4" w14:textId="1B58166D" w:rsidR="00A4454A" w:rsidRPr="00975B77" w:rsidRDefault="00A4454A" w:rsidP="00815145">
      <w:pPr>
        <w:pStyle w:val="Footnote"/>
      </w:pPr>
      <w:r w:rsidRPr="00975B77">
        <w:rPr>
          <w:vertAlign w:val="superscript"/>
        </w:rPr>
        <w:footnoteRef/>
      </w:r>
      <w:r w:rsidRPr="00975B77">
        <w:t>.</w:t>
      </w:r>
      <w:r w:rsidRPr="00975B77">
        <w:tab/>
        <w:t>World Prison Brief collates data from the relevant source (usually the Department of Corrections or relevant body) in each jurisdiction, and as such, reference periods do not align exactly and should be interpreted with some caution. For 2024, data was sourced directly from the relevant department in each jurisdiction for the prison population at the end of June 2024: Institute for Crime &amp; Justice Policy Research, ‘World Prison Brief Data’, World Prison Brief (prisonstudies.org, 2024). For each jurisdiction specifically, see New Zealand Department of Corrections (2025), above n 3; Scottish Prison Service, ‘Data, Research and Evidence’ (sps.gov.uk, 2025); United Kingdom Ministry of Justice, ‘Justice in Numbers – Public Protection’ (justice.gov.uk, 2025); Irish Prison Service, ‘2024 Prison Population’ (irishprisons.ie, 2025).</w:t>
      </w:r>
    </w:p>
  </w:footnote>
  <w:footnote w:id="135">
    <w:p w14:paraId="30C71035" w14:textId="3111CBA5" w:rsidR="00A4454A" w:rsidRPr="00975B77" w:rsidRDefault="00A4454A" w:rsidP="00815145">
      <w:pPr>
        <w:pStyle w:val="Footnote"/>
      </w:pPr>
      <w:r w:rsidRPr="00975B77">
        <w:rPr>
          <w:vertAlign w:val="superscript"/>
        </w:rPr>
        <w:footnoteRef/>
      </w:r>
      <w:r w:rsidRPr="00975B77">
        <w:t>.</w:t>
      </w:r>
      <w:r w:rsidRPr="00975B77">
        <w:tab/>
        <w:t>As of 30 June 2024, there were 5,915 people in Victorian prisons, 5,634 of whom were male: Corrections Victoria (2025), above n 29, Table 1.</w:t>
      </w:r>
    </w:p>
  </w:footnote>
  <w:footnote w:id="136">
    <w:p w14:paraId="379FDEA3" w14:textId="738127B7" w:rsidR="00A4454A" w:rsidRPr="00975B77" w:rsidRDefault="00A4454A" w:rsidP="00815145">
      <w:pPr>
        <w:pStyle w:val="Footnote"/>
      </w:pPr>
      <w:r w:rsidRPr="00975B77">
        <w:rPr>
          <w:vertAlign w:val="superscript"/>
        </w:rPr>
        <w:footnoteRef/>
      </w:r>
      <w:r w:rsidRPr="00975B77">
        <w:t>.</w:t>
      </w:r>
      <w:r w:rsidRPr="00975B77">
        <w:tab/>
        <w:t>South Australia was the only state in which growth in the number of male prisoners (12%) outpaced growth in the number of female prisoners (5%): Australian Bureau of Statistics (2024), above n 31.</w:t>
      </w:r>
    </w:p>
  </w:footnote>
  <w:footnote w:id="137">
    <w:p w14:paraId="5521C8AC" w14:textId="0918D11E" w:rsidR="00A4454A" w:rsidRPr="00975B77" w:rsidRDefault="00A4454A" w:rsidP="00815145">
      <w:pPr>
        <w:pStyle w:val="Footnote"/>
      </w:pPr>
      <w:r w:rsidRPr="00975B77">
        <w:rPr>
          <w:vertAlign w:val="superscript"/>
        </w:rPr>
        <w:footnoteRef/>
      </w:r>
      <w:r w:rsidRPr="00975B77">
        <w:t>.</w:t>
      </w:r>
      <w:r w:rsidRPr="00975B77">
        <w:tab/>
        <w:t xml:space="preserve">The report found that in Victoria, Aboriginal people were, as a proportion of the population, 16.4 times more likely to be in prison than non-Aboriginal people: Commonwealth of Australia, </w:t>
      </w:r>
      <w:r w:rsidRPr="00975B77">
        <w:rPr>
          <w:rStyle w:val="LightItalic"/>
          <w:rFonts w:ascii="Verdana" w:hAnsi="Verdana"/>
        </w:rPr>
        <w:t>Royal Commission into Aboriginal Deaths in Custody, Final Report,</w:t>
      </w:r>
      <w:r w:rsidRPr="00975B77">
        <w:t xml:space="preserve"> vol. 1 (1991) 226 (with a rate of 1,201.3 per 100,000 Aboriginal adults, compared to 73.2 per 100,000 non-Aboriginal adults).</w:t>
      </w:r>
    </w:p>
  </w:footnote>
  <w:footnote w:id="138">
    <w:p w14:paraId="3476E52B" w14:textId="3EDFAFCA" w:rsidR="00A4454A" w:rsidRPr="00975B77" w:rsidRDefault="00A4454A" w:rsidP="00815145">
      <w:pPr>
        <w:pStyle w:val="Footnote"/>
      </w:pPr>
      <w:r w:rsidRPr="00975B77">
        <w:rPr>
          <w:vertAlign w:val="superscript"/>
        </w:rPr>
        <w:footnoteRef/>
      </w:r>
      <w:r w:rsidRPr="00975B77">
        <w:t>.</w:t>
      </w:r>
      <w:r w:rsidRPr="00975B77">
        <w:tab/>
        <w:t>Closing the Gap, ‘Closing the Gap Targets and Outcomes’ (closingthegap.gov.au, [2025]).</w:t>
      </w:r>
    </w:p>
  </w:footnote>
  <w:footnote w:id="139">
    <w:p w14:paraId="225FC486" w14:textId="23DD063A" w:rsidR="00A4454A" w:rsidRPr="00975B77" w:rsidRDefault="00A4454A" w:rsidP="00815145">
      <w:pPr>
        <w:pStyle w:val="Footnote"/>
      </w:pPr>
      <w:r w:rsidRPr="00975B77">
        <w:rPr>
          <w:vertAlign w:val="superscript"/>
        </w:rPr>
        <w:footnoteRef/>
      </w:r>
      <w:r w:rsidRPr="00975B77">
        <w:t>.</w:t>
      </w:r>
      <w:r w:rsidRPr="00975B77">
        <w:tab/>
        <w:t xml:space="preserve">State of Victoria, </w:t>
      </w:r>
      <w:r w:rsidRPr="00975B77">
        <w:rPr>
          <w:rStyle w:val="LightItalic"/>
          <w:rFonts w:ascii="Verdana" w:hAnsi="Verdana"/>
        </w:rPr>
        <w:t xml:space="preserve">Victorian Government Aboriginal Affairs Report 2023 </w:t>
      </w:r>
      <w:r w:rsidRPr="00975B77">
        <w:t>(2023) 5.</w:t>
      </w:r>
    </w:p>
  </w:footnote>
  <w:footnote w:id="140">
    <w:p w14:paraId="4273467A" w14:textId="728A47F6" w:rsidR="00A4454A" w:rsidRPr="00975B77" w:rsidRDefault="00A4454A" w:rsidP="00815145">
      <w:pPr>
        <w:pStyle w:val="Footnote"/>
      </w:pPr>
      <w:r w:rsidRPr="00975B77">
        <w:rPr>
          <w:vertAlign w:val="superscript"/>
        </w:rPr>
        <w:footnoteRef/>
      </w:r>
      <w:r w:rsidRPr="00975B77">
        <w:t>.</w:t>
      </w:r>
      <w:r w:rsidRPr="00975B77">
        <w:tab/>
        <w:t>Productivity Commission, ‘Closing the Gap Dashboard’ (pc.gov.au, 2025).</w:t>
      </w:r>
    </w:p>
  </w:footnote>
  <w:footnote w:id="141">
    <w:p w14:paraId="15480A73" w14:textId="647570DD" w:rsidR="00A4454A" w:rsidRPr="00975B77" w:rsidRDefault="00A4454A" w:rsidP="00815145">
      <w:pPr>
        <w:pStyle w:val="Footnote"/>
      </w:pPr>
      <w:r w:rsidRPr="00975B77">
        <w:rPr>
          <w:vertAlign w:val="superscript"/>
        </w:rPr>
        <w:footnoteRef/>
      </w:r>
      <w:r w:rsidRPr="00975B77">
        <w:t>.</w:t>
      </w:r>
      <w:r w:rsidRPr="00975B77">
        <w:tab/>
        <w:t xml:space="preserve">As context, the 2021 census recorded 66,000 Victorians who identified as Aboriginal and/or Torres Strait Islander, comprising 1% of Victoria’s total population: Australian Bureau of Statistics, </w:t>
      </w:r>
      <w:r w:rsidRPr="00975B77">
        <w:rPr>
          <w:rStyle w:val="LightItalic"/>
          <w:rFonts w:ascii="Verdana" w:hAnsi="Verdana"/>
        </w:rPr>
        <w:t>Victoria: Aboriginal and Torres Strait Islander Population Summary</w:t>
      </w:r>
      <w:r w:rsidRPr="00975B77">
        <w:t xml:space="preserve"> (abs.gov.au, 2022).</w:t>
      </w:r>
    </w:p>
  </w:footnote>
  <w:footnote w:id="142">
    <w:p w14:paraId="4298AE51" w14:textId="48781738" w:rsidR="00A4454A" w:rsidRPr="00975B77" w:rsidRDefault="00A4454A" w:rsidP="004A61A1">
      <w:pPr>
        <w:pStyle w:val="Footnote"/>
      </w:pPr>
      <w:r w:rsidRPr="00975B77">
        <w:rPr>
          <w:vertAlign w:val="superscript"/>
        </w:rPr>
        <w:footnoteRef/>
      </w:r>
      <w:r w:rsidRPr="00975B77">
        <w:t>.</w:t>
      </w:r>
      <w:r w:rsidRPr="00975B77">
        <w:tab/>
      </w:r>
      <w:r w:rsidRPr="00975B77">
        <w:rPr>
          <w:spacing w:val="-1"/>
        </w:rPr>
        <w:t>Indigenous status was unknown for 3% of prisoners: Australian Bureau of Statistics (2024), above n 31, Table 14</w:t>
      </w:r>
      <w:r w:rsidRPr="00975B77">
        <w:t>.</w:t>
      </w:r>
    </w:p>
  </w:footnote>
  <w:footnote w:id="143">
    <w:p w14:paraId="7F48AFC4" w14:textId="6914928B" w:rsidR="00A4454A" w:rsidRPr="00975B77" w:rsidRDefault="00A4454A" w:rsidP="004A61A1">
      <w:pPr>
        <w:pStyle w:val="Footnote"/>
      </w:pPr>
      <w:r w:rsidRPr="00975B77">
        <w:rPr>
          <w:vertAlign w:val="superscript"/>
        </w:rPr>
        <w:footnoteRef/>
      </w:r>
      <w:r w:rsidRPr="00975B77">
        <w:t>.</w:t>
      </w:r>
      <w:r w:rsidRPr="00975B77">
        <w:tab/>
        <w:t>As well as the overrepresentation of Aboriginal people in Victorian prisons, there are likely other marginalised or vulnerable groups who are overrepresented in custody. For example, the Australian Institute of Health and Welfare regularly collates survey data from Australians in prison. The survey data highlights the prevalence of mental health issues, disability and homelessness among Australian prisoners: Australian Institute of Health and Welfare, ‘Health of People in Prison’ (2024). Our current report, however, is based on quantitative data available at the time of publication.</w:t>
      </w:r>
    </w:p>
  </w:footnote>
  <w:footnote w:id="144">
    <w:p w14:paraId="6C416426" w14:textId="0E62E933" w:rsidR="00A4454A" w:rsidRPr="00975B77" w:rsidRDefault="00A4454A" w:rsidP="004A61A1">
      <w:pPr>
        <w:pStyle w:val="Footnote"/>
      </w:pPr>
      <w:r w:rsidRPr="00975B77">
        <w:rPr>
          <w:vertAlign w:val="superscript"/>
        </w:rPr>
        <w:footnoteRef/>
      </w:r>
      <w:r w:rsidRPr="00975B77">
        <w:t>.</w:t>
      </w:r>
      <w:r w:rsidRPr="00975B77">
        <w:tab/>
        <w:t xml:space="preserve">In 2024, the Australian Bureau of Statistics released updated data on Aboriginal and Torres Strait Islander populations, based on the results of the 2021 Census of Population and Housing. As such, the imprisonment rates shown in Figure 45 for Aboriginal and Torres Strait Islander people may differ in future publications. For updated data on Aboriginal and Torres Strait Islander populations, see Australian Bureau of Statistics, </w:t>
      </w:r>
      <w:r w:rsidRPr="00975B77">
        <w:rPr>
          <w:rStyle w:val="LightItalic"/>
          <w:rFonts w:ascii="Verdana" w:hAnsi="Verdana"/>
        </w:rPr>
        <w:t xml:space="preserve">Estimates and Projections, Australian Aboriginal and Torres Strait Islander Population, 2011 to 2031 </w:t>
      </w:r>
      <w:r w:rsidRPr="00975B77">
        <w:t>(abs.gov.au, 2024).</w:t>
      </w:r>
    </w:p>
  </w:footnote>
  <w:footnote w:id="145">
    <w:p w14:paraId="175B847A" w14:textId="23696086" w:rsidR="00A4454A" w:rsidRPr="00975B77" w:rsidRDefault="00A4454A" w:rsidP="004A61A1">
      <w:pPr>
        <w:pStyle w:val="Footnote"/>
      </w:pPr>
      <w:r w:rsidRPr="00975B77">
        <w:rPr>
          <w:vertAlign w:val="superscript"/>
        </w:rPr>
        <w:footnoteRef/>
      </w:r>
      <w:r w:rsidRPr="00975B77">
        <w:t>.</w:t>
      </w:r>
      <w:r w:rsidRPr="00975B77">
        <w:tab/>
        <w:t xml:space="preserve">A significant body of research has established a relationship between offending behaviour and age, often referred to as the ‘age–crime curve’. The age–crime curve suggests generally that offending behaviour peaks in adolescence and early adulthood and usually desists as a person ages. This is traditionally reflected in the younger median age of the prison population in both Victoria and Australia: Michael Rocque et al., ‘Age and Crime’ in Wesley G. Jennings (ed.), </w:t>
      </w:r>
      <w:r w:rsidRPr="00975B77">
        <w:rPr>
          <w:rStyle w:val="LightItalic"/>
          <w:rFonts w:ascii="Verdana" w:hAnsi="Verdana"/>
        </w:rPr>
        <w:t>The Encyclopedia of Crime and Punishment</w:t>
      </w:r>
      <w:r w:rsidRPr="00975B77">
        <w:t xml:space="preserve"> (2016) 1; David P. Farrington, ‘Age and Crime’ (1986) 7 </w:t>
      </w:r>
      <w:r w:rsidRPr="00975B77">
        <w:rPr>
          <w:rStyle w:val="LightItalic"/>
          <w:rFonts w:ascii="Verdana" w:hAnsi="Verdana"/>
        </w:rPr>
        <w:t>Crime and Justice</w:t>
      </w:r>
      <w:r w:rsidRPr="00975B77">
        <w:t xml:space="preserve"> 189. </w:t>
      </w:r>
    </w:p>
  </w:footnote>
  <w:footnote w:id="146">
    <w:p w14:paraId="7347C7E8" w14:textId="0E3F3389" w:rsidR="00A4454A" w:rsidRPr="00975B77" w:rsidRDefault="00A4454A" w:rsidP="004A61A1">
      <w:pPr>
        <w:pStyle w:val="Footnote"/>
      </w:pPr>
      <w:r w:rsidRPr="00975B77">
        <w:rPr>
          <w:vertAlign w:val="superscript"/>
        </w:rPr>
        <w:footnoteRef/>
      </w:r>
      <w:r w:rsidRPr="00975B77">
        <w:t>.</w:t>
      </w:r>
      <w:r w:rsidRPr="00975B77">
        <w:tab/>
        <w:t xml:space="preserve">See Productivity Commission (2021), above n 6, 22. See also Sophie Russell and Eileen Baldry, </w:t>
      </w:r>
      <w:r w:rsidRPr="00975B77">
        <w:rPr>
          <w:rStyle w:val="LightItalic"/>
          <w:rFonts w:ascii="Verdana" w:hAnsi="Verdana"/>
        </w:rPr>
        <w:t>The Booming Industry Continued: Australian Prisons, A 2020 Update</w:t>
      </w:r>
      <w:r w:rsidRPr="00975B77">
        <w:t xml:space="preserve"> (2020) 4. Internationally, England and Wales and the United States are also experiencing aging prison populations (at times exceeding the aging of the general population): England and Wales House of Commons, Justice Committee, </w:t>
      </w:r>
      <w:r w:rsidRPr="00975B77">
        <w:rPr>
          <w:rStyle w:val="LightItalic"/>
          <w:rFonts w:ascii="Verdana" w:hAnsi="Verdana"/>
        </w:rPr>
        <w:t xml:space="preserve">Aging Prison Population, Fifth Report of Session 2019–21 </w:t>
      </w:r>
      <w:r w:rsidRPr="00975B77">
        <w:t xml:space="preserve">(2020); Elizabeth Ann Carson and William J. Sabol, </w:t>
      </w:r>
      <w:r w:rsidRPr="00975B77">
        <w:rPr>
          <w:rStyle w:val="LightItalic"/>
          <w:rFonts w:ascii="Verdana" w:hAnsi="Verdana"/>
        </w:rPr>
        <w:t xml:space="preserve">Aging of the State Prison Population, 1993–2013, </w:t>
      </w:r>
      <w:r w:rsidRPr="00975B77">
        <w:t>Bureau of Justice Statistics (2016).</w:t>
      </w:r>
    </w:p>
  </w:footnote>
  <w:footnote w:id="147">
    <w:p w14:paraId="0ABE51E8" w14:textId="5421EA8D" w:rsidR="00A4454A" w:rsidRPr="00975B77" w:rsidRDefault="00A4454A" w:rsidP="004A61A1">
      <w:pPr>
        <w:pStyle w:val="Footnote"/>
      </w:pPr>
      <w:r w:rsidRPr="00975B77">
        <w:rPr>
          <w:vertAlign w:val="superscript"/>
        </w:rPr>
        <w:footnoteRef/>
      </w:r>
      <w:r w:rsidRPr="00975B77">
        <w:t>.</w:t>
      </w:r>
      <w:r w:rsidRPr="00975B77">
        <w:tab/>
        <w:t>See Sentencing Advisory Council (2022), above n 71, 20: ‘courts are imposing longer prison sentences for all of the analysed homicide offences, serious violent offences and serious sex offences, and for trafficking in a commercial and large commercial quantity of drugs. In effect, prison sentences have increased significantly for almost every serious offence … across the 20-year period’.</w:t>
      </w:r>
    </w:p>
  </w:footnote>
  <w:footnote w:id="148">
    <w:p w14:paraId="67BCD31A" w14:textId="2CEE1569" w:rsidR="00A4454A" w:rsidRPr="00975B77" w:rsidRDefault="00A4454A" w:rsidP="004A61A1">
      <w:pPr>
        <w:pStyle w:val="Footnote"/>
      </w:pPr>
      <w:r w:rsidRPr="00975B77">
        <w:rPr>
          <w:vertAlign w:val="superscript"/>
        </w:rPr>
        <w:footnoteRef/>
      </w:r>
      <w:r w:rsidRPr="00975B77">
        <w:t>.</w:t>
      </w:r>
      <w:r w:rsidRPr="00975B77">
        <w:tab/>
        <w:t xml:space="preserve">The </w:t>
      </w:r>
      <w:r w:rsidRPr="00975B77">
        <w:rPr>
          <w:rStyle w:val="LightItalic"/>
          <w:rFonts w:ascii="Verdana" w:hAnsi="Verdana"/>
        </w:rPr>
        <w:t>Sentencing Act</w:t>
      </w:r>
      <w:r w:rsidRPr="00975B77">
        <w:t xml:space="preserve"> defines a young offender as an ‘offender who at the time of being sentenced is under the age of 21’: </w:t>
      </w:r>
      <w:r w:rsidRPr="00975B77">
        <w:rPr>
          <w:rStyle w:val="LightItalic"/>
          <w:rFonts w:ascii="Verdana" w:hAnsi="Verdana"/>
        </w:rPr>
        <w:t>Sentencing Act 1991</w:t>
      </w:r>
      <w:r w:rsidRPr="00975B77">
        <w:t xml:space="preserve"> (Vic) s 3(1) (definition of</w:t>
      </w:r>
      <w:r w:rsidRPr="00975B77">
        <w:rPr>
          <w:rStyle w:val="LightItalic"/>
          <w:rFonts w:ascii="Verdana" w:hAnsi="Verdana"/>
        </w:rPr>
        <w:t xml:space="preserve"> young offender</w:t>
      </w:r>
      <w:r w:rsidRPr="00975B77">
        <w:t xml:space="preserve">). </w:t>
      </w:r>
    </w:p>
  </w:footnote>
  <w:footnote w:id="149">
    <w:p w14:paraId="39277B4C" w14:textId="7EE10283" w:rsidR="00A4454A" w:rsidRPr="00975B77" w:rsidRDefault="00A4454A" w:rsidP="004A61A1">
      <w:pPr>
        <w:pStyle w:val="Footnote"/>
      </w:pPr>
      <w:r w:rsidRPr="00975B77">
        <w:rPr>
          <w:vertAlign w:val="superscript"/>
        </w:rPr>
        <w:footnoteRef/>
      </w:r>
      <w:r w:rsidRPr="00975B77">
        <w:t>.</w:t>
      </w:r>
      <w:r w:rsidRPr="00975B77">
        <w:tab/>
        <w:t xml:space="preserve">See, for example, Sentencing Advisory Council, </w:t>
      </w:r>
      <w:r w:rsidRPr="00975B77">
        <w:rPr>
          <w:rStyle w:val="LightItalic"/>
          <w:rFonts w:ascii="Verdana" w:hAnsi="Verdana"/>
        </w:rPr>
        <w:t>Changes to Sentencing Practice: Young Adult Offenders, Report</w:t>
      </w:r>
      <w:r w:rsidRPr="00975B77">
        <w:t xml:space="preserve"> (2015); Sentencing Advisory Council, </w:t>
      </w:r>
      <w:r w:rsidRPr="00975B77">
        <w:rPr>
          <w:rStyle w:val="LightItalic"/>
          <w:rFonts w:ascii="Verdana" w:hAnsi="Verdana"/>
        </w:rPr>
        <w:t>Rethinking Sentencing for Young Adult Offenders</w:t>
      </w:r>
      <w:r w:rsidRPr="00975B77">
        <w:t xml:space="preserve"> (2019).</w:t>
      </w:r>
    </w:p>
  </w:footnote>
  <w:footnote w:id="150">
    <w:p w14:paraId="571665F5" w14:textId="09029610" w:rsidR="00A4454A" w:rsidRPr="00975B77" w:rsidRDefault="00A4454A" w:rsidP="004A61A1">
      <w:pPr>
        <w:pStyle w:val="Footnote"/>
      </w:pPr>
      <w:r w:rsidRPr="00975B77">
        <w:rPr>
          <w:vertAlign w:val="superscript"/>
        </w:rPr>
        <w:footnoteRef/>
      </w:r>
      <w:r w:rsidRPr="00975B77">
        <w:t>.</w:t>
      </w:r>
      <w:r w:rsidRPr="00975B77">
        <w:tab/>
        <w:t>In a recent report examining the sentencing of older offenders in Victoria, we found that in the decade to 2019, there was an 83% increase in the number of cases involving people aged 60 and over (compared to just a 15.6% increase in cases involving offenders aged under 60): Sentencing Advisory Council</w:t>
      </w:r>
      <w:r w:rsidRPr="00975B77">
        <w:rPr>
          <w:rStyle w:val="LightItalic"/>
          <w:rFonts w:ascii="Verdana" w:hAnsi="Verdana"/>
        </w:rPr>
        <w:t xml:space="preserve"> </w:t>
      </w:r>
      <w:r w:rsidRPr="00975B77">
        <w:t>(2021), above n 113, 27–28. Part of the increase in cases involving older offenders is due to a growing number of historical sexual abuse offences sentenced in the higher courts; given the objective seriousness of the offending involved, those offences often result in terms of imprisonment.</w:t>
      </w:r>
    </w:p>
  </w:footnote>
  <w:footnote w:id="151">
    <w:p w14:paraId="1C362753" w14:textId="25F28AA1" w:rsidR="00A4454A" w:rsidRPr="00975B77" w:rsidRDefault="00A4454A" w:rsidP="004A61A1">
      <w:pPr>
        <w:pStyle w:val="Footnote"/>
      </w:pPr>
      <w:r w:rsidRPr="00975B77">
        <w:rPr>
          <w:vertAlign w:val="superscript"/>
        </w:rPr>
        <w:footnoteRef/>
      </w:r>
      <w:r w:rsidRPr="00975B77">
        <w:t>.</w:t>
      </w:r>
      <w:r w:rsidRPr="00975B77">
        <w:tab/>
        <w:t xml:space="preserve">Productivity Commission, </w:t>
      </w:r>
      <w:r w:rsidRPr="00975B77">
        <w:rPr>
          <w:rStyle w:val="LightItalic"/>
          <w:rFonts w:ascii="Verdana" w:hAnsi="Verdana"/>
        </w:rPr>
        <w:t>Report on Government Services</w:t>
      </w:r>
      <w:r w:rsidRPr="00975B77">
        <w:t xml:space="preserve"> (pc.gov.au, 2025). Data on real net operating expenditure in Victoria is in Part C Section 8 (Corrective Services), Table 8A.2.</w:t>
      </w:r>
    </w:p>
  </w:footnote>
  <w:footnote w:id="152">
    <w:p w14:paraId="69AB5DF1" w14:textId="114FF0EE" w:rsidR="00A4454A" w:rsidRPr="00975B77" w:rsidRDefault="00A4454A" w:rsidP="004A61A1">
      <w:pPr>
        <w:pStyle w:val="Footnote"/>
      </w:pPr>
      <w:r w:rsidRPr="00975B77">
        <w:rPr>
          <w:vertAlign w:val="superscript"/>
        </w:rPr>
        <w:footnoteRef/>
      </w:r>
      <w:r w:rsidRPr="00975B77">
        <w:t>.</w:t>
      </w:r>
      <w:r w:rsidRPr="00975B77">
        <w:tab/>
        <w:t xml:space="preserve">See, for example, Anthony Morgan, </w:t>
      </w:r>
      <w:r w:rsidRPr="00975B77">
        <w:rPr>
          <w:rStyle w:val="LightItalic"/>
          <w:rFonts w:ascii="Verdana" w:hAnsi="Verdana"/>
        </w:rPr>
        <w:t xml:space="preserve">How Much Does Prison Really Cost? Comparing the Costs of Imprisonment with Community Corrections, </w:t>
      </w:r>
      <w:r w:rsidRPr="00975B77">
        <w:t>Research Report 05 (2018) 18.</w:t>
      </w:r>
    </w:p>
  </w:footnote>
  <w:footnote w:id="153">
    <w:p w14:paraId="21A74CC4" w14:textId="7ECE570C" w:rsidR="00A4454A" w:rsidRPr="00975B77" w:rsidRDefault="00A4454A" w:rsidP="004A61A1">
      <w:pPr>
        <w:pStyle w:val="Footnote"/>
      </w:pPr>
      <w:r w:rsidRPr="00975B77">
        <w:rPr>
          <w:vertAlign w:val="superscript"/>
        </w:rPr>
        <w:footnoteRef/>
      </w:r>
      <w:r w:rsidRPr="00975B77">
        <w:t>.</w:t>
      </w:r>
      <w:r w:rsidRPr="00975B77">
        <w:tab/>
        <w:t>Victorian Government, ‘Ravenhall Prison Project’ (dtf.vic.gov.au, 2024). The utilisation rate and average daily cost per prisoner can be expected to change slightly in the coming years with the Victorian Government announcing major reforms to Victoria’s prison system, including the closure of the minimum security Dhurringile Prison and the privately operated Port Phillip Prison (capacity of approximately 1,400 combined), and the opening of the new maximum security Western Plains Correctional Centre (capacity of approximately 1,200): Premier of Victoria (2024), above n 25.</w:t>
      </w:r>
    </w:p>
  </w:footnote>
  <w:footnote w:id="154">
    <w:p w14:paraId="5DC58189" w14:textId="77AD29AE" w:rsidR="00A4454A" w:rsidRPr="00975B77" w:rsidRDefault="00A4454A" w:rsidP="004A61A1">
      <w:pPr>
        <w:pStyle w:val="Footnote"/>
      </w:pPr>
      <w:r w:rsidRPr="00975B77">
        <w:rPr>
          <w:vertAlign w:val="superscript"/>
        </w:rPr>
        <w:footnoteRef/>
      </w:r>
      <w:r w:rsidRPr="00975B77">
        <w:t>.</w:t>
      </w:r>
      <w:r w:rsidRPr="00975B77">
        <w:tab/>
        <w:t xml:space="preserve">The drop in the remand population during COVID-19 is likely the result of a number of factors, including the onerous conditions in custody during the pandemic that placed additional burdens on remandees (see </w:t>
      </w:r>
      <w:r w:rsidRPr="00975B77">
        <w:rPr>
          <w:rStyle w:val="LightItalic"/>
          <w:rFonts w:ascii="Verdana" w:hAnsi="Verdana"/>
        </w:rPr>
        <w:t>Re JK</w:t>
      </w:r>
      <w:r w:rsidRPr="00975B77">
        <w:t xml:space="preserve"> [2020] VSC 160 [22]–[26]; </w:t>
      </w:r>
      <w:r w:rsidRPr="00975B77">
        <w:rPr>
          <w:rStyle w:val="LightItalic"/>
          <w:rFonts w:ascii="Verdana" w:hAnsi="Verdana"/>
        </w:rPr>
        <w:t>Re McCann</w:t>
      </w:r>
      <w:r w:rsidRPr="00975B77">
        <w:t xml:space="preserve"> [2020] VSC 138 [40]; </w:t>
      </w:r>
      <w:r w:rsidRPr="00975B77">
        <w:rPr>
          <w:rStyle w:val="LightItalic"/>
          <w:rFonts w:ascii="Verdana" w:hAnsi="Verdana"/>
        </w:rPr>
        <w:t>Re Broes</w:t>
      </w:r>
      <w:r w:rsidRPr="00975B77">
        <w:t xml:space="preserve"> [2020] VSC 128 [35]–[42]). Strict social isolation restrictions in the community would also mean that, unless an offender’s bail would place their family (or other members of their household) at risk of harm, there was in general less risk to the community if an offender was granted bail (see </w:t>
      </w:r>
      <w:r w:rsidRPr="00975B77">
        <w:rPr>
          <w:rStyle w:val="LightItalic"/>
          <w:rFonts w:ascii="Verdana" w:hAnsi="Verdana"/>
        </w:rPr>
        <w:t>Re JK</w:t>
      </w:r>
      <w:r w:rsidRPr="00975B77">
        <w:t xml:space="preserve"> [2020] VSC 160 [27]). Further, the likelihood that time spent on remand would exceed the ultimate sentence imposed given court backlogs and delays during COVID-19 likely impacted the decision to grant bail, particularly for lower-level offenders: see </w:t>
      </w:r>
      <w:r w:rsidRPr="00975B77">
        <w:rPr>
          <w:rStyle w:val="LightItalic"/>
          <w:rFonts w:ascii="Verdana" w:hAnsi="Verdana"/>
        </w:rPr>
        <w:t>Re Johnstone (No 2)</w:t>
      </w:r>
      <w:r w:rsidRPr="00975B77">
        <w:t xml:space="preserve"> [2018] VSC 803 [15]; </w:t>
      </w:r>
      <w:r w:rsidRPr="00975B77">
        <w:rPr>
          <w:rStyle w:val="LightItalic"/>
          <w:rFonts w:ascii="Verdana" w:hAnsi="Verdana"/>
        </w:rPr>
        <w:t>Re DR</w:t>
      </w:r>
      <w:r w:rsidRPr="00975B77">
        <w:t xml:space="preserve"> [2019] VSC 151 [56]. This consideration was given legislative effect in 2023: </w:t>
      </w:r>
      <w:r w:rsidRPr="00975B77">
        <w:rPr>
          <w:rStyle w:val="LightItalic"/>
          <w:rFonts w:ascii="Verdana" w:hAnsi="Verdana"/>
        </w:rPr>
        <w:t>Bail Act 1977</w:t>
      </w:r>
      <w:r w:rsidRPr="00975B77">
        <w:t xml:space="preserve"> (Vic) s 3AAA(1)(aa), inserted by </w:t>
      </w:r>
      <w:r w:rsidRPr="00975B77">
        <w:rPr>
          <w:rStyle w:val="LightItalic"/>
          <w:rFonts w:ascii="Verdana" w:hAnsi="Verdana"/>
        </w:rPr>
        <w:t>Bail Amendment Act 2023</w:t>
      </w:r>
      <w:r w:rsidRPr="00975B77">
        <w:t xml:space="preserve"> (Vic) s 36.</w:t>
      </w:r>
    </w:p>
  </w:footnote>
  <w:footnote w:id="155">
    <w:p w14:paraId="1997FCBE" w14:textId="41826DEC" w:rsidR="00A4454A" w:rsidRPr="00975B77" w:rsidRDefault="00A4454A" w:rsidP="004A61A1">
      <w:pPr>
        <w:pStyle w:val="Footnote"/>
      </w:pPr>
      <w:r w:rsidRPr="00975B77">
        <w:rPr>
          <w:vertAlign w:val="superscript"/>
        </w:rPr>
        <w:footnoteRef/>
      </w:r>
      <w:r w:rsidRPr="00975B77">
        <w:t>.</w:t>
      </w:r>
      <w:r w:rsidRPr="00975B77">
        <w:tab/>
        <w:t>See further above n 14.</w:t>
      </w:r>
    </w:p>
  </w:footnote>
  <w:footnote w:id="156">
    <w:p w14:paraId="6AACADC0" w14:textId="7B20E869" w:rsidR="00A4454A" w:rsidRPr="00975B77" w:rsidRDefault="00A4454A" w:rsidP="004A61A1">
      <w:pPr>
        <w:pStyle w:val="Footnote"/>
      </w:pPr>
      <w:r w:rsidRPr="00975B77">
        <w:rPr>
          <w:vertAlign w:val="superscript"/>
        </w:rPr>
        <w:footnoteRef/>
      </w:r>
      <w:r w:rsidRPr="00975B77">
        <w:t>.</w:t>
      </w:r>
      <w:r w:rsidRPr="00975B77">
        <w:tab/>
        <w:t xml:space="preserve">For example, in a 2014 case in the Supreme Court of Victoria, Bell J stated: ‘without in any way doubting the importance of the other considerations, the primary purpose of bail is to ensure the attendance of the accused at his or her trial and the associated preliminary hearings’: </w:t>
      </w:r>
      <w:r w:rsidRPr="00975B77">
        <w:rPr>
          <w:rStyle w:val="LightItalic"/>
          <w:rFonts w:ascii="Verdana" w:hAnsi="Verdana"/>
        </w:rPr>
        <w:t>Woods v DPP</w:t>
      </w:r>
      <w:r w:rsidRPr="00975B77">
        <w:t xml:space="preserve"> [2014] VSC 1 [30]. See also McMahon (2019), above n 20, 8–9. McMahon suggests that the shift towards community protection as a paramount consideration in bail determinations is evident in more recent bail reform and discourse, citing, for example, the review of Victoria’s </w:t>
      </w:r>
      <w:r w:rsidRPr="00975B77">
        <w:rPr>
          <w:rStyle w:val="LightItalic"/>
          <w:rFonts w:ascii="Verdana" w:hAnsi="Verdana"/>
        </w:rPr>
        <w:t>Bail Act</w:t>
      </w:r>
      <w:r w:rsidRPr="00975B77">
        <w:t xml:space="preserve"> undertaken in 2017 by the Hon. Paul Coghlan. The review’s express purpose was to ensure Victoria’s bail laws prioritised community safety in all bail determinations, and its recommendations led to significant bail reform in Victoria: see Paul Coghlan, </w:t>
      </w:r>
      <w:r w:rsidRPr="00975B77">
        <w:rPr>
          <w:rStyle w:val="LightItalic"/>
          <w:rFonts w:ascii="Verdana" w:hAnsi="Verdana"/>
        </w:rPr>
        <w:t>Bail Review: First Advice to the Victorian Government</w:t>
      </w:r>
      <w:r w:rsidRPr="00975B77">
        <w:t xml:space="preserve"> (2017); Paul Coghlan, </w:t>
      </w:r>
      <w:r w:rsidRPr="00975B77">
        <w:rPr>
          <w:rStyle w:val="LightItalic"/>
          <w:rFonts w:ascii="Verdana" w:hAnsi="Verdana"/>
        </w:rPr>
        <w:t>Bail Review: Second Advice to the Victorian Government</w:t>
      </w:r>
      <w:r w:rsidRPr="00975B77">
        <w:t xml:space="preserve"> (2017). </w:t>
      </w:r>
    </w:p>
  </w:footnote>
  <w:footnote w:id="157">
    <w:p w14:paraId="7B845858" w14:textId="1DDB4A71" w:rsidR="00A4454A" w:rsidRPr="00975B77" w:rsidRDefault="00A4454A" w:rsidP="004A61A1">
      <w:pPr>
        <w:pStyle w:val="Footnote"/>
      </w:pPr>
      <w:r w:rsidRPr="00975B77">
        <w:rPr>
          <w:vertAlign w:val="superscript"/>
        </w:rPr>
        <w:footnoteRef/>
      </w:r>
      <w:r w:rsidRPr="00975B77">
        <w:t>.</w:t>
      </w:r>
      <w:r w:rsidRPr="00975B77">
        <w:tab/>
      </w:r>
      <w:r w:rsidRPr="00975B77">
        <w:rPr>
          <w:rStyle w:val="LightItalic"/>
          <w:rFonts w:ascii="Verdana" w:hAnsi="Verdana"/>
        </w:rPr>
        <w:t>Bail Amendment Act 2013</w:t>
      </w:r>
      <w:r w:rsidRPr="00975B77">
        <w:t xml:space="preserve"> (Vic) pt 2.</w:t>
      </w:r>
    </w:p>
  </w:footnote>
  <w:footnote w:id="158">
    <w:p w14:paraId="3063DD0A" w14:textId="41AB22E9" w:rsidR="00A4454A" w:rsidRPr="00975B77" w:rsidRDefault="00A4454A" w:rsidP="004A61A1">
      <w:pPr>
        <w:pStyle w:val="Footnote"/>
      </w:pPr>
      <w:r w:rsidRPr="00975B77">
        <w:rPr>
          <w:vertAlign w:val="superscript"/>
        </w:rPr>
        <w:footnoteRef/>
      </w:r>
      <w:r w:rsidRPr="00975B77">
        <w:t>.</w:t>
      </w:r>
      <w:r w:rsidRPr="00975B77">
        <w:tab/>
        <w:t xml:space="preserve">Victorian Ombudsman, </w:t>
      </w:r>
      <w:r w:rsidRPr="00975B77">
        <w:rPr>
          <w:rStyle w:val="LightItalic"/>
          <w:rFonts w:ascii="Verdana" w:hAnsi="Verdana"/>
        </w:rPr>
        <w:t>Investigation into the Rehabilitation and Reintegration of Prisoners in Victoria</w:t>
      </w:r>
      <w:r w:rsidRPr="00975B77">
        <w:t xml:space="preserve"> (2015) 23–24.</w:t>
      </w:r>
    </w:p>
  </w:footnote>
  <w:footnote w:id="159">
    <w:p w14:paraId="2C02EECB" w14:textId="4E6AF59C" w:rsidR="00A4454A" w:rsidRPr="00975B77" w:rsidRDefault="00A4454A" w:rsidP="004A61A1">
      <w:pPr>
        <w:pStyle w:val="Footnote"/>
      </w:pPr>
      <w:r w:rsidRPr="00975B77">
        <w:rPr>
          <w:vertAlign w:val="superscript"/>
        </w:rPr>
        <w:footnoteRef/>
      </w:r>
      <w:r w:rsidRPr="00975B77">
        <w:t>.</w:t>
      </w:r>
      <w:r w:rsidRPr="00975B77">
        <w:tab/>
        <w:t xml:space="preserve">The changes to Victoria’s bail landscape in 2018 were largely triggered by the offending of James Gargasoulas, whose case garnered significant media and public attention due to both the nature of the offending and the fact that the offender was on bail at the time. In response, The Victorian Government commissioned a review of Victoria’s bail laws with a focus on the protection of the community in bail determinations. The Coghlan Review made 37 recommendations for reform, all of which were accepted by the Victorian Government: Victoria, </w:t>
      </w:r>
      <w:r w:rsidRPr="00975B77">
        <w:rPr>
          <w:rStyle w:val="LightItalic"/>
          <w:rFonts w:ascii="Verdana" w:hAnsi="Verdana"/>
        </w:rPr>
        <w:t>Parliamentary Debates</w:t>
      </w:r>
      <w:r w:rsidRPr="00975B77">
        <w:t xml:space="preserve">, Legislative Assembly, 25 May 2017, 1492–1494 (Martin Pakula, Attorney-General); Coghlan, </w:t>
      </w:r>
      <w:r w:rsidRPr="00975B77">
        <w:rPr>
          <w:rStyle w:val="LightItalic"/>
          <w:rFonts w:ascii="Verdana" w:hAnsi="Verdana"/>
        </w:rPr>
        <w:t>First Advice to the Victorian Government</w:t>
      </w:r>
      <w:r w:rsidRPr="00975B77">
        <w:t xml:space="preserve"> (2017), above n 156; Coghlan, </w:t>
      </w:r>
      <w:r w:rsidRPr="00975B77">
        <w:rPr>
          <w:rStyle w:val="LightItalic"/>
          <w:rFonts w:ascii="Verdana" w:hAnsi="Verdana"/>
        </w:rPr>
        <w:t>Second Advice to the Victorian Government</w:t>
      </w:r>
      <w:r w:rsidRPr="00975B77">
        <w:t xml:space="preserve"> (2017), above n 156.</w:t>
      </w:r>
    </w:p>
  </w:footnote>
  <w:footnote w:id="160">
    <w:p w14:paraId="2FDA3525" w14:textId="0E1483A2" w:rsidR="00A4454A" w:rsidRPr="00975B77" w:rsidRDefault="00A4454A" w:rsidP="004A61A1">
      <w:pPr>
        <w:pStyle w:val="Footnote"/>
      </w:pPr>
      <w:r w:rsidRPr="00975B77">
        <w:rPr>
          <w:vertAlign w:val="superscript"/>
        </w:rPr>
        <w:footnoteRef/>
      </w:r>
      <w:r w:rsidRPr="00975B77">
        <w:t>.</w:t>
      </w:r>
      <w:r w:rsidRPr="00975B77">
        <w:tab/>
      </w:r>
      <w:r w:rsidRPr="00975B77">
        <w:rPr>
          <w:rStyle w:val="LightItalic"/>
          <w:rFonts w:ascii="Verdana" w:hAnsi="Verdana"/>
        </w:rPr>
        <w:t xml:space="preserve">Bail Amendment (Stage One) Act 2017 </w:t>
      </w:r>
      <w:r w:rsidRPr="00975B77">
        <w:t xml:space="preserve">(Vic); </w:t>
      </w:r>
      <w:r w:rsidRPr="00975B77">
        <w:rPr>
          <w:rStyle w:val="LightItalic"/>
          <w:rFonts w:ascii="Verdana" w:hAnsi="Verdana"/>
        </w:rPr>
        <w:t>Bail Amendment (Stage Two) Act 2018</w:t>
      </w:r>
      <w:r w:rsidRPr="00975B77">
        <w:t xml:space="preserve"> (Vic). Those charged with Schedule 1 offences were required to prove ‘exceptional circumstances’ to be granted bail, and those charged with Schedule 2 offences were subject to a new ‘compelling reasons’ test (replacing the previous ‘show cause’ test).</w:t>
      </w:r>
    </w:p>
  </w:footnote>
  <w:footnote w:id="161">
    <w:p w14:paraId="5DC0DD4C" w14:textId="16BB6BC3" w:rsidR="00A4454A" w:rsidRPr="00975B77" w:rsidRDefault="00A4454A" w:rsidP="004A61A1">
      <w:pPr>
        <w:pStyle w:val="Footnote"/>
      </w:pPr>
      <w:r w:rsidRPr="00975B77">
        <w:rPr>
          <w:vertAlign w:val="superscript"/>
        </w:rPr>
        <w:footnoteRef/>
      </w:r>
      <w:r w:rsidRPr="00975B77">
        <w:t>.</w:t>
      </w:r>
      <w:r w:rsidRPr="00975B77">
        <w:tab/>
        <w:t>Premier of Victoria, ‘Major Reforms to Overhaul Bail System Pass Parliament’, Media Release (23 June 2017).</w:t>
      </w:r>
    </w:p>
  </w:footnote>
  <w:footnote w:id="162">
    <w:p w14:paraId="72D50A4D" w14:textId="7ED00F0A" w:rsidR="00A4454A" w:rsidRPr="00975B77" w:rsidRDefault="00A4454A" w:rsidP="004A61A1">
      <w:pPr>
        <w:pStyle w:val="Footnote"/>
      </w:pPr>
      <w:r w:rsidRPr="00975B77">
        <w:rPr>
          <w:vertAlign w:val="superscript"/>
        </w:rPr>
        <w:footnoteRef/>
      </w:r>
      <w:r w:rsidRPr="00975B77">
        <w:t>.</w:t>
      </w:r>
      <w:r w:rsidRPr="00975B77">
        <w:tab/>
        <w:t xml:space="preserve">See, for example, State of Victoria, Legal and Social Issues Committee (2022), above n 21, 444–453; Human Rights Law Centre, ‘Explainer: Victoria’s Broken Bail Laws’, Media Release (3 August 2021); Victorian Aboriginal Legal Service, ‘Bail Reform Is Urgently Needed in Victoria’, Media Release (28 May 2021); Victorian Aboriginal Legal Service, ‘Coronial Inquest into Death of Veronica Marie Nelson to Examine Healthcare in Victorian Prisons and Bail Laws’, Media Release (29 March 2021); Emma Russell et al., </w:t>
      </w:r>
      <w:r w:rsidRPr="00975B77">
        <w:rPr>
          <w:rStyle w:val="LightItalic"/>
          <w:rFonts w:ascii="Verdana" w:hAnsi="Verdana"/>
        </w:rPr>
        <w:t xml:space="preserve">A Constellation of Circumstances: The Drivers of Women’s Increasing Rates of Remand in Victoria </w:t>
      </w:r>
      <w:r w:rsidRPr="00975B77">
        <w:t xml:space="preserve">(2020); Corrections Victoria, </w:t>
      </w:r>
      <w:r w:rsidRPr="00975B77">
        <w:rPr>
          <w:rStyle w:val="LightItalic"/>
          <w:rFonts w:ascii="Verdana" w:hAnsi="Verdana"/>
        </w:rPr>
        <w:t>Women in the Victorian Prison System</w:t>
      </w:r>
      <w:r w:rsidRPr="00975B77">
        <w:t xml:space="preserve"> (2019); Lorena Bartels, </w:t>
      </w:r>
      <w:r w:rsidRPr="00975B77">
        <w:rPr>
          <w:rStyle w:val="LightItalic"/>
          <w:rFonts w:ascii="Verdana" w:hAnsi="Verdana"/>
        </w:rPr>
        <w:t xml:space="preserve">The Growth in Remand and Its Impact on Indigenous Over-Representation in the Criminal Justice System, </w:t>
      </w:r>
      <w:r w:rsidRPr="00975B77">
        <w:t>Research Brief no. 24 (2019).</w:t>
      </w:r>
    </w:p>
  </w:footnote>
  <w:footnote w:id="163">
    <w:p w14:paraId="0017C0FA" w14:textId="014DE4A9" w:rsidR="00A4454A" w:rsidRPr="00975B77" w:rsidRDefault="00A4454A" w:rsidP="004A61A1">
      <w:pPr>
        <w:pStyle w:val="Footnote"/>
      </w:pPr>
      <w:r w:rsidRPr="00975B77">
        <w:rPr>
          <w:vertAlign w:val="superscript"/>
        </w:rPr>
        <w:footnoteRef/>
      </w:r>
      <w:r w:rsidRPr="00975B77">
        <w:t>.</w:t>
      </w:r>
      <w:r w:rsidRPr="00975B77">
        <w:tab/>
        <w:t>See, for example, Bartels et al. (2018), above n 20.</w:t>
      </w:r>
    </w:p>
  </w:footnote>
  <w:footnote w:id="164">
    <w:p w14:paraId="49917BAE" w14:textId="17ADCA07" w:rsidR="00A4454A" w:rsidRPr="00975B77" w:rsidRDefault="00A4454A" w:rsidP="004A61A1">
      <w:pPr>
        <w:pStyle w:val="Footnote"/>
      </w:pPr>
      <w:r w:rsidRPr="00975B77">
        <w:rPr>
          <w:vertAlign w:val="superscript"/>
        </w:rPr>
        <w:footnoteRef/>
      </w:r>
      <w:r w:rsidRPr="00975B77">
        <w:t>.</w:t>
      </w:r>
      <w:r w:rsidRPr="00975B77">
        <w:tab/>
        <w:t>The government did, though, announce its intention to reform bail legislation soon after the coronial inquest findings were published in January 2023: Premier of Victoria, ‘New Reforms to Make Victoria’s Bail Laws Fairer’, Media Release (14 August 2023).</w:t>
      </w:r>
    </w:p>
  </w:footnote>
  <w:footnote w:id="165">
    <w:p w14:paraId="2F63B0A8" w14:textId="7E17261E" w:rsidR="00A4454A" w:rsidRPr="00975B77" w:rsidRDefault="00A4454A" w:rsidP="004A61A1">
      <w:pPr>
        <w:pStyle w:val="Footnote"/>
      </w:pPr>
      <w:r w:rsidRPr="00975B77">
        <w:rPr>
          <w:vertAlign w:val="superscript"/>
        </w:rPr>
        <w:footnoteRef/>
      </w:r>
      <w:r w:rsidRPr="00975B77">
        <w:t>.</w:t>
      </w:r>
      <w:r w:rsidRPr="00975B77">
        <w:tab/>
      </w:r>
      <w:r w:rsidRPr="00975B77">
        <w:rPr>
          <w:rStyle w:val="LightItalic"/>
          <w:rFonts w:ascii="Verdana" w:hAnsi="Verdana"/>
        </w:rPr>
        <w:t>Finding with Inquest into the Death of Veronica Nelson</w:t>
      </w:r>
      <w:r w:rsidRPr="00975B77">
        <w:t>, COR 2020 0021 (30 January 2023). Commenting on the effect of the 2017 bail reforms, the coroner said: ‘the Bail Act has a discriminatory impact on First Nations people resulting in grossly disproportionate rates of remand in custody, the most egregious of which affect alleged offenders who are Aboriginal/Torres Strait Islander women’: Appendix B</w:t>
      </w:r>
    </w:p>
  </w:footnote>
  <w:footnote w:id="166">
    <w:p w14:paraId="3682CF73" w14:textId="6D81631B" w:rsidR="00A4454A" w:rsidRPr="00975B77" w:rsidRDefault="00A4454A" w:rsidP="004A61A1">
      <w:pPr>
        <w:pStyle w:val="Footnote"/>
      </w:pPr>
      <w:r w:rsidRPr="00975B77">
        <w:rPr>
          <w:vertAlign w:val="superscript"/>
        </w:rPr>
        <w:footnoteRef/>
      </w:r>
      <w:r w:rsidRPr="00975B77">
        <w:t>.</w:t>
      </w:r>
      <w:r w:rsidRPr="00975B77">
        <w:tab/>
      </w:r>
      <w:r w:rsidRPr="00975B77">
        <w:rPr>
          <w:rStyle w:val="LightItalic"/>
          <w:rFonts w:ascii="Verdana" w:hAnsi="Verdana"/>
        </w:rPr>
        <w:t>Bail Amendment Act 2023</w:t>
      </w:r>
      <w:r w:rsidRPr="00975B77">
        <w:t xml:space="preserve"> (Vic). The second reading speech noted that the coronial inquest into Veronica Nelson’s death in custody highlighted the ‘well-documented concerns within [the] current bail laws’: Victoria, </w:t>
      </w:r>
      <w:r w:rsidRPr="00975B77">
        <w:rPr>
          <w:rStyle w:val="LightItalic"/>
          <w:rFonts w:ascii="Verdana" w:hAnsi="Verdana"/>
        </w:rPr>
        <w:t>Parliamentary Debates</w:t>
      </w:r>
      <w:r w:rsidRPr="00975B77">
        <w:t>, Legislative Assembly, 16 August 2023, 2897–2902 (Anthony Carbines, Minister for Police, Minister for Crime Prevention, Minister for Racing).</w:t>
      </w:r>
    </w:p>
  </w:footnote>
  <w:footnote w:id="167">
    <w:p w14:paraId="3BA9733A" w14:textId="4A96CDF7" w:rsidR="00A4454A" w:rsidRPr="00975B77" w:rsidRDefault="00A4454A" w:rsidP="004A61A1">
      <w:pPr>
        <w:pStyle w:val="Footnote"/>
      </w:pPr>
      <w:r w:rsidRPr="00975B77">
        <w:rPr>
          <w:vertAlign w:val="superscript"/>
        </w:rPr>
        <w:footnoteRef/>
      </w:r>
      <w:r w:rsidRPr="00975B77">
        <w:t>.</w:t>
      </w:r>
      <w:r w:rsidRPr="00975B77">
        <w:tab/>
        <w:t>Australian Bureau of Statistics (2024), above n 97.</w:t>
      </w:r>
    </w:p>
  </w:footnote>
  <w:footnote w:id="168">
    <w:p w14:paraId="63EFA3A0" w14:textId="7C3ECAD9" w:rsidR="00A4454A" w:rsidRPr="00975B77" w:rsidRDefault="00A4454A" w:rsidP="004A61A1">
      <w:pPr>
        <w:pStyle w:val="Footnote"/>
      </w:pPr>
      <w:r w:rsidRPr="00975B77">
        <w:rPr>
          <w:vertAlign w:val="superscript"/>
        </w:rPr>
        <w:footnoteRef/>
      </w:r>
      <w:r w:rsidRPr="00975B77">
        <w:t>.</w:t>
      </w:r>
      <w:r w:rsidRPr="00975B77">
        <w:tab/>
        <w:t>Other offences are excluded from Figure 49 given their low numbers.</w:t>
      </w:r>
    </w:p>
  </w:footnote>
  <w:footnote w:id="169">
    <w:p w14:paraId="6FE965D0" w14:textId="572EA359" w:rsidR="00A4454A" w:rsidRPr="00975B77" w:rsidRDefault="00A4454A" w:rsidP="004A61A1">
      <w:pPr>
        <w:pStyle w:val="Footnote"/>
      </w:pPr>
      <w:r w:rsidRPr="00975B77">
        <w:rPr>
          <w:vertAlign w:val="superscript"/>
        </w:rPr>
        <w:footnoteRef/>
      </w:r>
      <w:r w:rsidRPr="00975B77">
        <w:t>.</w:t>
      </w:r>
      <w:r w:rsidRPr="00975B77">
        <w:tab/>
        <w:t>Other offences are excluded given their small numbers, though they also decreased in the two decades to 30 June 2024 (from 135 sentenced prisoners to 43).</w:t>
      </w:r>
    </w:p>
  </w:footnote>
  <w:footnote w:id="170">
    <w:p w14:paraId="0DDCC5D2" w14:textId="74E577C4" w:rsidR="00A4454A" w:rsidRPr="00975B77" w:rsidRDefault="00A4454A" w:rsidP="004A61A1">
      <w:pPr>
        <w:pStyle w:val="Footnote"/>
      </w:pPr>
      <w:r w:rsidRPr="00975B77">
        <w:rPr>
          <w:vertAlign w:val="superscript"/>
        </w:rPr>
        <w:footnoteRef/>
      </w:r>
      <w:r w:rsidRPr="00975B77">
        <w:t>.</w:t>
      </w:r>
      <w:r w:rsidRPr="00975B77">
        <w:tab/>
        <w:t>The Council previously found an increase in sentence lengths imposed for more serious drug offences in the 20 years to 2020–21. Specifically, imprisonment lengths for trafficking in a large commercial quantity of drugs almost doubled: Sentencing Advisory Council (2022), above n 71, 12–15.</w:t>
      </w:r>
    </w:p>
  </w:footnote>
  <w:footnote w:id="171">
    <w:p w14:paraId="6409153E" w14:textId="166D8DF2" w:rsidR="00A4454A" w:rsidRPr="00975B77" w:rsidRDefault="00A4454A" w:rsidP="004A61A1">
      <w:pPr>
        <w:pStyle w:val="Footnote"/>
      </w:pPr>
      <w:r w:rsidRPr="00975B77">
        <w:rPr>
          <w:vertAlign w:val="superscript"/>
        </w:rPr>
        <w:footnoteRef/>
      </w:r>
      <w:r w:rsidRPr="00975B77">
        <w:t>.</w:t>
      </w:r>
      <w:r w:rsidRPr="00975B77">
        <w:tab/>
        <w:t>The total sentence length can be extended if a prisoner receives additional sentences while in the sentenced prisoner population.</w:t>
      </w:r>
    </w:p>
  </w:footnote>
  <w:footnote w:id="172">
    <w:p w14:paraId="29DD8765" w14:textId="76E3BEBD" w:rsidR="00A4454A" w:rsidRPr="00975B77" w:rsidRDefault="00A4454A" w:rsidP="004A61A1">
      <w:pPr>
        <w:pStyle w:val="Footnote"/>
      </w:pPr>
      <w:r w:rsidRPr="00975B77">
        <w:rPr>
          <w:vertAlign w:val="superscript"/>
        </w:rPr>
        <w:footnoteRef/>
      </w:r>
      <w:r w:rsidRPr="00975B77">
        <w:t>.</w:t>
      </w:r>
      <w:r w:rsidRPr="00975B77">
        <w:tab/>
        <w:t xml:space="preserve">For people receiving a non-parole period, their earliest possible date of release is generally the conclusion of that non-parole period: see </w:t>
      </w:r>
      <w:r w:rsidRPr="00975B77">
        <w:rPr>
          <w:rStyle w:val="LightItalic"/>
          <w:rFonts w:ascii="Verdana" w:hAnsi="Verdana"/>
        </w:rPr>
        <w:t>Sentencing Act 1991</w:t>
      </w:r>
      <w:r w:rsidRPr="00975B77">
        <w:t xml:space="preserve"> (Vic) s 11. For sentenced prisoners without a non-parole period, their expected time to serve is generally their total effective sentence after any pre-sentence detention (time spent on remand) has been reckoned and deducted under section 18(1) of the </w:t>
      </w:r>
      <w:r w:rsidRPr="00975B77">
        <w:rPr>
          <w:rStyle w:val="LightItalic"/>
          <w:rFonts w:ascii="Verdana" w:hAnsi="Verdana"/>
        </w:rPr>
        <w:t>Sentencing Act 1991</w:t>
      </w:r>
      <w:r w:rsidRPr="00975B77">
        <w:t xml:space="preserve"> (Vic).</w:t>
      </w:r>
    </w:p>
  </w:footnote>
  <w:footnote w:id="173">
    <w:p w14:paraId="3BCD11F0" w14:textId="048AF4D6" w:rsidR="00A4454A" w:rsidRPr="00975B77" w:rsidRDefault="00A4454A" w:rsidP="004A61A1">
      <w:pPr>
        <w:pStyle w:val="Footnote"/>
      </w:pPr>
      <w:r w:rsidRPr="00975B77">
        <w:rPr>
          <w:vertAlign w:val="superscript"/>
        </w:rPr>
        <w:footnoteRef/>
      </w:r>
      <w:r w:rsidRPr="00975B77">
        <w:t>.</w:t>
      </w:r>
      <w:r w:rsidRPr="00975B77">
        <w:tab/>
        <w:t>Australian Bureau of Statistics (2024), above n 97.</w:t>
      </w:r>
    </w:p>
  </w:footnote>
  <w:footnote w:id="174">
    <w:p w14:paraId="43BDFFF2" w14:textId="02A6DCA0" w:rsidR="00A4454A" w:rsidRPr="00975B77" w:rsidRDefault="00A4454A" w:rsidP="004A61A1">
      <w:pPr>
        <w:pStyle w:val="Footnote"/>
      </w:pPr>
      <w:r w:rsidRPr="00975B77">
        <w:rPr>
          <w:vertAlign w:val="superscript"/>
        </w:rPr>
        <w:footnoteRef/>
      </w:r>
      <w:r w:rsidRPr="00975B77">
        <w:t>.</w:t>
      </w:r>
      <w:r w:rsidRPr="00975B77">
        <w:tab/>
        <w:t>Other offences are excluded from Figure 52 given their low numbers.</w:t>
      </w:r>
    </w:p>
  </w:footnote>
  <w:footnote w:id="175">
    <w:p w14:paraId="7F4C006D" w14:textId="3DC160A7" w:rsidR="00A4454A" w:rsidRPr="00975B77" w:rsidRDefault="00A4454A" w:rsidP="004A61A1">
      <w:pPr>
        <w:pStyle w:val="Footnote"/>
      </w:pPr>
      <w:r w:rsidRPr="00975B77">
        <w:rPr>
          <w:vertAlign w:val="superscript"/>
        </w:rPr>
        <w:footnoteRef/>
      </w:r>
      <w:r w:rsidRPr="00975B77">
        <w:t>.</w:t>
      </w:r>
      <w:r w:rsidRPr="00975B77">
        <w:tab/>
        <w:t>Data on mean time spent on remand was obtained from the Australian Bureau of Statistics using the variables of higher and lower courts. In Victoria, the lower courts refer to the Magistrates’ Court.</w:t>
      </w:r>
    </w:p>
  </w:footnote>
  <w:footnote w:id="176">
    <w:p w14:paraId="5BD8C558" w14:textId="66CFB76D" w:rsidR="00A4454A" w:rsidRPr="00975B77" w:rsidRDefault="00A4454A" w:rsidP="004A61A1">
      <w:pPr>
        <w:pStyle w:val="Footnote"/>
      </w:pPr>
      <w:r w:rsidRPr="00975B77">
        <w:rPr>
          <w:vertAlign w:val="superscript"/>
        </w:rPr>
        <w:footnoteRef/>
      </w:r>
      <w:r w:rsidRPr="00975B77">
        <w:t>.</w:t>
      </w:r>
      <w:r w:rsidRPr="00975B77">
        <w:tab/>
        <w:t xml:space="preserve">See Corrections Victoria, </w:t>
      </w:r>
      <w:r w:rsidRPr="00975B77">
        <w:rPr>
          <w:rStyle w:val="LightItalic"/>
          <w:rFonts w:ascii="Verdana" w:hAnsi="Verdana"/>
        </w:rPr>
        <w:t xml:space="preserve">Annual Prisons Statistical Profile 2015 to 2024, </w:t>
      </w:r>
      <w:r w:rsidRPr="00975B77">
        <w:t>Corrections, Prisons &amp; Parole (2025) Table 3.8.</w:t>
      </w:r>
    </w:p>
  </w:footnote>
  <w:footnote w:id="177">
    <w:p w14:paraId="261795CA" w14:textId="77777777" w:rsidR="00A4454A" w:rsidRPr="00975B77" w:rsidRDefault="00A4454A" w:rsidP="00336C2A">
      <w:pPr>
        <w:pStyle w:val="Footnote"/>
      </w:pPr>
      <w:r w:rsidRPr="00975B77">
        <w:rPr>
          <w:vertAlign w:val="superscript"/>
        </w:rPr>
        <w:footnoteRef/>
      </w:r>
      <w:r w:rsidRPr="00975B77">
        <w:t>.</w:t>
      </w:r>
      <w:r w:rsidRPr="00975B77">
        <w:tab/>
      </w:r>
      <w:r w:rsidRPr="00975B77">
        <w:rPr>
          <w:spacing w:val="-5"/>
        </w:rPr>
        <w:t xml:space="preserve">A sentenced prisoner may be released on parole or at the conclusion of their prison sentence (where no non-parole period is set). An unsentenced prisoner may be discharged from custody without subsequently entering the sentenced </w:t>
      </w:r>
      <w:r w:rsidRPr="00975B77">
        <w:rPr>
          <w:spacing w:val="-4"/>
        </w:rPr>
        <w:t xml:space="preserve">prisoner population if they are granted bail (and sentenced in a subsequent financial year), found not guilty, or found </w:t>
      </w:r>
      <w:r w:rsidRPr="00975B77">
        <w:rPr>
          <w:spacing w:val="-2"/>
        </w:rPr>
        <w:t>guilty and receive a sentence that does not require any additional time in custody (a time served prison sentence).</w:t>
      </w:r>
    </w:p>
  </w:footnote>
  <w:footnote w:id="178">
    <w:p w14:paraId="5AAB35BA" w14:textId="5829EE31" w:rsidR="00A4454A" w:rsidRPr="00975B77" w:rsidRDefault="00A4454A" w:rsidP="004A61A1">
      <w:pPr>
        <w:pStyle w:val="Footnote"/>
      </w:pPr>
      <w:r w:rsidRPr="00975B77">
        <w:rPr>
          <w:vertAlign w:val="superscript"/>
        </w:rPr>
        <w:footnoteRef/>
      </w:r>
      <w:r w:rsidRPr="00975B77">
        <w:t>.</w:t>
      </w:r>
      <w:r w:rsidRPr="00975B77">
        <w:tab/>
        <w:t>Productivity Commission (2021), above n 6, 46.</w:t>
      </w:r>
    </w:p>
  </w:footnote>
  <w:footnote w:id="179">
    <w:p w14:paraId="26305CB7" w14:textId="7307B878" w:rsidR="00A4454A" w:rsidRPr="00975B77" w:rsidRDefault="00A4454A" w:rsidP="004A61A1">
      <w:pPr>
        <w:pStyle w:val="Footnote"/>
      </w:pPr>
      <w:r w:rsidRPr="00975B77">
        <w:rPr>
          <w:vertAlign w:val="superscript"/>
        </w:rPr>
        <w:footnoteRef/>
      </w:r>
      <w:r w:rsidRPr="00975B77">
        <w:t>.</w:t>
      </w:r>
      <w:r w:rsidRPr="00975B77">
        <w:tab/>
        <w:t xml:space="preserve">Productivity Commission, </w:t>
      </w:r>
      <w:r w:rsidRPr="00975B77">
        <w:rPr>
          <w:rStyle w:val="LightItalic"/>
          <w:rFonts w:ascii="Verdana" w:hAnsi="Verdana"/>
        </w:rPr>
        <w:t>Report on Government Services</w:t>
      </w:r>
      <w:r w:rsidRPr="00975B77">
        <w:t xml:space="preserve"> (pc.gov.au, 2025). Data on adults returning to prison or corrective services can be found in Table CA.4. In 2012, the community correction order (CCO) replaced other community-based orders in Victoria.</w:t>
      </w:r>
    </w:p>
  </w:footnote>
  <w:footnote w:id="180">
    <w:p w14:paraId="43A46C42" w14:textId="459BC601" w:rsidR="00A4454A" w:rsidRPr="00975B77" w:rsidRDefault="00A4454A" w:rsidP="004A61A1">
      <w:pPr>
        <w:pStyle w:val="Footnote"/>
      </w:pPr>
      <w:r w:rsidRPr="00975B77">
        <w:rPr>
          <w:vertAlign w:val="superscript"/>
        </w:rPr>
        <w:footnoteRef/>
      </w:r>
      <w:r w:rsidRPr="00975B77">
        <w:t>.</w:t>
      </w:r>
      <w:r w:rsidRPr="00975B77">
        <w:tab/>
        <w:t xml:space="preserve">The Productivity Commission notes that Victoria has made retrospective changes to the counting rules for adults who return to prison within 2 years of release from prison, applicable from 2016–17. Therefore, the numbers from 2013–14 to 2015–16 should be treated with some caution: Productivity Commission, </w:t>
      </w:r>
      <w:r w:rsidRPr="00975B77">
        <w:rPr>
          <w:rStyle w:val="LightItalic"/>
          <w:rFonts w:ascii="Verdana" w:hAnsi="Verdana"/>
        </w:rPr>
        <w:t>Report on Government Services</w:t>
      </w:r>
      <w:r w:rsidRPr="00975B77">
        <w:t xml:space="preserve"> (pc.gov.au, 2025) Table CA.4, Note (c).</w:t>
      </w:r>
    </w:p>
  </w:footnote>
  <w:footnote w:id="181">
    <w:p w14:paraId="678DCA5F" w14:textId="29CDE522" w:rsidR="00A4454A" w:rsidRPr="00975B77" w:rsidRDefault="00A4454A" w:rsidP="004A61A1">
      <w:pPr>
        <w:pStyle w:val="Footnote"/>
      </w:pPr>
      <w:r w:rsidRPr="00975B77">
        <w:rPr>
          <w:vertAlign w:val="superscript"/>
        </w:rPr>
        <w:footnoteRef/>
      </w:r>
      <w:r w:rsidRPr="00975B77">
        <w:t>.</w:t>
      </w:r>
      <w:r w:rsidRPr="00975B77">
        <w:tab/>
        <w:t>Freiberg et al. (2018), above n 8, 191.</w:t>
      </w:r>
    </w:p>
  </w:footnote>
  <w:footnote w:id="182">
    <w:p w14:paraId="2CA7DAFD" w14:textId="18AE717C" w:rsidR="00A4454A" w:rsidRPr="00975B77" w:rsidRDefault="00A4454A" w:rsidP="004A61A1">
      <w:pPr>
        <w:pStyle w:val="Footnote"/>
      </w:pPr>
      <w:r w:rsidRPr="00975B77">
        <w:rPr>
          <w:vertAlign w:val="superscript"/>
        </w:rPr>
        <w:footnoteRef/>
      </w:r>
      <w:r w:rsidRPr="00975B77">
        <w:t>.</w:t>
      </w:r>
      <w:r w:rsidRPr="00975B77">
        <w:tab/>
        <w:t xml:space="preserve">While the length of an offender’s non-parole period (the prison sentence that must be served before the offender becomes eligible for parole) is generally at the discretion of the court during sentencing (although it must be at least 6 months less than the total effective sentence), there are some offences for which a </w:t>
      </w:r>
      <w:r w:rsidRPr="00975B77">
        <w:rPr>
          <w:spacing w:val="-1"/>
        </w:rPr>
        <w:t>minimum non-parole period is legislated. For example, aggravated home invasion (</w:t>
      </w:r>
      <w:r w:rsidRPr="00975B77">
        <w:rPr>
          <w:rStyle w:val="LightItalic"/>
          <w:rFonts w:ascii="Verdana" w:hAnsi="Verdana"/>
          <w:spacing w:val="-1"/>
        </w:rPr>
        <w:t>Crimes Act 1958</w:t>
      </w:r>
      <w:r w:rsidRPr="00975B77">
        <w:rPr>
          <w:spacing w:val="-1"/>
        </w:rPr>
        <w:t xml:space="preserve"> (Vic) s 77B</w:t>
      </w:r>
      <w:r w:rsidRPr="00975B77">
        <w:t>) has a minimum non-parole period of 3 years, and causing serious injury (either intentionally or recklessly) in circumstances of gross violence (</w:t>
      </w:r>
      <w:r w:rsidRPr="00975B77">
        <w:rPr>
          <w:rStyle w:val="LightItalic"/>
          <w:rFonts w:ascii="Verdana" w:hAnsi="Verdana"/>
        </w:rPr>
        <w:t>Crimes Act 1958</w:t>
      </w:r>
      <w:r w:rsidRPr="00975B77">
        <w:t xml:space="preserve"> (Vic) ss 15A, 15B) carries a minimum non-parole period of 4 years: </w:t>
      </w:r>
      <w:r w:rsidRPr="00975B77">
        <w:rPr>
          <w:rStyle w:val="LightItalic"/>
          <w:rFonts w:ascii="Verdana" w:hAnsi="Verdana"/>
        </w:rPr>
        <w:t>Sentencing Act 1991</w:t>
      </w:r>
      <w:r w:rsidRPr="00975B77">
        <w:t xml:space="preserve"> (Vic) ss 10, 10AC.</w:t>
      </w:r>
    </w:p>
  </w:footnote>
  <w:footnote w:id="183">
    <w:p w14:paraId="249C7734" w14:textId="1CF782C1" w:rsidR="00A4454A" w:rsidRPr="00975B77" w:rsidRDefault="00A4454A" w:rsidP="004A61A1">
      <w:pPr>
        <w:pStyle w:val="Footnote"/>
      </w:pPr>
      <w:r w:rsidRPr="00975B77">
        <w:rPr>
          <w:vertAlign w:val="superscript"/>
        </w:rPr>
        <w:footnoteRef/>
      </w:r>
      <w:r w:rsidRPr="00975B77">
        <w:t>.</w:t>
      </w:r>
      <w:r w:rsidRPr="00975B77">
        <w:tab/>
        <w:t xml:space="preserve">Where a court imposes a prison sentence of less than 12 months, the court </w:t>
      </w:r>
      <w:r w:rsidRPr="00975B77">
        <w:rPr>
          <w:rStyle w:val="LightItalic"/>
          <w:rFonts w:ascii="Verdana" w:hAnsi="Verdana"/>
        </w:rPr>
        <w:t>cannot</w:t>
      </w:r>
      <w:r w:rsidRPr="00975B77">
        <w:t xml:space="preserve"> impose a non-parole period on an offender. For prison sentences greater than 1 year but less than 2 years, the court </w:t>
      </w:r>
      <w:r w:rsidRPr="00975B77">
        <w:rPr>
          <w:rStyle w:val="LightItalic"/>
          <w:rFonts w:ascii="Verdana" w:hAnsi="Verdana"/>
        </w:rPr>
        <w:t>may</w:t>
      </w:r>
      <w:r w:rsidRPr="00975B77">
        <w:t xml:space="preserve"> impose a non-parole period, but it is not mandatory, and where a court imposes a prison sentence greater than 2 years, a non-parole period </w:t>
      </w:r>
      <w:r w:rsidRPr="00975B77">
        <w:rPr>
          <w:rStyle w:val="LightItalic"/>
          <w:rFonts w:ascii="Verdana" w:hAnsi="Verdana"/>
        </w:rPr>
        <w:t>must</w:t>
      </w:r>
      <w:r w:rsidRPr="00975B77">
        <w:t xml:space="preserve"> be set: </w:t>
      </w:r>
      <w:r w:rsidRPr="00975B77">
        <w:rPr>
          <w:rStyle w:val="LightItalic"/>
          <w:rFonts w:ascii="Verdana" w:hAnsi="Verdana"/>
        </w:rPr>
        <w:t>Sentencing Act 1991</w:t>
      </w:r>
      <w:r w:rsidRPr="00975B77">
        <w:t xml:space="preserve"> (Vic) s 11.</w:t>
      </w:r>
    </w:p>
  </w:footnote>
  <w:footnote w:id="184">
    <w:p w14:paraId="0B257818" w14:textId="6AEF9AAE" w:rsidR="00A4454A" w:rsidRPr="00975B77" w:rsidRDefault="00A4454A" w:rsidP="004A61A1">
      <w:pPr>
        <w:pStyle w:val="Footnote"/>
      </w:pPr>
      <w:r w:rsidRPr="00975B77">
        <w:rPr>
          <w:vertAlign w:val="superscript"/>
        </w:rPr>
        <w:footnoteRef/>
      </w:r>
      <w:r w:rsidRPr="00975B77">
        <w:t>.</w:t>
      </w:r>
      <w:r w:rsidRPr="00975B77">
        <w:tab/>
        <w:t xml:space="preserve">Freiberg et al. (2018), above n 8, 195. Freiberg notes that while there was one significant amendment to the </w:t>
      </w:r>
      <w:r w:rsidRPr="00975B77">
        <w:rPr>
          <w:rStyle w:val="LightItalic"/>
          <w:rFonts w:ascii="Verdana" w:hAnsi="Verdana"/>
        </w:rPr>
        <w:t>Corrections Act 1986</w:t>
      </w:r>
      <w:r w:rsidRPr="00975B77">
        <w:t xml:space="preserve"> (Vic) relating to parole between 2004 and 2012, ‘between 2012 and 2017, there were … 15 amendments … relating to parole’. See also Monique Moffa et al., ‘Parole Populism: The Politicisation of Parole in Victoria’ (2019) 31(1) </w:t>
      </w:r>
      <w:r w:rsidRPr="00975B77">
        <w:rPr>
          <w:rStyle w:val="LightItalic"/>
          <w:rFonts w:ascii="Verdana" w:hAnsi="Verdana"/>
        </w:rPr>
        <w:t>Current Issues in Criminal Justice</w:t>
      </w:r>
      <w:r w:rsidRPr="00975B77">
        <w:t xml:space="preserve"> 75.</w:t>
      </w:r>
    </w:p>
  </w:footnote>
  <w:footnote w:id="185">
    <w:p w14:paraId="500E4405" w14:textId="6FB85A16" w:rsidR="00A4454A" w:rsidRPr="00975B77" w:rsidRDefault="00A4454A" w:rsidP="004A61A1">
      <w:pPr>
        <w:pStyle w:val="Footnote"/>
      </w:pPr>
      <w:r w:rsidRPr="00975B77">
        <w:rPr>
          <w:vertAlign w:val="superscript"/>
        </w:rPr>
        <w:footnoteRef/>
      </w:r>
      <w:r w:rsidRPr="00975B77">
        <w:t>.</w:t>
      </w:r>
      <w:r w:rsidRPr="00975B77">
        <w:tab/>
        <w:t xml:space="preserve">James Ogloff, </w:t>
      </w:r>
      <w:r w:rsidRPr="00975B77">
        <w:rPr>
          <w:rStyle w:val="LightItalic"/>
          <w:rFonts w:ascii="Verdana" w:hAnsi="Verdana"/>
        </w:rPr>
        <w:t>Review of Parolee Reoffending by Way of Murder</w:t>
      </w:r>
      <w:r w:rsidRPr="00975B77">
        <w:t xml:space="preserve"> (2011); Sentencing Advisory Council, </w:t>
      </w:r>
      <w:r w:rsidRPr="00975B77">
        <w:rPr>
          <w:rStyle w:val="LightItalic"/>
          <w:rFonts w:ascii="Verdana" w:hAnsi="Verdana"/>
        </w:rPr>
        <w:t xml:space="preserve">Review of the Victorian Adult Parole System: Report </w:t>
      </w:r>
      <w:r w:rsidRPr="00975B77">
        <w:t xml:space="preserve">(2012); Ian Callinan, </w:t>
      </w:r>
      <w:r w:rsidRPr="00975B77">
        <w:rPr>
          <w:rStyle w:val="LightItalic"/>
          <w:rFonts w:ascii="Verdana" w:hAnsi="Verdana"/>
        </w:rPr>
        <w:t>Review of the Parole System in Victoria</w:t>
      </w:r>
      <w:r w:rsidRPr="00975B77">
        <w:t xml:space="preserve"> (2013).</w:t>
      </w:r>
    </w:p>
  </w:footnote>
  <w:footnote w:id="186">
    <w:p w14:paraId="166FD276" w14:textId="565F4F01" w:rsidR="00A4454A" w:rsidRPr="00975B77" w:rsidRDefault="00A4454A" w:rsidP="004A61A1">
      <w:pPr>
        <w:pStyle w:val="Footnote"/>
      </w:pPr>
      <w:r w:rsidRPr="00975B77">
        <w:rPr>
          <w:vertAlign w:val="superscript"/>
        </w:rPr>
        <w:footnoteRef/>
      </w:r>
      <w:r w:rsidRPr="00975B77">
        <w:t>.</w:t>
      </w:r>
      <w:r w:rsidRPr="00975B77">
        <w:tab/>
        <w:t xml:space="preserve">The high-profile offending by Adrian Bayley in late 2012, while he was on parole, was a particularly strong catalyst for parole reform given the significant public outrage that the case evoked: </w:t>
      </w:r>
      <w:r w:rsidRPr="00975B77">
        <w:rPr>
          <w:rStyle w:val="LightItalic"/>
          <w:rFonts w:ascii="Verdana" w:hAnsi="Verdana"/>
        </w:rPr>
        <w:t>R v Bayley</w:t>
      </w:r>
      <w:r w:rsidRPr="00975B77">
        <w:t xml:space="preserve"> [2013] VSC 313; Freiberg et al. (2018), above n 8, 194–195.</w:t>
      </w:r>
    </w:p>
  </w:footnote>
  <w:footnote w:id="187">
    <w:p w14:paraId="51D03A47" w14:textId="4C3AF16E" w:rsidR="00A4454A" w:rsidRPr="00975B77" w:rsidRDefault="00A4454A" w:rsidP="004A61A1">
      <w:pPr>
        <w:pStyle w:val="Footnote"/>
      </w:pPr>
      <w:r w:rsidRPr="00975B77">
        <w:rPr>
          <w:vertAlign w:val="superscript"/>
        </w:rPr>
        <w:footnoteRef/>
      </w:r>
      <w:r w:rsidRPr="00975B77">
        <w:t>.</w:t>
      </w:r>
      <w:r w:rsidRPr="00975B77">
        <w:tab/>
        <w:t xml:space="preserve">Since 1 March 2015, eligible prisoners are required to </w:t>
      </w:r>
      <w:r w:rsidRPr="00975B77">
        <w:rPr>
          <w:rStyle w:val="LightItalic"/>
          <w:rFonts w:ascii="Verdana" w:hAnsi="Verdana"/>
        </w:rPr>
        <w:t>apply</w:t>
      </w:r>
      <w:r w:rsidRPr="00975B77">
        <w:t xml:space="preserve"> to the Adult Parole Board for consideration. This change occurred as a result of the then Department of Justice and Regulation’s Parole System Reform Program (a program of 13 projects aimed at reforming various aspects of the parole system). The change was initiated in response to a recommendation made in the Callinan Review: Victorian Auditor-General’s Report, </w:t>
      </w:r>
      <w:r w:rsidRPr="00975B77">
        <w:rPr>
          <w:rStyle w:val="LightItalic"/>
          <w:rFonts w:ascii="Verdana" w:hAnsi="Verdana"/>
          <w:spacing w:val="-1"/>
        </w:rPr>
        <w:t>Administration of Parole</w:t>
      </w:r>
      <w:r w:rsidRPr="00975B77">
        <w:rPr>
          <w:spacing w:val="-1"/>
        </w:rPr>
        <w:t xml:space="preserve"> (2016) 2, 9–11, 30–31. See also Adult Parole Board, </w:t>
      </w:r>
      <w:r w:rsidRPr="00975B77">
        <w:rPr>
          <w:rStyle w:val="LightItalic"/>
          <w:rFonts w:ascii="Verdana" w:hAnsi="Verdana"/>
          <w:spacing w:val="-1"/>
        </w:rPr>
        <w:t>Annual Report 2014–15</w:t>
      </w:r>
      <w:r w:rsidRPr="00975B77">
        <w:rPr>
          <w:spacing w:val="-1"/>
        </w:rPr>
        <w:t xml:space="preserve"> (2015) 8, 12</w:t>
      </w:r>
      <w:r w:rsidRPr="00975B77">
        <w:t>.</w:t>
      </w:r>
    </w:p>
  </w:footnote>
  <w:footnote w:id="188">
    <w:p w14:paraId="2DAA7E98" w14:textId="06E73548" w:rsidR="00A4454A" w:rsidRPr="00975B77" w:rsidRDefault="00A4454A" w:rsidP="004A61A1">
      <w:pPr>
        <w:pStyle w:val="Footnote"/>
      </w:pPr>
      <w:r w:rsidRPr="00975B77">
        <w:rPr>
          <w:vertAlign w:val="superscript"/>
        </w:rPr>
        <w:footnoteRef/>
      </w:r>
      <w:r w:rsidRPr="00975B77">
        <w:t>.</w:t>
      </w:r>
      <w:r w:rsidRPr="00975B77">
        <w:tab/>
        <w:t xml:space="preserve">The requirement to consider community safety as paramount in parole determinations was inserted as a result of recommendations made in the Callinan Review: </w:t>
      </w:r>
      <w:r w:rsidRPr="00975B77">
        <w:rPr>
          <w:rStyle w:val="LightItalic"/>
          <w:rFonts w:ascii="Verdana" w:hAnsi="Verdana"/>
        </w:rPr>
        <w:t>Corrections Act 1986</w:t>
      </w:r>
      <w:r w:rsidRPr="00975B77">
        <w:t xml:space="preserve"> (Vic) s 73A, inserted by </w:t>
      </w:r>
      <w:r w:rsidRPr="00975B77">
        <w:rPr>
          <w:rStyle w:val="LightItalic"/>
          <w:rFonts w:ascii="Verdana" w:hAnsi="Verdana"/>
        </w:rPr>
        <w:t>Corrections Amendment (Parole Reform) Act 2013</w:t>
      </w:r>
      <w:r w:rsidRPr="00975B77">
        <w:t xml:space="preserve"> (Vic) s 11. See also Adult Parole Board, </w:t>
      </w:r>
      <w:r w:rsidRPr="00975B77">
        <w:rPr>
          <w:rStyle w:val="LightItalic"/>
          <w:rFonts w:ascii="Verdana" w:hAnsi="Verdana"/>
        </w:rPr>
        <w:t>Parole Manual, Adult Parole Board of Victoria</w:t>
      </w:r>
      <w:r w:rsidRPr="00975B77">
        <w:t xml:space="preserve">, </w:t>
      </w:r>
      <w:r w:rsidRPr="00975B77">
        <w:rPr>
          <w:rStyle w:val="LightItalic"/>
          <w:rFonts w:ascii="Verdana" w:hAnsi="Verdana"/>
        </w:rPr>
        <w:t>2020 Edition</w:t>
      </w:r>
      <w:r w:rsidRPr="00975B77">
        <w:t xml:space="preserve"> (2024) 15–20.</w:t>
      </w:r>
    </w:p>
  </w:footnote>
  <w:footnote w:id="189">
    <w:p w14:paraId="7873EE0A" w14:textId="1E5EBF1B" w:rsidR="00A4454A" w:rsidRPr="00975B77" w:rsidRDefault="00A4454A" w:rsidP="004A61A1">
      <w:pPr>
        <w:pStyle w:val="Footnote"/>
      </w:pPr>
      <w:r w:rsidRPr="00975B77">
        <w:rPr>
          <w:vertAlign w:val="superscript"/>
        </w:rPr>
        <w:footnoteRef/>
      </w:r>
      <w:r w:rsidRPr="00975B77">
        <w:t>.</w:t>
      </w:r>
      <w:r w:rsidRPr="00975B77">
        <w:tab/>
        <w:t xml:space="preserve">The decline in parole orders granted shown in Figure 63 occurred after an already evident reduction in the number of parole orders granted in the 12 months to 30 June 2014 (prior to the period shown in Figure 63) indicating that changes in the Adult Parole Board’s decision-making may have occurred prior to the legislative changes taking effect: Victorian Ombudsman (2015), above n 158, 19, citing Adult Parole Board, </w:t>
      </w:r>
      <w:r w:rsidRPr="00975B77">
        <w:rPr>
          <w:rStyle w:val="LightItalic"/>
          <w:rFonts w:ascii="Verdana" w:hAnsi="Verdana"/>
        </w:rPr>
        <w:t>Annual Report</w:t>
      </w:r>
      <w:r w:rsidRPr="00975B77">
        <w:t xml:space="preserve"> </w:t>
      </w:r>
      <w:r w:rsidRPr="00975B77">
        <w:rPr>
          <w:rStyle w:val="LightItalic"/>
          <w:rFonts w:ascii="Verdana" w:hAnsi="Verdana"/>
        </w:rPr>
        <w:t xml:space="preserve">2013–2014 </w:t>
      </w:r>
      <w:r w:rsidRPr="00975B77">
        <w:t>(2014) 7.</w:t>
      </w:r>
    </w:p>
  </w:footnote>
  <w:footnote w:id="190">
    <w:p w14:paraId="4EE2143D" w14:textId="79DFD74E" w:rsidR="00A4454A" w:rsidRPr="00975B77" w:rsidRDefault="00A4454A" w:rsidP="004A61A1">
      <w:pPr>
        <w:pStyle w:val="Footnote"/>
      </w:pPr>
      <w:r w:rsidRPr="00975B77">
        <w:rPr>
          <w:vertAlign w:val="superscript"/>
        </w:rPr>
        <w:footnoteRef/>
      </w:r>
      <w:r w:rsidRPr="00975B77">
        <w:t>.</w:t>
      </w:r>
      <w:r w:rsidRPr="00975B77">
        <w:tab/>
        <w:t>The data was sourced from the Adult Parole Board’s annual reports which are publicly available on its website: Adult Parole Board (2025). above n 32.</w:t>
      </w:r>
    </w:p>
  </w:footnote>
  <w:footnote w:id="191">
    <w:p w14:paraId="7B489D0E" w14:textId="1044D39A" w:rsidR="00A4454A" w:rsidRPr="00975B77" w:rsidRDefault="00A4454A" w:rsidP="004A61A1">
      <w:pPr>
        <w:pStyle w:val="Footnote"/>
      </w:pPr>
      <w:r w:rsidRPr="00975B77">
        <w:rPr>
          <w:vertAlign w:val="superscript"/>
        </w:rPr>
        <w:footnoteRef/>
      </w:r>
      <w:r w:rsidRPr="00975B77">
        <w:t>.</w:t>
      </w:r>
      <w:r w:rsidRPr="00975B77">
        <w:tab/>
        <w:t xml:space="preserve">As noted above, people receiving sentences of 12 months or less are ineligible for a non-parole period: </w:t>
      </w:r>
      <w:r w:rsidRPr="00975B77">
        <w:rPr>
          <w:rStyle w:val="LightItalic"/>
          <w:rFonts w:ascii="Verdana" w:hAnsi="Verdana"/>
        </w:rPr>
        <w:t>Sentencing Act 1991</w:t>
      </w:r>
      <w:r w:rsidRPr="00975B77">
        <w:t xml:space="preserve"> (Vic) s 11. In 2016, the Council found that between 2010–11 and 2014–15, the number of custodial sentences less than 12 months increased both in the higher courts (from around 5% to 20% of custodial sentences) and in the Magistrates’ Court (from around 75% to 86% of custodial sentences): Sentencing Advisory Council, </w:t>
      </w:r>
      <w:r w:rsidRPr="00975B77">
        <w:rPr>
          <w:rStyle w:val="LightItalic"/>
          <w:rFonts w:ascii="Verdana" w:hAnsi="Verdana"/>
        </w:rPr>
        <w:t>Parole and Sentencing: Research Report</w:t>
      </w:r>
      <w:r w:rsidRPr="00975B77">
        <w:t xml:space="preserve"> (2016) 24, 26, 41. The continued use of short prison sentences has been evident throughout this report (see Chapters 3 and 5).</w:t>
      </w:r>
    </w:p>
  </w:footnote>
  <w:footnote w:id="192">
    <w:p w14:paraId="3758ECAA" w14:textId="1EBB7DEF" w:rsidR="00A4454A" w:rsidRPr="00975B77" w:rsidRDefault="00A4454A" w:rsidP="004A61A1">
      <w:pPr>
        <w:pStyle w:val="Footnote"/>
      </w:pPr>
      <w:r w:rsidRPr="00975B77">
        <w:rPr>
          <w:vertAlign w:val="superscript"/>
        </w:rPr>
        <w:footnoteRef/>
      </w:r>
      <w:r w:rsidRPr="00975B77">
        <w:t>.</w:t>
      </w:r>
      <w:r w:rsidRPr="00975B77">
        <w:tab/>
      </w:r>
      <w:r w:rsidRPr="00975B77">
        <w:rPr>
          <w:spacing w:val="-1"/>
        </w:rPr>
        <w:t xml:space="preserve">In 2016, the Council reported that ‘between the September quarter of 2014 and the June quarter of 2015, the </w:t>
      </w:r>
      <w:r w:rsidRPr="00975B77">
        <w:rPr>
          <w:spacing w:val="-3"/>
        </w:rPr>
        <w:t>proportion of prison sentences of one year to less than 2 years that had a non-parole period declined from 94.1% to 20.9% in the higher courts and from 81.0% to 66.7% in the Magistrates’ Court’, the onset of which correlated with the increase in the duration of imprisonment that could be combined with a CCO from 3 months to 2 years</w:t>
      </w:r>
      <w:r w:rsidRPr="00975B77">
        <w:t xml:space="preserve">: Sentencing Advisory Council (2016), above n 191, 17–23, 41. See also Adult Parole Board, </w:t>
      </w:r>
      <w:r w:rsidRPr="00975B77">
        <w:rPr>
          <w:rStyle w:val="LightItalic"/>
          <w:rFonts w:ascii="Verdana" w:hAnsi="Verdana"/>
        </w:rPr>
        <w:t>Annual Report 2015–16</w:t>
      </w:r>
      <w:r w:rsidRPr="00975B77">
        <w:t xml:space="preserve"> (2016) 25. The Council’s 2023 paper shows that combined orders have continued to become more prevalent, and a significant proportion of the prison sentences in combined orders (in the higher courts) are longer than 12 months: Sentencing Advisory Council (2023), above n 81, 3, 7–11. Though the maximum period of imprisonment that could be combined with a community order was reduced to 12 months in 2017, this does not include time spent on remand, meaning that where an offender’s time spent on remand results in the imprisonment portion of a combined order exceeding 12 months, the court would usually have the discretion to impose a non-parole period for the imprisonment portion but is unable to because of the combined order: see </w:t>
      </w:r>
      <w:r w:rsidRPr="00975B77">
        <w:rPr>
          <w:rStyle w:val="LightItalic"/>
          <w:rFonts w:ascii="Verdana" w:hAnsi="Verdana"/>
        </w:rPr>
        <w:t xml:space="preserve">Sentencing Act 1991 </w:t>
      </w:r>
      <w:r w:rsidRPr="00975B77">
        <w:t xml:space="preserve">(Vic) s 11(2A). </w:t>
      </w:r>
    </w:p>
  </w:footnote>
  <w:footnote w:id="193">
    <w:p w14:paraId="55446B36" w14:textId="4926958A" w:rsidR="00A4454A" w:rsidRPr="00975B77" w:rsidRDefault="00A4454A" w:rsidP="004A61A1">
      <w:pPr>
        <w:pStyle w:val="Footnote"/>
      </w:pPr>
      <w:r w:rsidRPr="00975B77">
        <w:rPr>
          <w:vertAlign w:val="superscript"/>
        </w:rPr>
        <w:footnoteRef/>
      </w:r>
      <w:r w:rsidRPr="00975B77">
        <w:t>.</w:t>
      </w:r>
      <w:r w:rsidRPr="00975B77">
        <w:tab/>
        <w:t>The Victorian Ombudsman commented on this in its 2016 report, noting that successive reforms to parole resulted in mandates that an offender undertake specific programs and receive a parole assessment by the Adult Parole Board to be eligible for parole, both of which are easily disrupted by administrative and resourcing delays: Victorian Ombudsman (2015), above n 158, 29–30, 147.</w:t>
      </w:r>
    </w:p>
  </w:footnote>
  <w:footnote w:id="194">
    <w:p w14:paraId="5C5B9A74" w14:textId="1CA94B92" w:rsidR="00A4454A" w:rsidRPr="00975B77" w:rsidRDefault="00A4454A" w:rsidP="004A61A1">
      <w:pPr>
        <w:pStyle w:val="Footnote"/>
      </w:pPr>
      <w:r w:rsidRPr="00975B77">
        <w:rPr>
          <w:vertAlign w:val="superscript"/>
        </w:rPr>
        <w:footnoteRef/>
      </w:r>
      <w:r w:rsidRPr="00975B77">
        <w:t>.</w:t>
      </w:r>
      <w:r w:rsidRPr="00975B77">
        <w:tab/>
        <w:t>Victorian Ombudsman (2015), above n 158, 30–31.</w:t>
      </w:r>
    </w:p>
  </w:footnote>
  <w:footnote w:id="195">
    <w:p w14:paraId="7E9050B4" w14:textId="6B872AB6" w:rsidR="00A4454A" w:rsidRPr="00975B77" w:rsidRDefault="00A4454A" w:rsidP="004A61A1">
      <w:pPr>
        <w:pStyle w:val="Footnote"/>
      </w:pPr>
      <w:r w:rsidRPr="00975B77">
        <w:rPr>
          <w:vertAlign w:val="superscript"/>
        </w:rPr>
        <w:footnoteRef/>
      </w:r>
      <w:r w:rsidRPr="00975B77">
        <w:t>.</w:t>
      </w:r>
      <w:r w:rsidRPr="00975B77">
        <w:tab/>
        <w:t xml:space="preserve">The Adult Parole Board, in its 2023–24 annual report, stated that ‘insufficient time for a meaningful parole period’ and not having suitable accommodation were some of the most common reasons for denying parole applications in the 12 months to 30 June 2024: Adult Parole Board, </w:t>
      </w:r>
      <w:r w:rsidRPr="00975B77">
        <w:rPr>
          <w:rStyle w:val="LightItalic"/>
          <w:rFonts w:ascii="Verdana" w:hAnsi="Verdana"/>
        </w:rPr>
        <w:t>Annual Report 2023–24</w:t>
      </w:r>
      <w:r w:rsidRPr="00975B77">
        <w:t xml:space="preserve"> (2024) 31.</w:t>
      </w:r>
    </w:p>
  </w:footnote>
  <w:footnote w:id="196">
    <w:p w14:paraId="009C4DCD" w14:textId="7F771E23" w:rsidR="00A4454A" w:rsidRPr="00975B77" w:rsidRDefault="00A4454A" w:rsidP="004A61A1">
      <w:pPr>
        <w:pStyle w:val="Footnote"/>
      </w:pPr>
      <w:r w:rsidRPr="00975B77">
        <w:rPr>
          <w:vertAlign w:val="superscript"/>
        </w:rPr>
        <w:footnoteRef/>
      </w:r>
      <w:r w:rsidRPr="00975B77">
        <w:t>.</w:t>
      </w:r>
      <w:r w:rsidRPr="00975B77">
        <w:tab/>
        <w:t xml:space="preserve">The </w:t>
      </w:r>
      <w:r w:rsidRPr="00975B77">
        <w:rPr>
          <w:rStyle w:val="LightItalic"/>
          <w:rFonts w:ascii="Verdana" w:hAnsi="Verdana"/>
        </w:rPr>
        <w:t>Serious Offenders Act 2018</w:t>
      </w:r>
      <w:r w:rsidRPr="00975B77">
        <w:t xml:space="preserve"> (Vic) replaced the </w:t>
      </w:r>
      <w:r w:rsidRPr="00975B77">
        <w:rPr>
          <w:rStyle w:val="LightItalic"/>
          <w:rFonts w:ascii="Verdana" w:hAnsi="Verdana"/>
        </w:rPr>
        <w:t>Serious Sex Offenders (Detention and Supervision) Act 2009</w:t>
      </w:r>
      <w:r w:rsidRPr="00975B77">
        <w:t xml:space="preserve"> (Vic) (repealed), expanding the scheme to cover serious violent offenders as well as serious sexual offenders. The 2009 </w:t>
      </w:r>
      <w:r w:rsidRPr="00975B77">
        <w:rPr>
          <w:rStyle w:val="LightItalic"/>
          <w:rFonts w:ascii="Verdana" w:hAnsi="Verdana"/>
        </w:rPr>
        <w:t>Act</w:t>
      </w:r>
      <w:r w:rsidRPr="00975B77">
        <w:t xml:space="preserve"> had replaced the original </w:t>
      </w:r>
      <w:r w:rsidRPr="00975B77">
        <w:rPr>
          <w:rStyle w:val="LightItalic"/>
          <w:rFonts w:ascii="Verdana" w:hAnsi="Verdana"/>
        </w:rPr>
        <w:t>Serious Sex Offenders Monitoring Act 2005</w:t>
      </w:r>
      <w:r w:rsidRPr="00975B77">
        <w:t xml:space="preserve"> (Vic) and introduced continuing detention orders.</w:t>
      </w:r>
    </w:p>
  </w:footnote>
  <w:footnote w:id="197">
    <w:p w14:paraId="3F92AE21" w14:textId="2F9C2971" w:rsidR="00A4454A" w:rsidRPr="00975B77" w:rsidRDefault="00A4454A" w:rsidP="004A61A1">
      <w:pPr>
        <w:pStyle w:val="Footnote"/>
      </w:pPr>
      <w:r w:rsidRPr="00975B77">
        <w:rPr>
          <w:vertAlign w:val="superscript"/>
        </w:rPr>
        <w:footnoteRef/>
      </w:r>
      <w:r w:rsidRPr="00975B77">
        <w:t>.</w:t>
      </w:r>
      <w:r w:rsidRPr="00975B77">
        <w:tab/>
        <w:t>Particularly following a major review in 2015: Complex Adult Victim Sex Offender Management Review Panel,</w:t>
      </w:r>
      <w:r w:rsidRPr="00975B77">
        <w:rPr>
          <w:rStyle w:val="LightItalic"/>
          <w:rFonts w:ascii="Verdana" w:hAnsi="Verdana"/>
        </w:rPr>
        <w:t xml:space="preserve"> Advice on the Legislative and Governance Models Under the Serious Sex Offenders (Detention and Supervision) Act 2009 (Vic)</w:t>
      </w:r>
      <w:r w:rsidRPr="00975B77">
        <w:t xml:space="preserve"> (2015).</w:t>
      </w:r>
    </w:p>
  </w:footnote>
  <w:footnote w:id="198">
    <w:p w14:paraId="19B5B321" w14:textId="505094D2" w:rsidR="00A4454A" w:rsidRPr="00975B77" w:rsidRDefault="00A4454A" w:rsidP="004A61A1">
      <w:pPr>
        <w:pStyle w:val="Footnote"/>
      </w:pPr>
      <w:r w:rsidRPr="00975B77">
        <w:rPr>
          <w:vertAlign w:val="superscript"/>
        </w:rPr>
        <w:footnoteRef/>
      </w:r>
      <w:r w:rsidRPr="00975B77">
        <w:t>.</w:t>
      </w:r>
      <w:r w:rsidRPr="00975B77">
        <w:tab/>
      </w:r>
      <w:r w:rsidRPr="00975B77">
        <w:rPr>
          <w:rStyle w:val="LightItalic"/>
          <w:rFonts w:ascii="Verdana" w:hAnsi="Verdana"/>
        </w:rPr>
        <w:t>Serious Sex Offenders (Detention and Supervision) Amendment (Governance) Act 2017</w:t>
      </w:r>
      <w:r w:rsidRPr="00975B77">
        <w:t xml:space="preserve"> (Vic) pt 2.</w:t>
      </w:r>
    </w:p>
  </w:footnote>
  <w:footnote w:id="199">
    <w:p w14:paraId="71885AE2" w14:textId="3BDB8A20" w:rsidR="00A4454A" w:rsidRPr="00975B77" w:rsidRDefault="00A4454A" w:rsidP="004A61A1">
      <w:pPr>
        <w:pStyle w:val="Footnote"/>
      </w:pPr>
      <w:r w:rsidRPr="00975B77">
        <w:rPr>
          <w:vertAlign w:val="superscript"/>
        </w:rPr>
        <w:footnoteRef/>
      </w:r>
      <w:r w:rsidRPr="00975B77">
        <w:t>.</w:t>
      </w:r>
      <w:r w:rsidRPr="00975B77">
        <w:tab/>
      </w:r>
      <w:r w:rsidRPr="00975B77">
        <w:rPr>
          <w:rStyle w:val="LightItalic"/>
          <w:rFonts w:ascii="Verdana" w:hAnsi="Verdana"/>
        </w:rPr>
        <w:t>Serious Offenders Act 2018</w:t>
      </w:r>
      <w:r w:rsidRPr="00975B77">
        <w:t xml:space="preserve"> (Vic) s 69.</w:t>
      </w:r>
    </w:p>
  </w:footnote>
  <w:footnote w:id="200">
    <w:p w14:paraId="60B6FE92" w14:textId="584399CA" w:rsidR="00A4454A" w:rsidRPr="00975B77" w:rsidRDefault="00A4454A" w:rsidP="004A61A1">
      <w:pPr>
        <w:pStyle w:val="Footnote"/>
      </w:pPr>
      <w:r w:rsidRPr="00975B77">
        <w:rPr>
          <w:vertAlign w:val="superscript"/>
        </w:rPr>
        <w:footnoteRef/>
      </w:r>
      <w:r w:rsidRPr="00975B77">
        <w:t>.</w:t>
      </w:r>
      <w:r w:rsidRPr="00975B77">
        <w:tab/>
      </w:r>
      <w:r w:rsidRPr="00975B77">
        <w:rPr>
          <w:rStyle w:val="LightItalic"/>
          <w:rFonts w:ascii="Verdana" w:hAnsi="Verdana"/>
        </w:rPr>
        <w:t>Serious Offenders Act 2018</w:t>
      </w:r>
      <w:r w:rsidRPr="00975B77">
        <w:t xml:space="preserve"> (Vic) s 169(1). In the case of an ‘intentional or reckless’ contravention of a restrictive condition of a supervision order, the court must impose a term of imprisonment of at least 12 months: </w:t>
      </w:r>
      <w:r w:rsidRPr="00975B77">
        <w:rPr>
          <w:rStyle w:val="LightItalic"/>
          <w:rFonts w:ascii="Verdana" w:hAnsi="Verdana"/>
        </w:rPr>
        <w:t>Sentencing Act 1991</w:t>
      </w:r>
      <w:r w:rsidRPr="00975B77">
        <w:t xml:space="preserve"> (Vic) s 10AB(1).</w:t>
      </w:r>
    </w:p>
  </w:footnote>
  <w:footnote w:id="201">
    <w:p w14:paraId="2A50A144" w14:textId="4B034645" w:rsidR="00A4454A" w:rsidRPr="00975B77" w:rsidRDefault="00A4454A" w:rsidP="004A61A1">
      <w:pPr>
        <w:pStyle w:val="Footnote"/>
      </w:pPr>
      <w:r w:rsidRPr="00975B77">
        <w:rPr>
          <w:vertAlign w:val="superscript"/>
        </w:rPr>
        <w:footnoteRef/>
      </w:r>
      <w:r w:rsidRPr="00975B77">
        <w:t>.</w:t>
      </w:r>
      <w:r w:rsidRPr="00975B77">
        <w:tab/>
        <w:t>A recent parliamentary inquiry noted that in the decade to 2020, ‘6% of offenders were responsible for 44% of crimes reported to Victoria Police’: State of Victoria, Legal and Social Issues Committee (2022), above n 21, xiv, 65. See further Crime Statistics Agency (2018), above n 46.</w:t>
      </w:r>
    </w:p>
  </w:footnote>
  <w:footnote w:id="202">
    <w:p w14:paraId="38ACC4C5" w14:textId="23B70EA2" w:rsidR="00A4454A" w:rsidRPr="00975B77" w:rsidRDefault="00A4454A" w:rsidP="004A61A1">
      <w:pPr>
        <w:pStyle w:val="Footnote"/>
      </w:pPr>
      <w:r w:rsidRPr="00975B77">
        <w:rPr>
          <w:vertAlign w:val="superscript"/>
        </w:rPr>
        <w:footnoteRef/>
      </w:r>
      <w:r w:rsidRPr="00975B77">
        <w:t>.</w:t>
      </w:r>
      <w:r w:rsidRPr="00975B77">
        <w:tab/>
        <w:t>Corrections Victoria (2025), above n 29.</w:t>
      </w:r>
    </w:p>
  </w:footnote>
  <w:footnote w:id="203">
    <w:p w14:paraId="0B1A5849" w14:textId="17C0097C" w:rsidR="00A4454A" w:rsidRPr="00975B77" w:rsidRDefault="00A4454A" w:rsidP="004A61A1">
      <w:pPr>
        <w:pStyle w:val="Footnote"/>
      </w:pPr>
      <w:r w:rsidRPr="00975B77">
        <w:rPr>
          <w:vertAlign w:val="superscript"/>
        </w:rPr>
        <w:footnoteRef/>
      </w:r>
      <w:r w:rsidRPr="00975B77">
        <w:t>.</w:t>
      </w:r>
      <w:r w:rsidRPr="00975B77">
        <w:tab/>
      </w:r>
      <w:r w:rsidRPr="00975B77">
        <w:rPr>
          <w:rStyle w:val="LightItalic"/>
          <w:rFonts w:ascii="Verdana" w:hAnsi="Verdana"/>
        </w:rPr>
        <w:t>Bail Amendment Act 2025</w:t>
      </w:r>
      <w:r w:rsidRPr="00975B77">
        <w:t xml:space="preserve"> (Vic). The final provisions of that Act came into force on 26 August 2025. The second tranche of bail reforms was passed on 27 August 2025:</w:t>
      </w:r>
      <w:r w:rsidRPr="00975B77">
        <w:rPr>
          <w:rStyle w:val="LightItalic"/>
          <w:rFonts w:ascii="Verdana" w:hAnsi="Verdana"/>
        </w:rPr>
        <w:t xml:space="preserve"> Bail Further Amendment Act 2025 </w:t>
      </w:r>
      <w:r w:rsidRPr="00975B77">
        <w:t>(Vic).</w:t>
      </w:r>
    </w:p>
  </w:footnote>
  <w:footnote w:id="204">
    <w:p w14:paraId="48828D39" w14:textId="14016A6B" w:rsidR="00A4454A" w:rsidRPr="00975B77" w:rsidRDefault="00A4454A" w:rsidP="004A61A1">
      <w:pPr>
        <w:pStyle w:val="Footnote"/>
      </w:pPr>
      <w:r w:rsidRPr="00975B77">
        <w:rPr>
          <w:vertAlign w:val="superscript"/>
        </w:rPr>
        <w:footnoteRef/>
      </w:r>
      <w:r w:rsidRPr="00975B77">
        <w:t>.</w:t>
      </w:r>
      <w:r w:rsidRPr="00975B77">
        <w:tab/>
        <w:t>Premier of Victoria, ‘Tough Bail Laws to Keep Victorians Safe’, Media Release (12 March 2025).</w:t>
      </w:r>
    </w:p>
  </w:footnote>
  <w:footnote w:id="205">
    <w:p w14:paraId="53708E8F" w14:textId="77777777" w:rsidR="00A4454A" w:rsidRPr="00975B77" w:rsidRDefault="00A4454A" w:rsidP="00336C2A">
      <w:pPr>
        <w:pStyle w:val="Footnote"/>
      </w:pPr>
      <w:r w:rsidRPr="00975B77">
        <w:rPr>
          <w:vertAlign w:val="superscript"/>
        </w:rPr>
        <w:footnoteRef/>
      </w:r>
      <w:r w:rsidRPr="00975B77">
        <w:t>.</w:t>
      </w:r>
      <w:r w:rsidRPr="00975B77">
        <w:tab/>
        <w:t>See, for example, Bartels et al. (2018), above n 20; McMahon (2019), above n 20.</w:t>
      </w:r>
    </w:p>
  </w:footnote>
  <w:footnote w:id="206">
    <w:p w14:paraId="1E01E1AA" w14:textId="45C3C5D2" w:rsidR="00A4454A" w:rsidRPr="00975B77" w:rsidRDefault="00A4454A" w:rsidP="004A61A1">
      <w:pPr>
        <w:pStyle w:val="Footnote"/>
      </w:pPr>
      <w:r w:rsidRPr="00975B77">
        <w:rPr>
          <w:vertAlign w:val="superscript"/>
        </w:rPr>
        <w:footnoteRef/>
      </w:r>
      <w:r w:rsidRPr="00975B77">
        <w:t>.</w:t>
      </w:r>
      <w:r w:rsidRPr="00975B77">
        <w:tab/>
        <w:t>Sentencing Advisory Council (2020), above n 121.</w:t>
      </w:r>
    </w:p>
  </w:footnote>
  <w:footnote w:id="207">
    <w:p w14:paraId="78800031" w14:textId="0290E5A7" w:rsidR="00A4454A" w:rsidRPr="00975B77" w:rsidRDefault="00A4454A" w:rsidP="004A61A1">
      <w:pPr>
        <w:pStyle w:val="Footnote"/>
      </w:pPr>
      <w:r w:rsidRPr="00975B77">
        <w:rPr>
          <w:vertAlign w:val="superscript"/>
        </w:rPr>
        <w:footnoteRef/>
      </w:r>
      <w:r w:rsidRPr="00975B77">
        <w:t>.</w:t>
      </w:r>
      <w:r w:rsidRPr="00975B77">
        <w:tab/>
        <w:t xml:space="preserve">Bronwyn Lind and Simon Eyland, </w:t>
      </w:r>
      <w:r w:rsidRPr="00975B77">
        <w:rPr>
          <w:rStyle w:val="LightItalic"/>
          <w:rFonts w:ascii="Verdana" w:hAnsi="Verdana"/>
        </w:rPr>
        <w:t>The Impact of Abolishing Short Prison Sentences</w:t>
      </w:r>
      <w:r w:rsidRPr="00975B77">
        <w:t>, Contemporary Issues in Crime and Justice no. 73 (2002); Australian Law Reform Commission</w:t>
      </w:r>
      <w:r w:rsidRPr="00975B77">
        <w:rPr>
          <w:rStyle w:val="LightItalic"/>
          <w:rFonts w:ascii="Verdana" w:hAnsi="Verdana"/>
        </w:rPr>
        <w:t xml:space="preserve"> </w:t>
      </w:r>
      <w:r w:rsidRPr="00975B77">
        <w:t>(2017), above n 126, 268–270.</w:t>
      </w:r>
    </w:p>
  </w:footnote>
  <w:footnote w:id="208">
    <w:p w14:paraId="135A0C2E" w14:textId="46295984" w:rsidR="00A4454A" w:rsidRPr="00975B77" w:rsidRDefault="00A4454A" w:rsidP="004A61A1">
      <w:pPr>
        <w:pStyle w:val="Footnote"/>
      </w:pPr>
      <w:r w:rsidRPr="00975B77">
        <w:rPr>
          <w:vertAlign w:val="superscript"/>
        </w:rPr>
        <w:footnoteRef/>
      </w:r>
      <w:r w:rsidRPr="00975B77">
        <w:t>.</w:t>
      </w:r>
      <w:r w:rsidRPr="00975B77">
        <w:tab/>
        <w:t>Productivity Commission (2021), above n 6, 38 (‘the majority of prisoners (70 per cent) serving short sentences are in prison for non-violent offences, such as theft and drug offences’).</w:t>
      </w:r>
    </w:p>
  </w:footnote>
  <w:footnote w:id="209">
    <w:p w14:paraId="7A7145AF" w14:textId="3C0279FC" w:rsidR="00A4454A" w:rsidRPr="00975B77" w:rsidRDefault="00A4454A" w:rsidP="004A61A1">
      <w:pPr>
        <w:pStyle w:val="Footnote"/>
      </w:pPr>
      <w:r w:rsidRPr="00975B77">
        <w:rPr>
          <w:vertAlign w:val="superscript"/>
        </w:rPr>
        <w:footnoteRef/>
      </w:r>
      <w:r w:rsidRPr="00975B77">
        <w:t>.</w:t>
      </w:r>
      <w:r w:rsidRPr="00975B77">
        <w:tab/>
        <w:t>Australian Law Reform Commission</w:t>
      </w:r>
      <w:r w:rsidRPr="00975B77">
        <w:rPr>
          <w:rStyle w:val="LightItalic"/>
          <w:rFonts w:ascii="Verdana" w:hAnsi="Verdana"/>
        </w:rPr>
        <w:t xml:space="preserve"> </w:t>
      </w:r>
      <w:r w:rsidRPr="00975B77">
        <w:t>(2017), above n 126, 268–269 (citations omitted).</w:t>
      </w:r>
    </w:p>
  </w:footnote>
  <w:footnote w:id="210">
    <w:p w14:paraId="07A3FE50" w14:textId="28434A4D" w:rsidR="00A4454A" w:rsidRPr="00975B77" w:rsidRDefault="00A4454A" w:rsidP="004A61A1">
      <w:pPr>
        <w:pStyle w:val="Footnote"/>
      </w:pPr>
      <w:r w:rsidRPr="00975B77">
        <w:rPr>
          <w:vertAlign w:val="superscript"/>
        </w:rPr>
        <w:footnoteRef/>
      </w:r>
      <w:r w:rsidRPr="00975B77">
        <w:t>.</w:t>
      </w:r>
      <w:r w:rsidRPr="00975B77">
        <w:tab/>
        <w:t xml:space="preserve">Some researchers have expressed concern that the increase in persons being remanded in custody will have negative consequences for the safety of the community, ‘as even relatively short periods of [imprisonment] … are associated with higher rates of subsequent criminal offending’: McMahon (2019), above n 20, 1. </w:t>
      </w:r>
    </w:p>
  </w:footnote>
  <w:footnote w:id="211">
    <w:p w14:paraId="2F2ED894" w14:textId="12796155" w:rsidR="00A4454A" w:rsidRPr="00975B77" w:rsidRDefault="00A4454A" w:rsidP="004A61A1">
      <w:pPr>
        <w:pStyle w:val="Footnote"/>
      </w:pPr>
      <w:r w:rsidRPr="00975B77">
        <w:rPr>
          <w:vertAlign w:val="superscript"/>
        </w:rPr>
        <w:footnoteRef/>
      </w:r>
      <w:r w:rsidRPr="00975B77">
        <w:t>.</w:t>
      </w:r>
      <w:r w:rsidRPr="00975B77">
        <w:tab/>
        <w:t xml:space="preserve">Victorian Ombudsman (2015), above n 158, 4, 29–31. See also Maria Borzycki and Eileen Baldry, </w:t>
      </w:r>
      <w:r w:rsidRPr="00975B77">
        <w:rPr>
          <w:rStyle w:val="LightItalic"/>
          <w:rFonts w:ascii="Verdana" w:hAnsi="Verdana"/>
        </w:rPr>
        <w:t>Promoting Integration: The Provision of Prisoner Post-Release Supervision</w:t>
      </w:r>
      <w:r w:rsidRPr="00975B77">
        <w:t>, Trends &amp; Issues in Criminal Justice no. 262 (2003).</w:t>
      </w:r>
    </w:p>
  </w:footnote>
  <w:footnote w:id="212">
    <w:p w14:paraId="6EB20252" w14:textId="6D2F65C1" w:rsidR="00A4454A" w:rsidRPr="00975B77" w:rsidRDefault="00A4454A" w:rsidP="004A61A1">
      <w:pPr>
        <w:pStyle w:val="Footnote"/>
      </w:pPr>
      <w:r w:rsidRPr="00975B77">
        <w:rPr>
          <w:vertAlign w:val="superscript"/>
        </w:rPr>
        <w:footnoteRef/>
      </w:r>
      <w:r w:rsidRPr="00975B77">
        <w:t>.</w:t>
      </w:r>
      <w:r w:rsidRPr="00975B77">
        <w:tab/>
        <w:t>State of Victoria, Legal and Social Issues Committee (2022), above n 21, 548–551.</w:t>
      </w:r>
    </w:p>
  </w:footnote>
  <w:footnote w:id="213">
    <w:p w14:paraId="055C7122" w14:textId="3A616D4B" w:rsidR="00A4454A" w:rsidRPr="00975B77" w:rsidRDefault="00A4454A" w:rsidP="004A61A1">
      <w:pPr>
        <w:pStyle w:val="Footnote"/>
      </w:pPr>
      <w:r w:rsidRPr="00975B77">
        <w:rPr>
          <w:vertAlign w:val="superscript"/>
        </w:rPr>
        <w:footnoteRef/>
      </w:r>
      <w:r w:rsidRPr="00975B77">
        <w:t>.</w:t>
      </w:r>
      <w:r w:rsidRPr="00975B77">
        <w:tab/>
        <w:t xml:space="preserve">See, for example, Western Australia, where terms of imprisonment of 3 months or less were abolished in 1995, increasing the threshold for abolition to 6 months in 2003: </w:t>
      </w:r>
      <w:r w:rsidRPr="00975B77">
        <w:rPr>
          <w:rStyle w:val="LightItalic"/>
          <w:rFonts w:ascii="Verdana" w:hAnsi="Verdana"/>
        </w:rPr>
        <w:t>Sentencing Act 1995</w:t>
      </w:r>
      <w:r w:rsidRPr="00975B77">
        <w:t xml:space="preserve"> (WA) s 86. See further Australian Law Reform Commission</w:t>
      </w:r>
      <w:r w:rsidRPr="00975B77">
        <w:rPr>
          <w:rStyle w:val="LightItalic"/>
          <w:rFonts w:ascii="Verdana" w:hAnsi="Verdana"/>
        </w:rPr>
        <w:t xml:space="preserve"> </w:t>
      </w:r>
      <w:r w:rsidRPr="00975B77">
        <w:t>(2017), above n 126, 270–272.</w:t>
      </w:r>
    </w:p>
  </w:footnote>
  <w:footnote w:id="214">
    <w:p w14:paraId="593729A4" w14:textId="2CF637D1" w:rsidR="00A4454A" w:rsidRPr="00975B77" w:rsidRDefault="00A4454A" w:rsidP="004A61A1">
      <w:pPr>
        <w:pStyle w:val="Footnote"/>
      </w:pPr>
      <w:r w:rsidRPr="00975B77">
        <w:rPr>
          <w:vertAlign w:val="superscript"/>
        </w:rPr>
        <w:footnoteRef/>
      </w:r>
      <w:r w:rsidRPr="00975B77">
        <w:t>.</w:t>
      </w:r>
      <w:r w:rsidRPr="00975B77">
        <w:tab/>
        <w:t xml:space="preserve">See, for example, Scotland: </w:t>
      </w:r>
      <w:r w:rsidRPr="00975B77">
        <w:rPr>
          <w:rStyle w:val="LightItalic"/>
          <w:rFonts w:ascii="Verdana" w:hAnsi="Verdana"/>
        </w:rPr>
        <w:t>Criminal Procedure (Scotland) Act 1995</w:t>
      </w:r>
      <w:r w:rsidRPr="00975B77">
        <w:t xml:space="preserve"> (Scot) s 204.</w:t>
      </w:r>
    </w:p>
  </w:footnote>
  <w:footnote w:id="215">
    <w:p w14:paraId="670F4FA6" w14:textId="46B20C03" w:rsidR="00A4454A" w:rsidRPr="00975B77" w:rsidRDefault="00A4454A" w:rsidP="004A61A1">
      <w:pPr>
        <w:pStyle w:val="Footnote"/>
      </w:pPr>
      <w:r w:rsidRPr="00975B77">
        <w:rPr>
          <w:vertAlign w:val="superscript"/>
        </w:rPr>
        <w:footnoteRef/>
      </w:r>
      <w:r w:rsidRPr="00975B77">
        <w:t>.</w:t>
      </w:r>
      <w:r w:rsidRPr="00975B77">
        <w:tab/>
        <w:t>Australian Law Reform Commission</w:t>
      </w:r>
      <w:r w:rsidRPr="00975B77">
        <w:rPr>
          <w:rStyle w:val="LightItalic"/>
          <w:rFonts w:ascii="Verdana" w:hAnsi="Verdana"/>
        </w:rPr>
        <w:t xml:space="preserve"> </w:t>
      </w:r>
      <w:r w:rsidRPr="00975B77">
        <w:t>(2017), above n 126, 270–272.</w:t>
      </w:r>
    </w:p>
  </w:footnote>
  <w:footnote w:id="216">
    <w:p w14:paraId="3B08929F" w14:textId="2CB4368A" w:rsidR="00A4454A" w:rsidRPr="00975B77" w:rsidRDefault="00A4454A" w:rsidP="004A61A1">
      <w:pPr>
        <w:pStyle w:val="Footnote"/>
      </w:pPr>
      <w:r w:rsidRPr="00975B77">
        <w:rPr>
          <w:vertAlign w:val="superscript"/>
        </w:rPr>
        <w:footnoteRef/>
      </w:r>
      <w:r w:rsidRPr="00975B77">
        <w:t>.</w:t>
      </w:r>
      <w:r w:rsidRPr="00975B77">
        <w:tab/>
        <w:t xml:space="preserve">Second United Nations Congress on the Prevention of Crime and the Treatment of Offenders, </w:t>
      </w:r>
      <w:r w:rsidRPr="00975B77">
        <w:rPr>
          <w:rStyle w:val="LightItalic"/>
          <w:rFonts w:ascii="Verdana" w:hAnsi="Verdana"/>
        </w:rPr>
        <w:t xml:space="preserve">Short-Term Imprisonment, </w:t>
      </w:r>
      <w:r w:rsidRPr="00975B77">
        <w:t>UN Doc A/CONF.17/5 (20 August 1960)</w:t>
      </w:r>
      <w:r w:rsidRPr="00975B77">
        <w:rPr>
          <w:rStyle w:val="LightItalic"/>
          <w:rFonts w:ascii="Verdana" w:hAnsi="Verdana"/>
        </w:rPr>
        <w:t xml:space="preserve"> </w:t>
      </w:r>
      <w:r w:rsidRPr="00975B77">
        <w:t>104.</w:t>
      </w:r>
    </w:p>
  </w:footnote>
  <w:footnote w:id="217">
    <w:p w14:paraId="052ABACD" w14:textId="3F9660EF" w:rsidR="00A4454A" w:rsidRPr="00975B77" w:rsidRDefault="00A4454A" w:rsidP="004A61A1">
      <w:pPr>
        <w:pStyle w:val="Footnote"/>
      </w:pPr>
      <w:r w:rsidRPr="00975B77">
        <w:rPr>
          <w:vertAlign w:val="superscript"/>
        </w:rPr>
        <w:footnoteRef/>
      </w:r>
      <w:r w:rsidRPr="00975B77">
        <w:t>.</w:t>
      </w:r>
      <w:r w:rsidRPr="00975B77">
        <w:tab/>
        <w:t xml:space="preserve">A 2019 Corrections Victoria report found that 65% of women received on remand in 2015 and 2016 reported experiencing family violence as a child, an adult or both: Corrections Victoria (2019), above n 162, 4, 12. See also The Justice Map, </w:t>
      </w:r>
      <w:r w:rsidRPr="00975B77">
        <w:rPr>
          <w:rStyle w:val="LightItalic"/>
          <w:rFonts w:ascii="Verdana" w:hAnsi="Verdana"/>
        </w:rPr>
        <w:t xml:space="preserve">Doing Time for Men’s Crimes: How Male Violence Is Driving Record Numbers of Women into Australian Prisons </w:t>
      </w:r>
      <w:r w:rsidRPr="00975B77">
        <w:t xml:space="preserve">(2024); Cat Woods, ‘Women in Prison’, </w:t>
      </w:r>
      <w:r w:rsidRPr="00975B77">
        <w:rPr>
          <w:rStyle w:val="LightItalic"/>
          <w:rFonts w:ascii="Verdana" w:hAnsi="Verdana"/>
        </w:rPr>
        <w:t xml:space="preserve">Law Society Journal </w:t>
      </w:r>
      <w:r w:rsidRPr="00975B77">
        <w:t xml:space="preserve">(17 January 2023); Monique </w:t>
      </w:r>
      <w:r w:rsidRPr="00975B77">
        <w:rPr>
          <w:spacing w:val="-2"/>
        </w:rPr>
        <w:t>Hurley, ‘Towards Ending Over-Imprisonment: Addressing the Impact of Bail Laws on Women in Victoria’ (2022)</w:t>
      </w:r>
      <w:r w:rsidRPr="00975B77">
        <w:t xml:space="preserve"> 31(170) </w:t>
      </w:r>
      <w:r w:rsidRPr="00975B77">
        <w:rPr>
          <w:rStyle w:val="LightItalic"/>
          <w:rFonts w:ascii="Verdana" w:hAnsi="Verdana"/>
        </w:rPr>
        <w:t>Precedent</w:t>
      </w:r>
      <w:r w:rsidRPr="00975B77">
        <w:t xml:space="preserve"> 32; Russell et al.</w:t>
      </w:r>
      <w:r w:rsidRPr="00975B77">
        <w:rPr>
          <w:rStyle w:val="LightItalic"/>
          <w:rFonts w:ascii="Verdana" w:hAnsi="Verdana"/>
        </w:rPr>
        <w:t xml:space="preserve"> </w:t>
      </w:r>
      <w:r w:rsidRPr="00975B77">
        <w:t>(2020), above n 162; Crime Statistics Agency (2019), above n 128, 2, 7; Sentencing Advisory Council (2010), above n 128.</w:t>
      </w:r>
    </w:p>
  </w:footnote>
  <w:footnote w:id="218">
    <w:p w14:paraId="4C9A3ABB" w14:textId="25D998E8" w:rsidR="00A4454A" w:rsidRPr="00975B77" w:rsidRDefault="00A4454A" w:rsidP="004A61A1">
      <w:pPr>
        <w:pStyle w:val="Footnote"/>
      </w:pPr>
      <w:r w:rsidRPr="00975B77">
        <w:rPr>
          <w:vertAlign w:val="superscript"/>
        </w:rPr>
        <w:footnoteRef/>
      </w:r>
      <w:r w:rsidRPr="00975B77">
        <w:t>.</w:t>
      </w:r>
      <w:r w:rsidRPr="00975B77">
        <w:tab/>
      </w:r>
      <w:r w:rsidRPr="00975B77">
        <w:rPr>
          <w:spacing w:val="-2"/>
        </w:rPr>
        <w:t xml:space="preserve">Corrections Victoria reported that, in 2017 ‘two-thirds of women whose period of remand ended were released </w:t>
      </w:r>
      <w:r w:rsidRPr="00975B77">
        <w:t xml:space="preserve">from prison without serving any time under sentence’: Corrections Victoria (2019), above n 162, 13–14. </w:t>
      </w:r>
    </w:p>
  </w:footnote>
  <w:footnote w:id="219">
    <w:p w14:paraId="53CC0507" w14:textId="77777777" w:rsidR="00A4454A" w:rsidRPr="00975B77" w:rsidRDefault="00A4454A" w:rsidP="00336C2A">
      <w:pPr>
        <w:pStyle w:val="Footnote"/>
      </w:pPr>
      <w:r w:rsidRPr="00975B77">
        <w:rPr>
          <w:vertAlign w:val="superscript"/>
        </w:rPr>
        <w:footnoteRef/>
      </w:r>
      <w:r w:rsidRPr="00975B77">
        <w:t>.</w:t>
      </w:r>
      <w:r w:rsidRPr="00975B77">
        <w:tab/>
        <w:t xml:space="preserve">The Council highlighted this distinction in its 2010 report on gender differences in sentencing outcomes, remarking that: </w:t>
      </w:r>
    </w:p>
    <w:p w14:paraId="54E9C95D" w14:textId="77777777" w:rsidR="00A4454A" w:rsidRPr="00975B77" w:rsidRDefault="00A4454A" w:rsidP="00FD59B9">
      <w:pPr>
        <w:pStyle w:val="Footnote"/>
        <w:ind w:left="992" w:firstLine="0"/>
      </w:pPr>
      <w:r w:rsidRPr="00975B77">
        <w:t>the effect of gender on sentencing decisions is not direct; rather, it acts indirectly via two paths: via gender differences in offending behaviour; and via the individual biographies of women that see a greater proportion of women coming before the court with a constellation of characteristics that creates legitimate mitigating circumstances. It is these indirect effects of gender that lead to disparities in sentencing outcomes. But it is these differences in men’s and women’s offending and in their biographies that mean that these disparities may not be unwarranted: the combination of factors such as family responsibility, mental illness, childhood abuse and trauma, and family violence creates a greater level of complexity in the reasons behind women’s offending, differentiating it from that of men.</w:t>
      </w:r>
    </w:p>
    <w:p w14:paraId="2BDA2894" w14:textId="7F5857A5" w:rsidR="00A4454A" w:rsidRPr="00975B77" w:rsidRDefault="00A4454A" w:rsidP="00AF5175">
      <w:pPr>
        <w:pStyle w:val="Footnote"/>
        <w:ind w:left="908"/>
      </w:pPr>
      <w:r w:rsidRPr="00975B77">
        <w:t>Sentencing Advisory Council (2010), above n 128, 49.</w:t>
      </w:r>
    </w:p>
  </w:footnote>
  <w:footnote w:id="220">
    <w:p w14:paraId="7FF55C43" w14:textId="38C3A31E" w:rsidR="00A4454A" w:rsidRPr="00975B77" w:rsidRDefault="00A4454A" w:rsidP="004A61A1">
      <w:pPr>
        <w:pStyle w:val="Footnote"/>
      </w:pPr>
      <w:r w:rsidRPr="00975B77">
        <w:rPr>
          <w:vertAlign w:val="superscript"/>
        </w:rPr>
        <w:footnoteRef/>
      </w:r>
      <w:r w:rsidRPr="00975B77">
        <w:t>.</w:t>
      </w:r>
      <w:r w:rsidRPr="00975B77">
        <w:tab/>
        <w:t>Commonwealth of Australia (1991), above n 66.</w:t>
      </w:r>
    </w:p>
  </w:footnote>
  <w:footnote w:id="221">
    <w:p w14:paraId="1D0695D5" w14:textId="23010EF9" w:rsidR="00A4454A" w:rsidRPr="004A61A1" w:rsidRDefault="00A4454A" w:rsidP="004A61A1">
      <w:pPr>
        <w:pStyle w:val="Footnote"/>
        <w:rPr>
          <w:spacing w:val="-2"/>
        </w:rPr>
      </w:pPr>
      <w:r w:rsidRPr="00975B77">
        <w:rPr>
          <w:vertAlign w:val="superscript"/>
        </w:rPr>
        <w:footnoteRef/>
      </w:r>
      <w:r w:rsidRPr="00975B77">
        <w:t>.</w:t>
      </w:r>
      <w:r w:rsidRPr="00975B77">
        <w:tab/>
        <w:t>See, for example, Victorian Ombudsman</w:t>
      </w:r>
      <w:r w:rsidRPr="00975B77">
        <w:rPr>
          <w:rStyle w:val="LightItalic"/>
          <w:rFonts w:ascii="Verdana" w:hAnsi="Verdana"/>
        </w:rPr>
        <w:t>, Investigation into Healthcare Provision for Aboriginal People in Victorian Prisons</w:t>
      </w:r>
      <w:r w:rsidRPr="00975B77">
        <w:t xml:space="preserve"> (2024); State of Victoria, Legal and Social Issues Committee (2022), above n 21, 60–62; Productivity Commission (2021), above n 6, 19, 31–34; Sophie Russell and Eileen Baldry (2020), above n 146, 6–7; </w:t>
      </w:r>
      <w:r w:rsidRPr="00975B77">
        <w:rPr>
          <w:spacing w:val="-2"/>
        </w:rPr>
        <w:t>Australian Law Reform Commission</w:t>
      </w:r>
      <w:r w:rsidRPr="00975B77">
        <w:rPr>
          <w:rStyle w:val="LightItalic"/>
          <w:rFonts w:ascii="Verdana" w:hAnsi="Verdana"/>
          <w:spacing w:val="-2"/>
        </w:rPr>
        <w:t xml:space="preserve"> </w:t>
      </w:r>
      <w:r w:rsidRPr="00975B77">
        <w:rPr>
          <w:spacing w:val="-2"/>
        </w:rPr>
        <w:t>(2017), above n 126; Victorian Ombudsman (2015), above n 158, 34, 74–87.</w:t>
      </w:r>
    </w:p>
  </w:footnote>
  <w:footnote w:id="222">
    <w:p w14:paraId="6F7E09A1" w14:textId="30C16CD2" w:rsidR="00A4454A" w:rsidRPr="00975B77" w:rsidRDefault="00A4454A" w:rsidP="00284D1F">
      <w:pPr>
        <w:pStyle w:val="Footnote"/>
      </w:pPr>
      <w:r w:rsidRPr="00975B77">
        <w:rPr>
          <w:vertAlign w:val="superscript"/>
        </w:rPr>
        <w:footnoteRef/>
      </w:r>
      <w:r w:rsidRPr="00975B77">
        <w:t>.</w:t>
      </w:r>
      <w:r w:rsidRPr="00975B77">
        <w:tab/>
        <w:t>As at 30 June 2024, there were 32 Aboriginal women in custody, 16 of whom were on remand: Corrections Victoria (2025), above n 29. See further Bartels (2019), above n 162.</w:t>
      </w:r>
    </w:p>
  </w:footnote>
  <w:footnote w:id="223">
    <w:p w14:paraId="475D104A" w14:textId="2489A1A2" w:rsidR="00A4454A" w:rsidRPr="00975B77" w:rsidRDefault="00A4454A" w:rsidP="00284D1F">
      <w:pPr>
        <w:pStyle w:val="Footnote"/>
      </w:pPr>
      <w:r w:rsidRPr="00975B77">
        <w:rPr>
          <w:vertAlign w:val="superscript"/>
        </w:rPr>
        <w:footnoteRef/>
      </w:r>
      <w:r w:rsidRPr="00975B77">
        <w:t>.</w:t>
      </w:r>
      <w:r w:rsidRPr="00975B77">
        <w:tab/>
        <w:t>See, for example, Productivity Commission (2021), above n 6, 2,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DF5D" w14:textId="058E87FC" w:rsidR="00553AA8" w:rsidRPr="00DE2015" w:rsidRDefault="00C563D5" w:rsidP="00FC6B69">
    <w:pPr>
      <w:rPr>
        <w:sz w:val="20"/>
        <w:szCs w:val="20"/>
      </w:rPr>
    </w:pPr>
    <w:r w:rsidRPr="00C563D5">
      <w:rPr>
        <w:rFonts w:cs="Arial"/>
        <w:i/>
        <w:iCs/>
        <w:sz w:val="20"/>
        <w:szCs w:val="20"/>
      </w:rPr>
      <w:t xml:space="preserve">Victoria’s </w:t>
    </w:r>
    <w:r w:rsidR="00F654D2">
      <w:rPr>
        <w:rFonts w:cs="Arial"/>
        <w:i/>
        <w:iCs/>
        <w:sz w:val="20"/>
        <w:szCs w:val="20"/>
      </w:rPr>
      <w:t>P</w:t>
    </w:r>
    <w:r w:rsidRPr="00C563D5">
      <w:rPr>
        <w:rFonts w:cs="Arial"/>
        <w:i/>
        <w:iCs/>
        <w:sz w:val="20"/>
        <w:szCs w:val="20"/>
      </w:rPr>
      <w:t xml:space="preserve">rison </w:t>
    </w:r>
    <w:r w:rsidR="00F654D2">
      <w:rPr>
        <w:rFonts w:cs="Arial"/>
        <w:i/>
        <w:iCs/>
        <w:sz w:val="20"/>
        <w:szCs w:val="20"/>
      </w:rPr>
      <w:t>P</w:t>
    </w:r>
    <w:r w:rsidRPr="00C563D5">
      <w:rPr>
        <w:rFonts w:cs="Arial"/>
        <w:i/>
        <w:iCs/>
        <w:sz w:val="20"/>
        <w:szCs w:val="20"/>
      </w:rPr>
      <w:t>opulation 2004 to 2024</w:t>
    </w:r>
    <w:r>
      <w:rPr>
        <w:rFonts w:cs="Arial"/>
        <w:sz w:val="20"/>
        <w:szCs w:val="20"/>
      </w:rPr>
      <w:t xml:space="preserve"> </w:t>
    </w:r>
    <w:r w:rsidR="00553AA8" w:rsidRPr="00DE2015">
      <w:rPr>
        <w:rFonts w:cs="Arial"/>
        <w:sz w:val="20"/>
        <w:szCs w:val="20"/>
      </w:rPr>
      <w:t>●</w:t>
    </w:r>
    <w:r w:rsidR="00553AA8" w:rsidRPr="00DE2015">
      <w:rPr>
        <w:sz w:val="20"/>
        <w:szCs w:val="20"/>
      </w:rPr>
      <w:t xml:space="preserve"> </w:t>
    </w:r>
    <w:r>
      <w:rPr>
        <w:sz w:val="20"/>
        <w:szCs w:val="20"/>
      </w:rPr>
      <w:t xml:space="preserve">October </w:t>
    </w:r>
    <w:r w:rsidR="00512E6C">
      <w:rPr>
        <w:sz w:val="20"/>
        <w:szCs w:val="20"/>
      </w:rPr>
      <w:t>202</w:t>
    </w:r>
    <w:r w:rsidR="00A77C3A">
      <w:rPr>
        <w:sz w:val="20"/>
        <w:szCs w:val="20"/>
      </w:rPr>
      <w:t>5</w:t>
    </w:r>
    <w:r w:rsidR="00553AA8" w:rsidRPr="00DE2015">
      <w:rPr>
        <w:sz w:val="20"/>
        <w:szCs w:val="20"/>
      </w:rPr>
      <w:t xml:space="preserve"> </w:t>
    </w:r>
    <w:r w:rsidR="00553AA8" w:rsidRPr="00DE2015">
      <w:rPr>
        <w:rFonts w:cs="Arial"/>
        <w:sz w:val="20"/>
        <w:szCs w:val="20"/>
      </w:rPr>
      <w:t>●</w:t>
    </w:r>
    <w:r w:rsidR="00553AA8" w:rsidRPr="00DE2015">
      <w:rPr>
        <w:sz w:val="20"/>
        <w:szCs w:val="20"/>
      </w:rPr>
      <w:t xml:space="preserve"> Sentencing Advisory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97F"/>
    <w:multiLevelType w:val="hybridMultilevel"/>
    <w:tmpl w:val="28268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6580C"/>
    <w:multiLevelType w:val="hybridMultilevel"/>
    <w:tmpl w:val="A436216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906CDB"/>
    <w:multiLevelType w:val="hybridMultilevel"/>
    <w:tmpl w:val="53624E0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3732B0"/>
    <w:multiLevelType w:val="hybridMultilevel"/>
    <w:tmpl w:val="870A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460667"/>
    <w:multiLevelType w:val="hybridMultilevel"/>
    <w:tmpl w:val="70062B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D11449"/>
    <w:multiLevelType w:val="hybridMultilevel"/>
    <w:tmpl w:val="BFBE8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F6721C"/>
    <w:multiLevelType w:val="hybridMultilevel"/>
    <w:tmpl w:val="CCFECD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BC2350"/>
    <w:multiLevelType w:val="hybridMultilevel"/>
    <w:tmpl w:val="E11ED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EE10FE"/>
    <w:multiLevelType w:val="hybridMultilevel"/>
    <w:tmpl w:val="62D62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BD2207"/>
    <w:multiLevelType w:val="hybridMultilevel"/>
    <w:tmpl w:val="1F7E7B3A"/>
    <w:lvl w:ilvl="0" w:tplc="B6348BB6">
      <w:start w:val="1"/>
      <w:numFmt w:val="bullet"/>
      <w:pStyle w:val="Bullets"/>
      <w:lvlText w:val=""/>
      <w:lvlJc w:val="left"/>
      <w:pPr>
        <w:ind w:left="1296" w:hanging="360"/>
      </w:pPr>
      <w:rPr>
        <w:rFonts w:ascii="Symbol" w:hAnsi="Symbol" w:hint="default"/>
      </w:rPr>
    </w:lvl>
    <w:lvl w:ilvl="1" w:tplc="0C090003">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0" w15:restartNumberingAfterBreak="0">
    <w:nsid w:val="32FE6D65"/>
    <w:multiLevelType w:val="hybridMultilevel"/>
    <w:tmpl w:val="01DCA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FF3305"/>
    <w:multiLevelType w:val="hybridMultilevel"/>
    <w:tmpl w:val="61CAD83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9724048"/>
    <w:multiLevelType w:val="multilevel"/>
    <w:tmpl w:val="16FABB18"/>
    <w:lvl w:ilvl="0">
      <w:start w:val="1"/>
      <w:numFmt w:val="decimal"/>
      <w:pStyle w:val="Heading1Numbered"/>
      <w:lvlText w:val="%1"/>
      <w:lvlJc w:val="left"/>
      <w:pPr>
        <w:ind w:left="432" w:hanging="432"/>
      </w:pPr>
      <w:rPr>
        <w:rFonts w:hint="default"/>
      </w:rPr>
    </w:lvl>
    <w:lvl w:ilvl="1">
      <w:start w:val="1"/>
      <w:numFmt w:val="decimal"/>
      <w:pStyle w:val="Numbered"/>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6BE02FF7"/>
    <w:multiLevelType w:val="hybridMultilevel"/>
    <w:tmpl w:val="B1300D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0CD26DD"/>
    <w:multiLevelType w:val="hybridMultilevel"/>
    <w:tmpl w:val="61CAD83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9517581"/>
    <w:multiLevelType w:val="hybridMultilevel"/>
    <w:tmpl w:val="62D62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FD722E0"/>
    <w:multiLevelType w:val="hybridMultilevel"/>
    <w:tmpl w:val="80945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5733366">
    <w:abstractNumId w:val="12"/>
  </w:num>
  <w:num w:numId="2" w16cid:durableId="1178808608">
    <w:abstractNumId w:val="9"/>
  </w:num>
  <w:num w:numId="3" w16cid:durableId="851182792">
    <w:abstractNumId w:val="2"/>
  </w:num>
  <w:num w:numId="4" w16cid:durableId="944730292">
    <w:abstractNumId w:val="15"/>
  </w:num>
  <w:num w:numId="5" w16cid:durableId="1689671258">
    <w:abstractNumId w:val="0"/>
  </w:num>
  <w:num w:numId="6" w16cid:durableId="2038191338">
    <w:abstractNumId w:val="5"/>
  </w:num>
  <w:num w:numId="7" w16cid:durableId="1814717269">
    <w:abstractNumId w:val="8"/>
  </w:num>
  <w:num w:numId="8" w16cid:durableId="1548833423">
    <w:abstractNumId w:val="4"/>
  </w:num>
  <w:num w:numId="9" w16cid:durableId="190804964">
    <w:abstractNumId w:val="7"/>
  </w:num>
  <w:num w:numId="10" w16cid:durableId="1725373192">
    <w:abstractNumId w:val="10"/>
  </w:num>
  <w:num w:numId="11" w16cid:durableId="119230041">
    <w:abstractNumId w:val="6"/>
  </w:num>
  <w:num w:numId="12" w16cid:durableId="651913985">
    <w:abstractNumId w:val="13"/>
  </w:num>
  <w:num w:numId="13" w16cid:durableId="430511485">
    <w:abstractNumId w:val="3"/>
  </w:num>
  <w:num w:numId="14" w16cid:durableId="141000068">
    <w:abstractNumId w:val="16"/>
  </w:num>
  <w:num w:numId="15" w16cid:durableId="318269085">
    <w:abstractNumId w:val="14"/>
  </w:num>
  <w:num w:numId="16" w16cid:durableId="1984041955">
    <w:abstractNumId w:val="11"/>
  </w:num>
  <w:num w:numId="17" w16cid:durableId="27285904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992"/>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4A"/>
    <w:rsid w:val="00005983"/>
    <w:rsid w:val="00005C26"/>
    <w:rsid w:val="00007C8C"/>
    <w:rsid w:val="000101DC"/>
    <w:rsid w:val="00013C82"/>
    <w:rsid w:val="00014E52"/>
    <w:rsid w:val="00014F2C"/>
    <w:rsid w:val="000162E2"/>
    <w:rsid w:val="000171EF"/>
    <w:rsid w:val="00021F91"/>
    <w:rsid w:val="00022270"/>
    <w:rsid w:val="00024391"/>
    <w:rsid w:val="0002476E"/>
    <w:rsid w:val="00024B20"/>
    <w:rsid w:val="00026071"/>
    <w:rsid w:val="000319F4"/>
    <w:rsid w:val="00031D5F"/>
    <w:rsid w:val="00034718"/>
    <w:rsid w:val="00034AE6"/>
    <w:rsid w:val="00034CE9"/>
    <w:rsid w:val="00035413"/>
    <w:rsid w:val="000372B0"/>
    <w:rsid w:val="000427AA"/>
    <w:rsid w:val="000429DF"/>
    <w:rsid w:val="000454C5"/>
    <w:rsid w:val="00050B03"/>
    <w:rsid w:val="00050B8A"/>
    <w:rsid w:val="00050BF8"/>
    <w:rsid w:val="00050EE9"/>
    <w:rsid w:val="00053A2E"/>
    <w:rsid w:val="00057C77"/>
    <w:rsid w:val="0006596C"/>
    <w:rsid w:val="00066093"/>
    <w:rsid w:val="00066A46"/>
    <w:rsid w:val="00067EB7"/>
    <w:rsid w:val="00067FA5"/>
    <w:rsid w:val="000706AC"/>
    <w:rsid w:val="000708EF"/>
    <w:rsid w:val="00072BF5"/>
    <w:rsid w:val="0007307E"/>
    <w:rsid w:val="0007454B"/>
    <w:rsid w:val="00075ECD"/>
    <w:rsid w:val="00076085"/>
    <w:rsid w:val="0007655F"/>
    <w:rsid w:val="000802AD"/>
    <w:rsid w:val="0008180B"/>
    <w:rsid w:val="00083BE5"/>
    <w:rsid w:val="000841B0"/>
    <w:rsid w:val="00084687"/>
    <w:rsid w:val="000853D4"/>
    <w:rsid w:val="00086F87"/>
    <w:rsid w:val="00087791"/>
    <w:rsid w:val="00090773"/>
    <w:rsid w:val="0009124B"/>
    <w:rsid w:val="00091E82"/>
    <w:rsid w:val="00094B2B"/>
    <w:rsid w:val="000960D9"/>
    <w:rsid w:val="000A1E59"/>
    <w:rsid w:val="000A3913"/>
    <w:rsid w:val="000A66CC"/>
    <w:rsid w:val="000B028C"/>
    <w:rsid w:val="000B1B6C"/>
    <w:rsid w:val="000B45FD"/>
    <w:rsid w:val="000B4F53"/>
    <w:rsid w:val="000B5247"/>
    <w:rsid w:val="000B634A"/>
    <w:rsid w:val="000C258A"/>
    <w:rsid w:val="000C2770"/>
    <w:rsid w:val="000C389C"/>
    <w:rsid w:val="000C4075"/>
    <w:rsid w:val="000C5A4C"/>
    <w:rsid w:val="000C68BF"/>
    <w:rsid w:val="000D0266"/>
    <w:rsid w:val="000D1F9C"/>
    <w:rsid w:val="000D2DB3"/>
    <w:rsid w:val="000D3D73"/>
    <w:rsid w:val="000D4AB1"/>
    <w:rsid w:val="000D4ACB"/>
    <w:rsid w:val="000E1D9C"/>
    <w:rsid w:val="000E2235"/>
    <w:rsid w:val="000E2800"/>
    <w:rsid w:val="000E5838"/>
    <w:rsid w:val="000E6D55"/>
    <w:rsid w:val="000F1B94"/>
    <w:rsid w:val="000F23AE"/>
    <w:rsid w:val="000F454E"/>
    <w:rsid w:val="000F73E4"/>
    <w:rsid w:val="00100EA6"/>
    <w:rsid w:val="00101BA4"/>
    <w:rsid w:val="00105B94"/>
    <w:rsid w:val="00106679"/>
    <w:rsid w:val="001078D2"/>
    <w:rsid w:val="00107BCD"/>
    <w:rsid w:val="00111142"/>
    <w:rsid w:val="00111982"/>
    <w:rsid w:val="001123B9"/>
    <w:rsid w:val="00114896"/>
    <w:rsid w:val="00120452"/>
    <w:rsid w:val="00123D79"/>
    <w:rsid w:val="00124740"/>
    <w:rsid w:val="00124FD4"/>
    <w:rsid w:val="00125046"/>
    <w:rsid w:val="0012507A"/>
    <w:rsid w:val="001259F0"/>
    <w:rsid w:val="00125E7F"/>
    <w:rsid w:val="0012645E"/>
    <w:rsid w:val="00131244"/>
    <w:rsid w:val="0013332F"/>
    <w:rsid w:val="00135288"/>
    <w:rsid w:val="00135356"/>
    <w:rsid w:val="00135C30"/>
    <w:rsid w:val="001373DF"/>
    <w:rsid w:val="00137815"/>
    <w:rsid w:val="001405EA"/>
    <w:rsid w:val="0014068F"/>
    <w:rsid w:val="001428BC"/>
    <w:rsid w:val="001446F6"/>
    <w:rsid w:val="001459BF"/>
    <w:rsid w:val="001463DE"/>
    <w:rsid w:val="00150C14"/>
    <w:rsid w:val="00150DBB"/>
    <w:rsid w:val="00152192"/>
    <w:rsid w:val="00152608"/>
    <w:rsid w:val="00157464"/>
    <w:rsid w:val="00157502"/>
    <w:rsid w:val="00160502"/>
    <w:rsid w:val="001615C7"/>
    <w:rsid w:val="00164111"/>
    <w:rsid w:val="00165B10"/>
    <w:rsid w:val="00173049"/>
    <w:rsid w:val="00175A75"/>
    <w:rsid w:val="00175B23"/>
    <w:rsid w:val="00177475"/>
    <w:rsid w:val="00177B78"/>
    <w:rsid w:val="00181117"/>
    <w:rsid w:val="001833B4"/>
    <w:rsid w:val="0018415B"/>
    <w:rsid w:val="001877FD"/>
    <w:rsid w:val="00190511"/>
    <w:rsid w:val="001917EB"/>
    <w:rsid w:val="00191E69"/>
    <w:rsid w:val="00192D56"/>
    <w:rsid w:val="00193059"/>
    <w:rsid w:val="00193952"/>
    <w:rsid w:val="00196BD3"/>
    <w:rsid w:val="00196FF4"/>
    <w:rsid w:val="001970F5"/>
    <w:rsid w:val="001A0831"/>
    <w:rsid w:val="001A2E09"/>
    <w:rsid w:val="001A3155"/>
    <w:rsid w:val="001A4F74"/>
    <w:rsid w:val="001A6F17"/>
    <w:rsid w:val="001A72C5"/>
    <w:rsid w:val="001B2460"/>
    <w:rsid w:val="001B255C"/>
    <w:rsid w:val="001B4C2C"/>
    <w:rsid w:val="001B6107"/>
    <w:rsid w:val="001B6151"/>
    <w:rsid w:val="001B7F6F"/>
    <w:rsid w:val="001C2580"/>
    <w:rsid w:val="001C30EA"/>
    <w:rsid w:val="001C5DDD"/>
    <w:rsid w:val="001C7588"/>
    <w:rsid w:val="001D353A"/>
    <w:rsid w:val="001D3B29"/>
    <w:rsid w:val="001D4674"/>
    <w:rsid w:val="001D509C"/>
    <w:rsid w:val="001D54DB"/>
    <w:rsid w:val="001D6BB9"/>
    <w:rsid w:val="001E0CC8"/>
    <w:rsid w:val="001E11EF"/>
    <w:rsid w:val="001E1A10"/>
    <w:rsid w:val="001E2827"/>
    <w:rsid w:val="001E3774"/>
    <w:rsid w:val="001E4E27"/>
    <w:rsid w:val="001E54C9"/>
    <w:rsid w:val="001E694E"/>
    <w:rsid w:val="001E6C0C"/>
    <w:rsid w:val="001F00B9"/>
    <w:rsid w:val="001F471E"/>
    <w:rsid w:val="001F6D2A"/>
    <w:rsid w:val="001F7595"/>
    <w:rsid w:val="001F7BAD"/>
    <w:rsid w:val="00202025"/>
    <w:rsid w:val="00203831"/>
    <w:rsid w:val="002041B4"/>
    <w:rsid w:val="00204A69"/>
    <w:rsid w:val="002054FC"/>
    <w:rsid w:val="002066AF"/>
    <w:rsid w:val="00206AF3"/>
    <w:rsid w:val="00207E1C"/>
    <w:rsid w:val="00210207"/>
    <w:rsid w:val="00212F61"/>
    <w:rsid w:val="00217FD7"/>
    <w:rsid w:val="002209C8"/>
    <w:rsid w:val="00220B05"/>
    <w:rsid w:val="002220B3"/>
    <w:rsid w:val="002225C5"/>
    <w:rsid w:val="00222B1A"/>
    <w:rsid w:val="00223CE6"/>
    <w:rsid w:val="00225FA5"/>
    <w:rsid w:val="002323A3"/>
    <w:rsid w:val="00236601"/>
    <w:rsid w:val="00237561"/>
    <w:rsid w:val="00237CDC"/>
    <w:rsid w:val="00237D49"/>
    <w:rsid w:val="00244663"/>
    <w:rsid w:val="00247704"/>
    <w:rsid w:val="002506E1"/>
    <w:rsid w:val="0025199A"/>
    <w:rsid w:val="00253084"/>
    <w:rsid w:val="002546D0"/>
    <w:rsid w:val="002553CE"/>
    <w:rsid w:val="00257443"/>
    <w:rsid w:val="00261C3F"/>
    <w:rsid w:val="00263161"/>
    <w:rsid w:val="0026396D"/>
    <w:rsid w:val="00266788"/>
    <w:rsid w:val="00266E94"/>
    <w:rsid w:val="00270C5B"/>
    <w:rsid w:val="00272FAB"/>
    <w:rsid w:val="00273CDC"/>
    <w:rsid w:val="002773AD"/>
    <w:rsid w:val="00281603"/>
    <w:rsid w:val="00282BBF"/>
    <w:rsid w:val="00283226"/>
    <w:rsid w:val="00283254"/>
    <w:rsid w:val="002834DA"/>
    <w:rsid w:val="00284D1F"/>
    <w:rsid w:val="00286947"/>
    <w:rsid w:val="00287374"/>
    <w:rsid w:val="0028752B"/>
    <w:rsid w:val="00291865"/>
    <w:rsid w:val="00292143"/>
    <w:rsid w:val="002940A2"/>
    <w:rsid w:val="00294202"/>
    <w:rsid w:val="002A0E65"/>
    <w:rsid w:val="002A2B29"/>
    <w:rsid w:val="002A32E7"/>
    <w:rsid w:val="002A466E"/>
    <w:rsid w:val="002A5510"/>
    <w:rsid w:val="002B0695"/>
    <w:rsid w:val="002B1984"/>
    <w:rsid w:val="002B19E1"/>
    <w:rsid w:val="002B2B70"/>
    <w:rsid w:val="002B67C6"/>
    <w:rsid w:val="002B73A2"/>
    <w:rsid w:val="002C2130"/>
    <w:rsid w:val="002C24B1"/>
    <w:rsid w:val="002C2CA7"/>
    <w:rsid w:val="002C2F57"/>
    <w:rsid w:val="002C3862"/>
    <w:rsid w:val="002C46F0"/>
    <w:rsid w:val="002C4F89"/>
    <w:rsid w:val="002C7B59"/>
    <w:rsid w:val="002D0B8A"/>
    <w:rsid w:val="002D322E"/>
    <w:rsid w:val="002D32D6"/>
    <w:rsid w:val="002D3764"/>
    <w:rsid w:val="002D446D"/>
    <w:rsid w:val="002D579F"/>
    <w:rsid w:val="002D6557"/>
    <w:rsid w:val="002E35E9"/>
    <w:rsid w:val="002E564C"/>
    <w:rsid w:val="002E5DA1"/>
    <w:rsid w:val="002E7AF5"/>
    <w:rsid w:val="002E7B69"/>
    <w:rsid w:val="002F0CCB"/>
    <w:rsid w:val="002F2DB3"/>
    <w:rsid w:val="002F48E4"/>
    <w:rsid w:val="002F630E"/>
    <w:rsid w:val="002F7907"/>
    <w:rsid w:val="003037D0"/>
    <w:rsid w:val="00304763"/>
    <w:rsid w:val="0030606D"/>
    <w:rsid w:val="0030663F"/>
    <w:rsid w:val="00306BA2"/>
    <w:rsid w:val="00307BF1"/>
    <w:rsid w:val="00307D80"/>
    <w:rsid w:val="00307F8D"/>
    <w:rsid w:val="0031200C"/>
    <w:rsid w:val="00313882"/>
    <w:rsid w:val="00315385"/>
    <w:rsid w:val="00315675"/>
    <w:rsid w:val="00315FC2"/>
    <w:rsid w:val="00316A6F"/>
    <w:rsid w:val="003220B1"/>
    <w:rsid w:val="00322E9E"/>
    <w:rsid w:val="00324052"/>
    <w:rsid w:val="003245F2"/>
    <w:rsid w:val="0032590D"/>
    <w:rsid w:val="0032633A"/>
    <w:rsid w:val="00330725"/>
    <w:rsid w:val="00331208"/>
    <w:rsid w:val="003316F3"/>
    <w:rsid w:val="00331718"/>
    <w:rsid w:val="0033180A"/>
    <w:rsid w:val="00331878"/>
    <w:rsid w:val="003330BE"/>
    <w:rsid w:val="00334D30"/>
    <w:rsid w:val="00335BD7"/>
    <w:rsid w:val="00336C2A"/>
    <w:rsid w:val="00337A67"/>
    <w:rsid w:val="00342CAB"/>
    <w:rsid w:val="00346383"/>
    <w:rsid w:val="00347C2A"/>
    <w:rsid w:val="00350E89"/>
    <w:rsid w:val="00351B54"/>
    <w:rsid w:val="00352D71"/>
    <w:rsid w:val="00354898"/>
    <w:rsid w:val="003564D1"/>
    <w:rsid w:val="00357081"/>
    <w:rsid w:val="003645F0"/>
    <w:rsid w:val="00364AB3"/>
    <w:rsid w:val="00364AE4"/>
    <w:rsid w:val="0036597D"/>
    <w:rsid w:val="00365FDF"/>
    <w:rsid w:val="00367A01"/>
    <w:rsid w:val="00367F6E"/>
    <w:rsid w:val="003700BC"/>
    <w:rsid w:val="003705D8"/>
    <w:rsid w:val="00370D1B"/>
    <w:rsid w:val="003722ED"/>
    <w:rsid w:val="0037242E"/>
    <w:rsid w:val="003724FA"/>
    <w:rsid w:val="00372C51"/>
    <w:rsid w:val="0037334D"/>
    <w:rsid w:val="0037449B"/>
    <w:rsid w:val="00375ED2"/>
    <w:rsid w:val="00377D92"/>
    <w:rsid w:val="00382F0D"/>
    <w:rsid w:val="00383796"/>
    <w:rsid w:val="00385B4D"/>
    <w:rsid w:val="0038607A"/>
    <w:rsid w:val="0038711E"/>
    <w:rsid w:val="00387A82"/>
    <w:rsid w:val="00390380"/>
    <w:rsid w:val="0039053D"/>
    <w:rsid w:val="00392E08"/>
    <w:rsid w:val="003948B9"/>
    <w:rsid w:val="00395204"/>
    <w:rsid w:val="00395F6D"/>
    <w:rsid w:val="00397BEA"/>
    <w:rsid w:val="00397C4D"/>
    <w:rsid w:val="003A4C6B"/>
    <w:rsid w:val="003A5A87"/>
    <w:rsid w:val="003A7040"/>
    <w:rsid w:val="003B0ABF"/>
    <w:rsid w:val="003B1BD7"/>
    <w:rsid w:val="003B2797"/>
    <w:rsid w:val="003B3217"/>
    <w:rsid w:val="003B3F50"/>
    <w:rsid w:val="003B442C"/>
    <w:rsid w:val="003B453B"/>
    <w:rsid w:val="003B4F5C"/>
    <w:rsid w:val="003B6E5E"/>
    <w:rsid w:val="003C0939"/>
    <w:rsid w:val="003C3218"/>
    <w:rsid w:val="003C3859"/>
    <w:rsid w:val="003C3B63"/>
    <w:rsid w:val="003C4A70"/>
    <w:rsid w:val="003C5193"/>
    <w:rsid w:val="003D54A3"/>
    <w:rsid w:val="003D5BA1"/>
    <w:rsid w:val="003D5C43"/>
    <w:rsid w:val="003D7706"/>
    <w:rsid w:val="003E0AD3"/>
    <w:rsid w:val="003E21B7"/>
    <w:rsid w:val="003E4B98"/>
    <w:rsid w:val="003E6052"/>
    <w:rsid w:val="003F33A3"/>
    <w:rsid w:val="003F3FCB"/>
    <w:rsid w:val="003F4090"/>
    <w:rsid w:val="003F42B1"/>
    <w:rsid w:val="003F790A"/>
    <w:rsid w:val="003F7D3A"/>
    <w:rsid w:val="0040081A"/>
    <w:rsid w:val="00400CEB"/>
    <w:rsid w:val="00401C3E"/>
    <w:rsid w:val="004055B5"/>
    <w:rsid w:val="00405F78"/>
    <w:rsid w:val="00407094"/>
    <w:rsid w:val="004078B0"/>
    <w:rsid w:val="004106B3"/>
    <w:rsid w:val="00412073"/>
    <w:rsid w:val="004137CE"/>
    <w:rsid w:val="00415FFD"/>
    <w:rsid w:val="00420238"/>
    <w:rsid w:val="0042091E"/>
    <w:rsid w:val="0042101E"/>
    <w:rsid w:val="00422C3D"/>
    <w:rsid w:val="00423332"/>
    <w:rsid w:val="004250D9"/>
    <w:rsid w:val="00426FD2"/>
    <w:rsid w:val="004270CE"/>
    <w:rsid w:val="004335FD"/>
    <w:rsid w:val="00433B52"/>
    <w:rsid w:val="00437797"/>
    <w:rsid w:val="00440A9C"/>
    <w:rsid w:val="004467EC"/>
    <w:rsid w:val="00447386"/>
    <w:rsid w:val="00447843"/>
    <w:rsid w:val="004520D1"/>
    <w:rsid w:val="004536B6"/>
    <w:rsid w:val="00457D97"/>
    <w:rsid w:val="00463CE9"/>
    <w:rsid w:val="00464C91"/>
    <w:rsid w:val="004665B1"/>
    <w:rsid w:val="00470753"/>
    <w:rsid w:val="0047075C"/>
    <w:rsid w:val="0047439B"/>
    <w:rsid w:val="0047446E"/>
    <w:rsid w:val="0047521D"/>
    <w:rsid w:val="00475FBD"/>
    <w:rsid w:val="00477ACE"/>
    <w:rsid w:val="00480D98"/>
    <w:rsid w:val="00481145"/>
    <w:rsid w:val="00481FD8"/>
    <w:rsid w:val="0048437A"/>
    <w:rsid w:val="004848D8"/>
    <w:rsid w:val="004850E8"/>
    <w:rsid w:val="0048637D"/>
    <w:rsid w:val="004866F6"/>
    <w:rsid w:val="00486BB8"/>
    <w:rsid w:val="00487398"/>
    <w:rsid w:val="00487F5F"/>
    <w:rsid w:val="00490430"/>
    <w:rsid w:val="0049264A"/>
    <w:rsid w:val="004936FB"/>
    <w:rsid w:val="004945A7"/>
    <w:rsid w:val="00495415"/>
    <w:rsid w:val="00496282"/>
    <w:rsid w:val="00497483"/>
    <w:rsid w:val="004A0D39"/>
    <w:rsid w:val="004A2CF3"/>
    <w:rsid w:val="004A317F"/>
    <w:rsid w:val="004A358D"/>
    <w:rsid w:val="004A4D79"/>
    <w:rsid w:val="004A61A1"/>
    <w:rsid w:val="004A62A0"/>
    <w:rsid w:val="004A6F6D"/>
    <w:rsid w:val="004B068E"/>
    <w:rsid w:val="004B0C4E"/>
    <w:rsid w:val="004B0C75"/>
    <w:rsid w:val="004B12EE"/>
    <w:rsid w:val="004B1A52"/>
    <w:rsid w:val="004B3DC2"/>
    <w:rsid w:val="004B4B98"/>
    <w:rsid w:val="004B599A"/>
    <w:rsid w:val="004C1909"/>
    <w:rsid w:val="004C4F65"/>
    <w:rsid w:val="004C52D3"/>
    <w:rsid w:val="004D0185"/>
    <w:rsid w:val="004D055D"/>
    <w:rsid w:val="004D05B8"/>
    <w:rsid w:val="004D2CCF"/>
    <w:rsid w:val="004D30BC"/>
    <w:rsid w:val="004D43CF"/>
    <w:rsid w:val="004D5939"/>
    <w:rsid w:val="004D5EE2"/>
    <w:rsid w:val="004D77B3"/>
    <w:rsid w:val="004D7804"/>
    <w:rsid w:val="004E0049"/>
    <w:rsid w:val="004E307B"/>
    <w:rsid w:val="004E42C7"/>
    <w:rsid w:val="004E5521"/>
    <w:rsid w:val="004E5E37"/>
    <w:rsid w:val="004E6367"/>
    <w:rsid w:val="004F2A4E"/>
    <w:rsid w:val="004F6812"/>
    <w:rsid w:val="004F73C6"/>
    <w:rsid w:val="004F73F4"/>
    <w:rsid w:val="004F7DAC"/>
    <w:rsid w:val="005016C9"/>
    <w:rsid w:val="00501A0E"/>
    <w:rsid w:val="005033AB"/>
    <w:rsid w:val="00506179"/>
    <w:rsid w:val="005110CF"/>
    <w:rsid w:val="00512E6C"/>
    <w:rsid w:val="00513540"/>
    <w:rsid w:val="00521257"/>
    <w:rsid w:val="00521499"/>
    <w:rsid w:val="00523664"/>
    <w:rsid w:val="00523CF1"/>
    <w:rsid w:val="00526D86"/>
    <w:rsid w:val="00527848"/>
    <w:rsid w:val="00527C8C"/>
    <w:rsid w:val="00531448"/>
    <w:rsid w:val="0053159E"/>
    <w:rsid w:val="00533377"/>
    <w:rsid w:val="005373CC"/>
    <w:rsid w:val="00541832"/>
    <w:rsid w:val="00542BCC"/>
    <w:rsid w:val="00543995"/>
    <w:rsid w:val="00543FF6"/>
    <w:rsid w:val="00544376"/>
    <w:rsid w:val="00546F00"/>
    <w:rsid w:val="00547947"/>
    <w:rsid w:val="00547BB2"/>
    <w:rsid w:val="00550862"/>
    <w:rsid w:val="00552ED1"/>
    <w:rsid w:val="00553AA8"/>
    <w:rsid w:val="00554B0F"/>
    <w:rsid w:val="0056002A"/>
    <w:rsid w:val="00562807"/>
    <w:rsid w:val="005644A6"/>
    <w:rsid w:val="0056637C"/>
    <w:rsid w:val="0056748A"/>
    <w:rsid w:val="0056750D"/>
    <w:rsid w:val="005676EC"/>
    <w:rsid w:val="0057222A"/>
    <w:rsid w:val="00576B61"/>
    <w:rsid w:val="00576EFD"/>
    <w:rsid w:val="00580AF1"/>
    <w:rsid w:val="005818C1"/>
    <w:rsid w:val="0058328D"/>
    <w:rsid w:val="005841DD"/>
    <w:rsid w:val="00585E11"/>
    <w:rsid w:val="0059183C"/>
    <w:rsid w:val="005925CA"/>
    <w:rsid w:val="0059268A"/>
    <w:rsid w:val="00597FC9"/>
    <w:rsid w:val="005A02DC"/>
    <w:rsid w:val="005A051D"/>
    <w:rsid w:val="005A1A70"/>
    <w:rsid w:val="005A2DD8"/>
    <w:rsid w:val="005A3418"/>
    <w:rsid w:val="005A3FCE"/>
    <w:rsid w:val="005A4851"/>
    <w:rsid w:val="005A5FC3"/>
    <w:rsid w:val="005A6282"/>
    <w:rsid w:val="005A69E7"/>
    <w:rsid w:val="005A6AD2"/>
    <w:rsid w:val="005B3F45"/>
    <w:rsid w:val="005B7138"/>
    <w:rsid w:val="005C16F8"/>
    <w:rsid w:val="005C1B89"/>
    <w:rsid w:val="005C33F8"/>
    <w:rsid w:val="005C3B0B"/>
    <w:rsid w:val="005C7673"/>
    <w:rsid w:val="005D00F7"/>
    <w:rsid w:val="005D1C21"/>
    <w:rsid w:val="005D3C51"/>
    <w:rsid w:val="005D47B9"/>
    <w:rsid w:val="005D4E63"/>
    <w:rsid w:val="005D56D5"/>
    <w:rsid w:val="005D72E6"/>
    <w:rsid w:val="005D7FEE"/>
    <w:rsid w:val="005E03B9"/>
    <w:rsid w:val="005E08D5"/>
    <w:rsid w:val="005E1829"/>
    <w:rsid w:val="005E444F"/>
    <w:rsid w:val="005E706A"/>
    <w:rsid w:val="005E70A1"/>
    <w:rsid w:val="005F13DF"/>
    <w:rsid w:val="005F1725"/>
    <w:rsid w:val="005F2AE7"/>
    <w:rsid w:val="005F438A"/>
    <w:rsid w:val="005F4CA6"/>
    <w:rsid w:val="005F6FA9"/>
    <w:rsid w:val="00600A1A"/>
    <w:rsid w:val="00600D96"/>
    <w:rsid w:val="0060324C"/>
    <w:rsid w:val="00611E82"/>
    <w:rsid w:val="00613286"/>
    <w:rsid w:val="00614E45"/>
    <w:rsid w:val="00615D12"/>
    <w:rsid w:val="006171C6"/>
    <w:rsid w:val="00620DC8"/>
    <w:rsid w:val="00621735"/>
    <w:rsid w:val="0062235C"/>
    <w:rsid w:val="00622D75"/>
    <w:rsid w:val="0062388D"/>
    <w:rsid w:val="00623C6B"/>
    <w:rsid w:val="006267C3"/>
    <w:rsid w:val="00626C72"/>
    <w:rsid w:val="00630CA8"/>
    <w:rsid w:val="0063162A"/>
    <w:rsid w:val="00632D14"/>
    <w:rsid w:val="00633044"/>
    <w:rsid w:val="0063308C"/>
    <w:rsid w:val="00633FF7"/>
    <w:rsid w:val="00634244"/>
    <w:rsid w:val="006356A2"/>
    <w:rsid w:val="00635F73"/>
    <w:rsid w:val="00636128"/>
    <w:rsid w:val="00636B72"/>
    <w:rsid w:val="00637285"/>
    <w:rsid w:val="0064076A"/>
    <w:rsid w:val="0064110C"/>
    <w:rsid w:val="00641DA6"/>
    <w:rsid w:val="006427FE"/>
    <w:rsid w:val="0064397B"/>
    <w:rsid w:val="00643AE3"/>
    <w:rsid w:val="006464E1"/>
    <w:rsid w:val="0065042D"/>
    <w:rsid w:val="00654B4A"/>
    <w:rsid w:val="00655103"/>
    <w:rsid w:val="00657CB1"/>
    <w:rsid w:val="0066437F"/>
    <w:rsid w:val="00664763"/>
    <w:rsid w:val="00665523"/>
    <w:rsid w:val="006666D0"/>
    <w:rsid w:val="006706F0"/>
    <w:rsid w:val="00672099"/>
    <w:rsid w:val="00672D86"/>
    <w:rsid w:val="00672E9A"/>
    <w:rsid w:val="00673866"/>
    <w:rsid w:val="00675B85"/>
    <w:rsid w:val="006767B9"/>
    <w:rsid w:val="00680E9C"/>
    <w:rsid w:val="00682296"/>
    <w:rsid w:val="00683772"/>
    <w:rsid w:val="00683808"/>
    <w:rsid w:val="00683D32"/>
    <w:rsid w:val="006848BC"/>
    <w:rsid w:val="00685547"/>
    <w:rsid w:val="00685BD2"/>
    <w:rsid w:val="006871CA"/>
    <w:rsid w:val="00690765"/>
    <w:rsid w:val="00690FCB"/>
    <w:rsid w:val="006956E1"/>
    <w:rsid w:val="00696D03"/>
    <w:rsid w:val="00697F1E"/>
    <w:rsid w:val="006A0A62"/>
    <w:rsid w:val="006A0DF3"/>
    <w:rsid w:val="006A0EDE"/>
    <w:rsid w:val="006A22A1"/>
    <w:rsid w:val="006A24A4"/>
    <w:rsid w:val="006A45C4"/>
    <w:rsid w:val="006B0477"/>
    <w:rsid w:val="006B2265"/>
    <w:rsid w:val="006B291B"/>
    <w:rsid w:val="006B57B1"/>
    <w:rsid w:val="006B605B"/>
    <w:rsid w:val="006B72F4"/>
    <w:rsid w:val="006C08F6"/>
    <w:rsid w:val="006C6372"/>
    <w:rsid w:val="006D1BC1"/>
    <w:rsid w:val="006D1C3E"/>
    <w:rsid w:val="006D1D12"/>
    <w:rsid w:val="006D202C"/>
    <w:rsid w:val="006D5104"/>
    <w:rsid w:val="006D52CD"/>
    <w:rsid w:val="006E68EC"/>
    <w:rsid w:val="006E77B6"/>
    <w:rsid w:val="006E7F83"/>
    <w:rsid w:val="006F3F36"/>
    <w:rsid w:val="006F4619"/>
    <w:rsid w:val="006F6A5C"/>
    <w:rsid w:val="006F77A5"/>
    <w:rsid w:val="007010B5"/>
    <w:rsid w:val="0070203B"/>
    <w:rsid w:val="00703380"/>
    <w:rsid w:val="007044B7"/>
    <w:rsid w:val="0070601D"/>
    <w:rsid w:val="00707B63"/>
    <w:rsid w:val="00707B92"/>
    <w:rsid w:val="0071116E"/>
    <w:rsid w:val="00711AFB"/>
    <w:rsid w:val="00712490"/>
    <w:rsid w:val="00713A10"/>
    <w:rsid w:val="00714D14"/>
    <w:rsid w:val="00715724"/>
    <w:rsid w:val="00716590"/>
    <w:rsid w:val="00716DAB"/>
    <w:rsid w:val="00720224"/>
    <w:rsid w:val="00720D8A"/>
    <w:rsid w:val="00720DFC"/>
    <w:rsid w:val="00721534"/>
    <w:rsid w:val="00721731"/>
    <w:rsid w:val="007238AB"/>
    <w:rsid w:val="00723E10"/>
    <w:rsid w:val="00724863"/>
    <w:rsid w:val="00727C4C"/>
    <w:rsid w:val="007333B8"/>
    <w:rsid w:val="00733B0D"/>
    <w:rsid w:val="007355EA"/>
    <w:rsid w:val="0073590D"/>
    <w:rsid w:val="00735D07"/>
    <w:rsid w:val="00735DF1"/>
    <w:rsid w:val="007365F6"/>
    <w:rsid w:val="00741722"/>
    <w:rsid w:val="00741AD3"/>
    <w:rsid w:val="00742CAD"/>
    <w:rsid w:val="00743DD6"/>
    <w:rsid w:val="00744633"/>
    <w:rsid w:val="007455E8"/>
    <w:rsid w:val="00750C7D"/>
    <w:rsid w:val="0075182F"/>
    <w:rsid w:val="007606B5"/>
    <w:rsid w:val="0076421D"/>
    <w:rsid w:val="00764EE8"/>
    <w:rsid w:val="00765F2E"/>
    <w:rsid w:val="00767052"/>
    <w:rsid w:val="0076730A"/>
    <w:rsid w:val="007715AB"/>
    <w:rsid w:val="00771A2E"/>
    <w:rsid w:val="00771DA7"/>
    <w:rsid w:val="00772BDD"/>
    <w:rsid w:val="00773366"/>
    <w:rsid w:val="00776366"/>
    <w:rsid w:val="007763D5"/>
    <w:rsid w:val="00777D99"/>
    <w:rsid w:val="00780D64"/>
    <w:rsid w:val="00782856"/>
    <w:rsid w:val="00782C9D"/>
    <w:rsid w:val="00783F29"/>
    <w:rsid w:val="00785F1D"/>
    <w:rsid w:val="0078661E"/>
    <w:rsid w:val="00786CC9"/>
    <w:rsid w:val="007906A8"/>
    <w:rsid w:val="00790C4F"/>
    <w:rsid w:val="00791C18"/>
    <w:rsid w:val="00791C21"/>
    <w:rsid w:val="00792D4E"/>
    <w:rsid w:val="00794DFA"/>
    <w:rsid w:val="0079520A"/>
    <w:rsid w:val="00796689"/>
    <w:rsid w:val="0079735B"/>
    <w:rsid w:val="007975B1"/>
    <w:rsid w:val="00797752"/>
    <w:rsid w:val="007977A7"/>
    <w:rsid w:val="007A00C3"/>
    <w:rsid w:val="007B0407"/>
    <w:rsid w:val="007B07AF"/>
    <w:rsid w:val="007B0ED3"/>
    <w:rsid w:val="007B1693"/>
    <w:rsid w:val="007B298F"/>
    <w:rsid w:val="007B491A"/>
    <w:rsid w:val="007B61C8"/>
    <w:rsid w:val="007B6AFF"/>
    <w:rsid w:val="007B7B5A"/>
    <w:rsid w:val="007C1944"/>
    <w:rsid w:val="007C2B98"/>
    <w:rsid w:val="007C4109"/>
    <w:rsid w:val="007C43A6"/>
    <w:rsid w:val="007C4F31"/>
    <w:rsid w:val="007C667F"/>
    <w:rsid w:val="007D1915"/>
    <w:rsid w:val="007D570A"/>
    <w:rsid w:val="007D592A"/>
    <w:rsid w:val="007D6C6D"/>
    <w:rsid w:val="007D785B"/>
    <w:rsid w:val="007E07CD"/>
    <w:rsid w:val="007E40B2"/>
    <w:rsid w:val="007E4D8A"/>
    <w:rsid w:val="007E570C"/>
    <w:rsid w:val="007E5CA6"/>
    <w:rsid w:val="007E6020"/>
    <w:rsid w:val="007E6A09"/>
    <w:rsid w:val="007E7774"/>
    <w:rsid w:val="007F14DE"/>
    <w:rsid w:val="007F25B8"/>
    <w:rsid w:val="007F2D1D"/>
    <w:rsid w:val="007F3862"/>
    <w:rsid w:val="007F4552"/>
    <w:rsid w:val="007F486D"/>
    <w:rsid w:val="007F4973"/>
    <w:rsid w:val="007F4B2A"/>
    <w:rsid w:val="007F6F1F"/>
    <w:rsid w:val="007F77EC"/>
    <w:rsid w:val="007F788C"/>
    <w:rsid w:val="007F7D7D"/>
    <w:rsid w:val="008018CA"/>
    <w:rsid w:val="0080436A"/>
    <w:rsid w:val="00807D88"/>
    <w:rsid w:val="00810254"/>
    <w:rsid w:val="008130CB"/>
    <w:rsid w:val="0081315E"/>
    <w:rsid w:val="00814C4B"/>
    <w:rsid w:val="00815145"/>
    <w:rsid w:val="008162F4"/>
    <w:rsid w:val="00816FA3"/>
    <w:rsid w:val="008179EA"/>
    <w:rsid w:val="00817DB9"/>
    <w:rsid w:val="0082178B"/>
    <w:rsid w:val="0082359A"/>
    <w:rsid w:val="00826EE0"/>
    <w:rsid w:val="0083014D"/>
    <w:rsid w:val="00831580"/>
    <w:rsid w:val="00831665"/>
    <w:rsid w:val="00831879"/>
    <w:rsid w:val="00831DDA"/>
    <w:rsid w:val="00834BC4"/>
    <w:rsid w:val="00840142"/>
    <w:rsid w:val="00842583"/>
    <w:rsid w:val="00842D6B"/>
    <w:rsid w:val="00844898"/>
    <w:rsid w:val="00846438"/>
    <w:rsid w:val="008479CF"/>
    <w:rsid w:val="00851822"/>
    <w:rsid w:val="00851E0C"/>
    <w:rsid w:val="00853DFF"/>
    <w:rsid w:val="00853EAD"/>
    <w:rsid w:val="00854A59"/>
    <w:rsid w:val="00855B17"/>
    <w:rsid w:val="0085620F"/>
    <w:rsid w:val="0085666A"/>
    <w:rsid w:val="00856D2C"/>
    <w:rsid w:val="00856D9A"/>
    <w:rsid w:val="00860690"/>
    <w:rsid w:val="008631EF"/>
    <w:rsid w:val="00866DDA"/>
    <w:rsid w:val="0086723D"/>
    <w:rsid w:val="00870A4C"/>
    <w:rsid w:val="00872369"/>
    <w:rsid w:val="0087313C"/>
    <w:rsid w:val="00875A2F"/>
    <w:rsid w:val="00880689"/>
    <w:rsid w:val="0088343B"/>
    <w:rsid w:val="008844E4"/>
    <w:rsid w:val="00885021"/>
    <w:rsid w:val="0088705B"/>
    <w:rsid w:val="008915EB"/>
    <w:rsid w:val="00894253"/>
    <w:rsid w:val="0089588C"/>
    <w:rsid w:val="00896433"/>
    <w:rsid w:val="0089673C"/>
    <w:rsid w:val="00896AE3"/>
    <w:rsid w:val="00896B8D"/>
    <w:rsid w:val="00897876"/>
    <w:rsid w:val="008A19D0"/>
    <w:rsid w:val="008A1C48"/>
    <w:rsid w:val="008A2083"/>
    <w:rsid w:val="008A365A"/>
    <w:rsid w:val="008A4566"/>
    <w:rsid w:val="008B2CBA"/>
    <w:rsid w:val="008B2E75"/>
    <w:rsid w:val="008B3C41"/>
    <w:rsid w:val="008B3FC3"/>
    <w:rsid w:val="008B5525"/>
    <w:rsid w:val="008B5A86"/>
    <w:rsid w:val="008B6298"/>
    <w:rsid w:val="008C05FC"/>
    <w:rsid w:val="008C0CC7"/>
    <w:rsid w:val="008C1137"/>
    <w:rsid w:val="008C2429"/>
    <w:rsid w:val="008C47DD"/>
    <w:rsid w:val="008C52BC"/>
    <w:rsid w:val="008C5716"/>
    <w:rsid w:val="008C5B57"/>
    <w:rsid w:val="008C5C20"/>
    <w:rsid w:val="008D0DB8"/>
    <w:rsid w:val="008D152C"/>
    <w:rsid w:val="008D24FA"/>
    <w:rsid w:val="008D384B"/>
    <w:rsid w:val="008D4CA6"/>
    <w:rsid w:val="008D503F"/>
    <w:rsid w:val="008D512A"/>
    <w:rsid w:val="008E07FA"/>
    <w:rsid w:val="008E0A5F"/>
    <w:rsid w:val="008E0A7B"/>
    <w:rsid w:val="008E0C9A"/>
    <w:rsid w:val="008E0CAB"/>
    <w:rsid w:val="008E23B0"/>
    <w:rsid w:val="008E470B"/>
    <w:rsid w:val="008E619B"/>
    <w:rsid w:val="008F0875"/>
    <w:rsid w:val="008F2266"/>
    <w:rsid w:val="008F42B4"/>
    <w:rsid w:val="008F608B"/>
    <w:rsid w:val="008F7BBD"/>
    <w:rsid w:val="00900627"/>
    <w:rsid w:val="00900D96"/>
    <w:rsid w:val="00903B30"/>
    <w:rsid w:val="0090462C"/>
    <w:rsid w:val="009051A3"/>
    <w:rsid w:val="00906ADE"/>
    <w:rsid w:val="00906E40"/>
    <w:rsid w:val="0091246C"/>
    <w:rsid w:val="00913345"/>
    <w:rsid w:val="00914BC1"/>
    <w:rsid w:val="00915671"/>
    <w:rsid w:val="00915C56"/>
    <w:rsid w:val="00915D9D"/>
    <w:rsid w:val="00922664"/>
    <w:rsid w:val="00923464"/>
    <w:rsid w:val="00924691"/>
    <w:rsid w:val="00925344"/>
    <w:rsid w:val="009253CB"/>
    <w:rsid w:val="00931134"/>
    <w:rsid w:val="00934533"/>
    <w:rsid w:val="00934E7C"/>
    <w:rsid w:val="00941267"/>
    <w:rsid w:val="00944548"/>
    <w:rsid w:val="0094526B"/>
    <w:rsid w:val="0094576D"/>
    <w:rsid w:val="00946381"/>
    <w:rsid w:val="009503C4"/>
    <w:rsid w:val="00950F6A"/>
    <w:rsid w:val="00951DEC"/>
    <w:rsid w:val="00952035"/>
    <w:rsid w:val="0095539A"/>
    <w:rsid w:val="00957F3A"/>
    <w:rsid w:val="00960344"/>
    <w:rsid w:val="009603FA"/>
    <w:rsid w:val="00962272"/>
    <w:rsid w:val="00962E5C"/>
    <w:rsid w:val="00962ED1"/>
    <w:rsid w:val="00963820"/>
    <w:rsid w:val="009638DF"/>
    <w:rsid w:val="00964354"/>
    <w:rsid w:val="00964755"/>
    <w:rsid w:val="00967087"/>
    <w:rsid w:val="00971658"/>
    <w:rsid w:val="00973F7B"/>
    <w:rsid w:val="0097436A"/>
    <w:rsid w:val="0097443C"/>
    <w:rsid w:val="00974AB0"/>
    <w:rsid w:val="00975B77"/>
    <w:rsid w:val="00980B55"/>
    <w:rsid w:val="00980D06"/>
    <w:rsid w:val="00980EEB"/>
    <w:rsid w:val="00981F27"/>
    <w:rsid w:val="0098349A"/>
    <w:rsid w:val="00983D8C"/>
    <w:rsid w:val="0098431B"/>
    <w:rsid w:val="00987F92"/>
    <w:rsid w:val="00992587"/>
    <w:rsid w:val="009939F2"/>
    <w:rsid w:val="00993C9B"/>
    <w:rsid w:val="009952B7"/>
    <w:rsid w:val="0099538A"/>
    <w:rsid w:val="009967EC"/>
    <w:rsid w:val="0099739A"/>
    <w:rsid w:val="009A03D4"/>
    <w:rsid w:val="009A0581"/>
    <w:rsid w:val="009A0D71"/>
    <w:rsid w:val="009A0E17"/>
    <w:rsid w:val="009A17C9"/>
    <w:rsid w:val="009A49FB"/>
    <w:rsid w:val="009B167C"/>
    <w:rsid w:val="009B171E"/>
    <w:rsid w:val="009B1AE1"/>
    <w:rsid w:val="009B2C20"/>
    <w:rsid w:val="009B438E"/>
    <w:rsid w:val="009B4F1B"/>
    <w:rsid w:val="009B5DA7"/>
    <w:rsid w:val="009C01C5"/>
    <w:rsid w:val="009C07C4"/>
    <w:rsid w:val="009C21E2"/>
    <w:rsid w:val="009C2A37"/>
    <w:rsid w:val="009C2C77"/>
    <w:rsid w:val="009C32E2"/>
    <w:rsid w:val="009C630D"/>
    <w:rsid w:val="009C6CA9"/>
    <w:rsid w:val="009C7C9A"/>
    <w:rsid w:val="009D0FD7"/>
    <w:rsid w:val="009D1FE4"/>
    <w:rsid w:val="009D58F8"/>
    <w:rsid w:val="009D7FD1"/>
    <w:rsid w:val="009E33A5"/>
    <w:rsid w:val="009E4441"/>
    <w:rsid w:val="009E504A"/>
    <w:rsid w:val="009E5334"/>
    <w:rsid w:val="009E5B59"/>
    <w:rsid w:val="009E6528"/>
    <w:rsid w:val="009E6778"/>
    <w:rsid w:val="009F05B7"/>
    <w:rsid w:val="009F12CA"/>
    <w:rsid w:val="009F186F"/>
    <w:rsid w:val="009F1ADA"/>
    <w:rsid w:val="009F489E"/>
    <w:rsid w:val="009F64B8"/>
    <w:rsid w:val="00A022F7"/>
    <w:rsid w:val="00A03A42"/>
    <w:rsid w:val="00A03AF9"/>
    <w:rsid w:val="00A042E9"/>
    <w:rsid w:val="00A0456C"/>
    <w:rsid w:val="00A051EB"/>
    <w:rsid w:val="00A05B2C"/>
    <w:rsid w:val="00A06F72"/>
    <w:rsid w:val="00A12B7D"/>
    <w:rsid w:val="00A16780"/>
    <w:rsid w:val="00A171AB"/>
    <w:rsid w:val="00A21EA0"/>
    <w:rsid w:val="00A258AC"/>
    <w:rsid w:val="00A27F38"/>
    <w:rsid w:val="00A32E68"/>
    <w:rsid w:val="00A3365B"/>
    <w:rsid w:val="00A33713"/>
    <w:rsid w:val="00A338D7"/>
    <w:rsid w:val="00A3512D"/>
    <w:rsid w:val="00A361E0"/>
    <w:rsid w:val="00A43237"/>
    <w:rsid w:val="00A4454A"/>
    <w:rsid w:val="00A46CFB"/>
    <w:rsid w:val="00A479E2"/>
    <w:rsid w:val="00A5049B"/>
    <w:rsid w:val="00A51A6D"/>
    <w:rsid w:val="00A52977"/>
    <w:rsid w:val="00A53215"/>
    <w:rsid w:val="00A53586"/>
    <w:rsid w:val="00A5383E"/>
    <w:rsid w:val="00A55A15"/>
    <w:rsid w:val="00A55C00"/>
    <w:rsid w:val="00A55E95"/>
    <w:rsid w:val="00A562D5"/>
    <w:rsid w:val="00A57141"/>
    <w:rsid w:val="00A57DF2"/>
    <w:rsid w:val="00A607D3"/>
    <w:rsid w:val="00A615CD"/>
    <w:rsid w:val="00A63AA7"/>
    <w:rsid w:val="00A64327"/>
    <w:rsid w:val="00A652F6"/>
    <w:rsid w:val="00A65FC4"/>
    <w:rsid w:val="00A679FC"/>
    <w:rsid w:val="00A67FE8"/>
    <w:rsid w:val="00A71048"/>
    <w:rsid w:val="00A72BC6"/>
    <w:rsid w:val="00A72EC7"/>
    <w:rsid w:val="00A73E41"/>
    <w:rsid w:val="00A77C3A"/>
    <w:rsid w:val="00A77E9F"/>
    <w:rsid w:val="00A813A8"/>
    <w:rsid w:val="00A82835"/>
    <w:rsid w:val="00A83355"/>
    <w:rsid w:val="00A83BE4"/>
    <w:rsid w:val="00A8473C"/>
    <w:rsid w:val="00A85956"/>
    <w:rsid w:val="00A872FA"/>
    <w:rsid w:val="00A901DA"/>
    <w:rsid w:val="00A92113"/>
    <w:rsid w:val="00A94AEB"/>
    <w:rsid w:val="00A9679B"/>
    <w:rsid w:val="00A96DDD"/>
    <w:rsid w:val="00AA4752"/>
    <w:rsid w:val="00AA4AB9"/>
    <w:rsid w:val="00AA507D"/>
    <w:rsid w:val="00AB01E6"/>
    <w:rsid w:val="00AB18C4"/>
    <w:rsid w:val="00AB44EA"/>
    <w:rsid w:val="00AB5C76"/>
    <w:rsid w:val="00AC09D3"/>
    <w:rsid w:val="00AC17D7"/>
    <w:rsid w:val="00AC411F"/>
    <w:rsid w:val="00AC5429"/>
    <w:rsid w:val="00AC54F2"/>
    <w:rsid w:val="00AC562F"/>
    <w:rsid w:val="00AD0C5B"/>
    <w:rsid w:val="00AD155B"/>
    <w:rsid w:val="00AD21D4"/>
    <w:rsid w:val="00AD290B"/>
    <w:rsid w:val="00AD3EDE"/>
    <w:rsid w:val="00AD52D1"/>
    <w:rsid w:val="00AD5FEA"/>
    <w:rsid w:val="00AE0DB0"/>
    <w:rsid w:val="00AE163C"/>
    <w:rsid w:val="00AE239B"/>
    <w:rsid w:val="00AE29F6"/>
    <w:rsid w:val="00AE3961"/>
    <w:rsid w:val="00AE3D71"/>
    <w:rsid w:val="00AE45CF"/>
    <w:rsid w:val="00AE4821"/>
    <w:rsid w:val="00AE4BAF"/>
    <w:rsid w:val="00AE6277"/>
    <w:rsid w:val="00AE62CA"/>
    <w:rsid w:val="00AE709F"/>
    <w:rsid w:val="00AE75F2"/>
    <w:rsid w:val="00AF0E38"/>
    <w:rsid w:val="00AF1625"/>
    <w:rsid w:val="00AF3D37"/>
    <w:rsid w:val="00AF5175"/>
    <w:rsid w:val="00AF67CB"/>
    <w:rsid w:val="00AF7BCC"/>
    <w:rsid w:val="00B01CA9"/>
    <w:rsid w:val="00B01E33"/>
    <w:rsid w:val="00B030D9"/>
    <w:rsid w:val="00B052EE"/>
    <w:rsid w:val="00B05780"/>
    <w:rsid w:val="00B060F0"/>
    <w:rsid w:val="00B07B3F"/>
    <w:rsid w:val="00B125D2"/>
    <w:rsid w:val="00B14371"/>
    <w:rsid w:val="00B17325"/>
    <w:rsid w:val="00B211B2"/>
    <w:rsid w:val="00B221CB"/>
    <w:rsid w:val="00B22E22"/>
    <w:rsid w:val="00B263DE"/>
    <w:rsid w:val="00B27213"/>
    <w:rsid w:val="00B31474"/>
    <w:rsid w:val="00B32A86"/>
    <w:rsid w:val="00B32B20"/>
    <w:rsid w:val="00B33911"/>
    <w:rsid w:val="00B411B4"/>
    <w:rsid w:val="00B41AC0"/>
    <w:rsid w:val="00B42032"/>
    <w:rsid w:val="00B42639"/>
    <w:rsid w:val="00B453F8"/>
    <w:rsid w:val="00B45EF1"/>
    <w:rsid w:val="00B46C7E"/>
    <w:rsid w:val="00B473D2"/>
    <w:rsid w:val="00B479E1"/>
    <w:rsid w:val="00B51341"/>
    <w:rsid w:val="00B51932"/>
    <w:rsid w:val="00B535F9"/>
    <w:rsid w:val="00B5475A"/>
    <w:rsid w:val="00B5476D"/>
    <w:rsid w:val="00B54A0D"/>
    <w:rsid w:val="00B57C65"/>
    <w:rsid w:val="00B57D3D"/>
    <w:rsid w:val="00B6312C"/>
    <w:rsid w:val="00B6486F"/>
    <w:rsid w:val="00B64EB6"/>
    <w:rsid w:val="00B65462"/>
    <w:rsid w:val="00B71068"/>
    <w:rsid w:val="00B71F00"/>
    <w:rsid w:val="00B76C60"/>
    <w:rsid w:val="00B8008B"/>
    <w:rsid w:val="00B816DB"/>
    <w:rsid w:val="00B81D74"/>
    <w:rsid w:val="00B8306C"/>
    <w:rsid w:val="00B83458"/>
    <w:rsid w:val="00B83708"/>
    <w:rsid w:val="00B83836"/>
    <w:rsid w:val="00B84113"/>
    <w:rsid w:val="00B85A6F"/>
    <w:rsid w:val="00B86FA5"/>
    <w:rsid w:val="00B908EC"/>
    <w:rsid w:val="00B916C0"/>
    <w:rsid w:val="00B96A98"/>
    <w:rsid w:val="00B96EC0"/>
    <w:rsid w:val="00BA118C"/>
    <w:rsid w:val="00BA1423"/>
    <w:rsid w:val="00BA1D48"/>
    <w:rsid w:val="00BA2CFA"/>
    <w:rsid w:val="00BA2E7E"/>
    <w:rsid w:val="00BA3ED9"/>
    <w:rsid w:val="00BA67A0"/>
    <w:rsid w:val="00BA78E0"/>
    <w:rsid w:val="00BB2009"/>
    <w:rsid w:val="00BB2076"/>
    <w:rsid w:val="00BB37B1"/>
    <w:rsid w:val="00BB3B16"/>
    <w:rsid w:val="00BB426A"/>
    <w:rsid w:val="00BB74B5"/>
    <w:rsid w:val="00BC2DA3"/>
    <w:rsid w:val="00BC2F03"/>
    <w:rsid w:val="00BC3DC9"/>
    <w:rsid w:val="00BC75DB"/>
    <w:rsid w:val="00BD0553"/>
    <w:rsid w:val="00BD32A2"/>
    <w:rsid w:val="00BD5932"/>
    <w:rsid w:val="00BD6763"/>
    <w:rsid w:val="00BD6F15"/>
    <w:rsid w:val="00BD77D4"/>
    <w:rsid w:val="00BE05C8"/>
    <w:rsid w:val="00BE4C27"/>
    <w:rsid w:val="00BE4EDC"/>
    <w:rsid w:val="00BE7636"/>
    <w:rsid w:val="00BF1330"/>
    <w:rsid w:val="00BF1745"/>
    <w:rsid w:val="00BF40A7"/>
    <w:rsid w:val="00BF4FD0"/>
    <w:rsid w:val="00BF776D"/>
    <w:rsid w:val="00BF7C3B"/>
    <w:rsid w:val="00C0128D"/>
    <w:rsid w:val="00C02165"/>
    <w:rsid w:val="00C027AD"/>
    <w:rsid w:val="00C03334"/>
    <w:rsid w:val="00C045F1"/>
    <w:rsid w:val="00C04A00"/>
    <w:rsid w:val="00C05CC1"/>
    <w:rsid w:val="00C0646D"/>
    <w:rsid w:val="00C107C1"/>
    <w:rsid w:val="00C11103"/>
    <w:rsid w:val="00C11D78"/>
    <w:rsid w:val="00C14D08"/>
    <w:rsid w:val="00C1793F"/>
    <w:rsid w:val="00C20913"/>
    <w:rsid w:val="00C21D92"/>
    <w:rsid w:val="00C21DDF"/>
    <w:rsid w:val="00C2229B"/>
    <w:rsid w:val="00C22333"/>
    <w:rsid w:val="00C2337E"/>
    <w:rsid w:val="00C26E23"/>
    <w:rsid w:val="00C279BA"/>
    <w:rsid w:val="00C30CC5"/>
    <w:rsid w:val="00C33A79"/>
    <w:rsid w:val="00C33D37"/>
    <w:rsid w:val="00C35F26"/>
    <w:rsid w:val="00C4131E"/>
    <w:rsid w:val="00C41513"/>
    <w:rsid w:val="00C41B41"/>
    <w:rsid w:val="00C4698B"/>
    <w:rsid w:val="00C50B3E"/>
    <w:rsid w:val="00C528EF"/>
    <w:rsid w:val="00C53469"/>
    <w:rsid w:val="00C54DC6"/>
    <w:rsid w:val="00C54E74"/>
    <w:rsid w:val="00C55135"/>
    <w:rsid w:val="00C563D5"/>
    <w:rsid w:val="00C56E24"/>
    <w:rsid w:val="00C63268"/>
    <w:rsid w:val="00C63F33"/>
    <w:rsid w:val="00C643FA"/>
    <w:rsid w:val="00C718DD"/>
    <w:rsid w:val="00C71FD8"/>
    <w:rsid w:val="00C7257B"/>
    <w:rsid w:val="00C75B09"/>
    <w:rsid w:val="00C75F41"/>
    <w:rsid w:val="00C77DD6"/>
    <w:rsid w:val="00C80858"/>
    <w:rsid w:val="00C80AF4"/>
    <w:rsid w:val="00C821A8"/>
    <w:rsid w:val="00C83123"/>
    <w:rsid w:val="00C852A8"/>
    <w:rsid w:val="00C8645E"/>
    <w:rsid w:val="00C87465"/>
    <w:rsid w:val="00C90739"/>
    <w:rsid w:val="00C9259E"/>
    <w:rsid w:val="00C92A42"/>
    <w:rsid w:val="00C9412E"/>
    <w:rsid w:val="00C9506C"/>
    <w:rsid w:val="00C96BDD"/>
    <w:rsid w:val="00C9725F"/>
    <w:rsid w:val="00CA128D"/>
    <w:rsid w:val="00CA202C"/>
    <w:rsid w:val="00CA24A7"/>
    <w:rsid w:val="00CA4604"/>
    <w:rsid w:val="00CA4B44"/>
    <w:rsid w:val="00CA6965"/>
    <w:rsid w:val="00CA741A"/>
    <w:rsid w:val="00CB1778"/>
    <w:rsid w:val="00CB1E00"/>
    <w:rsid w:val="00CB30E6"/>
    <w:rsid w:val="00CC349F"/>
    <w:rsid w:val="00CC3A91"/>
    <w:rsid w:val="00CC48DF"/>
    <w:rsid w:val="00CD484B"/>
    <w:rsid w:val="00CD7B7B"/>
    <w:rsid w:val="00CD7B89"/>
    <w:rsid w:val="00CE02E1"/>
    <w:rsid w:val="00CE1A93"/>
    <w:rsid w:val="00CE2625"/>
    <w:rsid w:val="00CE2DDE"/>
    <w:rsid w:val="00CE49EF"/>
    <w:rsid w:val="00CE666D"/>
    <w:rsid w:val="00CE750F"/>
    <w:rsid w:val="00CF0E8D"/>
    <w:rsid w:val="00CF1C82"/>
    <w:rsid w:val="00CF2074"/>
    <w:rsid w:val="00CF2128"/>
    <w:rsid w:val="00CF2BE9"/>
    <w:rsid w:val="00CF601C"/>
    <w:rsid w:val="00CF659A"/>
    <w:rsid w:val="00CF6E1C"/>
    <w:rsid w:val="00CF6E79"/>
    <w:rsid w:val="00D009FD"/>
    <w:rsid w:val="00D01254"/>
    <w:rsid w:val="00D0164B"/>
    <w:rsid w:val="00D01F24"/>
    <w:rsid w:val="00D02489"/>
    <w:rsid w:val="00D03A11"/>
    <w:rsid w:val="00D044F2"/>
    <w:rsid w:val="00D04750"/>
    <w:rsid w:val="00D055AC"/>
    <w:rsid w:val="00D05B7A"/>
    <w:rsid w:val="00D06DEC"/>
    <w:rsid w:val="00D10620"/>
    <w:rsid w:val="00D12E22"/>
    <w:rsid w:val="00D14CD4"/>
    <w:rsid w:val="00D16490"/>
    <w:rsid w:val="00D16565"/>
    <w:rsid w:val="00D17D3A"/>
    <w:rsid w:val="00D20260"/>
    <w:rsid w:val="00D20ED6"/>
    <w:rsid w:val="00D214C5"/>
    <w:rsid w:val="00D21DD2"/>
    <w:rsid w:val="00D22FF4"/>
    <w:rsid w:val="00D245EB"/>
    <w:rsid w:val="00D267FD"/>
    <w:rsid w:val="00D27704"/>
    <w:rsid w:val="00D307AF"/>
    <w:rsid w:val="00D30D0B"/>
    <w:rsid w:val="00D31299"/>
    <w:rsid w:val="00D31660"/>
    <w:rsid w:val="00D3176E"/>
    <w:rsid w:val="00D31B1B"/>
    <w:rsid w:val="00D31CFD"/>
    <w:rsid w:val="00D31FD8"/>
    <w:rsid w:val="00D3245A"/>
    <w:rsid w:val="00D34676"/>
    <w:rsid w:val="00D347C8"/>
    <w:rsid w:val="00D34F42"/>
    <w:rsid w:val="00D355F2"/>
    <w:rsid w:val="00D36673"/>
    <w:rsid w:val="00D41632"/>
    <w:rsid w:val="00D429CA"/>
    <w:rsid w:val="00D429FA"/>
    <w:rsid w:val="00D43541"/>
    <w:rsid w:val="00D435FE"/>
    <w:rsid w:val="00D43BDC"/>
    <w:rsid w:val="00D44492"/>
    <w:rsid w:val="00D446E8"/>
    <w:rsid w:val="00D44EDE"/>
    <w:rsid w:val="00D4532A"/>
    <w:rsid w:val="00D53537"/>
    <w:rsid w:val="00D54837"/>
    <w:rsid w:val="00D54F40"/>
    <w:rsid w:val="00D5582E"/>
    <w:rsid w:val="00D575FE"/>
    <w:rsid w:val="00D603F8"/>
    <w:rsid w:val="00D60432"/>
    <w:rsid w:val="00D60F99"/>
    <w:rsid w:val="00D614A0"/>
    <w:rsid w:val="00D6181C"/>
    <w:rsid w:val="00D618A1"/>
    <w:rsid w:val="00D62FA8"/>
    <w:rsid w:val="00D6349A"/>
    <w:rsid w:val="00D64E5E"/>
    <w:rsid w:val="00D72302"/>
    <w:rsid w:val="00D7328F"/>
    <w:rsid w:val="00D75BAA"/>
    <w:rsid w:val="00D77D22"/>
    <w:rsid w:val="00D8020D"/>
    <w:rsid w:val="00D814EB"/>
    <w:rsid w:val="00D85C9A"/>
    <w:rsid w:val="00D8626C"/>
    <w:rsid w:val="00D86818"/>
    <w:rsid w:val="00D9381D"/>
    <w:rsid w:val="00D93830"/>
    <w:rsid w:val="00D9399B"/>
    <w:rsid w:val="00D95E1D"/>
    <w:rsid w:val="00DA0C0B"/>
    <w:rsid w:val="00DA2423"/>
    <w:rsid w:val="00DA2479"/>
    <w:rsid w:val="00DA32EE"/>
    <w:rsid w:val="00DA6CEB"/>
    <w:rsid w:val="00DB0FC9"/>
    <w:rsid w:val="00DB30FB"/>
    <w:rsid w:val="00DB3F3E"/>
    <w:rsid w:val="00DB411C"/>
    <w:rsid w:val="00DB57AC"/>
    <w:rsid w:val="00DB7446"/>
    <w:rsid w:val="00DC0AE0"/>
    <w:rsid w:val="00DC1971"/>
    <w:rsid w:val="00DC40A0"/>
    <w:rsid w:val="00DC4EB8"/>
    <w:rsid w:val="00DC7A50"/>
    <w:rsid w:val="00DD6F43"/>
    <w:rsid w:val="00DD7C58"/>
    <w:rsid w:val="00DE0768"/>
    <w:rsid w:val="00DE2015"/>
    <w:rsid w:val="00DE2874"/>
    <w:rsid w:val="00DF104E"/>
    <w:rsid w:val="00DF2480"/>
    <w:rsid w:val="00DF49DB"/>
    <w:rsid w:val="00DF5A63"/>
    <w:rsid w:val="00DF5E2C"/>
    <w:rsid w:val="00DF5EED"/>
    <w:rsid w:val="00DF65D1"/>
    <w:rsid w:val="00E02102"/>
    <w:rsid w:val="00E02689"/>
    <w:rsid w:val="00E032FC"/>
    <w:rsid w:val="00E04BA5"/>
    <w:rsid w:val="00E074D3"/>
    <w:rsid w:val="00E079F4"/>
    <w:rsid w:val="00E07D69"/>
    <w:rsid w:val="00E16AA9"/>
    <w:rsid w:val="00E17B19"/>
    <w:rsid w:val="00E20B73"/>
    <w:rsid w:val="00E27776"/>
    <w:rsid w:val="00E3033C"/>
    <w:rsid w:val="00E30677"/>
    <w:rsid w:val="00E30E0C"/>
    <w:rsid w:val="00E33F87"/>
    <w:rsid w:val="00E341AD"/>
    <w:rsid w:val="00E3517D"/>
    <w:rsid w:val="00E364D1"/>
    <w:rsid w:val="00E3672A"/>
    <w:rsid w:val="00E36735"/>
    <w:rsid w:val="00E4013A"/>
    <w:rsid w:val="00E442FB"/>
    <w:rsid w:val="00E4514F"/>
    <w:rsid w:val="00E452AA"/>
    <w:rsid w:val="00E453D1"/>
    <w:rsid w:val="00E458E1"/>
    <w:rsid w:val="00E52CBB"/>
    <w:rsid w:val="00E536D1"/>
    <w:rsid w:val="00E53ABC"/>
    <w:rsid w:val="00E54D22"/>
    <w:rsid w:val="00E556D9"/>
    <w:rsid w:val="00E55EDC"/>
    <w:rsid w:val="00E562BF"/>
    <w:rsid w:val="00E6020B"/>
    <w:rsid w:val="00E64525"/>
    <w:rsid w:val="00E64819"/>
    <w:rsid w:val="00E66128"/>
    <w:rsid w:val="00E705AE"/>
    <w:rsid w:val="00E712DD"/>
    <w:rsid w:val="00E715F0"/>
    <w:rsid w:val="00E736B3"/>
    <w:rsid w:val="00E73E8F"/>
    <w:rsid w:val="00E742E5"/>
    <w:rsid w:val="00E758B7"/>
    <w:rsid w:val="00E760E7"/>
    <w:rsid w:val="00E773BB"/>
    <w:rsid w:val="00E81091"/>
    <w:rsid w:val="00E848FE"/>
    <w:rsid w:val="00E86E4B"/>
    <w:rsid w:val="00E90DBD"/>
    <w:rsid w:val="00E936D4"/>
    <w:rsid w:val="00E95490"/>
    <w:rsid w:val="00E9593E"/>
    <w:rsid w:val="00E96286"/>
    <w:rsid w:val="00E96B03"/>
    <w:rsid w:val="00E972FA"/>
    <w:rsid w:val="00EA0250"/>
    <w:rsid w:val="00EA2313"/>
    <w:rsid w:val="00EA2D3A"/>
    <w:rsid w:val="00EA3C61"/>
    <w:rsid w:val="00EA4146"/>
    <w:rsid w:val="00EA4C80"/>
    <w:rsid w:val="00EA5225"/>
    <w:rsid w:val="00EA52C4"/>
    <w:rsid w:val="00EA6209"/>
    <w:rsid w:val="00EA6306"/>
    <w:rsid w:val="00EA6D17"/>
    <w:rsid w:val="00EA7259"/>
    <w:rsid w:val="00EB06EB"/>
    <w:rsid w:val="00EB1FD1"/>
    <w:rsid w:val="00EB239C"/>
    <w:rsid w:val="00EB436A"/>
    <w:rsid w:val="00EB750C"/>
    <w:rsid w:val="00EC1E20"/>
    <w:rsid w:val="00EC2703"/>
    <w:rsid w:val="00EC5266"/>
    <w:rsid w:val="00EC6912"/>
    <w:rsid w:val="00ED27C5"/>
    <w:rsid w:val="00ED45A5"/>
    <w:rsid w:val="00ED6379"/>
    <w:rsid w:val="00ED7287"/>
    <w:rsid w:val="00ED7DF3"/>
    <w:rsid w:val="00EE230D"/>
    <w:rsid w:val="00EE2658"/>
    <w:rsid w:val="00EE3EB0"/>
    <w:rsid w:val="00EE65C6"/>
    <w:rsid w:val="00EE6B31"/>
    <w:rsid w:val="00EE6FFE"/>
    <w:rsid w:val="00EF0B7F"/>
    <w:rsid w:val="00EF2BB6"/>
    <w:rsid w:val="00EF40CA"/>
    <w:rsid w:val="00EF5A46"/>
    <w:rsid w:val="00EF6DA6"/>
    <w:rsid w:val="00EF7419"/>
    <w:rsid w:val="00EF7CE8"/>
    <w:rsid w:val="00F00867"/>
    <w:rsid w:val="00F02702"/>
    <w:rsid w:val="00F06801"/>
    <w:rsid w:val="00F07D43"/>
    <w:rsid w:val="00F12314"/>
    <w:rsid w:val="00F12469"/>
    <w:rsid w:val="00F1504C"/>
    <w:rsid w:val="00F15302"/>
    <w:rsid w:val="00F15385"/>
    <w:rsid w:val="00F16103"/>
    <w:rsid w:val="00F17567"/>
    <w:rsid w:val="00F20882"/>
    <w:rsid w:val="00F22BF4"/>
    <w:rsid w:val="00F237E6"/>
    <w:rsid w:val="00F24F16"/>
    <w:rsid w:val="00F270D1"/>
    <w:rsid w:val="00F27342"/>
    <w:rsid w:val="00F30354"/>
    <w:rsid w:val="00F349F2"/>
    <w:rsid w:val="00F34A61"/>
    <w:rsid w:val="00F37A8D"/>
    <w:rsid w:val="00F401BE"/>
    <w:rsid w:val="00F402DC"/>
    <w:rsid w:val="00F42CA8"/>
    <w:rsid w:val="00F42F27"/>
    <w:rsid w:val="00F430C3"/>
    <w:rsid w:val="00F4395F"/>
    <w:rsid w:val="00F54D6A"/>
    <w:rsid w:val="00F56893"/>
    <w:rsid w:val="00F56A1A"/>
    <w:rsid w:val="00F56D0E"/>
    <w:rsid w:val="00F57142"/>
    <w:rsid w:val="00F62D45"/>
    <w:rsid w:val="00F63303"/>
    <w:rsid w:val="00F654D2"/>
    <w:rsid w:val="00F678CE"/>
    <w:rsid w:val="00F67BC8"/>
    <w:rsid w:val="00F717E2"/>
    <w:rsid w:val="00F71B9C"/>
    <w:rsid w:val="00F72229"/>
    <w:rsid w:val="00F733BF"/>
    <w:rsid w:val="00F74DDF"/>
    <w:rsid w:val="00F74E58"/>
    <w:rsid w:val="00F77CB3"/>
    <w:rsid w:val="00F80959"/>
    <w:rsid w:val="00F874E4"/>
    <w:rsid w:val="00F87FD9"/>
    <w:rsid w:val="00F90060"/>
    <w:rsid w:val="00F91EE7"/>
    <w:rsid w:val="00F91FF2"/>
    <w:rsid w:val="00F92C98"/>
    <w:rsid w:val="00F93D7F"/>
    <w:rsid w:val="00F9594C"/>
    <w:rsid w:val="00F962AE"/>
    <w:rsid w:val="00F977F7"/>
    <w:rsid w:val="00FA256D"/>
    <w:rsid w:val="00FA4825"/>
    <w:rsid w:val="00FA491F"/>
    <w:rsid w:val="00FA702B"/>
    <w:rsid w:val="00FA758B"/>
    <w:rsid w:val="00FA7A0D"/>
    <w:rsid w:val="00FB0DA3"/>
    <w:rsid w:val="00FB3AFF"/>
    <w:rsid w:val="00FB43D0"/>
    <w:rsid w:val="00FB500B"/>
    <w:rsid w:val="00FB6635"/>
    <w:rsid w:val="00FC1272"/>
    <w:rsid w:val="00FC15FB"/>
    <w:rsid w:val="00FC23CF"/>
    <w:rsid w:val="00FC4215"/>
    <w:rsid w:val="00FC6B69"/>
    <w:rsid w:val="00FD06C8"/>
    <w:rsid w:val="00FD0F1C"/>
    <w:rsid w:val="00FD44EE"/>
    <w:rsid w:val="00FD59B9"/>
    <w:rsid w:val="00FD75DA"/>
    <w:rsid w:val="00FE0D28"/>
    <w:rsid w:val="00FE132B"/>
    <w:rsid w:val="00FE3F4F"/>
    <w:rsid w:val="00FE74B5"/>
    <w:rsid w:val="00FF1890"/>
    <w:rsid w:val="00FF4E4D"/>
    <w:rsid w:val="00FF6596"/>
    <w:rsid w:val="00FF7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4B219"/>
  <w14:defaultImageDpi w14:val="96"/>
  <w15:docId w15:val="{24F229E3-36A4-4239-9852-7307F75E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6A"/>
    <w:pPr>
      <w:suppressAutoHyphens/>
      <w:spacing w:before="160" w:after="160" w:line="360" w:lineRule="auto"/>
    </w:pPr>
  </w:style>
  <w:style w:type="paragraph" w:styleId="Heading1">
    <w:name w:val="heading 1"/>
    <w:basedOn w:val="Normal"/>
    <w:next w:val="Normal"/>
    <w:link w:val="Heading1Char"/>
    <w:uiPriority w:val="99"/>
    <w:qFormat/>
    <w:rsid w:val="00A83355"/>
    <w:pPr>
      <w:keepNext/>
      <w:spacing w:before="240" w:after="60" w:line="240" w:lineRule="auto"/>
      <w:outlineLvl w:val="0"/>
    </w:pPr>
    <w:rPr>
      <w:b/>
      <w:bCs/>
      <w:kern w:val="32"/>
      <w:sz w:val="40"/>
      <w:szCs w:val="32"/>
    </w:rPr>
  </w:style>
  <w:style w:type="paragraph" w:styleId="Heading2">
    <w:name w:val="heading 2"/>
    <w:basedOn w:val="Normal"/>
    <w:next w:val="Normal"/>
    <w:link w:val="Heading2Char"/>
    <w:uiPriority w:val="99"/>
    <w:unhideWhenUsed/>
    <w:qFormat/>
    <w:rsid w:val="00173049"/>
    <w:pPr>
      <w:keepNext/>
      <w:spacing w:before="240" w:after="120" w:line="240" w:lineRule="auto"/>
      <w:outlineLvl w:val="1"/>
    </w:pPr>
    <w:rPr>
      <w:b/>
      <w:bCs/>
      <w:iCs/>
      <w:sz w:val="32"/>
      <w:szCs w:val="28"/>
    </w:rPr>
  </w:style>
  <w:style w:type="paragraph" w:styleId="Heading3">
    <w:name w:val="heading 3"/>
    <w:basedOn w:val="Normal"/>
    <w:next w:val="Normal"/>
    <w:link w:val="Heading3Char"/>
    <w:uiPriority w:val="9"/>
    <w:unhideWhenUsed/>
    <w:qFormat/>
    <w:rsid w:val="00C0128D"/>
    <w:pPr>
      <w:keepNext/>
      <w:spacing w:before="240" w:after="60" w:line="240" w:lineRule="auto"/>
      <w:outlineLvl w:val="2"/>
    </w:pPr>
    <w:rPr>
      <w:b/>
      <w:bCs/>
      <w:sz w:val="26"/>
      <w:szCs w:val="26"/>
    </w:rPr>
  </w:style>
  <w:style w:type="paragraph" w:styleId="Heading4">
    <w:name w:val="heading 4"/>
    <w:basedOn w:val="Normal"/>
    <w:next w:val="Normal"/>
    <w:link w:val="Heading4Char"/>
    <w:uiPriority w:val="9"/>
    <w:unhideWhenUsed/>
    <w:qFormat/>
    <w:rsid w:val="008A1C48"/>
    <w:pPr>
      <w:keepNext/>
      <w:spacing w:before="240" w:after="60"/>
      <w:outlineLvl w:val="3"/>
    </w:pPr>
    <w:rPr>
      <w:b/>
      <w:bCs/>
      <w:i/>
      <w:szCs w:val="28"/>
    </w:rPr>
  </w:style>
  <w:style w:type="paragraph" w:styleId="Heading5">
    <w:name w:val="heading 5"/>
    <w:basedOn w:val="Normal"/>
    <w:next w:val="Normal"/>
    <w:link w:val="Heading5Char"/>
    <w:uiPriority w:val="9"/>
    <w:semiHidden/>
    <w:unhideWhenUsed/>
    <w:qFormat/>
    <w:rsid w:val="0070338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03380"/>
    <w:pPr>
      <w:numPr>
        <w:ilvl w:val="5"/>
        <w:numId w:val="1"/>
      </w:numPr>
      <w:spacing w:before="240" w:after="60"/>
      <w:outlineLvl w:val="5"/>
    </w:pPr>
    <w:rPr>
      <w:rFonts w:ascii="Calibri" w:hAnsi="Calibri"/>
      <w:b/>
      <w:bCs/>
    </w:rPr>
  </w:style>
  <w:style w:type="paragraph" w:styleId="Heading7">
    <w:name w:val="heading 7"/>
    <w:basedOn w:val="Normal"/>
    <w:next w:val="Normal"/>
    <w:link w:val="Heading7Char"/>
    <w:uiPriority w:val="9"/>
    <w:semiHidden/>
    <w:unhideWhenUsed/>
    <w:qFormat/>
    <w:rsid w:val="00703380"/>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703380"/>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703380"/>
    <w:pPr>
      <w:numPr>
        <w:ilvl w:val="8"/>
        <w:numId w:val="1"/>
      </w:num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Helvetica Regular" w:hAnsi="Helvetica Regular" w:cs="Helvetica Regular"/>
      <w:color w:val="000000"/>
      <w:lang w:val="en-GB"/>
    </w:rPr>
  </w:style>
  <w:style w:type="paragraph" w:customStyle="1" w:styleId="SectionTitleTitlePage">
    <w:name w:val="Section Title (Title Page)"/>
    <w:basedOn w:val="NoParagraphStyle"/>
    <w:uiPriority w:val="99"/>
    <w:pPr>
      <w:pageBreakBefore/>
      <w:suppressAutoHyphens/>
      <w:spacing w:after="520" w:line="680" w:lineRule="atLeast"/>
    </w:pPr>
    <w:rPr>
      <w:rFonts w:ascii="ITC Franklin Gothic Book" w:hAnsi="ITC Franklin Gothic Book" w:cs="ITC Franklin Gothic Book"/>
      <w:color w:val="246754"/>
      <w:sz w:val="60"/>
      <w:szCs w:val="60"/>
      <w:lang w:val="en-US"/>
    </w:rPr>
  </w:style>
  <w:style w:type="paragraph" w:customStyle="1" w:styleId="AnchorGeneralStyles">
    <w:name w:val="Anchor (General Styles)"/>
    <w:basedOn w:val="NoParagraphStyle"/>
    <w:uiPriority w:val="99"/>
    <w:pPr>
      <w:suppressAutoHyphens/>
      <w:spacing w:line="130" w:lineRule="atLeast"/>
    </w:pPr>
    <w:rPr>
      <w:rFonts w:ascii="Gill Sans Std" w:hAnsi="Gill Sans Std" w:cs="Gill Sans Std"/>
      <w:sz w:val="13"/>
      <w:szCs w:val="13"/>
    </w:rPr>
  </w:style>
  <w:style w:type="paragraph" w:customStyle="1" w:styleId="BodynumberedGeneralStyles">
    <w:name w:val="Body numbered (General Styles)"/>
    <w:basedOn w:val="NoParagraphStyle"/>
    <w:uiPriority w:val="99"/>
    <w:pPr>
      <w:tabs>
        <w:tab w:val="left" w:pos="907"/>
      </w:tabs>
      <w:suppressAutoHyphens/>
      <w:spacing w:after="113" w:line="260" w:lineRule="atLeast"/>
      <w:ind w:left="737" w:hanging="737"/>
    </w:pPr>
    <w:rPr>
      <w:rFonts w:ascii="Gill Sans Std Light" w:hAnsi="Gill Sans Std Light" w:cs="Gill Sans Std Light"/>
      <w:sz w:val="21"/>
      <w:szCs w:val="21"/>
      <w:lang w:val="en-US"/>
    </w:rPr>
  </w:style>
  <w:style w:type="paragraph" w:customStyle="1" w:styleId="Body11Pre-bulletBodyParas">
    <w:name w:val="Body 1.1 Pre-bullet (Body Paras)"/>
    <w:basedOn w:val="BodynumberedGeneralStyles"/>
    <w:uiPriority w:val="99"/>
    <w:pPr>
      <w:spacing w:after="57" w:line="270" w:lineRule="atLeast"/>
      <w:ind w:left="454" w:hanging="454"/>
    </w:pPr>
  </w:style>
  <w:style w:type="paragraph" w:customStyle="1" w:styleId="BodyGeneralStyles">
    <w:name w:val="Body (General Styles)"/>
    <w:basedOn w:val="NoParagraphStyle"/>
    <w:uiPriority w:val="99"/>
    <w:pPr>
      <w:suppressAutoHyphens/>
      <w:spacing w:after="135" w:line="270" w:lineRule="atLeast"/>
    </w:pPr>
    <w:rPr>
      <w:rFonts w:ascii="Gill Sans Std Light" w:hAnsi="Gill Sans Std Light" w:cs="Gill Sans Std Light"/>
      <w:sz w:val="21"/>
      <w:szCs w:val="21"/>
      <w:lang w:val="en-US"/>
    </w:rPr>
  </w:style>
  <w:style w:type="paragraph" w:customStyle="1" w:styleId="BulletindentGeneralStyles">
    <w:name w:val="Bullet indent (General Styles)"/>
    <w:basedOn w:val="BodyGeneralStyles"/>
    <w:uiPriority w:val="99"/>
    <w:pPr>
      <w:tabs>
        <w:tab w:val="left" w:pos="907"/>
      </w:tabs>
      <w:spacing w:after="57"/>
      <w:ind w:left="850" w:hanging="227"/>
    </w:pPr>
  </w:style>
  <w:style w:type="paragraph" w:customStyle="1" w:styleId="BulletindentlastGeneralStyles">
    <w:name w:val="Bullet indent last (General Styles)"/>
    <w:basedOn w:val="BulletindentGeneralStyles"/>
    <w:uiPriority w:val="99"/>
    <w:pPr>
      <w:spacing w:after="135"/>
    </w:pPr>
  </w:style>
  <w:style w:type="paragraph" w:customStyle="1" w:styleId="Body11BodyParas">
    <w:name w:val="Body 1.1 (Body Paras)"/>
    <w:basedOn w:val="BodynumberedGeneralStyles"/>
    <w:uiPriority w:val="99"/>
    <w:pPr>
      <w:spacing w:after="130" w:line="270" w:lineRule="atLeast"/>
      <w:ind w:left="510" w:hanging="510"/>
    </w:pPr>
  </w:style>
  <w:style w:type="paragraph" w:customStyle="1" w:styleId="Heading1GeneralStyles">
    <w:name w:val="Heading 1 (General Styles)"/>
    <w:basedOn w:val="NoParagraphStyle"/>
    <w:uiPriority w:val="99"/>
    <w:pPr>
      <w:suppressAutoHyphens/>
      <w:spacing w:before="270" w:after="135" w:line="400" w:lineRule="atLeast"/>
    </w:pPr>
    <w:rPr>
      <w:rFonts w:ascii="ITC Franklin Gothic Book" w:hAnsi="ITC Franklin Gothic Book" w:cs="ITC Franklin Gothic Book"/>
      <w:color w:val="55565A"/>
      <w:sz w:val="36"/>
      <w:szCs w:val="36"/>
      <w:lang w:val="en-US"/>
    </w:rPr>
  </w:style>
  <w:style w:type="paragraph" w:customStyle="1" w:styleId="Body21Pre-bulletBodyParas">
    <w:name w:val="Body 2.1 Pre-bullet (Body Paras)"/>
    <w:basedOn w:val="Body11BodyParas"/>
    <w:uiPriority w:val="99"/>
    <w:pPr>
      <w:spacing w:after="57"/>
    </w:pPr>
  </w:style>
  <w:style w:type="paragraph" w:customStyle="1" w:styleId="Body21BodyParas">
    <w:name w:val="Body 2.1 (Body Paras)"/>
    <w:basedOn w:val="Body11BodyParas"/>
    <w:uiPriority w:val="99"/>
  </w:style>
  <w:style w:type="paragraph" w:customStyle="1" w:styleId="Heading2GeneralStyles">
    <w:name w:val="Heading 2 (General Styles)"/>
    <w:basedOn w:val="NoParagraphStyle"/>
    <w:uiPriority w:val="99"/>
    <w:pPr>
      <w:suppressAutoHyphens/>
      <w:spacing w:before="260" w:after="130" w:line="320" w:lineRule="atLeast"/>
    </w:pPr>
    <w:rPr>
      <w:rFonts w:ascii="ITC Franklin Gothic Book" w:hAnsi="ITC Franklin Gothic Book" w:cs="ITC Franklin Gothic Book"/>
      <w:color w:val="246754"/>
      <w:sz w:val="28"/>
      <w:szCs w:val="28"/>
      <w:lang w:val="en-US"/>
    </w:rPr>
  </w:style>
  <w:style w:type="paragraph" w:customStyle="1" w:styleId="QuoteGeneralStyles">
    <w:name w:val="Quote (General Styles)"/>
    <w:basedOn w:val="BodyGeneralStyles"/>
    <w:uiPriority w:val="99"/>
    <w:pPr>
      <w:ind w:left="794" w:right="57"/>
    </w:pPr>
    <w:rPr>
      <w:sz w:val="19"/>
      <w:szCs w:val="19"/>
    </w:rPr>
  </w:style>
  <w:style w:type="paragraph" w:customStyle="1" w:styleId="Heading3GeneralStyles">
    <w:name w:val="Heading 3 (General Styles)"/>
    <w:basedOn w:val="NoParagraphStyle"/>
    <w:uiPriority w:val="99"/>
    <w:pPr>
      <w:suppressAutoHyphens/>
      <w:spacing w:before="170" w:after="57" w:line="290" w:lineRule="atLeast"/>
    </w:pPr>
    <w:rPr>
      <w:rFonts w:ascii="ITC Franklin Gothic Book" w:hAnsi="ITC Franklin Gothic Book" w:cs="ITC Franklin Gothic Book"/>
      <w:color w:val="55565A"/>
      <w:sz w:val="25"/>
      <w:szCs w:val="25"/>
      <w:lang w:val="en-US"/>
    </w:rPr>
  </w:style>
  <w:style w:type="paragraph" w:customStyle="1" w:styleId="FigureTableTitleFiguresTable">
    <w:name w:val="Figure / Table Title (Figures / Table)"/>
    <w:basedOn w:val="BodyGeneralStyles"/>
    <w:uiPriority w:val="99"/>
    <w:pPr>
      <w:tabs>
        <w:tab w:val="left" w:pos="907"/>
      </w:tabs>
      <w:spacing w:before="113" w:line="200" w:lineRule="atLeast"/>
    </w:pPr>
    <w:rPr>
      <w:rFonts w:ascii="Franklin Gothic Medium" w:hAnsi="Franklin Gothic Medium" w:cs="Franklin Gothic Medium"/>
      <w:sz w:val="16"/>
      <w:szCs w:val="16"/>
    </w:rPr>
  </w:style>
  <w:style w:type="paragraph" w:customStyle="1" w:styleId="Body31BodyParas">
    <w:name w:val="Body 3.1 (Body Paras)"/>
    <w:basedOn w:val="Body11BodyParas"/>
    <w:uiPriority w:val="99"/>
  </w:style>
  <w:style w:type="paragraph" w:customStyle="1" w:styleId="Footnote1-99Footnote">
    <w:name w:val="Footnote 1-99 (Footnote)"/>
    <w:basedOn w:val="NoParagraphStyle"/>
    <w:uiPriority w:val="99"/>
    <w:pPr>
      <w:tabs>
        <w:tab w:val="left" w:pos="255"/>
      </w:tabs>
      <w:suppressAutoHyphens/>
      <w:spacing w:after="113" w:line="180" w:lineRule="atLeast"/>
      <w:ind w:left="255" w:hanging="255"/>
    </w:pPr>
    <w:rPr>
      <w:rFonts w:ascii="Gill Sans Std Light" w:hAnsi="Gill Sans Std Light" w:cs="Gill Sans Std Light"/>
      <w:sz w:val="15"/>
      <w:szCs w:val="15"/>
      <w:lang w:val="en-US"/>
    </w:rPr>
  </w:style>
  <w:style w:type="paragraph" w:customStyle="1" w:styleId="Body31Pre-bulletBodyParas">
    <w:name w:val="Body 3.1 Pre-bullet (Body Paras)"/>
    <w:basedOn w:val="Body11BodyParas"/>
    <w:uiPriority w:val="99"/>
    <w:pPr>
      <w:spacing w:after="58"/>
    </w:pPr>
  </w:style>
  <w:style w:type="paragraph" w:customStyle="1" w:styleId="BodyindentGeneralStyles">
    <w:name w:val="Body indent (General Styles)"/>
    <w:basedOn w:val="BodyGeneralStyles"/>
    <w:uiPriority w:val="99"/>
    <w:pPr>
      <w:ind w:left="510"/>
    </w:pPr>
  </w:style>
  <w:style w:type="paragraph" w:customStyle="1" w:styleId="Body41Pre-BulletBodyParas">
    <w:name w:val="Body 4.1 Pre-Bullet (Body Paras)"/>
    <w:basedOn w:val="Body11BodyParas"/>
    <w:uiPriority w:val="99"/>
    <w:pPr>
      <w:spacing w:after="58"/>
    </w:pPr>
  </w:style>
  <w:style w:type="paragraph" w:customStyle="1" w:styleId="Body41BodyParas">
    <w:name w:val="Body 4.1 (Body Paras)"/>
    <w:basedOn w:val="Body11BodyParas"/>
    <w:uiPriority w:val="99"/>
  </w:style>
  <w:style w:type="paragraph" w:customStyle="1" w:styleId="Body51Pre-bulletBodyParas">
    <w:name w:val="Body 5.1 Pre-bullet (Body Paras)"/>
    <w:basedOn w:val="Body11BodyParas"/>
    <w:uiPriority w:val="99"/>
    <w:pPr>
      <w:spacing w:after="58"/>
    </w:pPr>
  </w:style>
  <w:style w:type="paragraph" w:customStyle="1" w:styleId="Body51BodyParas">
    <w:name w:val="Body 5.1 (Body Paras)"/>
    <w:basedOn w:val="Body11BodyParas"/>
    <w:uiPriority w:val="99"/>
  </w:style>
  <w:style w:type="paragraph" w:customStyle="1" w:styleId="Body61Pre-bulletBodyParas">
    <w:name w:val="Body 6.1 Pre-bullet (Body Paras)"/>
    <w:basedOn w:val="Body11BodyParas"/>
    <w:uiPriority w:val="99"/>
    <w:pPr>
      <w:spacing w:after="58"/>
    </w:pPr>
  </w:style>
  <w:style w:type="paragraph" w:customStyle="1" w:styleId="Body61BodyParas">
    <w:name w:val="Body 6.1 (Body Paras)"/>
    <w:basedOn w:val="Body11BodyParas"/>
    <w:uiPriority w:val="99"/>
  </w:style>
  <w:style w:type="paragraph" w:customStyle="1" w:styleId="Body71BodyParas">
    <w:name w:val="Body 7.1 (Body Paras)"/>
    <w:basedOn w:val="Body11BodyParas"/>
    <w:uiPriority w:val="99"/>
  </w:style>
  <w:style w:type="paragraph" w:customStyle="1" w:styleId="Body71Pre-bulletBodyParas">
    <w:name w:val="Body 7.1 Pre-bullet (Body Paras)"/>
    <w:basedOn w:val="Body11BodyParas"/>
    <w:uiPriority w:val="99"/>
    <w:pPr>
      <w:spacing w:after="58"/>
    </w:pPr>
  </w:style>
  <w:style w:type="paragraph" w:customStyle="1" w:styleId="GlossaryEntryGeneralStyles">
    <w:name w:val="Glossary Entry (General Styles)"/>
    <w:basedOn w:val="NoParagraphStyle"/>
    <w:uiPriority w:val="99"/>
    <w:pPr>
      <w:suppressAutoHyphens/>
      <w:spacing w:line="230" w:lineRule="atLeast"/>
    </w:pPr>
    <w:rPr>
      <w:rFonts w:ascii="ITC Franklin Gothic Book" w:hAnsi="ITC Franklin Gothic Book" w:cs="ITC Franklin Gothic Book"/>
      <w:color w:val="246754"/>
      <w:sz w:val="20"/>
      <w:szCs w:val="20"/>
      <w:lang w:val="en-US"/>
    </w:rPr>
  </w:style>
  <w:style w:type="paragraph" w:customStyle="1" w:styleId="BodyPre-bulletGeneralStyles">
    <w:name w:val="Body Pre-bullet (General Styles)"/>
    <w:basedOn w:val="NoParagraphStyle"/>
    <w:uiPriority w:val="99"/>
    <w:pPr>
      <w:suppressAutoHyphens/>
      <w:spacing w:after="57" w:line="270" w:lineRule="atLeast"/>
    </w:pPr>
    <w:rPr>
      <w:rFonts w:ascii="Gill Sans Std Light" w:hAnsi="Gill Sans Std Light" w:cs="Gill Sans Std Light"/>
      <w:sz w:val="21"/>
      <w:szCs w:val="21"/>
      <w:lang w:val="en-US"/>
    </w:rPr>
  </w:style>
  <w:style w:type="paragraph" w:customStyle="1" w:styleId="BulletGeneralStyles">
    <w:name w:val="Bullet (General Styles)"/>
    <w:basedOn w:val="BodyGeneralStyles"/>
    <w:uiPriority w:val="99"/>
    <w:pPr>
      <w:tabs>
        <w:tab w:val="left" w:pos="907"/>
      </w:tabs>
      <w:spacing w:after="57"/>
      <w:ind w:left="360" w:hanging="170"/>
    </w:pPr>
  </w:style>
  <w:style w:type="paragraph" w:customStyle="1" w:styleId="TableHeadingLeftFiguresTable">
    <w:name w:val="Table Heading Left (Figures / Table)"/>
    <w:basedOn w:val="BodyGeneralStyles"/>
    <w:uiPriority w:val="99"/>
    <w:pPr>
      <w:spacing w:line="240" w:lineRule="atLeast"/>
    </w:pPr>
    <w:rPr>
      <w:rFonts w:ascii="ITC Franklin Gothic Book" w:hAnsi="ITC Franklin Gothic Book" w:cs="ITC Franklin Gothic Book"/>
      <w:color w:val="246754"/>
      <w:sz w:val="18"/>
      <w:szCs w:val="18"/>
    </w:rPr>
  </w:style>
  <w:style w:type="paragraph" w:customStyle="1" w:styleId="TableBodyLeftFiguresTable">
    <w:name w:val="Table Body Left (Figures / Table)"/>
    <w:basedOn w:val="NoParagraphStyle"/>
    <w:uiPriority w:val="99"/>
    <w:pPr>
      <w:suppressAutoHyphens/>
      <w:spacing w:after="135" w:line="240" w:lineRule="atLeast"/>
    </w:pPr>
    <w:rPr>
      <w:rFonts w:ascii="ITC Franklin Gothic Book" w:hAnsi="ITC Franklin Gothic Book" w:cs="ITC Franklin Gothic Book"/>
      <w:sz w:val="18"/>
      <w:szCs w:val="18"/>
      <w:lang w:val="en-US"/>
    </w:rPr>
  </w:style>
  <w:style w:type="paragraph" w:customStyle="1" w:styleId="TableBodyRightFiguresTable">
    <w:name w:val="Table Body Right (Figures / Table)"/>
    <w:basedOn w:val="BodyGeneralStyles"/>
    <w:uiPriority w:val="99"/>
    <w:pPr>
      <w:spacing w:line="240" w:lineRule="atLeast"/>
      <w:jc w:val="right"/>
    </w:pPr>
    <w:rPr>
      <w:rFonts w:ascii="ITC Franklin Gothic Book" w:hAnsi="ITC Franklin Gothic Book" w:cs="ITC Franklin Gothic Book"/>
      <w:sz w:val="18"/>
      <w:szCs w:val="18"/>
    </w:rPr>
  </w:style>
  <w:style w:type="paragraph" w:customStyle="1" w:styleId="TableBodyPre-bulletFiguresTable">
    <w:name w:val="Table Body Pre-bullet (Figures / Table)"/>
    <w:basedOn w:val="NoParagraphStyle"/>
    <w:uiPriority w:val="99"/>
    <w:pPr>
      <w:suppressAutoHyphens/>
      <w:spacing w:after="60" w:line="240" w:lineRule="atLeast"/>
    </w:pPr>
    <w:rPr>
      <w:rFonts w:ascii="ITC Franklin Gothic Book" w:hAnsi="ITC Franklin Gothic Book" w:cs="ITC Franklin Gothic Book"/>
      <w:sz w:val="18"/>
      <w:szCs w:val="18"/>
      <w:lang w:val="en-US"/>
    </w:rPr>
  </w:style>
  <w:style w:type="paragraph" w:customStyle="1" w:styleId="TableBulletFiguresTable">
    <w:name w:val="Table Bullet (Figures / Table)"/>
    <w:basedOn w:val="NoParagraphStyle"/>
    <w:uiPriority w:val="99"/>
    <w:pPr>
      <w:suppressAutoHyphens/>
      <w:spacing w:after="40" w:line="240" w:lineRule="atLeast"/>
      <w:ind w:left="198" w:hanging="198"/>
    </w:pPr>
    <w:rPr>
      <w:rFonts w:ascii="ITC Franklin Gothic Book" w:hAnsi="ITC Franklin Gothic Book" w:cs="ITC Franklin Gothic Book"/>
      <w:sz w:val="18"/>
      <w:szCs w:val="18"/>
      <w:lang w:val="en-US"/>
    </w:rPr>
  </w:style>
  <w:style w:type="paragraph" w:customStyle="1" w:styleId="TableHeadingRightFiguresTable">
    <w:name w:val="Table Heading Right (Figures / Table)"/>
    <w:basedOn w:val="BodyGeneralStyles"/>
    <w:uiPriority w:val="99"/>
    <w:pPr>
      <w:spacing w:line="240" w:lineRule="atLeast"/>
      <w:jc w:val="right"/>
    </w:pPr>
    <w:rPr>
      <w:rFonts w:ascii="ITC Franklin Gothic Book" w:hAnsi="ITC Franklin Gothic Book" w:cs="ITC Franklin Gothic Book"/>
      <w:color w:val="246754"/>
      <w:sz w:val="18"/>
      <w:szCs w:val="18"/>
    </w:rPr>
  </w:style>
  <w:style w:type="paragraph" w:customStyle="1" w:styleId="Footnote100-999Footnote">
    <w:name w:val="Footnote 100-999 (Footnote)"/>
    <w:basedOn w:val="NoParagraphStyle"/>
    <w:uiPriority w:val="99"/>
    <w:pPr>
      <w:tabs>
        <w:tab w:val="left" w:pos="369"/>
      </w:tabs>
      <w:suppressAutoHyphens/>
      <w:spacing w:after="113" w:line="180" w:lineRule="atLeast"/>
      <w:ind w:left="369" w:hanging="369"/>
    </w:pPr>
    <w:rPr>
      <w:rFonts w:ascii="Gill Sans Std Light" w:hAnsi="Gill Sans Std Light" w:cs="Gill Sans Std Light"/>
      <w:sz w:val="15"/>
      <w:szCs w:val="15"/>
      <w:lang w:val="en-US"/>
    </w:rPr>
  </w:style>
  <w:style w:type="character" w:customStyle="1" w:styleId="LightItalic">
    <w:name w:val="Light Italic"/>
    <w:uiPriority w:val="99"/>
    <w:rPr>
      <w:rFonts w:ascii="Gill Sans Std Light" w:hAnsi="Gill Sans Std Light" w:cs="Gill Sans Std Light"/>
      <w:i/>
      <w:iCs/>
      <w:lang w:val="en-AU"/>
    </w:rPr>
  </w:style>
  <w:style w:type="character" w:customStyle="1" w:styleId="Superscript">
    <w:name w:val="Superscript"/>
    <w:uiPriority w:val="99"/>
    <w:rPr>
      <w:vertAlign w:val="superscript"/>
    </w:rPr>
  </w:style>
  <w:style w:type="paragraph" w:styleId="TOC1">
    <w:name w:val="toc 1"/>
    <w:basedOn w:val="Normal"/>
    <w:next w:val="Normal"/>
    <w:autoRedefine/>
    <w:uiPriority w:val="39"/>
    <w:unhideWhenUsed/>
    <w:rsid w:val="00CE666D"/>
    <w:pPr>
      <w:spacing w:before="120" w:after="120"/>
    </w:pPr>
  </w:style>
  <w:style w:type="paragraph" w:customStyle="1" w:styleId="TitleTitlePage">
    <w:name w:val="Title (Title Page)"/>
    <w:basedOn w:val="Normal"/>
    <w:uiPriority w:val="99"/>
    <w:rsid w:val="00AE75F2"/>
    <w:pPr>
      <w:widowControl w:val="0"/>
      <w:autoSpaceDE w:val="0"/>
      <w:autoSpaceDN w:val="0"/>
      <w:adjustRightInd w:val="0"/>
      <w:spacing w:before="120" w:after="0" w:line="680" w:lineRule="atLeast"/>
      <w:textAlignment w:val="center"/>
    </w:pPr>
    <w:rPr>
      <w:rFonts w:ascii="ITC Franklin Gothic Book" w:hAnsi="ITC Franklin Gothic Book" w:cs="ITC Franklin Gothic Book"/>
      <w:color w:val="55565A"/>
      <w:sz w:val="60"/>
      <w:szCs w:val="60"/>
      <w:lang w:val="en-US"/>
    </w:rPr>
  </w:style>
  <w:style w:type="paragraph" w:customStyle="1" w:styleId="SubtitleTitlePage">
    <w:name w:val="Subtitle (Title Page)"/>
    <w:basedOn w:val="TitleTitlePage"/>
    <w:uiPriority w:val="99"/>
    <w:rsid w:val="00AE75F2"/>
    <w:pPr>
      <w:spacing w:after="540"/>
    </w:pPr>
    <w:rPr>
      <w:color w:val="246754"/>
    </w:rPr>
  </w:style>
  <w:style w:type="paragraph" w:customStyle="1" w:styleId="ContributorsheaderImprintandContributors">
    <w:name w:val="Contributors header (Imprint and Contributors)"/>
    <w:basedOn w:val="Normal"/>
    <w:uiPriority w:val="99"/>
    <w:rsid w:val="00AE75F2"/>
    <w:pPr>
      <w:widowControl w:val="0"/>
      <w:autoSpaceDE w:val="0"/>
      <w:autoSpaceDN w:val="0"/>
      <w:adjustRightInd w:val="0"/>
      <w:spacing w:before="270" w:after="0" w:line="270" w:lineRule="atLeast"/>
    </w:pPr>
    <w:rPr>
      <w:rFonts w:ascii="ITC Franklin Gothic Book" w:hAnsi="ITC Franklin Gothic Book" w:cs="ITC Franklin Gothic Book"/>
      <w:color w:val="246754"/>
      <w:sz w:val="21"/>
      <w:szCs w:val="21"/>
      <w:lang w:val="en-US"/>
    </w:rPr>
  </w:style>
  <w:style w:type="paragraph" w:customStyle="1" w:styleId="ContributorslistImprintandContributors">
    <w:name w:val="Contributors list (Imprint and Contributors)"/>
    <w:basedOn w:val="Normal"/>
    <w:uiPriority w:val="99"/>
    <w:rsid w:val="00AE75F2"/>
    <w:pPr>
      <w:widowControl w:val="0"/>
      <w:autoSpaceDE w:val="0"/>
      <w:autoSpaceDN w:val="0"/>
      <w:adjustRightInd w:val="0"/>
      <w:spacing w:before="120" w:after="0" w:line="270" w:lineRule="atLeast"/>
    </w:pPr>
    <w:rPr>
      <w:rFonts w:ascii="Gill Sans Std Light" w:hAnsi="Gill Sans Std Light" w:cs="Gill Sans Std Light"/>
      <w:color w:val="000000"/>
      <w:sz w:val="21"/>
      <w:szCs w:val="21"/>
      <w:lang w:val="en-US"/>
    </w:rPr>
  </w:style>
  <w:style w:type="paragraph" w:styleId="Header">
    <w:name w:val="header"/>
    <w:basedOn w:val="Normal"/>
    <w:link w:val="HeaderChar"/>
    <w:uiPriority w:val="99"/>
    <w:unhideWhenUsed/>
    <w:rsid w:val="00632D14"/>
    <w:pPr>
      <w:tabs>
        <w:tab w:val="center" w:pos="4513"/>
        <w:tab w:val="right" w:pos="9026"/>
      </w:tabs>
      <w:spacing w:before="120" w:after="120"/>
    </w:pPr>
  </w:style>
  <w:style w:type="character" w:customStyle="1" w:styleId="HeaderChar">
    <w:name w:val="Header Char"/>
    <w:basedOn w:val="DefaultParagraphFont"/>
    <w:link w:val="Header"/>
    <w:uiPriority w:val="99"/>
    <w:rsid w:val="00632D14"/>
  </w:style>
  <w:style w:type="paragraph" w:styleId="Footer">
    <w:name w:val="footer"/>
    <w:basedOn w:val="Normal"/>
    <w:link w:val="FooterChar"/>
    <w:uiPriority w:val="99"/>
    <w:unhideWhenUsed/>
    <w:rsid w:val="00632D14"/>
    <w:pPr>
      <w:tabs>
        <w:tab w:val="center" w:pos="4513"/>
        <w:tab w:val="right" w:pos="9026"/>
      </w:tabs>
      <w:spacing w:before="120" w:after="120"/>
    </w:pPr>
  </w:style>
  <w:style w:type="character" w:customStyle="1" w:styleId="FooterChar">
    <w:name w:val="Footer Char"/>
    <w:basedOn w:val="DefaultParagraphFont"/>
    <w:link w:val="Footer"/>
    <w:uiPriority w:val="99"/>
    <w:rsid w:val="00632D14"/>
  </w:style>
  <w:style w:type="character" w:styleId="Hyperlink">
    <w:name w:val="Hyperlink"/>
    <w:uiPriority w:val="99"/>
    <w:unhideWhenUsed/>
    <w:rsid w:val="00CE666D"/>
    <w:rPr>
      <w:color w:val="0563C1"/>
      <w:u w:val="single"/>
    </w:rPr>
  </w:style>
  <w:style w:type="paragraph" w:customStyle="1" w:styleId="ImprintImprintandContributors">
    <w:name w:val="Imprint (Imprint and Contributors)"/>
    <w:basedOn w:val="Normal"/>
    <w:uiPriority w:val="99"/>
    <w:rsid w:val="00B83836"/>
    <w:pPr>
      <w:widowControl w:val="0"/>
      <w:autoSpaceDE w:val="0"/>
      <w:autoSpaceDN w:val="0"/>
      <w:adjustRightInd w:val="0"/>
      <w:spacing w:before="120" w:after="120" w:line="240" w:lineRule="atLeast"/>
    </w:pPr>
    <w:rPr>
      <w:rFonts w:ascii="Gill Sans Std Light" w:hAnsi="Gill Sans Std Light" w:cs="Gill Sans Std Light"/>
      <w:color w:val="000000"/>
      <w:sz w:val="18"/>
      <w:szCs w:val="18"/>
      <w:lang w:val="en-US"/>
    </w:rPr>
  </w:style>
  <w:style w:type="paragraph" w:customStyle="1" w:styleId="Subtitle2TitlePage">
    <w:name w:val="Subtitle 2 (Title Page)"/>
    <w:basedOn w:val="NoParagraphStyle"/>
    <w:uiPriority w:val="99"/>
    <w:rsid w:val="005B7138"/>
    <w:pPr>
      <w:suppressAutoHyphens/>
      <w:spacing w:line="400" w:lineRule="atLeast"/>
    </w:pPr>
    <w:rPr>
      <w:rFonts w:ascii="ITC Franklin Gothic Book" w:hAnsi="ITC Franklin Gothic Book" w:cs="ITC Franklin Gothic Book"/>
      <w:color w:val="55565A"/>
      <w:sz w:val="36"/>
      <w:szCs w:val="36"/>
      <w:lang w:val="en-US"/>
    </w:rPr>
  </w:style>
  <w:style w:type="character" w:customStyle="1" w:styleId="Heading1Char">
    <w:name w:val="Heading 1 Char"/>
    <w:link w:val="Heading1"/>
    <w:uiPriority w:val="99"/>
    <w:rsid w:val="00A83355"/>
    <w:rPr>
      <w:b/>
      <w:bCs/>
      <w:kern w:val="32"/>
      <w:sz w:val="40"/>
      <w:szCs w:val="32"/>
    </w:rPr>
  </w:style>
  <w:style w:type="paragraph" w:styleId="Title">
    <w:name w:val="Title"/>
    <w:basedOn w:val="Normal"/>
    <w:next w:val="Normal"/>
    <w:link w:val="TitleChar"/>
    <w:uiPriority w:val="99"/>
    <w:qFormat/>
    <w:rsid w:val="009F186F"/>
    <w:pPr>
      <w:spacing w:before="120" w:after="240" w:line="240" w:lineRule="auto"/>
      <w:outlineLvl w:val="0"/>
    </w:pPr>
    <w:rPr>
      <w:b/>
      <w:bCs/>
      <w:kern w:val="28"/>
      <w:sz w:val="48"/>
      <w:szCs w:val="32"/>
    </w:rPr>
  </w:style>
  <w:style w:type="character" w:customStyle="1" w:styleId="TitleChar">
    <w:name w:val="Title Char"/>
    <w:link w:val="Title"/>
    <w:uiPriority w:val="10"/>
    <w:rsid w:val="009F186F"/>
    <w:rPr>
      <w:b/>
      <w:bCs/>
      <w:kern w:val="28"/>
      <w:sz w:val="48"/>
      <w:szCs w:val="32"/>
    </w:rPr>
  </w:style>
  <w:style w:type="character" w:styleId="Strong">
    <w:name w:val="Strong"/>
    <w:uiPriority w:val="22"/>
    <w:qFormat/>
    <w:rsid w:val="002B1984"/>
    <w:rPr>
      <w:b/>
      <w:bCs/>
    </w:rPr>
  </w:style>
  <w:style w:type="character" w:customStyle="1" w:styleId="Heading2Char">
    <w:name w:val="Heading 2 Char"/>
    <w:link w:val="Heading2"/>
    <w:uiPriority w:val="99"/>
    <w:rsid w:val="00173049"/>
    <w:rPr>
      <w:b/>
      <w:bCs/>
      <w:iCs/>
      <w:sz w:val="32"/>
      <w:szCs w:val="28"/>
    </w:rPr>
  </w:style>
  <w:style w:type="character" w:styleId="Emphasis">
    <w:name w:val="Emphasis"/>
    <w:uiPriority w:val="20"/>
    <w:qFormat/>
    <w:rsid w:val="009E5334"/>
    <w:rPr>
      <w:i/>
      <w:iCs/>
    </w:rPr>
  </w:style>
  <w:style w:type="paragraph" w:customStyle="1" w:styleId="Numbered">
    <w:name w:val="Numbered"/>
    <w:basedOn w:val="NormalIndent"/>
    <w:link w:val="NumberedChar"/>
    <w:qFormat/>
    <w:rsid w:val="00872369"/>
    <w:pPr>
      <w:numPr>
        <w:ilvl w:val="1"/>
        <w:numId w:val="1"/>
      </w:numPr>
      <w:tabs>
        <w:tab w:val="left" w:pos="851"/>
      </w:tabs>
      <w:ind w:left="851" w:hanging="851"/>
    </w:pPr>
  </w:style>
  <w:style w:type="character" w:customStyle="1" w:styleId="Heading3Char">
    <w:name w:val="Heading 3 Char"/>
    <w:link w:val="Heading3"/>
    <w:uiPriority w:val="9"/>
    <w:rsid w:val="00C0128D"/>
    <w:rPr>
      <w:rFonts w:ascii="Verdana" w:eastAsia="Times New Roman" w:hAnsi="Verdana" w:cs="Times New Roman"/>
      <w:b/>
      <w:bCs/>
      <w:sz w:val="26"/>
      <w:szCs w:val="26"/>
    </w:rPr>
  </w:style>
  <w:style w:type="paragraph" w:styleId="NormalIndent">
    <w:name w:val="Normal Indent"/>
    <w:basedOn w:val="Normal"/>
    <w:link w:val="NormalIndentChar"/>
    <w:uiPriority w:val="99"/>
    <w:semiHidden/>
    <w:unhideWhenUsed/>
    <w:rsid w:val="005E444F"/>
    <w:pPr>
      <w:spacing w:before="120" w:after="120"/>
      <w:ind w:left="720"/>
    </w:pPr>
  </w:style>
  <w:style w:type="character" w:customStyle="1" w:styleId="NormalIndentChar">
    <w:name w:val="Normal Indent Char"/>
    <w:link w:val="NormalIndent"/>
    <w:uiPriority w:val="99"/>
    <w:semiHidden/>
    <w:rsid w:val="005E444F"/>
    <w:rPr>
      <w:rFonts w:ascii="Verdana" w:hAnsi="Verdana"/>
      <w:sz w:val="24"/>
      <w:szCs w:val="22"/>
    </w:rPr>
  </w:style>
  <w:style w:type="character" w:customStyle="1" w:styleId="NumberedChar">
    <w:name w:val="Numbered Char"/>
    <w:link w:val="Numbered"/>
    <w:rsid w:val="00872369"/>
  </w:style>
  <w:style w:type="character" w:customStyle="1" w:styleId="Heading4Char">
    <w:name w:val="Heading 4 Char"/>
    <w:link w:val="Heading4"/>
    <w:uiPriority w:val="9"/>
    <w:rsid w:val="008A1C48"/>
    <w:rPr>
      <w:b/>
      <w:bCs/>
      <w:i/>
      <w:szCs w:val="28"/>
    </w:rPr>
  </w:style>
  <w:style w:type="character" w:customStyle="1" w:styleId="Heading5Char">
    <w:name w:val="Heading 5 Char"/>
    <w:link w:val="Heading5"/>
    <w:uiPriority w:val="9"/>
    <w:semiHidden/>
    <w:rsid w:val="00703380"/>
    <w:rPr>
      <w:rFonts w:ascii="Calibri" w:hAnsi="Calibri"/>
      <w:b/>
      <w:bCs/>
      <w:i/>
      <w:iCs/>
      <w:sz w:val="26"/>
      <w:szCs w:val="26"/>
    </w:rPr>
  </w:style>
  <w:style w:type="character" w:customStyle="1" w:styleId="Heading6Char">
    <w:name w:val="Heading 6 Char"/>
    <w:link w:val="Heading6"/>
    <w:uiPriority w:val="9"/>
    <w:semiHidden/>
    <w:rsid w:val="00703380"/>
    <w:rPr>
      <w:rFonts w:ascii="Calibri" w:hAnsi="Calibri"/>
      <w:b/>
      <w:bCs/>
    </w:rPr>
  </w:style>
  <w:style w:type="character" w:customStyle="1" w:styleId="Heading7Char">
    <w:name w:val="Heading 7 Char"/>
    <w:link w:val="Heading7"/>
    <w:uiPriority w:val="9"/>
    <w:semiHidden/>
    <w:rsid w:val="00703380"/>
    <w:rPr>
      <w:rFonts w:ascii="Calibri" w:hAnsi="Calibri"/>
    </w:rPr>
  </w:style>
  <w:style w:type="character" w:customStyle="1" w:styleId="Heading8Char">
    <w:name w:val="Heading 8 Char"/>
    <w:link w:val="Heading8"/>
    <w:uiPriority w:val="9"/>
    <w:semiHidden/>
    <w:rsid w:val="00703380"/>
    <w:rPr>
      <w:rFonts w:ascii="Calibri" w:hAnsi="Calibri"/>
      <w:i/>
      <w:iCs/>
    </w:rPr>
  </w:style>
  <w:style w:type="character" w:customStyle="1" w:styleId="Heading9Char">
    <w:name w:val="Heading 9 Char"/>
    <w:link w:val="Heading9"/>
    <w:uiPriority w:val="9"/>
    <w:semiHidden/>
    <w:rsid w:val="00703380"/>
    <w:rPr>
      <w:rFonts w:ascii="Calibri Light" w:hAnsi="Calibri Light"/>
    </w:rPr>
  </w:style>
  <w:style w:type="paragraph" w:customStyle="1" w:styleId="Heading1Numbered">
    <w:name w:val="Heading 1 Numbered"/>
    <w:next w:val="Numbered"/>
    <w:link w:val="Heading1NumberedChar"/>
    <w:qFormat/>
    <w:rsid w:val="00C9725F"/>
    <w:pPr>
      <w:pageBreakBefore/>
      <w:numPr>
        <w:numId w:val="1"/>
      </w:numPr>
      <w:tabs>
        <w:tab w:val="left" w:pos="992"/>
      </w:tabs>
      <w:suppressAutoHyphens/>
      <w:spacing w:after="240"/>
      <w:ind w:left="992" w:hanging="992"/>
    </w:pPr>
    <w:rPr>
      <w:b/>
      <w:bCs/>
      <w:kern w:val="32"/>
      <w:sz w:val="48"/>
      <w:szCs w:val="32"/>
    </w:rPr>
  </w:style>
  <w:style w:type="paragraph" w:customStyle="1" w:styleId="Bullets">
    <w:name w:val="Bullets"/>
    <w:basedOn w:val="Normal"/>
    <w:qFormat/>
    <w:rsid w:val="00223CE6"/>
    <w:pPr>
      <w:numPr>
        <w:numId w:val="2"/>
      </w:numPr>
      <w:spacing w:before="60" w:after="60"/>
      <w:ind w:left="1349" w:hanging="357"/>
    </w:pPr>
  </w:style>
  <w:style w:type="character" w:customStyle="1" w:styleId="Heading1NumberedChar">
    <w:name w:val="Heading 1 Numbered Char"/>
    <w:link w:val="Heading1Numbered"/>
    <w:rsid w:val="00C9725F"/>
    <w:rPr>
      <w:b/>
      <w:bCs/>
      <w:kern w:val="32"/>
      <w:sz w:val="48"/>
      <w:szCs w:val="32"/>
    </w:rPr>
  </w:style>
  <w:style w:type="paragraph" w:styleId="NoSpacing">
    <w:name w:val="No Spacing"/>
    <w:uiPriority w:val="1"/>
    <w:qFormat/>
    <w:rsid w:val="00951DEC"/>
  </w:style>
  <w:style w:type="paragraph" w:styleId="Quote">
    <w:name w:val="Quote"/>
    <w:basedOn w:val="Normal"/>
    <w:next w:val="Normal"/>
    <w:link w:val="QuoteChar"/>
    <w:uiPriority w:val="29"/>
    <w:qFormat/>
    <w:rsid w:val="00415FFD"/>
    <w:pPr>
      <w:spacing w:before="200" w:after="120"/>
      <w:ind w:left="1134"/>
    </w:pPr>
    <w:rPr>
      <w:iCs/>
    </w:rPr>
  </w:style>
  <w:style w:type="character" w:customStyle="1" w:styleId="QuoteChar">
    <w:name w:val="Quote Char"/>
    <w:link w:val="Quote"/>
    <w:uiPriority w:val="29"/>
    <w:rsid w:val="00415FFD"/>
    <w:rPr>
      <w:rFonts w:ascii="Verdana" w:hAnsi="Verdana"/>
      <w:iCs/>
      <w:sz w:val="22"/>
      <w:szCs w:val="22"/>
    </w:rPr>
  </w:style>
  <w:style w:type="paragraph" w:customStyle="1" w:styleId="Footnote">
    <w:name w:val="Footnote"/>
    <w:uiPriority w:val="99"/>
    <w:qFormat/>
    <w:rsid w:val="009A49FB"/>
    <w:pPr>
      <w:tabs>
        <w:tab w:val="left" w:pos="454"/>
      </w:tabs>
      <w:suppressAutoHyphens/>
      <w:ind w:left="454" w:hanging="454"/>
    </w:pPr>
    <w:rPr>
      <w:rFonts w:cs="Gill Sans Std Light"/>
      <w:color w:val="000000"/>
      <w:sz w:val="20"/>
      <w:szCs w:val="15"/>
      <w:lang w:val="en-US"/>
    </w:rPr>
  </w:style>
  <w:style w:type="paragraph" w:styleId="Caption">
    <w:name w:val="caption"/>
    <w:basedOn w:val="Normal"/>
    <w:next w:val="Normal"/>
    <w:uiPriority w:val="35"/>
    <w:unhideWhenUsed/>
    <w:qFormat/>
    <w:rsid w:val="00D10620"/>
    <w:pPr>
      <w:keepNext/>
      <w:spacing w:before="120" w:after="120" w:line="240" w:lineRule="auto"/>
    </w:pPr>
    <w:rPr>
      <w:b/>
      <w:bCs/>
      <w:sz w:val="20"/>
      <w:szCs w:val="20"/>
    </w:rPr>
  </w:style>
  <w:style w:type="paragraph" w:customStyle="1" w:styleId="TableHeading">
    <w:name w:val="Table Heading"/>
    <w:qFormat/>
    <w:rsid w:val="00F56A1A"/>
    <w:pPr>
      <w:suppressAutoHyphens/>
    </w:pPr>
    <w:rPr>
      <w:rFonts w:cs="ITC Franklin Gothic Book"/>
      <w:b/>
      <w:sz w:val="20"/>
      <w:szCs w:val="18"/>
      <w:lang w:val="en-US"/>
    </w:rPr>
  </w:style>
  <w:style w:type="paragraph" w:customStyle="1" w:styleId="TableBody">
    <w:name w:val="Table Body"/>
    <w:qFormat/>
    <w:rsid w:val="00F56A1A"/>
    <w:pPr>
      <w:suppressAutoHyphens/>
    </w:pPr>
    <w:rPr>
      <w:rFonts w:cs="ITC Franklin Gothic Book"/>
      <w:color w:val="000000"/>
      <w:sz w:val="20"/>
      <w:szCs w:val="18"/>
      <w:lang w:val="en-US"/>
    </w:rPr>
  </w:style>
  <w:style w:type="paragraph" w:customStyle="1" w:styleId="Grid">
    <w:name w:val="Grid"/>
    <w:basedOn w:val="BodyGeneralStyles"/>
    <w:rsid w:val="00B052EE"/>
    <w:pPr>
      <w:spacing w:after="0" w:line="240" w:lineRule="auto"/>
    </w:pPr>
    <w:rPr>
      <w:sz w:val="16"/>
      <w:szCs w:val="16"/>
    </w:rPr>
  </w:style>
  <w:style w:type="table" w:styleId="TableGrid1">
    <w:name w:val="Table Grid 1"/>
    <w:uiPriority w:val="99"/>
    <w:semiHidden/>
    <w:unhideWhenUsed/>
    <w:rsid w:val="00263161"/>
    <w:pPr>
      <w:suppressAutoHyphens/>
      <w:spacing w:before="120" w:after="120"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rPr>
      <w:cantSplit/>
    </w:trPr>
    <w:tcPr>
      <w:shd w:val="clear" w:color="auto" w:fill="auto"/>
      <w:tcMar>
        <w:top w:w="57" w:type="dxa"/>
        <w:left w:w="57" w:type="dxa"/>
        <w:bottom w:w="57" w:type="dxa"/>
        <w:right w:w="57" w:type="dxa"/>
      </w:tcMar>
    </w:tcPr>
  </w:style>
  <w:style w:type="table" w:styleId="TableGrid">
    <w:name w:val="Table Grid"/>
    <w:basedOn w:val="TableNormal"/>
    <w:uiPriority w:val="39"/>
    <w:rsid w:val="00EF7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EF74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ntributorssubheaderImprintandContributors">
    <w:name w:val="Contributors subheader (Imprint and Contributors)"/>
    <w:basedOn w:val="NoParagraphStyle"/>
    <w:uiPriority w:val="99"/>
    <w:rsid w:val="005C16F8"/>
    <w:pPr>
      <w:suppressAutoHyphens/>
      <w:spacing w:before="270" w:line="270" w:lineRule="atLeast"/>
    </w:pPr>
    <w:rPr>
      <w:rFonts w:ascii="ITC Franklin Gothic Book" w:hAnsi="ITC Franklin Gothic Book" w:cs="ITC Franklin Gothic Book"/>
      <w:color w:val="55565A"/>
      <w:sz w:val="21"/>
      <w:szCs w:val="21"/>
      <w:lang w:val="en-US"/>
    </w:rPr>
  </w:style>
  <w:style w:type="paragraph" w:customStyle="1" w:styleId="Body11PrebulletBodyParas">
    <w:name w:val="Body 1.1 Prebullet (Body Paras)"/>
    <w:basedOn w:val="BodynumberedGeneralStyles"/>
    <w:uiPriority w:val="99"/>
    <w:rsid w:val="005C16F8"/>
    <w:pPr>
      <w:spacing w:after="57" w:line="270" w:lineRule="atLeast"/>
      <w:ind w:left="510" w:hanging="510"/>
    </w:pPr>
  </w:style>
  <w:style w:type="paragraph" w:customStyle="1" w:styleId="Body21BodyParas0">
    <w:name w:val="Body 2.1+ (Body Paras)"/>
    <w:basedOn w:val="BodynumberedGeneralStyles"/>
    <w:uiPriority w:val="99"/>
    <w:rsid w:val="005C16F8"/>
    <w:pPr>
      <w:spacing w:after="130" w:line="270" w:lineRule="atLeast"/>
      <w:ind w:left="510" w:hanging="510"/>
    </w:pPr>
  </w:style>
  <w:style w:type="paragraph" w:customStyle="1" w:styleId="Body21PrebulletBodyParas">
    <w:name w:val="Body 2.1 Prebullet (Body Paras)"/>
    <w:basedOn w:val="BodynumberedGeneralStyles"/>
    <w:uiPriority w:val="99"/>
    <w:rsid w:val="005C16F8"/>
    <w:pPr>
      <w:spacing w:after="57" w:line="270" w:lineRule="atLeast"/>
      <w:ind w:left="510" w:hanging="510"/>
    </w:pPr>
  </w:style>
  <w:style w:type="paragraph" w:customStyle="1" w:styleId="Body31BodyParas0">
    <w:name w:val="Body 3.1+ (Body Paras)"/>
    <w:basedOn w:val="BodynumberedGeneralStyles"/>
    <w:uiPriority w:val="99"/>
    <w:rsid w:val="005C16F8"/>
    <w:pPr>
      <w:spacing w:after="130" w:line="270" w:lineRule="atLeast"/>
      <w:ind w:left="510" w:hanging="510"/>
    </w:pPr>
  </w:style>
  <w:style w:type="paragraph" w:customStyle="1" w:styleId="Body31PrebulletBodyParas">
    <w:name w:val="Body 3.1 Prebullet (Body Paras)"/>
    <w:basedOn w:val="BodynumberedGeneralStyles"/>
    <w:uiPriority w:val="99"/>
    <w:rsid w:val="005C16F8"/>
    <w:pPr>
      <w:spacing w:after="57" w:line="270" w:lineRule="atLeast"/>
      <w:ind w:left="510" w:hanging="510"/>
    </w:pPr>
  </w:style>
  <w:style w:type="paragraph" w:customStyle="1" w:styleId="Body41PrebulletBodyParas">
    <w:name w:val="Body 4.1 Prebullet (Body Paras)"/>
    <w:basedOn w:val="BodynumberedGeneralStyles"/>
    <w:uiPriority w:val="99"/>
    <w:rsid w:val="005C16F8"/>
    <w:pPr>
      <w:spacing w:after="57" w:line="270" w:lineRule="atLeast"/>
      <w:ind w:left="510" w:hanging="510"/>
    </w:pPr>
  </w:style>
  <w:style w:type="paragraph" w:customStyle="1" w:styleId="SubbulletindentGeneralStyles">
    <w:name w:val="Subbullet indent (General Styles)"/>
    <w:basedOn w:val="BodyGeneralStyles"/>
    <w:uiPriority w:val="99"/>
    <w:rsid w:val="005C16F8"/>
    <w:pPr>
      <w:tabs>
        <w:tab w:val="left" w:pos="907"/>
      </w:tabs>
      <w:spacing w:after="57"/>
      <w:ind w:left="1191" w:hanging="198"/>
    </w:pPr>
  </w:style>
  <w:style w:type="paragraph" w:customStyle="1" w:styleId="SubbulletindentlastGeneralStyles">
    <w:name w:val="Subbullet indent last (General Styles)"/>
    <w:basedOn w:val="BodyGeneralStyles"/>
    <w:uiPriority w:val="99"/>
    <w:rsid w:val="005C16F8"/>
    <w:pPr>
      <w:tabs>
        <w:tab w:val="left" w:pos="907"/>
      </w:tabs>
      <w:ind w:left="1191" w:hanging="198"/>
    </w:pPr>
  </w:style>
  <w:style w:type="paragraph" w:customStyle="1" w:styleId="Body41BodyParas0">
    <w:name w:val="Body 4.1+ (Body Paras)"/>
    <w:basedOn w:val="BodynumberedGeneralStyles"/>
    <w:uiPriority w:val="99"/>
    <w:rsid w:val="005C16F8"/>
    <w:pPr>
      <w:spacing w:after="130" w:line="270" w:lineRule="atLeast"/>
      <w:ind w:left="510" w:hanging="510"/>
    </w:pPr>
  </w:style>
  <w:style w:type="character" w:customStyle="1" w:styleId="Coloured">
    <w:name w:val="Coloured"/>
    <w:uiPriority w:val="99"/>
    <w:rsid w:val="005C16F8"/>
    <w:rPr>
      <w:color w:val="80B0E5"/>
    </w:rPr>
  </w:style>
  <w:style w:type="character" w:customStyle="1" w:styleId="Figure">
    <w:name w:val="Figure"/>
    <w:uiPriority w:val="99"/>
    <w:rsid w:val="005C16F8"/>
    <w:rPr>
      <w:rFonts w:ascii="ITC Franklin Gothic Book" w:hAnsi="ITC Franklin Gothic Book" w:cs="ITC Franklin Gothic Book"/>
      <w:color w:val="80B0E5"/>
    </w:rPr>
  </w:style>
  <w:style w:type="character" w:customStyle="1" w:styleId="DemiItalic">
    <w:name w:val="Demi Italic"/>
    <w:uiPriority w:val="99"/>
    <w:rsid w:val="005C16F8"/>
    <w:rPr>
      <w:i/>
      <w:iCs/>
      <w:lang w:val="en-AU"/>
    </w:rPr>
  </w:style>
  <w:style w:type="paragraph" w:styleId="TOCHeading">
    <w:name w:val="TOC Heading"/>
    <w:basedOn w:val="Heading1"/>
    <w:next w:val="Normal"/>
    <w:uiPriority w:val="39"/>
    <w:unhideWhenUsed/>
    <w:qFormat/>
    <w:rsid w:val="00AE709F"/>
    <w:pPr>
      <w:keepLines/>
      <w:spacing w:after="0" w:line="259" w:lineRule="auto"/>
      <w:outlineLvl w:val="9"/>
    </w:pPr>
    <w:rPr>
      <w:rFonts w:ascii="Calibri Light" w:hAnsi="Calibri Light"/>
      <w:b w:val="0"/>
      <w:bCs w:val="0"/>
      <w:color w:val="2E74B5"/>
      <w:kern w:val="0"/>
      <w:sz w:val="32"/>
      <w:lang w:val="en-US" w:eastAsia="en-US"/>
    </w:rPr>
  </w:style>
  <w:style w:type="paragraph" w:styleId="TOC2">
    <w:name w:val="toc 2"/>
    <w:basedOn w:val="Normal"/>
    <w:next w:val="Normal"/>
    <w:autoRedefine/>
    <w:uiPriority w:val="39"/>
    <w:unhideWhenUsed/>
    <w:rsid w:val="00AE709F"/>
    <w:pPr>
      <w:spacing w:before="120" w:after="100"/>
      <w:ind w:left="220"/>
    </w:pPr>
    <w:rPr>
      <w:rFonts w:ascii="Calibri" w:hAnsi="Calibri"/>
      <w:lang w:val="en-US" w:eastAsia="en-US"/>
    </w:rPr>
  </w:style>
  <w:style w:type="paragraph" w:styleId="TOC3">
    <w:name w:val="toc 3"/>
    <w:basedOn w:val="Normal"/>
    <w:next w:val="Normal"/>
    <w:autoRedefine/>
    <w:uiPriority w:val="39"/>
    <w:unhideWhenUsed/>
    <w:rsid w:val="00AE709F"/>
    <w:pPr>
      <w:spacing w:before="120" w:after="100"/>
      <w:ind w:left="440"/>
    </w:pPr>
    <w:rPr>
      <w:rFonts w:ascii="Calibri" w:hAnsi="Calibri"/>
      <w:lang w:val="en-US" w:eastAsia="en-US"/>
    </w:rPr>
  </w:style>
  <w:style w:type="paragraph" w:customStyle="1" w:styleId="Contributorsheader2ImprintandContributors">
    <w:name w:val="Contributors header 2 (Imprint and Contributors)"/>
    <w:basedOn w:val="NoParagraphStyle"/>
    <w:uiPriority w:val="99"/>
    <w:rsid w:val="00C107C1"/>
    <w:pPr>
      <w:suppressAutoHyphens/>
      <w:spacing w:before="130" w:line="270" w:lineRule="atLeast"/>
    </w:pPr>
    <w:rPr>
      <w:rFonts w:ascii="ITC Franklin Gothic Book" w:eastAsiaTheme="minorEastAsia" w:hAnsi="ITC Franklin Gothic Book" w:cs="ITC Franklin Gothic Book"/>
      <w:color w:val="555559"/>
      <w:sz w:val="21"/>
      <w:szCs w:val="21"/>
      <w:lang w:val="en-US"/>
    </w:rPr>
  </w:style>
  <w:style w:type="paragraph" w:customStyle="1" w:styleId="ABCGeneralStyles">
    <w:name w:val="ABC (General Styles)"/>
    <w:basedOn w:val="BodyGeneralStyles"/>
    <w:uiPriority w:val="99"/>
    <w:rsid w:val="00C107C1"/>
    <w:pPr>
      <w:spacing w:after="57"/>
      <w:ind w:left="600" w:hanging="360"/>
    </w:pPr>
    <w:rPr>
      <w:rFonts w:eastAsiaTheme="minorEastAsia"/>
    </w:rPr>
  </w:style>
  <w:style w:type="paragraph" w:customStyle="1" w:styleId="NumberedGeneralStyles">
    <w:name w:val="Numbered (General Styles)"/>
    <w:basedOn w:val="ABCGeneralStyles"/>
    <w:uiPriority w:val="99"/>
    <w:rsid w:val="00C107C1"/>
    <w:pPr>
      <w:ind w:left="720"/>
    </w:pPr>
  </w:style>
  <w:style w:type="paragraph" w:customStyle="1" w:styleId="BodyPrebulletGeneralStyles">
    <w:name w:val="Body Prebullet (General Styles)"/>
    <w:basedOn w:val="BodyGeneralStyles"/>
    <w:uiPriority w:val="99"/>
    <w:rsid w:val="00C107C1"/>
    <w:pPr>
      <w:spacing w:after="57"/>
    </w:pPr>
    <w:rPr>
      <w:rFonts w:eastAsiaTheme="minorEastAsia"/>
    </w:rPr>
  </w:style>
  <w:style w:type="paragraph" w:customStyle="1" w:styleId="BulletlastGeneralStyles">
    <w:name w:val="Bullet last (General Styles)"/>
    <w:basedOn w:val="BulletGeneralStyles"/>
    <w:uiPriority w:val="99"/>
    <w:rsid w:val="00C107C1"/>
    <w:pPr>
      <w:spacing w:after="130"/>
    </w:pPr>
    <w:rPr>
      <w:rFonts w:eastAsiaTheme="minorEastAsia"/>
    </w:rPr>
  </w:style>
  <w:style w:type="paragraph" w:customStyle="1" w:styleId="QuoteindentGeneralStyles">
    <w:name w:val="Quote indent (General Styles)"/>
    <w:basedOn w:val="BodyGeneralStyles"/>
    <w:uiPriority w:val="99"/>
    <w:rsid w:val="00C107C1"/>
    <w:pPr>
      <w:ind w:left="1304" w:right="57"/>
    </w:pPr>
    <w:rPr>
      <w:rFonts w:eastAsiaTheme="minorEastAsia"/>
      <w:sz w:val="19"/>
      <w:szCs w:val="19"/>
    </w:rPr>
  </w:style>
  <w:style w:type="paragraph" w:customStyle="1" w:styleId="RecommendationHeadingAGeneralStyles">
    <w:name w:val="Recommendation Heading A (General Styles)"/>
    <w:basedOn w:val="NoParagraphStyle"/>
    <w:uiPriority w:val="99"/>
    <w:rsid w:val="00C107C1"/>
    <w:pPr>
      <w:keepNext/>
      <w:keepLines/>
      <w:pBdr>
        <w:top w:val="single" w:sz="96" w:space="0" w:color="7594CC"/>
      </w:pBdr>
      <w:suppressAutoHyphens/>
      <w:spacing w:before="240" w:after="260" w:line="320" w:lineRule="atLeast"/>
      <w:ind w:left="120"/>
    </w:pPr>
    <w:rPr>
      <w:rFonts w:ascii="Franklin Gothic Medium" w:eastAsiaTheme="minorEastAsia" w:hAnsi="Franklin Gothic Medium" w:cs="Franklin Gothic Medium"/>
      <w:color w:val="FFFFFF"/>
      <w:sz w:val="28"/>
      <w:szCs w:val="28"/>
      <w:lang w:val="en-US"/>
    </w:rPr>
  </w:style>
  <w:style w:type="paragraph" w:customStyle="1" w:styleId="RecommendationBodyGeneralStyles">
    <w:name w:val="Recommendation Body (General Styles)"/>
    <w:basedOn w:val="BodyGeneralStyles"/>
    <w:uiPriority w:val="99"/>
    <w:rsid w:val="00C107C1"/>
    <w:pPr>
      <w:spacing w:after="130"/>
      <w:ind w:left="120"/>
    </w:pPr>
    <w:rPr>
      <w:rFonts w:eastAsiaTheme="minorEastAsia"/>
    </w:rPr>
  </w:style>
  <w:style w:type="paragraph" w:customStyle="1" w:styleId="RecommendationABCGeneralStyles">
    <w:name w:val="Recommendation ABC (General Styles)"/>
    <w:basedOn w:val="BodyGeneralStyles"/>
    <w:uiPriority w:val="99"/>
    <w:rsid w:val="00C107C1"/>
    <w:pPr>
      <w:tabs>
        <w:tab w:val="left" w:pos="907"/>
      </w:tabs>
      <w:spacing w:after="57"/>
      <w:ind w:left="600" w:hanging="320"/>
    </w:pPr>
    <w:rPr>
      <w:rFonts w:eastAsiaTheme="minorEastAsia"/>
    </w:rPr>
  </w:style>
  <w:style w:type="paragraph" w:customStyle="1" w:styleId="RecommendationHeadingGeneralStyles">
    <w:name w:val="Recommendation Heading (General Styles)"/>
    <w:basedOn w:val="NoParagraphStyle"/>
    <w:uiPriority w:val="99"/>
    <w:rsid w:val="00C107C1"/>
    <w:pPr>
      <w:keepNext/>
      <w:keepLines/>
      <w:pBdr>
        <w:top w:val="single" w:sz="96" w:space="0" w:color="7594CC"/>
      </w:pBdr>
      <w:suppressAutoHyphens/>
      <w:spacing w:before="240" w:after="260" w:line="320" w:lineRule="atLeast"/>
      <w:ind w:left="120"/>
    </w:pPr>
    <w:rPr>
      <w:rFonts w:ascii="Franklin Gothic Medium" w:eastAsiaTheme="minorEastAsia" w:hAnsi="Franklin Gothic Medium" w:cs="Franklin Gothic Medium"/>
      <w:color w:val="FFFFFF"/>
      <w:sz w:val="28"/>
      <w:szCs w:val="28"/>
      <w:lang w:val="en-US"/>
    </w:rPr>
  </w:style>
  <w:style w:type="paragraph" w:customStyle="1" w:styleId="RecommendationLastGeneralStyles">
    <w:name w:val="Recommendation Last (General Styles)"/>
    <w:basedOn w:val="RecommendationABCGeneralStyles"/>
    <w:uiPriority w:val="99"/>
    <w:rsid w:val="00C107C1"/>
    <w:pPr>
      <w:pBdr>
        <w:bottom w:val="single" w:sz="16" w:space="13" w:color="7594CC"/>
      </w:pBdr>
      <w:ind w:left="120" w:firstLine="0"/>
    </w:pPr>
  </w:style>
  <w:style w:type="paragraph" w:customStyle="1" w:styleId="QuotebulletGeneralStyles">
    <w:name w:val="Quote bullet (General Styles)"/>
    <w:basedOn w:val="NoParagraphStyle"/>
    <w:uiPriority w:val="99"/>
    <w:rsid w:val="00C107C1"/>
    <w:pPr>
      <w:tabs>
        <w:tab w:val="left" w:pos="1440"/>
      </w:tabs>
      <w:suppressAutoHyphens/>
      <w:spacing w:after="40" w:line="270" w:lineRule="atLeast"/>
      <w:ind w:left="1134" w:right="357" w:hanging="198"/>
      <w:jc w:val="both"/>
    </w:pPr>
    <w:rPr>
      <w:rFonts w:ascii="Gill Sans Std Light" w:eastAsiaTheme="minorEastAsia" w:hAnsi="Gill Sans Std Light" w:cs="Gill Sans Std Light"/>
      <w:sz w:val="19"/>
      <w:szCs w:val="19"/>
      <w:lang w:val="en-AU"/>
    </w:rPr>
  </w:style>
  <w:style w:type="paragraph" w:customStyle="1" w:styleId="QuotebulletlastGeneralStyles">
    <w:name w:val="Quote bullet last (General Styles)"/>
    <w:basedOn w:val="NoParagraphStyle"/>
    <w:uiPriority w:val="99"/>
    <w:rsid w:val="00C107C1"/>
    <w:pPr>
      <w:tabs>
        <w:tab w:val="left" w:pos="1440"/>
      </w:tabs>
      <w:suppressAutoHyphens/>
      <w:spacing w:after="135" w:line="270" w:lineRule="atLeast"/>
      <w:ind w:left="1134" w:right="357" w:hanging="198"/>
      <w:jc w:val="both"/>
    </w:pPr>
    <w:rPr>
      <w:rFonts w:ascii="Gill Sans Std Light" w:eastAsiaTheme="minorEastAsia" w:hAnsi="Gill Sans Std Light" w:cs="Gill Sans Std Light"/>
      <w:sz w:val="19"/>
      <w:szCs w:val="19"/>
      <w:lang w:val="en-AU"/>
    </w:rPr>
  </w:style>
  <w:style w:type="paragraph" w:customStyle="1" w:styleId="ABCindentGeneralStyles">
    <w:name w:val="ABC indent (General Styles)"/>
    <w:basedOn w:val="BodyGeneralStyles"/>
    <w:uiPriority w:val="99"/>
    <w:rsid w:val="00C107C1"/>
    <w:pPr>
      <w:spacing w:after="57"/>
      <w:ind w:left="1260" w:hanging="400"/>
    </w:pPr>
    <w:rPr>
      <w:rFonts w:eastAsiaTheme="minorEastAsia"/>
    </w:rPr>
  </w:style>
  <w:style w:type="paragraph" w:customStyle="1" w:styleId="ABCindentlastGeneralStyles">
    <w:name w:val="ABC indent last (General Styles)"/>
    <w:basedOn w:val="BodyGeneralStyles"/>
    <w:uiPriority w:val="99"/>
    <w:rsid w:val="00C107C1"/>
    <w:pPr>
      <w:spacing w:after="130"/>
      <w:ind w:left="1260" w:hanging="400"/>
    </w:pPr>
    <w:rPr>
      <w:rFonts w:eastAsiaTheme="minorEastAsia"/>
    </w:rPr>
  </w:style>
  <w:style w:type="paragraph" w:customStyle="1" w:styleId="NumberedIndentGeneralStyles">
    <w:name w:val="Numbered Indent (General Styles)"/>
    <w:basedOn w:val="BodyGeneralStyles"/>
    <w:uiPriority w:val="99"/>
    <w:rsid w:val="00C107C1"/>
    <w:pPr>
      <w:tabs>
        <w:tab w:val="left" w:pos="907"/>
      </w:tabs>
      <w:spacing w:after="57"/>
      <w:ind w:left="1077" w:hanging="227"/>
    </w:pPr>
    <w:rPr>
      <w:rFonts w:eastAsiaTheme="minorEastAsia"/>
    </w:rPr>
  </w:style>
  <w:style w:type="paragraph" w:customStyle="1" w:styleId="NumberedIndentLastGeneralStyles">
    <w:name w:val="Numbered Indent Last (General Styles)"/>
    <w:basedOn w:val="BodyGeneralStyles"/>
    <w:uiPriority w:val="99"/>
    <w:rsid w:val="00C107C1"/>
    <w:pPr>
      <w:tabs>
        <w:tab w:val="left" w:pos="907"/>
      </w:tabs>
      <w:spacing w:after="130"/>
      <w:ind w:left="1077" w:hanging="227"/>
    </w:pPr>
    <w:rPr>
      <w:rFonts w:eastAsiaTheme="minorEastAsia"/>
    </w:rPr>
  </w:style>
  <w:style w:type="paragraph" w:customStyle="1" w:styleId="SubSubbulletindentGeneralStyles">
    <w:name w:val="Sub Subbullet indent (General Styles)"/>
    <w:basedOn w:val="BodyGeneralStyles"/>
    <w:uiPriority w:val="99"/>
    <w:rsid w:val="00C107C1"/>
    <w:pPr>
      <w:tabs>
        <w:tab w:val="left" w:pos="907"/>
      </w:tabs>
      <w:spacing w:after="57"/>
      <w:ind w:left="1701" w:hanging="198"/>
    </w:pPr>
    <w:rPr>
      <w:rFonts w:eastAsiaTheme="minorEastAsia"/>
    </w:rPr>
  </w:style>
  <w:style w:type="paragraph" w:customStyle="1" w:styleId="TableNoteGeneralStyles">
    <w:name w:val="Table Note (General Styles)"/>
    <w:basedOn w:val="NoParagraphStyle"/>
    <w:uiPriority w:val="99"/>
    <w:rsid w:val="00C107C1"/>
    <w:pPr>
      <w:tabs>
        <w:tab w:val="left" w:pos="255"/>
      </w:tabs>
      <w:suppressAutoHyphens/>
      <w:spacing w:after="113" w:line="190" w:lineRule="atLeast"/>
      <w:ind w:left="227" w:hanging="227"/>
    </w:pPr>
    <w:rPr>
      <w:rFonts w:ascii="Gill Sans Std Light" w:eastAsiaTheme="minorEastAsia" w:hAnsi="Gill Sans Std Light" w:cs="Gill Sans Std Light"/>
      <w:sz w:val="16"/>
      <w:szCs w:val="16"/>
      <w:lang w:val="en-US"/>
    </w:rPr>
  </w:style>
  <w:style w:type="paragraph" w:customStyle="1" w:styleId="RecommendationBodyPrebulletGeneralStyles">
    <w:name w:val="Recommendation Body Prebullet (General Styles)"/>
    <w:basedOn w:val="BodyGeneralStyles"/>
    <w:uiPriority w:val="99"/>
    <w:rsid w:val="00C107C1"/>
    <w:pPr>
      <w:spacing w:after="57"/>
      <w:ind w:left="120"/>
    </w:pPr>
    <w:rPr>
      <w:rFonts w:eastAsiaTheme="minorEastAsia"/>
    </w:rPr>
  </w:style>
  <w:style w:type="paragraph" w:customStyle="1" w:styleId="Body51PrebulletBodyParas">
    <w:name w:val="Body 5.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51BodyParas0">
    <w:name w:val="Body 5.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61BodyParas0">
    <w:name w:val="Body 6.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61PrebulletBodyParas">
    <w:name w:val="Body 6.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71BodyParas0">
    <w:name w:val="Body 7.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71PrebulletBodyParas">
    <w:name w:val="Body 7.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81BodyParas">
    <w:name w:val="Body 8.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81BodyParas0">
    <w:name w:val="Body 8.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81PrebulletBodyParas">
    <w:name w:val="Body 8.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character" w:customStyle="1" w:styleId="Bold">
    <w:name w:val="Bold"/>
    <w:uiPriority w:val="99"/>
    <w:rsid w:val="00C107C1"/>
    <w:rPr>
      <w:b/>
      <w:bCs/>
    </w:rPr>
  </w:style>
  <w:style w:type="character" w:customStyle="1" w:styleId="Italic">
    <w:name w:val="Italic"/>
    <w:uiPriority w:val="99"/>
    <w:rsid w:val="00C107C1"/>
    <w:rPr>
      <w:i/>
      <w:iCs/>
      <w:lang w:val="en-AU"/>
    </w:rPr>
  </w:style>
  <w:style w:type="character" w:customStyle="1" w:styleId="WhiteFootnote">
    <w:name w:val="White Footnote"/>
    <w:basedOn w:val="Superscript"/>
    <w:uiPriority w:val="99"/>
    <w:rsid w:val="00C107C1"/>
    <w:rPr>
      <w:b/>
      <w:bCs/>
      <w:outline/>
      <w:vertAlign w:val="superscript"/>
      <w:lang w:val="en-AU"/>
    </w:rPr>
  </w:style>
  <w:style w:type="character" w:customStyle="1" w:styleId="TableBold">
    <w:name w:val="Table Bold"/>
    <w:uiPriority w:val="99"/>
    <w:rsid w:val="00C107C1"/>
  </w:style>
  <w:style w:type="paragraph" w:styleId="FootnoteText">
    <w:name w:val="footnote text"/>
    <w:basedOn w:val="Normal"/>
    <w:link w:val="FootnoteTextChar"/>
    <w:uiPriority w:val="99"/>
    <w:semiHidden/>
    <w:unhideWhenUsed/>
    <w:rsid w:val="00050B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BF8"/>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050BF8"/>
    <w:rPr>
      <w:vertAlign w:val="superscript"/>
    </w:rPr>
  </w:style>
  <w:style w:type="paragraph" w:customStyle="1" w:styleId="BodyFranklinGothicFranklinGothicSection">
    <w:name w:val="Body Franklin Gothic (Franklin Gothic Section)"/>
    <w:basedOn w:val="BodyGeneralStyles"/>
    <w:uiPriority w:val="99"/>
    <w:rsid w:val="000D1F9C"/>
    <w:pPr>
      <w:widowControl/>
      <w:spacing w:line="280" w:lineRule="atLeast"/>
    </w:pPr>
    <w:rPr>
      <w:rFonts w:ascii="ITC Franklin Gothic Book" w:hAnsi="ITC Franklin Gothic Book" w:cs="ITC Franklin Gothic Book"/>
      <w:sz w:val="20"/>
      <w:szCs w:val="20"/>
    </w:rPr>
  </w:style>
  <w:style w:type="character" w:customStyle="1" w:styleId="Demi">
    <w:name w:val="Demi"/>
    <w:uiPriority w:val="99"/>
    <w:rsid w:val="000D1F9C"/>
  </w:style>
  <w:style w:type="paragraph" w:customStyle="1" w:styleId="Heading1FranklinGothicFranklinGothicSection">
    <w:name w:val="Heading 1 Franklin Gothic (Franklin Gothic Section)"/>
    <w:basedOn w:val="NoParagraphStyle"/>
    <w:uiPriority w:val="99"/>
    <w:rsid w:val="007C1944"/>
    <w:pPr>
      <w:widowControl/>
      <w:suppressAutoHyphens/>
      <w:spacing w:before="270" w:after="135" w:line="280" w:lineRule="atLeast"/>
    </w:pPr>
    <w:rPr>
      <w:rFonts w:ascii="Franklin Gothic Medium" w:hAnsi="Franklin Gothic Medium" w:cs="Franklin Gothic Medium"/>
      <w:lang w:val="en-US"/>
    </w:rPr>
  </w:style>
  <w:style w:type="paragraph" w:customStyle="1" w:styleId="GothicBulletFranklinGothicSection">
    <w:name w:val="Gothic Bullet (Franklin Gothic Section)"/>
    <w:basedOn w:val="BodyFranklinGothicFranklinGothicSection"/>
    <w:uiPriority w:val="99"/>
    <w:rsid w:val="007C1944"/>
    <w:pPr>
      <w:spacing w:after="60"/>
      <w:ind w:left="360" w:hanging="240"/>
    </w:pPr>
  </w:style>
  <w:style w:type="paragraph" w:customStyle="1" w:styleId="GothicSubbulletFranklinGothicSection">
    <w:name w:val="Gothic Subbullet (Franklin Gothic Section)"/>
    <w:basedOn w:val="GothicBulletFranklinGothicSection"/>
    <w:uiPriority w:val="99"/>
    <w:rsid w:val="007C1944"/>
    <w:pPr>
      <w:ind w:left="720"/>
    </w:pPr>
  </w:style>
  <w:style w:type="paragraph" w:customStyle="1" w:styleId="SourceFranklinGothicSection">
    <w:name w:val="Source (Franklin Gothic Section)"/>
    <w:basedOn w:val="BodyFranklinGothicFranklinGothicSection"/>
    <w:uiPriority w:val="99"/>
    <w:rsid w:val="007C1944"/>
    <w:pPr>
      <w:spacing w:line="220" w:lineRule="atLeast"/>
    </w:pPr>
    <w:rPr>
      <w:sz w:val="18"/>
      <w:szCs w:val="18"/>
    </w:rPr>
  </w:style>
  <w:style w:type="paragraph" w:customStyle="1" w:styleId="GothicABCFranklinGothicSection">
    <w:name w:val="Gothic ABC (Franklin Gothic Section)"/>
    <w:basedOn w:val="GothicBulletFranklinGothicSection"/>
    <w:uiPriority w:val="99"/>
    <w:rsid w:val="003B6E5E"/>
    <w:pPr>
      <w:ind w:left="567" w:hanging="397"/>
    </w:pPr>
  </w:style>
  <w:style w:type="character" w:customStyle="1" w:styleId="BookItalic">
    <w:name w:val="Book Italic"/>
    <w:uiPriority w:val="99"/>
    <w:rsid w:val="00B57D3D"/>
    <w:rPr>
      <w:i/>
      <w:iCs/>
      <w:lang w:val="en-AU"/>
    </w:rPr>
  </w:style>
  <w:style w:type="paragraph" w:styleId="ListParagraph">
    <w:name w:val="List Paragraph"/>
    <w:basedOn w:val="Normal"/>
    <w:uiPriority w:val="34"/>
    <w:qFormat/>
    <w:rsid w:val="007238AB"/>
    <w:pPr>
      <w:ind w:left="720"/>
      <w:contextualSpacing/>
    </w:pPr>
  </w:style>
  <w:style w:type="paragraph" w:customStyle="1" w:styleId="BodyRun-inHeadGeneralStyles">
    <w:name w:val="Body Run-in Head (General Styles)"/>
    <w:basedOn w:val="NoParagraphStyle"/>
    <w:uiPriority w:val="99"/>
    <w:rsid w:val="00613286"/>
    <w:pPr>
      <w:keepLines/>
      <w:suppressAutoHyphens/>
      <w:spacing w:before="270" w:after="135" w:line="270" w:lineRule="atLeast"/>
    </w:pPr>
    <w:rPr>
      <w:rFonts w:ascii="Gill Sans Std Light" w:eastAsiaTheme="minorEastAsia" w:hAnsi="Gill Sans Std Light" w:cs="Gill Sans Std Light"/>
      <w:sz w:val="21"/>
      <w:szCs w:val="21"/>
      <w:lang w:val="en-US"/>
    </w:rPr>
  </w:style>
  <w:style w:type="paragraph" w:customStyle="1" w:styleId="BodyindentprebulletGeneralStyles">
    <w:name w:val="Body indent prebullet (General Styles)"/>
    <w:basedOn w:val="BodyGeneralStyles"/>
    <w:uiPriority w:val="99"/>
    <w:rsid w:val="00613286"/>
    <w:pPr>
      <w:spacing w:after="57"/>
      <w:ind w:left="600"/>
    </w:pPr>
    <w:rPr>
      <w:rFonts w:eastAsiaTheme="minorEastAsia"/>
    </w:rPr>
  </w:style>
  <w:style w:type="paragraph" w:customStyle="1" w:styleId="TableHeadingLeft2FiguresTable">
    <w:name w:val="Table Heading Left 2 (Figures / Table)"/>
    <w:basedOn w:val="BodyGeneralStyles"/>
    <w:uiPriority w:val="99"/>
    <w:rsid w:val="00613286"/>
    <w:pPr>
      <w:spacing w:line="240" w:lineRule="atLeast"/>
    </w:pPr>
    <w:rPr>
      <w:rFonts w:ascii="ITC Franklin Gothic Demi" w:eastAsiaTheme="minorEastAsia" w:hAnsi="ITC Franklin Gothic Demi" w:cs="ITC Franklin Gothic Demi"/>
      <w:color w:val="53555A"/>
      <w:sz w:val="18"/>
      <w:szCs w:val="18"/>
    </w:rPr>
  </w:style>
  <w:style w:type="paragraph" w:customStyle="1" w:styleId="TableHeadingRight2FiguresTable">
    <w:name w:val="Table Heading Right 2 (Figures / Table)"/>
    <w:basedOn w:val="BodyGeneralStyles"/>
    <w:uiPriority w:val="99"/>
    <w:rsid w:val="00613286"/>
    <w:pPr>
      <w:spacing w:line="240" w:lineRule="atLeast"/>
      <w:jc w:val="right"/>
    </w:pPr>
    <w:rPr>
      <w:rFonts w:ascii="ITC Franklin Gothic Demi" w:eastAsiaTheme="minorEastAsia" w:hAnsi="ITC Franklin Gothic Demi" w:cs="ITC Franklin Gothic Demi"/>
      <w:color w:val="53555A"/>
      <w:sz w:val="18"/>
      <w:szCs w:val="18"/>
    </w:rPr>
  </w:style>
  <w:style w:type="character" w:customStyle="1" w:styleId="DemiColour">
    <w:name w:val="Demi Colour"/>
    <w:uiPriority w:val="99"/>
    <w:rsid w:val="00613286"/>
    <w:rPr>
      <w:rFonts w:ascii="ITC Franklin Gothic Demi" w:hAnsi="ITC Franklin Gothic Demi" w:cs="ITC Franklin Gothic Demi"/>
      <w:color w:val="7594CC"/>
    </w:rPr>
  </w:style>
  <w:style w:type="character" w:customStyle="1" w:styleId="White">
    <w:name w:val="White"/>
    <w:uiPriority w:val="99"/>
    <w:rsid w:val="00613286"/>
    <w:rPr>
      <w:rFonts w:ascii="ITC Franklin Gothic" w:hAnsi="ITC Franklin Gothic" w:cs="ITC Franklin Gothic"/>
      <w:outline/>
    </w:rPr>
  </w:style>
  <w:style w:type="paragraph" w:customStyle="1" w:styleId="TOCMainTOC">
    <w:name w:val="TOC Main (TOC)"/>
    <w:basedOn w:val="NoParagraphStyle"/>
    <w:uiPriority w:val="99"/>
    <w:rsid w:val="006D1D12"/>
    <w:pPr>
      <w:suppressAutoHyphens/>
      <w:spacing w:before="165" w:after="20" w:line="240" w:lineRule="atLeast"/>
    </w:pPr>
    <w:rPr>
      <w:rFonts w:ascii="ITC Franklin Gothic Demi" w:eastAsiaTheme="minorEastAsia" w:hAnsi="ITC Franklin Gothic Demi" w:cs="ITC Franklin Gothic Demi"/>
      <w:color w:val="7594CC"/>
      <w:sz w:val="18"/>
      <w:szCs w:val="18"/>
      <w:lang w:val="en-US"/>
    </w:rPr>
  </w:style>
  <w:style w:type="paragraph" w:customStyle="1" w:styleId="TOCH1TOC">
    <w:name w:val="TOC H1 (TOC)"/>
    <w:basedOn w:val="NoParagraphStyle"/>
    <w:uiPriority w:val="99"/>
    <w:rsid w:val="006D1D12"/>
    <w:pPr>
      <w:tabs>
        <w:tab w:val="left" w:pos="473"/>
      </w:tabs>
      <w:suppressAutoHyphens/>
      <w:spacing w:after="20" w:line="240" w:lineRule="atLeast"/>
    </w:pPr>
    <w:rPr>
      <w:rFonts w:ascii="ITC Franklin Gothic Book" w:eastAsiaTheme="minorEastAsia" w:hAnsi="ITC Franklin Gothic Book" w:cs="ITC Franklin Gothic Book"/>
      <w:sz w:val="18"/>
      <w:szCs w:val="18"/>
      <w:lang w:val="en-US"/>
    </w:rPr>
  </w:style>
  <w:style w:type="paragraph" w:customStyle="1" w:styleId="TOCH2TOC">
    <w:name w:val="TOC H2 (TOC)"/>
    <w:basedOn w:val="NoParagraphStyle"/>
    <w:uiPriority w:val="99"/>
    <w:rsid w:val="006D1D12"/>
    <w:pPr>
      <w:suppressAutoHyphens/>
      <w:spacing w:after="20" w:line="240" w:lineRule="atLeast"/>
      <w:ind w:left="360"/>
    </w:pPr>
    <w:rPr>
      <w:rFonts w:ascii="ITC Franklin Gothic" w:eastAsiaTheme="minorEastAsia" w:hAnsi="ITC Franklin Gothic" w:cs="ITC Franklin Gothic"/>
      <w:sz w:val="18"/>
      <w:szCs w:val="18"/>
      <w:lang w:val="en-US"/>
    </w:rPr>
  </w:style>
  <w:style w:type="character" w:styleId="PageNumber">
    <w:name w:val="page number"/>
    <w:basedOn w:val="DefaultParagraphFont"/>
    <w:uiPriority w:val="99"/>
    <w:rsid w:val="006D1D12"/>
    <w:rPr>
      <w:rFonts w:ascii="ITC Franklin Gothic Book" w:hAnsi="ITC Franklin Gothic Book" w:cs="ITC Franklin Gothic Book"/>
      <w:color w:val="000000"/>
    </w:rPr>
  </w:style>
  <w:style w:type="paragraph" w:customStyle="1" w:styleId="BodyFranklinGothicNumberedFranklinGothicSection">
    <w:name w:val="Body Franklin Gothic Numbered (Franklin Gothic Section)"/>
    <w:basedOn w:val="BodyGeneralStyles"/>
    <w:uiPriority w:val="99"/>
    <w:rsid w:val="006D1D12"/>
    <w:pPr>
      <w:pageBreakBefore/>
      <w:tabs>
        <w:tab w:val="left" w:pos="360"/>
      </w:tabs>
      <w:spacing w:after="0" w:line="210" w:lineRule="atLeast"/>
      <w:ind w:left="360" w:hanging="360"/>
    </w:pPr>
    <w:rPr>
      <w:rFonts w:ascii="ITC Franklin Gothic Book" w:eastAsiaTheme="minorEastAsia" w:hAnsi="ITC Franklin Gothic Book" w:cs="ITC Franklin Gothic Book"/>
      <w:sz w:val="18"/>
      <w:szCs w:val="18"/>
    </w:rPr>
  </w:style>
  <w:style w:type="paragraph" w:customStyle="1" w:styleId="BodyFranklinGothicNumberedWhiteFranklinGothicSection">
    <w:name w:val="Body Franklin Gothic Numbered White (Franklin Gothic Section)"/>
    <w:basedOn w:val="BodyGeneralStyles"/>
    <w:uiPriority w:val="99"/>
    <w:rsid w:val="006D1D12"/>
    <w:pPr>
      <w:pageBreakBefore/>
      <w:tabs>
        <w:tab w:val="left" w:pos="360"/>
      </w:tabs>
      <w:spacing w:after="0" w:line="210" w:lineRule="atLeast"/>
      <w:ind w:left="360" w:hanging="360"/>
    </w:pPr>
    <w:rPr>
      <w:rFonts w:ascii="ITC Franklin Gothic Demi" w:eastAsiaTheme="minorEastAsia" w:hAnsi="ITC Franklin Gothic Demi" w:cs="ITC Franklin Gothic Demi"/>
      <w:color w:val="FFFFFF"/>
      <w:sz w:val="18"/>
      <w:szCs w:val="18"/>
    </w:rPr>
  </w:style>
  <w:style w:type="paragraph" w:customStyle="1" w:styleId="TableNumber">
    <w:name w:val="Table Number"/>
    <w:basedOn w:val="TableBody"/>
    <w:qFormat/>
    <w:rsid w:val="002A32E7"/>
    <w:pPr>
      <w:spacing w:after="60"/>
    </w:pPr>
  </w:style>
  <w:style w:type="paragraph" w:customStyle="1" w:styleId="FranklinGothicBulletFranklinGothicSection">
    <w:name w:val="Franklin Gothic Bullet (Franklin Gothic Section)"/>
    <w:basedOn w:val="Normal"/>
    <w:uiPriority w:val="99"/>
    <w:rsid w:val="00CA4B44"/>
    <w:pPr>
      <w:widowControl w:val="0"/>
      <w:tabs>
        <w:tab w:val="left" w:pos="907"/>
      </w:tabs>
      <w:autoSpaceDE w:val="0"/>
      <w:autoSpaceDN w:val="0"/>
      <w:adjustRightInd w:val="0"/>
      <w:spacing w:before="0" w:after="57" w:line="260" w:lineRule="atLeast"/>
      <w:ind w:left="360" w:hanging="170"/>
      <w:textAlignment w:val="center"/>
    </w:pPr>
    <w:rPr>
      <w:rFonts w:ascii="ITC Franklin Gothic Book" w:eastAsiaTheme="minorEastAsia" w:hAnsi="ITC Franklin Gothic Book" w:cs="ITC Franklin Gothic Book"/>
      <w:color w:val="000000"/>
      <w:sz w:val="18"/>
      <w:szCs w:val="18"/>
      <w:lang w:val="en-US"/>
    </w:rPr>
  </w:style>
  <w:style w:type="paragraph" w:customStyle="1" w:styleId="Pa63">
    <w:name w:val="Pa63"/>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Pa64">
    <w:name w:val="Pa64"/>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Pa12">
    <w:name w:val="Pa12"/>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FranklinGothlicLargeTextFranklinGothicSection">
    <w:name w:val="Franklin Gothlic Large Text (Franklin Gothic Section)"/>
    <w:basedOn w:val="Normal"/>
    <w:uiPriority w:val="99"/>
    <w:rsid w:val="00F80959"/>
    <w:pPr>
      <w:widowControl w:val="0"/>
      <w:autoSpaceDE w:val="0"/>
      <w:autoSpaceDN w:val="0"/>
      <w:adjustRightInd w:val="0"/>
      <w:spacing w:before="0" w:after="135" w:line="360" w:lineRule="atLeast"/>
      <w:textAlignment w:val="center"/>
    </w:pPr>
    <w:rPr>
      <w:rFonts w:ascii="ITC Franklin Gothic Demi Italic" w:eastAsiaTheme="minorEastAsia" w:hAnsi="ITC Franklin Gothic Demi Italic" w:cs="ITC Franklin Gothic Demi Italic"/>
      <w:i/>
      <w:iCs/>
      <w:color w:val="000000"/>
      <w:sz w:val="28"/>
      <w:szCs w:val="28"/>
      <w:lang w:val="en-US"/>
    </w:rPr>
  </w:style>
  <w:style w:type="paragraph" w:customStyle="1" w:styleId="TableNoteABCGeneralStyles">
    <w:name w:val="Table Note ABC (General Styles)"/>
    <w:basedOn w:val="NoParagraphStyle"/>
    <w:uiPriority w:val="99"/>
    <w:rsid w:val="005A3418"/>
    <w:pPr>
      <w:tabs>
        <w:tab w:val="left" w:pos="283"/>
        <w:tab w:val="left" w:pos="360"/>
      </w:tabs>
      <w:suppressAutoHyphens/>
      <w:spacing w:after="20" w:line="200" w:lineRule="atLeast"/>
      <w:ind w:left="283" w:hanging="283"/>
    </w:pPr>
    <w:rPr>
      <w:rFonts w:ascii="Gill Sans Std Light" w:eastAsiaTheme="minorEastAsia" w:hAnsi="Gill Sans Std Light" w:cs="Gill Sans Std Light"/>
      <w:sz w:val="16"/>
      <w:szCs w:val="16"/>
      <w:lang w:val="en-US"/>
    </w:rPr>
  </w:style>
  <w:style w:type="character" w:customStyle="1" w:styleId="DemiBlack">
    <w:name w:val="Demi Black"/>
    <w:uiPriority w:val="99"/>
    <w:rsid w:val="005A3418"/>
    <w:rPr>
      <w:rFonts w:ascii="ITC Franklin Gothic Std Book" w:hAnsi="ITC Franklin Gothic Std Book" w:cs="ITC Franklin Gothic Std Book"/>
      <w:color w:val="000000"/>
    </w:rPr>
  </w:style>
  <w:style w:type="character" w:customStyle="1" w:styleId="DemiWhite">
    <w:name w:val="Demi White"/>
    <w:uiPriority w:val="99"/>
    <w:rsid w:val="005A3418"/>
    <w:rPr>
      <w:rFonts w:ascii="ITC Franklin Gothic Std Book" w:hAnsi="ITC Franklin Gothic Std Book" w:cs="ITC Franklin Gothic Std Book"/>
      <w:outline/>
    </w:rPr>
  </w:style>
  <w:style w:type="character" w:customStyle="1" w:styleId="FigureNumber">
    <w:name w:val="Figure Number"/>
    <w:uiPriority w:val="99"/>
    <w:rsid w:val="005A3418"/>
    <w:rPr>
      <w:color w:val="3E608F"/>
    </w:rPr>
  </w:style>
  <w:style w:type="paragraph" w:customStyle="1" w:styleId="PageNumberReferenceLHPPageNumber">
    <w:name w:val="Page Number Reference LHP (Page Number)"/>
    <w:basedOn w:val="Normal"/>
    <w:uiPriority w:val="99"/>
    <w:rsid w:val="004C4F65"/>
    <w:pPr>
      <w:widowControl w:val="0"/>
      <w:autoSpaceDE w:val="0"/>
      <w:autoSpaceDN w:val="0"/>
      <w:adjustRightInd w:val="0"/>
      <w:spacing w:before="0" w:after="0" w:line="250" w:lineRule="atLeast"/>
      <w:textAlignment w:val="center"/>
    </w:pPr>
    <w:rPr>
      <w:rFonts w:ascii="ITC Franklin Gothic Std Book" w:eastAsiaTheme="minorEastAsia" w:hAnsi="ITC Franklin Gothic Std Book" w:cs="ITC Franklin Gothic Std Book"/>
      <w:color w:val="55565A"/>
      <w:sz w:val="19"/>
      <w:szCs w:val="19"/>
      <w:lang w:val="en-US"/>
    </w:rPr>
  </w:style>
  <w:style w:type="character" w:customStyle="1" w:styleId="ProjectColour">
    <w:name w:val="Project Colour"/>
    <w:uiPriority w:val="99"/>
    <w:rsid w:val="00B85A6F"/>
    <w:rPr>
      <w:color w:val="3E608F"/>
    </w:rPr>
  </w:style>
  <w:style w:type="paragraph" w:styleId="Subtitle">
    <w:name w:val="Subtitle"/>
    <w:basedOn w:val="Normal"/>
    <w:next w:val="Normal"/>
    <w:link w:val="SubtitleChar"/>
    <w:uiPriority w:val="99"/>
    <w:qFormat/>
    <w:rsid w:val="0007454B"/>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07454B"/>
    <w:rPr>
      <w:rFonts w:asciiTheme="minorHAnsi" w:eastAsiaTheme="minorEastAsia" w:hAnsiTheme="minorHAnsi" w:cstheme="minorBidi"/>
      <w:color w:val="5A5A5A" w:themeColor="text1" w:themeTint="A5"/>
      <w:spacing w:val="15"/>
      <w:sz w:val="22"/>
      <w:szCs w:val="22"/>
    </w:rPr>
  </w:style>
  <w:style w:type="paragraph" w:customStyle="1" w:styleId="NumberedLastGeneralStyles">
    <w:name w:val="Numbered Last (General Styles)"/>
    <w:basedOn w:val="ABCGeneralStyles"/>
    <w:uiPriority w:val="99"/>
    <w:rsid w:val="004250D9"/>
    <w:pPr>
      <w:tabs>
        <w:tab w:val="left" w:pos="640"/>
      </w:tabs>
      <w:spacing w:after="135" w:line="360" w:lineRule="atLeast"/>
      <w:ind w:left="720"/>
    </w:pPr>
    <w:rPr>
      <w:sz w:val="24"/>
      <w:szCs w:val="24"/>
    </w:rPr>
  </w:style>
  <w:style w:type="paragraph" w:customStyle="1" w:styleId="Quote1GeneralStyles">
    <w:name w:val="Quote 1 (General Styles)"/>
    <w:basedOn w:val="QuotebulletGeneralStyles"/>
    <w:uiPriority w:val="99"/>
    <w:rsid w:val="004250D9"/>
    <w:pPr>
      <w:spacing w:line="360" w:lineRule="atLeast"/>
      <w:ind w:left="1020" w:hanging="255"/>
      <w:jc w:val="left"/>
    </w:pPr>
    <w:rPr>
      <w:sz w:val="21"/>
      <w:szCs w:val="21"/>
    </w:rPr>
  </w:style>
  <w:style w:type="paragraph" w:customStyle="1" w:styleId="Quote234GeneralStyles">
    <w:name w:val="Quote 234 (General Styles)"/>
    <w:basedOn w:val="QuotebulletGeneralStyles"/>
    <w:uiPriority w:val="99"/>
    <w:rsid w:val="004250D9"/>
    <w:pPr>
      <w:spacing w:line="360" w:lineRule="atLeast"/>
      <w:ind w:left="1020" w:hanging="255"/>
      <w:jc w:val="left"/>
    </w:pPr>
    <w:rPr>
      <w:sz w:val="21"/>
      <w:szCs w:val="21"/>
    </w:rPr>
  </w:style>
  <w:style w:type="paragraph" w:customStyle="1" w:styleId="BodyFranklinGothicQuoteLeftLastFranklinGothicSection">
    <w:name w:val="Body Franklin Gothic Quote Left Last (Franklin Gothic Section)"/>
    <w:basedOn w:val="BodyGeneralStyles"/>
    <w:uiPriority w:val="99"/>
    <w:rsid w:val="004250D9"/>
    <w:pPr>
      <w:spacing w:after="120" w:line="360" w:lineRule="atLeast"/>
    </w:pPr>
    <w:rPr>
      <w:rFonts w:ascii="ITC Franklin Gothic Std Book" w:eastAsiaTheme="minorEastAsia" w:hAnsi="ITC Franklin Gothic Std Book" w:cs="ITC Franklin Gothic Std Book"/>
      <w:sz w:val="26"/>
      <w:szCs w:val="26"/>
    </w:rPr>
  </w:style>
  <w:style w:type="paragraph" w:customStyle="1" w:styleId="BodyFranklinGothicQuoteRightSourceFranklinGothicSection">
    <w:name w:val="Body Franklin Gothic Quote Right Source (Franklin Gothic Section)"/>
    <w:basedOn w:val="BodyGeneralStyles"/>
    <w:uiPriority w:val="99"/>
    <w:rsid w:val="004250D9"/>
    <w:pPr>
      <w:spacing w:after="280" w:line="360" w:lineRule="atLeast"/>
      <w:ind w:left="1200"/>
      <w:jc w:val="right"/>
    </w:pPr>
    <w:rPr>
      <w:rFonts w:ascii="ITC Franklin Gothic Std Book" w:eastAsiaTheme="minorEastAsia" w:hAnsi="ITC Franklin Gothic Std Book" w:cs="ITC Franklin Gothic Std Book"/>
      <w:sz w:val="22"/>
      <w:szCs w:val="22"/>
    </w:rPr>
  </w:style>
  <w:style w:type="paragraph" w:customStyle="1" w:styleId="BodyFranklinGothicQuoteLeftFirstandLastFranklinGothicSection">
    <w:name w:val="Body Franklin Gothic Quote Left First and Last (Franklin Gothic Section)"/>
    <w:basedOn w:val="BodyGeneralStyles"/>
    <w:uiPriority w:val="99"/>
    <w:rsid w:val="004250D9"/>
    <w:pPr>
      <w:spacing w:before="240" w:after="120" w:line="360" w:lineRule="atLeast"/>
    </w:pPr>
    <w:rPr>
      <w:rFonts w:ascii="ITC Franklin Gothic Std Book" w:eastAsiaTheme="minorEastAsia" w:hAnsi="ITC Franklin Gothic Std Book" w:cs="ITC Franklin Gothic Std Book"/>
      <w:sz w:val="26"/>
      <w:szCs w:val="26"/>
    </w:rPr>
  </w:style>
  <w:style w:type="paragraph" w:customStyle="1" w:styleId="BodyFranklinGothicQuoteLeftFranklinGothicSection">
    <w:name w:val="Body Franklin Gothic Quote Left (Franklin Gothic Section)"/>
    <w:basedOn w:val="BodyGeneralStyles"/>
    <w:uiPriority w:val="99"/>
    <w:rsid w:val="004250D9"/>
    <w:pPr>
      <w:spacing w:after="180" w:line="360" w:lineRule="atLeast"/>
    </w:pPr>
    <w:rPr>
      <w:rFonts w:ascii="ITC Franklin Gothic Std Book" w:eastAsiaTheme="minorEastAsia" w:hAnsi="ITC Franklin Gothic Std Book" w:cs="ITC Franklin Gothic Std Book"/>
      <w:sz w:val="26"/>
      <w:szCs w:val="26"/>
    </w:rPr>
  </w:style>
  <w:style w:type="paragraph" w:customStyle="1" w:styleId="BodyFranklinGothicQuoteLeftFirstFranklinGothicSection">
    <w:name w:val="Body Franklin Gothic Quote Left First (Franklin Gothic Section)"/>
    <w:basedOn w:val="BodyGeneralStyles"/>
    <w:uiPriority w:val="99"/>
    <w:rsid w:val="004250D9"/>
    <w:pPr>
      <w:spacing w:before="240" w:after="180" w:line="360" w:lineRule="atLeast"/>
    </w:pPr>
    <w:rPr>
      <w:rFonts w:ascii="ITC Franklin Gothic Std Book" w:eastAsiaTheme="minorEastAsia" w:hAnsi="ITC Franklin Gothic Std Book" w:cs="ITC Franklin Gothic Std Book"/>
      <w:sz w:val="26"/>
      <w:szCs w:val="26"/>
    </w:rPr>
  </w:style>
  <w:style w:type="paragraph" w:customStyle="1" w:styleId="BlackCalloutFranklinGothicSection">
    <w:name w:val="Black Callout (Franklin Gothic Section)"/>
    <w:basedOn w:val="BodyGeneralStyles"/>
    <w:uiPriority w:val="99"/>
    <w:rsid w:val="004250D9"/>
    <w:pPr>
      <w:spacing w:after="180" w:line="360" w:lineRule="atLeast"/>
    </w:pPr>
    <w:rPr>
      <w:rFonts w:ascii="Franklin Gothic Medium" w:eastAsiaTheme="minorEastAsia" w:hAnsi="Franklin Gothic Medium" w:cs="Franklin Gothic Medium"/>
      <w:sz w:val="26"/>
      <w:szCs w:val="26"/>
    </w:rPr>
  </w:style>
  <w:style w:type="paragraph" w:customStyle="1" w:styleId="BodyNoSpaceGeneralStyles">
    <w:name w:val="Body No Space (General Styles)"/>
    <w:basedOn w:val="NoParagraphStyle"/>
    <w:uiPriority w:val="99"/>
    <w:rsid w:val="004250D9"/>
    <w:pPr>
      <w:suppressAutoHyphens/>
      <w:spacing w:after="60" w:line="360" w:lineRule="atLeast"/>
    </w:pPr>
    <w:rPr>
      <w:rFonts w:ascii="Gill Sans Std Light" w:eastAsiaTheme="minorEastAsia" w:hAnsi="Gill Sans Std Light" w:cs="Gill Sans Std Light"/>
      <w:lang w:val="en-US"/>
    </w:rPr>
  </w:style>
  <w:style w:type="paragraph" w:customStyle="1" w:styleId="Footnote1-9Footnote">
    <w:name w:val="Footnote 1-9 (Footnote)"/>
    <w:basedOn w:val="NoParagraphStyle"/>
    <w:uiPriority w:val="99"/>
    <w:rsid w:val="004250D9"/>
    <w:pPr>
      <w:tabs>
        <w:tab w:val="left" w:pos="369"/>
      </w:tabs>
      <w:suppressAutoHyphens/>
      <w:spacing w:after="113" w:line="280" w:lineRule="atLeast"/>
      <w:ind w:left="369" w:hanging="369"/>
    </w:pPr>
    <w:rPr>
      <w:rFonts w:ascii="Gill Sans Std Light" w:eastAsiaTheme="minorEastAsia" w:hAnsi="Gill Sans Std Light" w:cs="Gill Sans Std Light"/>
      <w:sz w:val="20"/>
      <w:szCs w:val="20"/>
      <w:lang w:val="en-US"/>
    </w:rPr>
  </w:style>
  <w:style w:type="paragraph" w:customStyle="1" w:styleId="Footnote10-99Footnote">
    <w:name w:val="Footnote 10-99 (Footnote)"/>
    <w:basedOn w:val="NoParagraphStyle"/>
    <w:uiPriority w:val="99"/>
    <w:rsid w:val="004250D9"/>
    <w:pPr>
      <w:tabs>
        <w:tab w:val="left" w:pos="369"/>
      </w:tabs>
      <w:suppressAutoHyphens/>
      <w:spacing w:after="113" w:line="280" w:lineRule="atLeast"/>
      <w:ind w:left="369" w:hanging="369"/>
    </w:pPr>
    <w:rPr>
      <w:rFonts w:ascii="Gill Sans Std Light" w:eastAsiaTheme="minorEastAsia" w:hAnsi="Gill Sans Std Light" w:cs="Gill Sans Std Light"/>
      <w:sz w:val="20"/>
      <w:szCs w:val="20"/>
      <w:lang w:val="en-US"/>
    </w:rPr>
  </w:style>
  <w:style w:type="character" w:customStyle="1" w:styleId="RegularItalic">
    <w:name w:val="Regular Italic"/>
    <w:uiPriority w:val="99"/>
    <w:rsid w:val="004250D9"/>
    <w:rPr>
      <w:i/>
      <w:iCs/>
      <w:lang w:val="en-AU"/>
    </w:rPr>
  </w:style>
  <w:style w:type="character" w:customStyle="1" w:styleId="DemiGrey">
    <w:name w:val="Demi Grey"/>
    <w:uiPriority w:val="99"/>
    <w:rsid w:val="004250D9"/>
    <w:rPr>
      <w:rFonts w:ascii="ITC Franklin Gothic Std Book" w:hAnsi="ITC Franklin Gothic Std Book" w:cs="ITC Franklin Gothic Std Book"/>
      <w:color w:val="55565A"/>
    </w:rPr>
  </w:style>
  <w:style w:type="paragraph" w:customStyle="1" w:styleId="BlueCalloutFranklinGothicSection">
    <w:name w:val="Blue Callout (Franklin Gothic Section)"/>
    <w:basedOn w:val="BodyGeneralStyles"/>
    <w:uiPriority w:val="99"/>
    <w:rsid w:val="00964354"/>
    <w:pPr>
      <w:spacing w:after="180" w:line="360" w:lineRule="atLeast"/>
    </w:pPr>
    <w:rPr>
      <w:rFonts w:ascii="Franklin Gothic Medium" w:eastAsiaTheme="minorEastAsia" w:hAnsi="Franklin Gothic Medium" w:cs="Franklin Gothic Medium"/>
      <w:sz w:val="26"/>
      <w:szCs w:val="26"/>
    </w:rPr>
  </w:style>
  <w:style w:type="paragraph" w:customStyle="1" w:styleId="IntroWhite">
    <w:name w:val="Intro White"/>
    <w:basedOn w:val="NoParagraphStyle"/>
    <w:uiPriority w:val="99"/>
    <w:rsid w:val="00225FA5"/>
    <w:pPr>
      <w:pBdr>
        <w:top w:val="single" w:sz="8" w:space="17" w:color="FFFFFF"/>
        <w:bottom w:val="single" w:sz="8" w:space="11" w:color="FFFFFF"/>
      </w:pBdr>
      <w:suppressAutoHyphens/>
      <w:spacing w:after="113" w:line="400" w:lineRule="atLeast"/>
    </w:pPr>
    <w:rPr>
      <w:rFonts w:ascii="Poppins-Regular" w:eastAsiaTheme="minorEastAsia" w:hAnsi="Poppins-Regular" w:cs="Poppins-Regular"/>
      <w:color w:val="FFFFFF"/>
      <w:sz w:val="26"/>
      <w:szCs w:val="26"/>
      <w:lang w:val="en-US"/>
      <w14:ligatures w14:val="standardContextual"/>
    </w:rPr>
  </w:style>
  <w:style w:type="paragraph" w:customStyle="1" w:styleId="Body">
    <w:name w:val="Body"/>
    <w:basedOn w:val="NoParagraphStyle"/>
    <w:uiPriority w:val="99"/>
    <w:rsid w:val="00225FA5"/>
    <w:pPr>
      <w:suppressAutoHyphens/>
      <w:spacing w:after="113" w:line="360" w:lineRule="atLeast"/>
    </w:pPr>
    <w:rPr>
      <w:rFonts w:ascii="Poppins-Regular" w:eastAsiaTheme="minorEastAsia" w:hAnsi="Poppins-Regular" w:cs="Poppins-Regular"/>
      <w:sz w:val="22"/>
      <w:szCs w:val="22"/>
      <w:lang w:val="en-US"/>
      <w14:ligatures w14:val="standardContextual"/>
    </w:rPr>
  </w:style>
  <w:style w:type="paragraph" w:customStyle="1" w:styleId="Anchor">
    <w:name w:val="Anchor"/>
    <w:basedOn w:val="NoParagraphStyle"/>
    <w:uiPriority w:val="99"/>
    <w:rsid w:val="00225FA5"/>
    <w:pPr>
      <w:suppressAutoHyphens/>
      <w:spacing w:line="120" w:lineRule="atLeast"/>
    </w:pPr>
    <w:rPr>
      <w:rFonts w:ascii="Poppins-Regular" w:eastAsiaTheme="minorEastAsia" w:hAnsi="Poppins-Regular" w:cs="Poppins-Regular"/>
      <w:sz w:val="12"/>
      <w:szCs w:val="12"/>
      <w:lang w:val="en-US"/>
      <w14:ligatures w14:val="standardContextual"/>
    </w:rPr>
  </w:style>
  <w:style w:type="paragraph" w:customStyle="1" w:styleId="Bullet">
    <w:name w:val="Bullet"/>
    <w:basedOn w:val="Body"/>
    <w:uiPriority w:val="99"/>
    <w:rsid w:val="00225FA5"/>
    <w:pPr>
      <w:tabs>
        <w:tab w:val="left" w:pos="907"/>
      </w:tabs>
      <w:spacing w:after="57"/>
      <w:ind w:left="510" w:hanging="170"/>
    </w:pPr>
  </w:style>
  <w:style w:type="paragraph" w:customStyle="1" w:styleId="Bulletlast">
    <w:name w:val="Bullet last"/>
    <w:basedOn w:val="Bullet"/>
    <w:uiPriority w:val="99"/>
    <w:rsid w:val="00225FA5"/>
    <w:pPr>
      <w:spacing w:after="113"/>
    </w:pPr>
  </w:style>
  <w:style w:type="character" w:customStyle="1" w:styleId="Green">
    <w:name w:val="Green"/>
    <w:uiPriority w:val="99"/>
    <w:rsid w:val="00225FA5"/>
    <w:rPr>
      <w:b/>
      <w:bCs/>
      <w:color w:val="002C2E"/>
    </w:rPr>
  </w:style>
  <w:style w:type="character" w:customStyle="1" w:styleId="LightItalic0">
    <w:name w:val="LightItalic"/>
    <w:uiPriority w:val="99"/>
    <w:rsid w:val="00225FA5"/>
    <w:rPr>
      <w:i/>
      <w:iCs/>
    </w:rPr>
  </w:style>
  <w:style w:type="paragraph" w:customStyle="1" w:styleId="Imprint">
    <w:name w:val="Imprint"/>
    <w:basedOn w:val="NoParagraphStyle"/>
    <w:uiPriority w:val="99"/>
    <w:rsid w:val="00C11D78"/>
    <w:pPr>
      <w:suppressAutoHyphens/>
      <w:spacing w:after="60" w:line="240" w:lineRule="atLeast"/>
    </w:pPr>
    <w:rPr>
      <w:rFonts w:ascii="ITC Franklin Gothic Std Book" w:eastAsiaTheme="minorEastAsia" w:hAnsi="ITC Franklin Gothic Std Book" w:cs="ITC Franklin Gothic Std Book"/>
      <w:sz w:val="18"/>
      <w:szCs w:val="18"/>
      <w:lang w:val="en-US"/>
      <w14:ligatures w14:val="standardContextual"/>
    </w:rPr>
  </w:style>
  <w:style w:type="paragraph" w:customStyle="1" w:styleId="Heading1Gray">
    <w:name w:val="Heading 1 Gray"/>
    <w:basedOn w:val="Heading1"/>
    <w:uiPriority w:val="99"/>
    <w:rsid w:val="0012507A"/>
    <w:pPr>
      <w:keepNext w:val="0"/>
      <w:widowControl w:val="0"/>
      <w:autoSpaceDE w:val="0"/>
      <w:autoSpaceDN w:val="0"/>
      <w:adjustRightInd w:val="0"/>
      <w:spacing w:before="0" w:after="57" w:line="480" w:lineRule="atLeast"/>
      <w:textAlignment w:val="center"/>
      <w:outlineLvl w:val="9"/>
    </w:pPr>
    <w:rPr>
      <w:rFonts w:ascii="Poppins-Bold" w:eastAsiaTheme="minorEastAsia" w:hAnsi="Poppins-Bold" w:cs="Poppins-Bold"/>
      <w:color w:val="55565A"/>
      <w:kern w:val="0"/>
      <w:position w:val="12"/>
      <w:sz w:val="48"/>
      <w:szCs w:val="48"/>
      <w:lang w:val="en-GB"/>
      <w14:ligatures w14:val="standardContextual"/>
    </w:rPr>
  </w:style>
  <w:style w:type="paragraph" w:customStyle="1" w:styleId="HeadingWhite">
    <w:name w:val="Heading White"/>
    <w:basedOn w:val="NoParagraphStyle"/>
    <w:uiPriority w:val="99"/>
    <w:rsid w:val="00B76C60"/>
    <w:pPr>
      <w:suppressAutoHyphens/>
      <w:spacing w:before="283" w:after="170" w:line="360" w:lineRule="atLeast"/>
    </w:pPr>
    <w:rPr>
      <w:rFonts w:ascii="Poppins-Bold" w:eastAsiaTheme="minorEastAsia" w:hAnsi="Poppins-Bold" w:cs="Poppins-Bold"/>
      <w:b/>
      <w:bCs/>
      <w:color w:val="FFFFFF"/>
      <w:sz w:val="36"/>
      <w:szCs w:val="36"/>
      <w14:ligatures w14:val="standardContextual"/>
    </w:rPr>
  </w:style>
  <w:style w:type="paragraph" w:customStyle="1" w:styleId="TOC">
    <w:name w:val="TOC"/>
    <w:basedOn w:val="NoParagraphStyle"/>
    <w:uiPriority w:val="99"/>
    <w:rsid w:val="00B76C60"/>
    <w:pPr>
      <w:suppressAutoHyphens/>
      <w:spacing w:after="113" w:line="360" w:lineRule="atLeast"/>
    </w:pPr>
    <w:rPr>
      <w:rFonts w:ascii="Poppins-Regular" w:eastAsiaTheme="minorEastAsia" w:hAnsi="Poppins-Regular" w:cs="Poppins-Regular"/>
      <w:color w:val="FFFFFF"/>
      <w:sz w:val="22"/>
      <w:szCs w:val="22"/>
      <w:lang w:val="en-US"/>
      <w14:ligatures w14:val="standardContextual"/>
    </w:rPr>
  </w:style>
  <w:style w:type="paragraph" w:customStyle="1" w:styleId="CalloutWhite">
    <w:name w:val="Callout White"/>
    <w:basedOn w:val="NoParagraphStyle"/>
    <w:uiPriority w:val="99"/>
    <w:rsid w:val="0090462C"/>
    <w:pPr>
      <w:suppressAutoHyphens/>
      <w:spacing w:before="283" w:after="170" w:line="360" w:lineRule="atLeast"/>
    </w:pPr>
    <w:rPr>
      <w:rFonts w:ascii="Poppins-Bold" w:eastAsiaTheme="minorEastAsia" w:hAnsi="Poppins-Bold" w:cs="Poppins-Bold"/>
      <w:b/>
      <w:bCs/>
      <w:color w:val="FFFFFF"/>
      <w:sz w:val="28"/>
      <w:szCs w:val="28"/>
      <w14:ligatures w14:val="standardContextual"/>
    </w:rPr>
  </w:style>
  <w:style w:type="paragraph" w:styleId="IntenseQuote">
    <w:name w:val="Intense Quote"/>
    <w:basedOn w:val="Normal"/>
    <w:next w:val="Normal"/>
    <w:link w:val="IntenseQuoteChar"/>
    <w:uiPriority w:val="30"/>
    <w:qFormat/>
    <w:rsid w:val="0048437A"/>
    <w:pPr>
      <w:pBdr>
        <w:top w:val="single" w:sz="4" w:space="10" w:color="808080" w:themeColor="background1" w:themeShade="80"/>
        <w:bottom w:val="single" w:sz="4" w:space="10" w:color="808080" w:themeColor="background1" w:themeShade="80"/>
      </w:pBdr>
      <w:spacing w:before="360" w:after="360"/>
      <w:ind w:left="864" w:right="864"/>
      <w:jc w:val="center"/>
    </w:pPr>
    <w:rPr>
      <w:b/>
      <w:iCs/>
      <w:color w:val="000000" w:themeColor="text1"/>
    </w:rPr>
  </w:style>
  <w:style w:type="character" w:customStyle="1" w:styleId="IntenseQuoteChar">
    <w:name w:val="Intense Quote Char"/>
    <w:basedOn w:val="DefaultParagraphFont"/>
    <w:link w:val="IntenseQuote"/>
    <w:uiPriority w:val="30"/>
    <w:rsid w:val="0048437A"/>
    <w:rPr>
      <w:b/>
      <w:iCs/>
      <w:color w:val="000000" w:themeColor="text1"/>
    </w:rPr>
  </w:style>
  <w:style w:type="paragraph" w:customStyle="1" w:styleId="BodyNoSpace">
    <w:name w:val="Body No Space"/>
    <w:basedOn w:val="NoParagraphStyle"/>
    <w:uiPriority w:val="99"/>
    <w:rsid w:val="000C4075"/>
    <w:pPr>
      <w:suppressAutoHyphens/>
      <w:spacing w:line="360" w:lineRule="atLeast"/>
    </w:pPr>
    <w:rPr>
      <w:rFonts w:ascii="Poppins-Regular" w:eastAsiaTheme="minorEastAsia" w:hAnsi="Poppins-Regular" w:cs="Poppins-Regular"/>
      <w:sz w:val="22"/>
      <w:szCs w:val="22"/>
      <w:lang w:val="en-US"/>
      <w14:ligatures w14:val="standardContextual"/>
    </w:rPr>
  </w:style>
  <w:style w:type="paragraph" w:customStyle="1" w:styleId="BodyWhitewithRule">
    <w:name w:val="Body White with Rule"/>
    <w:basedOn w:val="NoParagraphStyle"/>
    <w:uiPriority w:val="99"/>
    <w:rsid w:val="000C4075"/>
    <w:pPr>
      <w:pBdr>
        <w:top w:val="single" w:sz="8" w:space="22" w:color="auto"/>
      </w:pBdr>
      <w:suppressAutoHyphens/>
      <w:spacing w:after="57" w:line="360" w:lineRule="atLeast"/>
    </w:pPr>
    <w:rPr>
      <w:rFonts w:ascii="Poppins-Medium" w:eastAsiaTheme="minorEastAsia" w:hAnsi="Poppins-Medium" w:cs="Poppins-Medium"/>
      <w:color w:val="FFFFFF"/>
      <w:sz w:val="22"/>
      <w:szCs w:val="22"/>
      <w:lang w:val="en-US"/>
      <w14:ligatures w14:val="standardContextual"/>
    </w:rPr>
  </w:style>
  <w:style w:type="paragraph" w:customStyle="1" w:styleId="QuoteWhite">
    <w:name w:val="Quote White"/>
    <w:basedOn w:val="NoParagraphStyle"/>
    <w:uiPriority w:val="99"/>
    <w:rsid w:val="000C4075"/>
    <w:pPr>
      <w:pBdr>
        <w:bottom w:val="single" w:sz="8" w:space="14" w:color="auto"/>
      </w:pBdr>
      <w:suppressAutoHyphens/>
      <w:spacing w:after="113" w:line="360" w:lineRule="atLeast"/>
      <w:ind w:left="240"/>
    </w:pPr>
    <w:rPr>
      <w:rFonts w:ascii="Poppins-Medium" w:eastAsiaTheme="minorEastAsia" w:hAnsi="Poppins-Medium" w:cs="Poppins-Medium"/>
      <w:color w:val="FFFFFF"/>
      <w:sz w:val="20"/>
      <w:szCs w:val="20"/>
      <w:lang w:val="en-US"/>
      <w14:ligatures w14:val="standardContextual"/>
    </w:rPr>
  </w:style>
  <w:style w:type="character" w:customStyle="1" w:styleId="MediumItalic">
    <w:name w:val="Medium Italic"/>
    <w:uiPriority w:val="99"/>
    <w:rsid w:val="000C4075"/>
    <w:rPr>
      <w:i/>
      <w:iCs/>
    </w:rPr>
  </w:style>
  <w:style w:type="paragraph" w:customStyle="1" w:styleId="IntroWhiteText">
    <w:name w:val="Intro White Text"/>
    <w:basedOn w:val="NoParagraphStyle"/>
    <w:uiPriority w:val="99"/>
    <w:rsid w:val="000C4075"/>
    <w:pPr>
      <w:suppressAutoHyphens/>
      <w:spacing w:after="113" w:line="480" w:lineRule="atLeast"/>
    </w:pPr>
    <w:rPr>
      <w:rFonts w:ascii="Poppins-Medium" w:eastAsiaTheme="minorEastAsia" w:hAnsi="Poppins-Medium" w:cs="Poppins-Medium"/>
      <w:color w:val="FFFFFF"/>
      <w:sz w:val="28"/>
      <w:szCs w:val="28"/>
      <w:lang w:val="en-US"/>
      <w14:ligatures w14:val="standardContextual"/>
    </w:rPr>
  </w:style>
  <w:style w:type="paragraph" w:customStyle="1" w:styleId="FigureSourceFiguresTable">
    <w:name w:val="Figure Source (Figures / Table)"/>
    <w:basedOn w:val="BodyGeneralStyles"/>
    <w:uiPriority w:val="99"/>
    <w:rsid w:val="00A4454A"/>
    <w:pPr>
      <w:tabs>
        <w:tab w:val="left" w:pos="907"/>
      </w:tabs>
      <w:spacing w:before="113" w:after="270" w:line="280" w:lineRule="atLeast"/>
    </w:pPr>
    <w:rPr>
      <w:rFonts w:ascii="ITC Franklin Gothic Std Book" w:eastAsiaTheme="minorEastAsia" w:hAnsi="ITC Franklin Gothic Std Book" w:cs="ITC Franklin Gothic Std Book"/>
      <w:sz w:val="20"/>
      <w:szCs w:val="20"/>
      <w14:ligatures w14:val="standardContextual"/>
    </w:rPr>
  </w:style>
  <w:style w:type="paragraph" w:customStyle="1" w:styleId="BibliographyGeneralStyles">
    <w:name w:val="Bibliography (General Styles)"/>
    <w:basedOn w:val="NoParagraphStyle"/>
    <w:uiPriority w:val="99"/>
    <w:rsid w:val="00A4454A"/>
    <w:pPr>
      <w:suppressAutoHyphens/>
      <w:spacing w:line="360" w:lineRule="atLeast"/>
      <w:ind w:left="480" w:hanging="480"/>
    </w:pPr>
    <w:rPr>
      <w:rFonts w:ascii="Gill Sans Std Light" w:eastAsiaTheme="minorEastAsia" w:hAnsi="Gill Sans Std Light" w:cs="Gill Sans Std Light"/>
      <w:lang w:val="en-US"/>
      <w14:ligatures w14:val="standardContextual"/>
    </w:rPr>
  </w:style>
  <w:style w:type="paragraph" w:customStyle="1" w:styleId="CasesGeneralStyles">
    <w:name w:val="Cases (General Styles)"/>
    <w:basedOn w:val="NoParagraphStyle"/>
    <w:uiPriority w:val="99"/>
    <w:rsid w:val="00A4454A"/>
    <w:pPr>
      <w:suppressAutoHyphens/>
      <w:spacing w:after="60" w:line="360" w:lineRule="atLeast"/>
    </w:pPr>
    <w:rPr>
      <w:rFonts w:ascii="Gill Sans Std Light" w:eastAsiaTheme="minorEastAsia" w:hAnsi="Gill Sans Std Light" w:cs="Gill Sans Std Light"/>
      <w:lang w:val="en-US"/>
      <w14:ligatures w14:val="standardContextual"/>
    </w:rPr>
  </w:style>
  <w:style w:type="paragraph" w:customStyle="1" w:styleId="FootnoteQuoteFootnote">
    <w:name w:val="Footnote Quote (Footnote)"/>
    <w:basedOn w:val="NoParagraphStyle"/>
    <w:uiPriority w:val="99"/>
    <w:rsid w:val="00A4454A"/>
    <w:pPr>
      <w:suppressAutoHyphens/>
      <w:spacing w:before="60" w:after="60" w:line="240" w:lineRule="atLeast"/>
      <w:ind w:left="720"/>
    </w:pPr>
    <w:rPr>
      <w:rFonts w:ascii="Gill Sans Std Light" w:eastAsiaTheme="minorEastAsia" w:hAnsi="Gill Sans Std Light" w:cs="Gill Sans Std Light"/>
      <w:sz w:val="17"/>
      <w:szCs w:val="17"/>
      <w:lang w:val="en-US"/>
      <w14:ligatures w14:val="standardContextual"/>
    </w:rPr>
  </w:style>
  <w:style w:type="character" w:customStyle="1" w:styleId="WhiteText">
    <w:name w:val="White Text"/>
    <w:uiPriority w:val="99"/>
    <w:rsid w:val="00A4454A"/>
    <w:rPr>
      <w:outline/>
    </w:rPr>
  </w:style>
  <w:style w:type="character" w:customStyle="1" w:styleId="WhiteSuperscript">
    <w:name w:val="White Superscript"/>
    <w:uiPriority w:val="99"/>
    <w:rsid w:val="00A4454A"/>
    <w:rPr>
      <w:outline/>
      <w:vertAlign w:val="superscript"/>
    </w:rPr>
  </w:style>
  <w:style w:type="paragraph" w:customStyle="1" w:styleId="SectionTitleLeftTitlePage">
    <w:name w:val="Section Title Left (Title Page)"/>
    <w:basedOn w:val="NoParagraphStyle"/>
    <w:uiPriority w:val="99"/>
    <w:rsid w:val="0062235C"/>
    <w:pPr>
      <w:pageBreakBefore/>
      <w:suppressAutoHyphens/>
      <w:spacing w:after="520" w:line="640" w:lineRule="atLeast"/>
    </w:pPr>
    <w:rPr>
      <w:rFonts w:ascii="ITC Franklin Gothic Std Book" w:eastAsiaTheme="minorEastAsia" w:hAnsi="ITC Franklin Gothic Std Book" w:cs="ITC Franklin Gothic Std Book"/>
      <w:color w:val="1D00FD"/>
      <w:sz w:val="60"/>
      <w:szCs w:val="60"/>
      <w:lang w:val="en-US"/>
      <w14:ligatures w14:val="standardContextual"/>
    </w:rPr>
  </w:style>
  <w:style w:type="character" w:styleId="FollowedHyperlink">
    <w:name w:val="FollowedHyperlink"/>
    <w:basedOn w:val="DefaultParagraphFont"/>
    <w:uiPriority w:val="99"/>
    <w:semiHidden/>
    <w:unhideWhenUsed/>
    <w:rsid w:val="00F56D0E"/>
    <w:rPr>
      <w:color w:val="96607D"/>
      <w:u w:val="single"/>
    </w:rPr>
  </w:style>
  <w:style w:type="paragraph" w:customStyle="1" w:styleId="msonormal0">
    <w:name w:val="msonormal"/>
    <w:basedOn w:val="Normal"/>
    <w:rsid w:val="00F56D0E"/>
    <w:pPr>
      <w:suppressAutoHyphens w:val="0"/>
      <w:spacing w:before="100" w:beforeAutospacing="1" w:after="100" w:afterAutospacing="1" w:line="240" w:lineRule="auto"/>
    </w:pPr>
    <w:rPr>
      <w:rFonts w:ascii="Times New Roman" w:hAnsi="Times New Roman"/>
    </w:rPr>
  </w:style>
  <w:style w:type="paragraph" w:customStyle="1" w:styleId="xl71">
    <w:name w:val="xl71"/>
    <w:basedOn w:val="Normal"/>
    <w:rsid w:val="00F56D0E"/>
    <w:pPr>
      <w:pBdr>
        <w:top w:val="dotted" w:sz="4" w:space="0" w:color="002D56"/>
        <w:bottom w:val="dotted" w:sz="4" w:space="0" w:color="002D56"/>
      </w:pBdr>
      <w:shd w:val="clear" w:color="000000" w:fill="FFFFFF"/>
      <w:suppressAutoHyphens w:val="0"/>
      <w:spacing w:before="100" w:beforeAutospacing="1" w:after="100" w:afterAutospacing="1" w:line="240" w:lineRule="auto"/>
      <w:jc w:val="center"/>
      <w:textAlignment w:val="center"/>
    </w:pPr>
    <w:rPr>
      <w:rFonts w:ascii="Arial" w:hAnsi="Arial" w:cs="Arial"/>
      <w:sz w:val="20"/>
      <w:szCs w:val="20"/>
    </w:rPr>
  </w:style>
  <w:style w:type="paragraph" w:customStyle="1" w:styleId="xl72">
    <w:name w:val="xl72"/>
    <w:basedOn w:val="Normal"/>
    <w:rsid w:val="00F56D0E"/>
    <w:pPr>
      <w:pBdr>
        <w:top w:val="dotted" w:sz="4" w:space="0" w:color="002D56"/>
        <w:bottom w:val="dotted" w:sz="4" w:space="0" w:color="002D56"/>
      </w:pBdr>
      <w:shd w:val="clear" w:color="000000" w:fill="FFFFFF"/>
      <w:suppressAutoHyphens w:val="0"/>
      <w:spacing w:before="100" w:beforeAutospacing="1" w:after="100" w:afterAutospacing="1" w:line="240" w:lineRule="auto"/>
      <w:jc w:val="center"/>
      <w:textAlignment w:val="center"/>
    </w:pPr>
    <w:rPr>
      <w:rFonts w:ascii="Arial" w:hAnsi="Arial" w:cs="Arial"/>
      <w:sz w:val="20"/>
      <w:szCs w:val="20"/>
    </w:rPr>
  </w:style>
  <w:style w:type="paragraph" w:customStyle="1" w:styleId="xl73">
    <w:name w:val="xl73"/>
    <w:basedOn w:val="Normal"/>
    <w:rsid w:val="00F56D0E"/>
    <w:pPr>
      <w:pBdr>
        <w:top w:val="dotted" w:sz="4" w:space="0" w:color="002D56"/>
        <w:bottom w:val="dotted" w:sz="4" w:space="0" w:color="002D56"/>
      </w:pBdr>
      <w:shd w:val="clear" w:color="000000" w:fill="FFFFFF"/>
      <w:suppressAutoHyphens w:val="0"/>
      <w:spacing w:before="100" w:beforeAutospacing="1" w:after="100" w:afterAutospacing="1" w:line="240" w:lineRule="auto"/>
      <w:ind w:firstLineChars="100" w:firstLine="100"/>
      <w:textAlignment w:val="center"/>
    </w:pPr>
    <w:rPr>
      <w:rFonts w:ascii="Arial" w:hAnsi="Arial" w:cs="Arial"/>
      <w:sz w:val="20"/>
      <w:szCs w:val="20"/>
    </w:rPr>
  </w:style>
  <w:style w:type="paragraph" w:customStyle="1" w:styleId="xl74">
    <w:name w:val="xl74"/>
    <w:basedOn w:val="Normal"/>
    <w:rsid w:val="00F56D0E"/>
    <w:pPr>
      <w:pBdr>
        <w:top w:val="dotted" w:sz="4" w:space="0" w:color="002D56"/>
        <w:bottom w:val="dotted" w:sz="4" w:space="0" w:color="002D56"/>
      </w:pBdr>
      <w:shd w:val="clear" w:color="000000" w:fill="FFFFFF"/>
      <w:suppressAutoHyphens w:val="0"/>
      <w:spacing w:before="100" w:beforeAutospacing="1" w:after="100" w:afterAutospacing="1" w:line="240" w:lineRule="auto"/>
      <w:ind w:firstLineChars="100" w:firstLine="100"/>
      <w:textAlignment w:val="center"/>
    </w:pPr>
    <w:rPr>
      <w:rFonts w:ascii="Arial" w:hAnsi="Arial" w:cs="Arial"/>
      <w:sz w:val="20"/>
      <w:szCs w:val="20"/>
    </w:rPr>
  </w:style>
  <w:style w:type="paragraph" w:customStyle="1" w:styleId="xl75">
    <w:name w:val="xl75"/>
    <w:basedOn w:val="Normal"/>
    <w:rsid w:val="00F56D0E"/>
    <w:pPr>
      <w:pBdr>
        <w:top w:val="dotted" w:sz="4" w:space="0" w:color="002D56"/>
        <w:bottom w:val="dotted" w:sz="4" w:space="0" w:color="002D56"/>
      </w:pBdr>
      <w:shd w:val="clear" w:color="000000" w:fill="FFFFFF"/>
      <w:suppressAutoHyphens w:val="0"/>
      <w:spacing w:before="100" w:beforeAutospacing="1" w:after="100" w:afterAutospacing="1" w:line="240" w:lineRule="auto"/>
      <w:jc w:val="center"/>
      <w:textAlignment w:val="center"/>
    </w:pPr>
    <w:rPr>
      <w:rFonts w:ascii="Arial" w:hAnsi="Arial" w:cs="Arial"/>
      <w:sz w:val="20"/>
      <w:szCs w:val="20"/>
    </w:rPr>
  </w:style>
  <w:style w:type="paragraph" w:customStyle="1" w:styleId="StyleAptosNarrow11ptBlackBefore0ptAfter0ptLine">
    <w:name w:val="Style Aptos Narrow 11 pt Black Before:  0 pt After:  0 pt Line..."/>
    <w:basedOn w:val="Normal"/>
    <w:rsid w:val="007D6C6D"/>
    <w:pPr>
      <w:spacing w:before="0" w:after="0" w:line="240" w:lineRule="auto"/>
    </w:pPr>
    <w:rPr>
      <w:color w:val="000000"/>
      <w:sz w:val="22"/>
      <w:szCs w:val="20"/>
    </w:rPr>
  </w:style>
  <w:style w:type="paragraph" w:customStyle="1" w:styleId="StyleAptosNarrow11ptBlackBefore0ptAfter0ptLine1">
    <w:name w:val="Style Aptos Narrow 11 pt Black Before:  0 pt After:  0 pt Line...1"/>
    <w:basedOn w:val="Normal"/>
    <w:rsid w:val="00DA2479"/>
    <w:pPr>
      <w:spacing w:before="0" w:after="0" w:line="240" w:lineRule="auto"/>
    </w:pPr>
    <w:rPr>
      <w:color w:val="000000"/>
      <w:sz w:val="22"/>
      <w:szCs w:val="20"/>
    </w:rPr>
  </w:style>
  <w:style w:type="paragraph" w:customStyle="1" w:styleId="StyleAptosNarrow11ptBlackBefore0ptAfter0ptLine2">
    <w:name w:val="Style Aptos Narrow 11 pt Black Before:  0 pt After:  0 pt Line...2"/>
    <w:basedOn w:val="Normal"/>
    <w:rsid w:val="00CF1C82"/>
    <w:pPr>
      <w:spacing w:before="0" w:after="0" w:line="240" w:lineRule="auto"/>
    </w:pPr>
    <w:rPr>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8886">
      <w:bodyDiv w:val="1"/>
      <w:marLeft w:val="0"/>
      <w:marRight w:val="0"/>
      <w:marTop w:val="0"/>
      <w:marBottom w:val="0"/>
      <w:divBdr>
        <w:top w:val="none" w:sz="0" w:space="0" w:color="auto"/>
        <w:left w:val="none" w:sz="0" w:space="0" w:color="auto"/>
        <w:bottom w:val="none" w:sz="0" w:space="0" w:color="auto"/>
        <w:right w:val="none" w:sz="0" w:space="0" w:color="auto"/>
      </w:divBdr>
    </w:div>
    <w:div w:id="68233506">
      <w:bodyDiv w:val="1"/>
      <w:marLeft w:val="0"/>
      <w:marRight w:val="0"/>
      <w:marTop w:val="0"/>
      <w:marBottom w:val="0"/>
      <w:divBdr>
        <w:top w:val="none" w:sz="0" w:space="0" w:color="auto"/>
        <w:left w:val="none" w:sz="0" w:space="0" w:color="auto"/>
        <w:bottom w:val="none" w:sz="0" w:space="0" w:color="auto"/>
        <w:right w:val="none" w:sz="0" w:space="0" w:color="auto"/>
      </w:divBdr>
    </w:div>
    <w:div w:id="80953335">
      <w:bodyDiv w:val="1"/>
      <w:marLeft w:val="0"/>
      <w:marRight w:val="0"/>
      <w:marTop w:val="0"/>
      <w:marBottom w:val="0"/>
      <w:divBdr>
        <w:top w:val="none" w:sz="0" w:space="0" w:color="auto"/>
        <w:left w:val="none" w:sz="0" w:space="0" w:color="auto"/>
        <w:bottom w:val="none" w:sz="0" w:space="0" w:color="auto"/>
        <w:right w:val="none" w:sz="0" w:space="0" w:color="auto"/>
      </w:divBdr>
    </w:div>
    <w:div w:id="117914533">
      <w:bodyDiv w:val="1"/>
      <w:marLeft w:val="0"/>
      <w:marRight w:val="0"/>
      <w:marTop w:val="0"/>
      <w:marBottom w:val="0"/>
      <w:divBdr>
        <w:top w:val="none" w:sz="0" w:space="0" w:color="auto"/>
        <w:left w:val="none" w:sz="0" w:space="0" w:color="auto"/>
        <w:bottom w:val="none" w:sz="0" w:space="0" w:color="auto"/>
        <w:right w:val="none" w:sz="0" w:space="0" w:color="auto"/>
      </w:divBdr>
    </w:div>
    <w:div w:id="126243955">
      <w:bodyDiv w:val="1"/>
      <w:marLeft w:val="0"/>
      <w:marRight w:val="0"/>
      <w:marTop w:val="0"/>
      <w:marBottom w:val="0"/>
      <w:divBdr>
        <w:top w:val="none" w:sz="0" w:space="0" w:color="auto"/>
        <w:left w:val="none" w:sz="0" w:space="0" w:color="auto"/>
        <w:bottom w:val="none" w:sz="0" w:space="0" w:color="auto"/>
        <w:right w:val="none" w:sz="0" w:space="0" w:color="auto"/>
      </w:divBdr>
    </w:div>
    <w:div w:id="159777461">
      <w:bodyDiv w:val="1"/>
      <w:marLeft w:val="0"/>
      <w:marRight w:val="0"/>
      <w:marTop w:val="0"/>
      <w:marBottom w:val="0"/>
      <w:divBdr>
        <w:top w:val="none" w:sz="0" w:space="0" w:color="auto"/>
        <w:left w:val="none" w:sz="0" w:space="0" w:color="auto"/>
        <w:bottom w:val="none" w:sz="0" w:space="0" w:color="auto"/>
        <w:right w:val="none" w:sz="0" w:space="0" w:color="auto"/>
      </w:divBdr>
    </w:div>
    <w:div w:id="177546379">
      <w:bodyDiv w:val="1"/>
      <w:marLeft w:val="0"/>
      <w:marRight w:val="0"/>
      <w:marTop w:val="0"/>
      <w:marBottom w:val="0"/>
      <w:divBdr>
        <w:top w:val="none" w:sz="0" w:space="0" w:color="auto"/>
        <w:left w:val="none" w:sz="0" w:space="0" w:color="auto"/>
        <w:bottom w:val="none" w:sz="0" w:space="0" w:color="auto"/>
        <w:right w:val="none" w:sz="0" w:space="0" w:color="auto"/>
      </w:divBdr>
    </w:div>
    <w:div w:id="289167735">
      <w:bodyDiv w:val="1"/>
      <w:marLeft w:val="0"/>
      <w:marRight w:val="0"/>
      <w:marTop w:val="0"/>
      <w:marBottom w:val="0"/>
      <w:divBdr>
        <w:top w:val="none" w:sz="0" w:space="0" w:color="auto"/>
        <w:left w:val="none" w:sz="0" w:space="0" w:color="auto"/>
        <w:bottom w:val="none" w:sz="0" w:space="0" w:color="auto"/>
        <w:right w:val="none" w:sz="0" w:space="0" w:color="auto"/>
      </w:divBdr>
    </w:div>
    <w:div w:id="291373497">
      <w:bodyDiv w:val="1"/>
      <w:marLeft w:val="0"/>
      <w:marRight w:val="0"/>
      <w:marTop w:val="0"/>
      <w:marBottom w:val="0"/>
      <w:divBdr>
        <w:top w:val="none" w:sz="0" w:space="0" w:color="auto"/>
        <w:left w:val="none" w:sz="0" w:space="0" w:color="auto"/>
        <w:bottom w:val="none" w:sz="0" w:space="0" w:color="auto"/>
        <w:right w:val="none" w:sz="0" w:space="0" w:color="auto"/>
      </w:divBdr>
    </w:div>
    <w:div w:id="300234194">
      <w:bodyDiv w:val="1"/>
      <w:marLeft w:val="0"/>
      <w:marRight w:val="0"/>
      <w:marTop w:val="0"/>
      <w:marBottom w:val="0"/>
      <w:divBdr>
        <w:top w:val="none" w:sz="0" w:space="0" w:color="auto"/>
        <w:left w:val="none" w:sz="0" w:space="0" w:color="auto"/>
        <w:bottom w:val="none" w:sz="0" w:space="0" w:color="auto"/>
        <w:right w:val="none" w:sz="0" w:space="0" w:color="auto"/>
      </w:divBdr>
    </w:div>
    <w:div w:id="309870076">
      <w:bodyDiv w:val="1"/>
      <w:marLeft w:val="0"/>
      <w:marRight w:val="0"/>
      <w:marTop w:val="0"/>
      <w:marBottom w:val="0"/>
      <w:divBdr>
        <w:top w:val="none" w:sz="0" w:space="0" w:color="auto"/>
        <w:left w:val="none" w:sz="0" w:space="0" w:color="auto"/>
        <w:bottom w:val="none" w:sz="0" w:space="0" w:color="auto"/>
        <w:right w:val="none" w:sz="0" w:space="0" w:color="auto"/>
      </w:divBdr>
    </w:div>
    <w:div w:id="310913766">
      <w:bodyDiv w:val="1"/>
      <w:marLeft w:val="0"/>
      <w:marRight w:val="0"/>
      <w:marTop w:val="0"/>
      <w:marBottom w:val="0"/>
      <w:divBdr>
        <w:top w:val="none" w:sz="0" w:space="0" w:color="auto"/>
        <w:left w:val="none" w:sz="0" w:space="0" w:color="auto"/>
        <w:bottom w:val="none" w:sz="0" w:space="0" w:color="auto"/>
        <w:right w:val="none" w:sz="0" w:space="0" w:color="auto"/>
      </w:divBdr>
    </w:div>
    <w:div w:id="316997878">
      <w:bodyDiv w:val="1"/>
      <w:marLeft w:val="0"/>
      <w:marRight w:val="0"/>
      <w:marTop w:val="0"/>
      <w:marBottom w:val="0"/>
      <w:divBdr>
        <w:top w:val="none" w:sz="0" w:space="0" w:color="auto"/>
        <w:left w:val="none" w:sz="0" w:space="0" w:color="auto"/>
        <w:bottom w:val="none" w:sz="0" w:space="0" w:color="auto"/>
        <w:right w:val="none" w:sz="0" w:space="0" w:color="auto"/>
      </w:divBdr>
    </w:div>
    <w:div w:id="322851807">
      <w:bodyDiv w:val="1"/>
      <w:marLeft w:val="0"/>
      <w:marRight w:val="0"/>
      <w:marTop w:val="0"/>
      <w:marBottom w:val="0"/>
      <w:divBdr>
        <w:top w:val="none" w:sz="0" w:space="0" w:color="auto"/>
        <w:left w:val="none" w:sz="0" w:space="0" w:color="auto"/>
        <w:bottom w:val="none" w:sz="0" w:space="0" w:color="auto"/>
        <w:right w:val="none" w:sz="0" w:space="0" w:color="auto"/>
      </w:divBdr>
    </w:div>
    <w:div w:id="339891757">
      <w:bodyDiv w:val="1"/>
      <w:marLeft w:val="0"/>
      <w:marRight w:val="0"/>
      <w:marTop w:val="0"/>
      <w:marBottom w:val="0"/>
      <w:divBdr>
        <w:top w:val="none" w:sz="0" w:space="0" w:color="auto"/>
        <w:left w:val="none" w:sz="0" w:space="0" w:color="auto"/>
        <w:bottom w:val="none" w:sz="0" w:space="0" w:color="auto"/>
        <w:right w:val="none" w:sz="0" w:space="0" w:color="auto"/>
      </w:divBdr>
    </w:div>
    <w:div w:id="383869941">
      <w:bodyDiv w:val="1"/>
      <w:marLeft w:val="0"/>
      <w:marRight w:val="0"/>
      <w:marTop w:val="0"/>
      <w:marBottom w:val="0"/>
      <w:divBdr>
        <w:top w:val="none" w:sz="0" w:space="0" w:color="auto"/>
        <w:left w:val="none" w:sz="0" w:space="0" w:color="auto"/>
        <w:bottom w:val="none" w:sz="0" w:space="0" w:color="auto"/>
        <w:right w:val="none" w:sz="0" w:space="0" w:color="auto"/>
      </w:divBdr>
    </w:div>
    <w:div w:id="383909937">
      <w:bodyDiv w:val="1"/>
      <w:marLeft w:val="0"/>
      <w:marRight w:val="0"/>
      <w:marTop w:val="0"/>
      <w:marBottom w:val="0"/>
      <w:divBdr>
        <w:top w:val="none" w:sz="0" w:space="0" w:color="auto"/>
        <w:left w:val="none" w:sz="0" w:space="0" w:color="auto"/>
        <w:bottom w:val="none" w:sz="0" w:space="0" w:color="auto"/>
        <w:right w:val="none" w:sz="0" w:space="0" w:color="auto"/>
      </w:divBdr>
    </w:div>
    <w:div w:id="425228017">
      <w:bodyDiv w:val="1"/>
      <w:marLeft w:val="0"/>
      <w:marRight w:val="0"/>
      <w:marTop w:val="0"/>
      <w:marBottom w:val="0"/>
      <w:divBdr>
        <w:top w:val="none" w:sz="0" w:space="0" w:color="auto"/>
        <w:left w:val="none" w:sz="0" w:space="0" w:color="auto"/>
        <w:bottom w:val="none" w:sz="0" w:space="0" w:color="auto"/>
        <w:right w:val="none" w:sz="0" w:space="0" w:color="auto"/>
      </w:divBdr>
    </w:div>
    <w:div w:id="447159759">
      <w:bodyDiv w:val="1"/>
      <w:marLeft w:val="0"/>
      <w:marRight w:val="0"/>
      <w:marTop w:val="0"/>
      <w:marBottom w:val="0"/>
      <w:divBdr>
        <w:top w:val="none" w:sz="0" w:space="0" w:color="auto"/>
        <w:left w:val="none" w:sz="0" w:space="0" w:color="auto"/>
        <w:bottom w:val="none" w:sz="0" w:space="0" w:color="auto"/>
        <w:right w:val="none" w:sz="0" w:space="0" w:color="auto"/>
      </w:divBdr>
    </w:div>
    <w:div w:id="454910518">
      <w:bodyDiv w:val="1"/>
      <w:marLeft w:val="0"/>
      <w:marRight w:val="0"/>
      <w:marTop w:val="0"/>
      <w:marBottom w:val="0"/>
      <w:divBdr>
        <w:top w:val="none" w:sz="0" w:space="0" w:color="auto"/>
        <w:left w:val="none" w:sz="0" w:space="0" w:color="auto"/>
        <w:bottom w:val="none" w:sz="0" w:space="0" w:color="auto"/>
        <w:right w:val="none" w:sz="0" w:space="0" w:color="auto"/>
      </w:divBdr>
    </w:div>
    <w:div w:id="471097515">
      <w:bodyDiv w:val="1"/>
      <w:marLeft w:val="0"/>
      <w:marRight w:val="0"/>
      <w:marTop w:val="0"/>
      <w:marBottom w:val="0"/>
      <w:divBdr>
        <w:top w:val="none" w:sz="0" w:space="0" w:color="auto"/>
        <w:left w:val="none" w:sz="0" w:space="0" w:color="auto"/>
        <w:bottom w:val="none" w:sz="0" w:space="0" w:color="auto"/>
        <w:right w:val="none" w:sz="0" w:space="0" w:color="auto"/>
      </w:divBdr>
    </w:div>
    <w:div w:id="579632705">
      <w:bodyDiv w:val="1"/>
      <w:marLeft w:val="0"/>
      <w:marRight w:val="0"/>
      <w:marTop w:val="0"/>
      <w:marBottom w:val="0"/>
      <w:divBdr>
        <w:top w:val="none" w:sz="0" w:space="0" w:color="auto"/>
        <w:left w:val="none" w:sz="0" w:space="0" w:color="auto"/>
        <w:bottom w:val="none" w:sz="0" w:space="0" w:color="auto"/>
        <w:right w:val="none" w:sz="0" w:space="0" w:color="auto"/>
      </w:divBdr>
    </w:div>
    <w:div w:id="616722735">
      <w:bodyDiv w:val="1"/>
      <w:marLeft w:val="0"/>
      <w:marRight w:val="0"/>
      <w:marTop w:val="0"/>
      <w:marBottom w:val="0"/>
      <w:divBdr>
        <w:top w:val="none" w:sz="0" w:space="0" w:color="auto"/>
        <w:left w:val="none" w:sz="0" w:space="0" w:color="auto"/>
        <w:bottom w:val="none" w:sz="0" w:space="0" w:color="auto"/>
        <w:right w:val="none" w:sz="0" w:space="0" w:color="auto"/>
      </w:divBdr>
    </w:div>
    <w:div w:id="659776344">
      <w:bodyDiv w:val="1"/>
      <w:marLeft w:val="0"/>
      <w:marRight w:val="0"/>
      <w:marTop w:val="0"/>
      <w:marBottom w:val="0"/>
      <w:divBdr>
        <w:top w:val="none" w:sz="0" w:space="0" w:color="auto"/>
        <w:left w:val="none" w:sz="0" w:space="0" w:color="auto"/>
        <w:bottom w:val="none" w:sz="0" w:space="0" w:color="auto"/>
        <w:right w:val="none" w:sz="0" w:space="0" w:color="auto"/>
      </w:divBdr>
    </w:div>
    <w:div w:id="680933441">
      <w:bodyDiv w:val="1"/>
      <w:marLeft w:val="0"/>
      <w:marRight w:val="0"/>
      <w:marTop w:val="0"/>
      <w:marBottom w:val="0"/>
      <w:divBdr>
        <w:top w:val="none" w:sz="0" w:space="0" w:color="auto"/>
        <w:left w:val="none" w:sz="0" w:space="0" w:color="auto"/>
        <w:bottom w:val="none" w:sz="0" w:space="0" w:color="auto"/>
        <w:right w:val="none" w:sz="0" w:space="0" w:color="auto"/>
      </w:divBdr>
    </w:div>
    <w:div w:id="709570870">
      <w:bodyDiv w:val="1"/>
      <w:marLeft w:val="0"/>
      <w:marRight w:val="0"/>
      <w:marTop w:val="0"/>
      <w:marBottom w:val="0"/>
      <w:divBdr>
        <w:top w:val="none" w:sz="0" w:space="0" w:color="auto"/>
        <w:left w:val="none" w:sz="0" w:space="0" w:color="auto"/>
        <w:bottom w:val="none" w:sz="0" w:space="0" w:color="auto"/>
        <w:right w:val="none" w:sz="0" w:space="0" w:color="auto"/>
      </w:divBdr>
    </w:div>
    <w:div w:id="793328173">
      <w:bodyDiv w:val="1"/>
      <w:marLeft w:val="0"/>
      <w:marRight w:val="0"/>
      <w:marTop w:val="0"/>
      <w:marBottom w:val="0"/>
      <w:divBdr>
        <w:top w:val="none" w:sz="0" w:space="0" w:color="auto"/>
        <w:left w:val="none" w:sz="0" w:space="0" w:color="auto"/>
        <w:bottom w:val="none" w:sz="0" w:space="0" w:color="auto"/>
        <w:right w:val="none" w:sz="0" w:space="0" w:color="auto"/>
      </w:divBdr>
    </w:div>
    <w:div w:id="801844922">
      <w:bodyDiv w:val="1"/>
      <w:marLeft w:val="0"/>
      <w:marRight w:val="0"/>
      <w:marTop w:val="0"/>
      <w:marBottom w:val="0"/>
      <w:divBdr>
        <w:top w:val="none" w:sz="0" w:space="0" w:color="auto"/>
        <w:left w:val="none" w:sz="0" w:space="0" w:color="auto"/>
        <w:bottom w:val="none" w:sz="0" w:space="0" w:color="auto"/>
        <w:right w:val="none" w:sz="0" w:space="0" w:color="auto"/>
      </w:divBdr>
    </w:div>
    <w:div w:id="830678666">
      <w:bodyDiv w:val="1"/>
      <w:marLeft w:val="0"/>
      <w:marRight w:val="0"/>
      <w:marTop w:val="0"/>
      <w:marBottom w:val="0"/>
      <w:divBdr>
        <w:top w:val="none" w:sz="0" w:space="0" w:color="auto"/>
        <w:left w:val="none" w:sz="0" w:space="0" w:color="auto"/>
        <w:bottom w:val="none" w:sz="0" w:space="0" w:color="auto"/>
        <w:right w:val="none" w:sz="0" w:space="0" w:color="auto"/>
      </w:divBdr>
    </w:div>
    <w:div w:id="850602420">
      <w:bodyDiv w:val="1"/>
      <w:marLeft w:val="0"/>
      <w:marRight w:val="0"/>
      <w:marTop w:val="0"/>
      <w:marBottom w:val="0"/>
      <w:divBdr>
        <w:top w:val="none" w:sz="0" w:space="0" w:color="auto"/>
        <w:left w:val="none" w:sz="0" w:space="0" w:color="auto"/>
        <w:bottom w:val="none" w:sz="0" w:space="0" w:color="auto"/>
        <w:right w:val="none" w:sz="0" w:space="0" w:color="auto"/>
      </w:divBdr>
    </w:div>
    <w:div w:id="853037540">
      <w:bodyDiv w:val="1"/>
      <w:marLeft w:val="0"/>
      <w:marRight w:val="0"/>
      <w:marTop w:val="0"/>
      <w:marBottom w:val="0"/>
      <w:divBdr>
        <w:top w:val="none" w:sz="0" w:space="0" w:color="auto"/>
        <w:left w:val="none" w:sz="0" w:space="0" w:color="auto"/>
        <w:bottom w:val="none" w:sz="0" w:space="0" w:color="auto"/>
        <w:right w:val="none" w:sz="0" w:space="0" w:color="auto"/>
      </w:divBdr>
    </w:div>
    <w:div w:id="894395367">
      <w:bodyDiv w:val="1"/>
      <w:marLeft w:val="0"/>
      <w:marRight w:val="0"/>
      <w:marTop w:val="0"/>
      <w:marBottom w:val="0"/>
      <w:divBdr>
        <w:top w:val="none" w:sz="0" w:space="0" w:color="auto"/>
        <w:left w:val="none" w:sz="0" w:space="0" w:color="auto"/>
        <w:bottom w:val="none" w:sz="0" w:space="0" w:color="auto"/>
        <w:right w:val="none" w:sz="0" w:space="0" w:color="auto"/>
      </w:divBdr>
    </w:div>
    <w:div w:id="902182954">
      <w:bodyDiv w:val="1"/>
      <w:marLeft w:val="0"/>
      <w:marRight w:val="0"/>
      <w:marTop w:val="0"/>
      <w:marBottom w:val="0"/>
      <w:divBdr>
        <w:top w:val="none" w:sz="0" w:space="0" w:color="auto"/>
        <w:left w:val="none" w:sz="0" w:space="0" w:color="auto"/>
        <w:bottom w:val="none" w:sz="0" w:space="0" w:color="auto"/>
        <w:right w:val="none" w:sz="0" w:space="0" w:color="auto"/>
      </w:divBdr>
    </w:div>
    <w:div w:id="914054751">
      <w:bodyDiv w:val="1"/>
      <w:marLeft w:val="0"/>
      <w:marRight w:val="0"/>
      <w:marTop w:val="0"/>
      <w:marBottom w:val="0"/>
      <w:divBdr>
        <w:top w:val="none" w:sz="0" w:space="0" w:color="auto"/>
        <w:left w:val="none" w:sz="0" w:space="0" w:color="auto"/>
        <w:bottom w:val="none" w:sz="0" w:space="0" w:color="auto"/>
        <w:right w:val="none" w:sz="0" w:space="0" w:color="auto"/>
      </w:divBdr>
    </w:div>
    <w:div w:id="981276058">
      <w:bodyDiv w:val="1"/>
      <w:marLeft w:val="0"/>
      <w:marRight w:val="0"/>
      <w:marTop w:val="0"/>
      <w:marBottom w:val="0"/>
      <w:divBdr>
        <w:top w:val="none" w:sz="0" w:space="0" w:color="auto"/>
        <w:left w:val="none" w:sz="0" w:space="0" w:color="auto"/>
        <w:bottom w:val="none" w:sz="0" w:space="0" w:color="auto"/>
        <w:right w:val="none" w:sz="0" w:space="0" w:color="auto"/>
      </w:divBdr>
    </w:div>
    <w:div w:id="1045762154">
      <w:bodyDiv w:val="1"/>
      <w:marLeft w:val="0"/>
      <w:marRight w:val="0"/>
      <w:marTop w:val="0"/>
      <w:marBottom w:val="0"/>
      <w:divBdr>
        <w:top w:val="none" w:sz="0" w:space="0" w:color="auto"/>
        <w:left w:val="none" w:sz="0" w:space="0" w:color="auto"/>
        <w:bottom w:val="none" w:sz="0" w:space="0" w:color="auto"/>
        <w:right w:val="none" w:sz="0" w:space="0" w:color="auto"/>
      </w:divBdr>
    </w:div>
    <w:div w:id="1055815836">
      <w:bodyDiv w:val="1"/>
      <w:marLeft w:val="0"/>
      <w:marRight w:val="0"/>
      <w:marTop w:val="0"/>
      <w:marBottom w:val="0"/>
      <w:divBdr>
        <w:top w:val="none" w:sz="0" w:space="0" w:color="auto"/>
        <w:left w:val="none" w:sz="0" w:space="0" w:color="auto"/>
        <w:bottom w:val="none" w:sz="0" w:space="0" w:color="auto"/>
        <w:right w:val="none" w:sz="0" w:space="0" w:color="auto"/>
      </w:divBdr>
    </w:div>
    <w:div w:id="1065176364">
      <w:bodyDiv w:val="1"/>
      <w:marLeft w:val="0"/>
      <w:marRight w:val="0"/>
      <w:marTop w:val="0"/>
      <w:marBottom w:val="0"/>
      <w:divBdr>
        <w:top w:val="none" w:sz="0" w:space="0" w:color="auto"/>
        <w:left w:val="none" w:sz="0" w:space="0" w:color="auto"/>
        <w:bottom w:val="none" w:sz="0" w:space="0" w:color="auto"/>
        <w:right w:val="none" w:sz="0" w:space="0" w:color="auto"/>
      </w:divBdr>
    </w:div>
    <w:div w:id="1098914772">
      <w:bodyDiv w:val="1"/>
      <w:marLeft w:val="0"/>
      <w:marRight w:val="0"/>
      <w:marTop w:val="0"/>
      <w:marBottom w:val="0"/>
      <w:divBdr>
        <w:top w:val="none" w:sz="0" w:space="0" w:color="auto"/>
        <w:left w:val="none" w:sz="0" w:space="0" w:color="auto"/>
        <w:bottom w:val="none" w:sz="0" w:space="0" w:color="auto"/>
        <w:right w:val="none" w:sz="0" w:space="0" w:color="auto"/>
      </w:divBdr>
    </w:div>
    <w:div w:id="1108891827">
      <w:bodyDiv w:val="1"/>
      <w:marLeft w:val="0"/>
      <w:marRight w:val="0"/>
      <w:marTop w:val="0"/>
      <w:marBottom w:val="0"/>
      <w:divBdr>
        <w:top w:val="none" w:sz="0" w:space="0" w:color="auto"/>
        <w:left w:val="none" w:sz="0" w:space="0" w:color="auto"/>
        <w:bottom w:val="none" w:sz="0" w:space="0" w:color="auto"/>
        <w:right w:val="none" w:sz="0" w:space="0" w:color="auto"/>
      </w:divBdr>
    </w:div>
    <w:div w:id="1198010112">
      <w:bodyDiv w:val="1"/>
      <w:marLeft w:val="0"/>
      <w:marRight w:val="0"/>
      <w:marTop w:val="0"/>
      <w:marBottom w:val="0"/>
      <w:divBdr>
        <w:top w:val="none" w:sz="0" w:space="0" w:color="auto"/>
        <w:left w:val="none" w:sz="0" w:space="0" w:color="auto"/>
        <w:bottom w:val="none" w:sz="0" w:space="0" w:color="auto"/>
        <w:right w:val="none" w:sz="0" w:space="0" w:color="auto"/>
      </w:divBdr>
    </w:div>
    <w:div w:id="1207140317">
      <w:bodyDiv w:val="1"/>
      <w:marLeft w:val="0"/>
      <w:marRight w:val="0"/>
      <w:marTop w:val="0"/>
      <w:marBottom w:val="0"/>
      <w:divBdr>
        <w:top w:val="none" w:sz="0" w:space="0" w:color="auto"/>
        <w:left w:val="none" w:sz="0" w:space="0" w:color="auto"/>
        <w:bottom w:val="none" w:sz="0" w:space="0" w:color="auto"/>
        <w:right w:val="none" w:sz="0" w:space="0" w:color="auto"/>
      </w:divBdr>
    </w:div>
    <w:div w:id="1211839285">
      <w:bodyDiv w:val="1"/>
      <w:marLeft w:val="0"/>
      <w:marRight w:val="0"/>
      <w:marTop w:val="0"/>
      <w:marBottom w:val="0"/>
      <w:divBdr>
        <w:top w:val="none" w:sz="0" w:space="0" w:color="auto"/>
        <w:left w:val="none" w:sz="0" w:space="0" w:color="auto"/>
        <w:bottom w:val="none" w:sz="0" w:space="0" w:color="auto"/>
        <w:right w:val="none" w:sz="0" w:space="0" w:color="auto"/>
      </w:divBdr>
    </w:div>
    <w:div w:id="1226337790">
      <w:bodyDiv w:val="1"/>
      <w:marLeft w:val="0"/>
      <w:marRight w:val="0"/>
      <w:marTop w:val="0"/>
      <w:marBottom w:val="0"/>
      <w:divBdr>
        <w:top w:val="none" w:sz="0" w:space="0" w:color="auto"/>
        <w:left w:val="none" w:sz="0" w:space="0" w:color="auto"/>
        <w:bottom w:val="none" w:sz="0" w:space="0" w:color="auto"/>
        <w:right w:val="none" w:sz="0" w:space="0" w:color="auto"/>
      </w:divBdr>
    </w:div>
    <w:div w:id="1249194459">
      <w:bodyDiv w:val="1"/>
      <w:marLeft w:val="0"/>
      <w:marRight w:val="0"/>
      <w:marTop w:val="0"/>
      <w:marBottom w:val="0"/>
      <w:divBdr>
        <w:top w:val="none" w:sz="0" w:space="0" w:color="auto"/>
        <w:left w:val="none" w:sz="0" w:space="0" w:color="auto"/>
        <w:bottom w:val="none" w:sz="0" w:space="0" w:color="auto"/>
        <w:right w:val="none" w:sz="0" w:space="0" w:color="auto"/>
      </w:divBdr>
    </w:div>
    <w:div w:id="1253928055">
      <w:bodyDiv w:val="1"/>
      <w:marLeft w:val="0"/>
      <w:marRight w:val="0"/>
      <w:marTop w:val="0"/>
      <w:marBottom w:val="0"/>
      <w:divBdr>
        <w:top w:val="none" w:sz="0" w:space="0" w:color="auto"/>
        <w:left w:val="none" w:sz="0" w:space="0" w:color="auto"/>
        <w:bottom w:val="none" w:sz="0" w:space="0" w:color="auto"/>
        <w:right w:val="none" w:sz="0" w:space="0" w:color="auto"/>
      </w:divBdr>
    </w:div>
    <w:div w:id="1282491292">
      <w:bodyDiv w:val="1"/>
      <w:marLeft w:val="0"/>
      <w:marRight w:val="0"/>
      <w:marTop w:val="0"/>
      <w:marBottom w:val="0"/>
      <w:divBdr>
        <w:top w:val="none" w:sz="0" w:space="0" w:color="auto"/>
        <w:left w:val="none" w:sz="0" w:space="0" w:color="auto"/>
        <w:bottom w:val="none" w:sz="0" w:space="0" w:color="auto"/>
        <w:right w:val="none" w:sz="0" w:space="0" w:color="auto"/>
      </w:divBdr>
    </w:div>
    <w:div w:id="1292634655">
      <w:bodyDiv w:val="1"/>
      <w:marLeft w:val="0"/>
      <w:marRight w:val="0"/>
      <w:marTop w:val="0"/>
      <w:marBottom w:val="0"/>
      <w:divBdr>
        <w:top w:val="none" w:sz="0" w:space="0" w:color="auto"/>
        <w:left w:val="none" w:sz="0" w:space="0" w:color="auto"/>
        <w:bottom w:val="none" w:sz="0" w:space="0" w:color="auto"/>
        <w:right w:val="none" w:sz="0" w:space="0" w:color="auto"/>
      </w:divBdr>
    </w:div>
    <w:div w:id="1301421078">
      <w:bodyDiv w:val="1"/>
      <w:marLeft w:val="0"/>
      <w:marRight w:val="0"/>
      <w:marTop w:val="0"/>
      <w:marBottom w:val="0"/>
      <w:divBdr>
        <w:top w:val="none" w:sz="0" w:space="0" w:color="auto"/>
        <w:left w:val="none" w:sz="0" w:space="0" w:color="auto"/>
        <w:bottom w:val="none" w:sz="0" w:space="0" w:color="auto"/>
        <w:right w:val="none" w:sz="0" w:space="0" w:color="auto"/>
      </w:divBdr>
    </w:div>
    <w:div w:id="1302928550">
      <w:bodyDiv w:val="1"/>
      <w:marLeft w:val="0"/>
      <w:marRight w:val="0"/>
      <w:marTop w:val="0"/>
      <w:marBottom w:val="0"/>
      <w:divBdr>
        <w:top w:val="none" w:sz="0" w:space="0" w:color="auto"/>
        <w:left w:val="none" w:sz="0" w:space="0" w:color="auto"/>
        <w:bottom w:val="none" w:sz="0" w:space="0" w:color="auto"/>
        <w:right w:val="none" w:sz="0" w:space="0" w:color="auto"/>
      </w:divBdr>
    </w:div>
    <w:div w:id="1321806955">
      <w:bodyDiv w:val="1"/>
      <w:marLeft w:val="0"/>
      <w:marRight w:val="0"/>
      <w:marTop w:val="0"/>
      <w:marBottom w:val="0"/>
      <w:divBdr>
        <w:top w:val="none" w:sz="0" w:space="0" w:color="auto"/>
        <w:left w:val="none" w:sz="0" w:space="0" w:color="auto"/>
        <w:bottom w:val="none" w:sz="0" w:space="0" w:color="auto"/>
        <w:right w:val="none" w:sz="0" w:space="0" w:color="auto"/>
      </w:divBdr>
    </w:div>
    <w:div w:id="1384716848">
      <w:bodyDiv w:val="1"/>
      <w:marLeft w:val="0"/>
      <w:marRight w:val="0"/>
      <w:marTop w:val="0"/>
      <w:marBottom w:val="0"/>
      <w:divBdr>
        <w:top w:val="none" w:sz="0" w:space="0" w:color="auto"/>
        <w:left w:val="none" w:sz="0" w:space="0" w:color="auto"/>
        <w:bottom w:val="none" w:sz="0" w:space="0" w:color="auto"/>
        <w:right w:val="none" w:sz="0" w:space="0" w:color="auto"/>
      </w:divBdr>
    </w:div>
    <w:div w:id="1403410402">
      <w:bodyDiv w:val="1"/>
      <w:marLeft w:val="0"/>
      <w:marRight w:val="0"/>
      <w:marTop w:val="0"/>
      <w:marBottom w:val="0"/>
      <w:divBdr>
        <w:top w:val="none" w:sz="0" w:space="0" w:color="auto"/>
        <w:left w:val="none" w:sz="0" w:space="0" w:color="auto"/>
        <w:bottom w:val="none" w:sz="0" w:space="0" w:color="auto"/>
        <w:right w:val="none" w:sz="0" w:space="0" w:color="auto"/>
      </w:divBdr>
    </w:div>
    <w:div w:id="1416249006">
      <w:bodyDiv w:val="1"/>
      <w:marLeft w:val="0"/>
      <w:marRight w:val="0"/>
      <w:marTop w:val="0"/>
      <w:marBottom w:val="0"/>
      <w:divBdr>
        <w:top w:val="none" w:sz="0" w:space="0" w:color="auto"/>
        <w:left w:val="none" w:sz="0" w:space="0" w:color="auto"/>
        <w:bottom w:val="none" w:sz="0" w:space="0" w:color="auto"/>
        <w:right w:val="none" w:sz="0" w:space="0" w:color="auto"/>
      </w:divBdr>
    </w:div>
    <w:div w:id="1425498555">
      <w:bodyDiv w:val="1"/>
      <w:marLeft w:val="0"/>
      <w:marRight w:val="0"/>
      <w:marTop w:val="0"/>
      <w:marBottom w:val="0"/>
      <w:divBdr>
        <w:top w:val="none" w:sz="0" w:space="0" w:color="auto"/>
        <w:left w:val="none" w:sz="0" w:space="0" w:color="auto"/>
        <w:bottom w:val="none" w:sz="0" w:space="0" w:color="auto"/>
        <w:right w:val="none" w:sz="0" w:space="0" w:color="auto"/>
      </w:divBdr>
    </w:div>
    <w:div w:id="1459378181">
      <w:bodyDiv w:val="1"/>
      <w:marLeft w:val="0"/>
      <w:marRight w:val="0"/>
      <w:marTop w:val="0"/>
      <w:marBottom w:val="0"/>
      <w:divBdr>
        <w:top w:val="none" w:sz="0" w:space="0" w:color="auto"/>
        <w:left w:val="none" w:sz="0" w:space="0" w:color="auto"/>
        <w:bottom w:val="none" w:sz="0" w:space="0" w:color="auto"/>
        <w:right w:val="none" w:sz="0" w:space="0" w:color="auto"/>
      </w:divBdr>
    </w:div>
    <w:div w:id="1476989409">
      <w:bodyDiv w:val="1"/>
      <w:marLeft w:val="0"/>
      <w:marRight w:val="0"/>
      <w:marTop w:val="0"/>
      <w:marBottom w:val="0"/>
      <w:divBdr>
        <w:top w:val="none" w:sz="0" w:space="0" w:color="auto"/>
        <w:left w:val="none" w:sz="0" w:space="0" w:color="auto"/>
        <w:bottom w:val="none" w:sz="0" w:space="0" w:color="auto"/>
        <w:right w:val="none" w:sz="0" w:space="0" w:color="auto"/>
      </w:divBdr>
    </w:div>
    <w:div w:id="1566378242">
      <w:bodyDiv w:val="1"/>
      <w:marLeft w:val="0"/>
      <w:marRight w:val="0"/>
      <w:marTop w:val="0"/>
      <w:marBottom w:val="0"/>
      <w:divBdr>
        <w:top w:val="none" w:sz="0" w:space="0" w:color="auto"/>
        <w:left w:val="none" w:sz="0" w:space="0" w:color="auto"/>
        <w:bottom w:val="none" w:sz="0" w:space="0" w:color="auto"/>
        <w:right w:val="none" w:sz="0" w:space="0" w:color="auto"/>
      </w:divBdr>
    </w:div>
    <w:div w:id="1571498080">
      <w:bodyDiv w:val="1"/>
      <w:marLeft w:val="0"/>
      <w:marRight w:val="0"/>
      <w:marTop w:val="0"/>
      <w:marBottom w:val="0"/>
      <w:divBdr>
        <w:top w:val="none" w:sz="0" w:space="0" w:color="auto"/>
        <w:left w:val="none" w:sz="0" w:space="0" w:color="auto"/>
        <w:bottom w:val="none" w:sz="0" w:space="0" w:color="auto"/>
        <w:right w:val="none" w:sz="0" w:space="0" w:color="auto"/>
      </w:divBdr>
    </w:div>
    <w:div w:id="1653097632">
      <w:bodyDiv w:val="1"/>
      <w:marLeft w:val="0"/>
      <w:marRight w:val="0"/>
      <w:marTop w:val="0"/>
      <w:marBottom w:val="0"/>
      <w:divBdr>
        <w:top w:val="none" w:sz="0" w:space="0" w:color="auto"/>
        <w:left w:val="none" w:sz="0" w:space="0" w:color="auto"/>
        <w:bottom w:val="none" w:sz="0" w:space="0" w:color="auto"/>
        <w:right w:val="none" w:sz="0" w:space="0" w:color="auto"/>
      </w:divBdr>
    </w:div>
    <w:div w:id="1654260672">
      <w:bodyDiv w:val="1"/>
      <w:marLeft w:val="0"/>
      <w:marRight w:val="0"/>
      <w:marTop w:val="0"/>
      <w:marBottom w:val="0"/>
      <w:divBdr>
        <w:top w:val="none" w:sz="0" w:space="0" w:color="auto"/>
        <w:left w:val="none" w:sz="0" w:space="0" w:color="auto"/>
        <w:bottom w:val="none" w:sz="0" w:space="0" w:color="auto"/>
        <w:right w:val="none" w:sz="0" w:space="0" w:color="auto"/>
      </w:divBdr>
    </w:div>
    <w:div w:id="1673801804">
      <w:bodyDiv w:val="1"/>
      <w:marLeft w:val="0"/>
      <w:marRight w:val="0"/>
      <w:marTop w:val="0"/>
      <w:marBottom w:val="0"/>
      <w:divBdr>
        <w:top w:val="none" w:sz="0" w:space="0" w:color="auto"/>
        <w:left w:val="none" w:sz="0" w:space="0" w:color="auto"/>
        <w:bottom w:val="none" w:sz="0" w:space="0" w:color="auto"/>
        <w:right w:val="none" w:sz="0" w:space="0" w:color="auto"/>
      </w:divBdr>
    </w:div>
    <w:div w:id="1708095922">
      <w:bodyDiv w:val="1"/>
      <w:marLeft w:val="0"/>
      <w:marRight w:val="0"/>
      <w:marTop w:val="0"/>
      <w:marBottom w:val="0"/>
      <w:divBdr>
        <w:top w:val="none" w:sz="0" w:space="0" w:color="auto"/>
        <w:left w:val="none" w:sz="0" w:space="0" w:color="auto"/>
        <w:bottom w:val="none" w:sz="0" w:space="0" w:color="auto"/>
        <w:right w:val="none" w:sz="0" w:space="0" w:color="auto"/>
      </w:divBdr>
    </w:div>
    <w:div w:id="1712803588">
      <w:bodyDiv w:val="1"/>
      <w:marLeft w:val="0"/>
      <w:marRight w:val="0"/>
      <w:marTop w:val="0"/>
      <w:marBottom w:val="0"/>
      <w:divBdr>
        <w:top w:val="none" w:sz="0" w:space="0" w:color="auto"/>
        <w:left w:val="none" w:sz="0" w:space="0" w:color="auto"/>
        <w:bottom w:val="none" w:sz="0" w:space="0" w:color="auto"/>
        <w:right w:val="none" w:sz="0" w:space="0" w:color="auto"/>
      </w:divBdr>
    </w:div>
    <w:div w:id="1713265562">
      <w:bodyDiv w:val="1"/>
      <w:marLeft w:val="0"/>
      <w:marRight w:val="0"/>
      <w:marTop w:val="0"/>
      <w:marBottom w:val="0"/>
      <w:divBdr>
        <w:top w:val="none" w:sz="0" w:space="0" w:color="auto"/>
        <w:left w:val="none" w:sz="0" w:space="0" w:color="auto"/>
        <w:bottom w:val="none" w:sz="0" w:space="0" w:color="auto"/>
        <w:right w:val="none" w:sz="0" w:space="0" w:color="auto"/>
      </w:divBdr>
    </w:div>
    <w:div w:id="1746874891">
      <w:bodyDiv w:val="1"/>
      <w:marLeft w:val="0"/>
      <w:marRight w:val="0"/>
      <w:marTop w:val="0"/>
      <w:marBottom w:val="0"/>
      <w:divBdr>
        <w:top w:val="none" w:sz="0" w:space="0" w:color="auto"/>
        <w:left w:val="none" w:sz="0" w:space="0" w:color="auto"/>
        <w:bottom w:val="none" w:sz="0" w:space="0" w:color="auto"/>
        <w:right w:val="none" w:sz="0" w:space="0" w:color="auto"/>
      </w:divBdr>
    </w:div>
    <w:div w:id="1777670894">
      <w:bodyDiv w:val="1"/>
      <w:marLeft w:val="0"/>
      <w:marRight w:val="0"/>
      <w:marTop w:val="0"/>
      <w:marBottom w:val="0"/>
      <w:divBdr>
        <w:top w:val="none" w:sz="0" w:space="0" w:color="auto"/>
        <w:left w:val="none" w:sz="0" w:space="0" w:color="auto"/>
        <w:bottom w:val="none" w:sz="0" w:space="0" w:color="auto"/>
        <w:right w:val="none" w:sz="0" w:space="0" w:color="auto"/>
      </w:divBdr>
    </w:div>
    <w:div w:id="1810973581">
      <w:bodyDiv w:val="1"/>
      <w:marLeft w:val="0"/>
      <w:marRight w:val="0"/>
      <w:marTop w:val="0"/>
      <w:marBottom w:val="0"/>
      <w:divBdr>
        <w:top w:val="none" w:sz="0" w:space="0" w:color="auto"/>
        <w:left w:val="none" w:sz="0" w:space="0" w:color="auto"/>
        <w:bottom w:val="none" w:sz="0" w:space="0" w:color="auto"/>
        <w:right w:val="none" w:sz="0" w:space="0" w:color="auto"/>
      </w:divBdr>
    </w:div>
    <w:div w:id="1813449230">
      <w:bodyDiv w:val="1"/>
      <w:marLeft w:val="0"/>
      <w:marRight w:val="0"/>
      <w:marTop w:val="0"/>
      <w:marBottom w:val="0"/>
      <w:divBdr>
        <w:top w:val="none" w:sz="0" w:space="0" w:color="auto"/>
        <w:left w:val="none" w:sz="0" w:space="0" w:color="auto"/>
        <w:bottom w:val="none" w:sz="0" w:space="0" w:color="auto"/>
        <w:right w:val="none" w:sz="0" w:space="0" w:color="auto"/>
      </w:divBdr>
    </w:div>
    <w:div w:id="1835608701">
      <w:bodyDiv w:val="1"/>
      <w:marLeft w:val="0"/>
      <w:marRight w:val="0"/>
      <w:marTop w:val="0"/>
      <w:marBottom w:val="0"/>
      <w:divBdr>
        <w:top w:val="none" w:sz="0" w:space="0" w:color="auto"/>
        <w:left w:val="none" w:sz="0" w:space="0" w:color="auto"/>
        <w:bottom w:val="none" w:sz="0" w:space="0" w:color="auto"/>
        <w:right w:val="none" w:sz="0" w:space="0" w:color="auto"/>
      </w:divBdr>
    </w:div>
    <w:div w:id="1840538355">
      <w:bodyDiv w:val="1"/>
      <w:marLeft w:val="0"/>
      <w:marRight w:val="0"/>
      <w:marTop w:val="0"/>
      <w:marBottom w:val="0"/>
      <w:divBdr>
        <w:top w:val="none" w:sz="0" w:space="0" w:color="auto"/>
        <w:left w:val="none" w:sz="0" w:space="0" w:color="auto"/>
        <w:bottom w:val="none" w:sz="0" w:space="0" w:color="auto"/>
        <w:right w:val="none" w:sz="0" w:space="0" w:color="auto"/>
      </w:divBdr>
    </w:div>
    <w:div w:id="1859930354">
      <w:bodyDiv w:val="1"/>
      <w:marLeft w:val="0"/>
      <w:marRight w:val="0"/>
      <w:marTop w:val="0"/>
      <w:marBottom w:val="0"/>
      <w:divBdr>
        <w:top w:val="none" w:sz="0" w:space="0" w:color="auto"/>
        <w:left w:val="none" w:sz="0" w:space="0" w:color="auto"/>
        <w:bottom w:val="none" w:sz="0" w:space="0" w:color="auto"/>
        <w:right w:val="none" w:sz="0" w:space="0" w:color="auto"/>
      </w:divBdr>
    </w:div>
    <w:div w:id="1874885063">
      <w:bodyDiv w:val="1"/>
      <w:marLeft w:val="0"/>
      <w:marRight w:val="0"/>
      <w:marTop w:val="0"/>
      <w:marBottom w:val="0"/>
      <w:divBdr>
        <w:top w:val="none" w:sz="0" w:space="0" w:color="auto"/>
        <w:left w:val="none" w:sz="0" w:space="0" w:color="auto"/>
        <w:bottom w:val="none" w:sz="0" w:space="0" w:color="auto"/>
        <w:right w:val="none" w:sz="0" w:space="0" w:color="auto"/>
      </w:divBdr>
    </w:div>
    <w:div w:id="1881087845">
      <w:bodyDiv w:val="1"/>
      <w:marLeft w:val="0"/>
      <w:marRight w:val="0"/>
      <w:marTop w:val="0"/>
      <w:marBottom w:val="0"/>
      <w:divBdr>
        <w:top w:val="none" w:sz="0" w:space="0" w:color="auto"/>
        <w:left w:val="none" w:sz="0" w:space="0" w:color="auto"/>
        <w:bottom w:val="none" w:sz="0" w:space="0" w:color="auto"/>
        <w:right w:val="none" w:sz="0" w:space="0" w:color="auto"/>
      </w:divBdr>
    </w:div>
    <w:div w:id="1883667520">
      <w:bodyDiv w:val="1"/>
      <w:marLeft w:val="0"/>
      <w:marRight w:val="0"/>
      <w:marTop w:val="0"/>
      <w:marBottom w:val="0"/>
      <w:divBdr>
        <w:top w:val="none" w:sz="0" w:space="0" w:color="auto"/>
        <w:left w:val="none" w:sz="0" w:space="0" w:color="auto"/>
        <w:bottom w:val="none" w:sz="0" w:space="0" w:color="auto"/>
        <w:right w:val="none" w:sz="0" w:space="0" w:color="auto"/>
      </w:divBdr>
    </w:div>
    <w:div w:id="1888494714">
      <w:bodyDiv w:val="1"/>
      <w:marLeft w:val="0"/>
      <w:marRight w:val="0"/>
      <w:marTop w:val="0"/>
      <w:marBottom w:val="0"/>
      <w:divBdr>
        <w:top w:val="none" w:sz="0" w:space="0" w:color="auto"/>
        <w:left w:val="none" w:sz="0" w:space="0" w:color="auto"/>
        <w:bottom w:val="none" w:sz="0" w:space="0" w:color="auto"/>
        <w:right w:val="none" w:sz="0" w:space="0" w:color="auto"/>
      </w:divBdr>
    </w:div>
    <w:div w:id="1923879240">
      <w:bodyDiv w:val="1"/>
      <w:marLeft w:val="0"/>
      <w:marRight w:val="0"/>
      <w:marTop w:val="0"/>
      <w:marBottom w:val="0"/>
      <w:divBdr>
        <w:top w:val="none" w:sz="0" w:space="0" w:color="auto"/>
        <w:left w:val="none" w:sz="0" w:space="0" w:color="auto"/>
        <w:bottom w:val="none" w:sz="0" w:space="0" w:color="auto"/>
        <w:right w:val="none" w:sz="0" w:space="0" w:color="auto"/>
      </w:divBdr>
    </w:div>
    <w:div w:id="1938055205">
      <w:bodyDiv w:val="1"/>
      <w:marLeft w:val="0"/>
      <w:marRight w:val="0"/>
      <w:marTop w:val="0"/>
      <w:marBottom w:val="0"/>
      <w:divBdr>
        <w:top w:val="none" w:sz="0" w:space="0" w:color="auto"/>
        <w:left w:val="none" w:sz="0" w:space="0" w:color="auto"/>
        <w:bottom w:val="none" w:sz="0" w:space="0" w:color="auto"/>
        <w:right w:val="none" w:sz="0" w:space="0" w:color="auto"/>
      </w:divBdr>
    </w:div>
    <w:div w:id="1938639780">
      <w:bodyDiv w:val="1"/>
      <w:marLeft w:val="0"/>
      <w:marRight w:val="0"/>
      <w:marTop w:val="0"/>
      <w:marBottom w:val="0"/>
      <w:divBdr>
        <w:top w:val="none" w:sz="0" w:space="0" w:color="auto"/>
        <w:left w:val="none" w:sz="0" w:space="0" w:color="auto"/>
        <w:bottom w:val="none" w:sz="0" w:space="0" w:color="auto"/>
        <w:right w:val="none" w:sz="0" w:space="0" w:color="auto"/>
      </w:divBdr>
    </w:div>
    <w:div w:id="2029401262">
      <w:bodyDiv w:val="1"/>
      <w:marLeft w:val="0"/>
      <w:marRight w:val="0"/>
      <w:marTop w:val="0"/>
      <w:marBottom w:val="0"/>
      <w:divBdr>
        <w:top w:val="none" w:sz="0" w:space="0" w:color="auto"/>
        <w:left w:val="none" w:sz="0" w:space="0" w:color="auto"/>
        <w:bottom w:val="none" w:sz="0" w:space="0" w:color="auto"/>
        <w:right w:val="none" w:sz="0" w:space="0" w:color="auto"/>
      </w:divBdr>
    </w:div>
    <w:div w:id="2041466869">
      <w:bodyDiv w:val="1"/>
      <w:marLeft w:val="0"/>
      <w:marRight w:val="0"/>
      <w:marTop w:val="0"/>
      <w:marBottom w:val="0"/>
      <w:divBdr>
        <w:top w:val="none" w:sz="0" w:space="0" w:color="auto"/>
        <w:left w:val="none" w:sz="0" w:space="0" w:color="auto"/>
        <w:bottom w:val="none" w:sz="0" w:space="0" w:color="auto"/>
        <w:right w:val="none" w:sz="0" w:space="0" w:color="auto"/>
      </w:divBdr>
    </w:div>
    <w:div w:id="2052803215">
      <w:bodyDiv w:val="1"/>
      <w:marLeft w:val="0"/>
      <w:marRight w:val="0"/>
      <w:marTop w:val="0"/>
      <w:marBottom w:val="0"/>
      <w:divBdr>
        <w:top w:val="none" w:sz="0" w:space="0" w:color="auto"/>
        <w:left w:val="none" w:sz="0" w:space="0" w:color="auto"/>
        <w:bottom w:val="none" w:sz="0" w:space="0" w:color="auto"/>
        <w:right w:val="none" w:sz="0" w:space="0" w:color="auto"/>
      </w:divBdr>
    </w:div>
    <w:div w:id="209617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dalone\Documents\Custom%20Office%20Templates\Report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E2F97-784C-4568-988D-93C20D27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Report_Template_2024.dotx</Template>
  <TotalTime>297</TotalTime>
  <Pages>173</Pages>
  <Words>35792</Words>
  <Characters>190774</Characters>
  <Application>Microsoft Office Word</Application>
  <DocSecurity>0</DocSecurity>
  <Lines>10598</Lines>
  <Paragraphs>8714</Paragraphs>
  <ScaleCrop>false</ScaleCrop>
  <HeadingPairs>
    <vt:vector size="2" baseType="variant">
      <vt:variant>
        <vt:lpstr>Title</vt:lpstr>
      </vt:variant>
      <vt:variant>
        <vt:i4>1</vt:i4>
      </vt:variant>
    </vt:vector>
  </HeadingPairs>
  <TitlesOfParts>
    <vt:vector size="1" baseType="lpstr">
      <vt:lpstr>Victoria’s Prison Population 2004 to 2024</vt:lpstr>
    </vt:vector>
  </TitlesOfParts>
  <Company>Sentencing Advisory Council</Company>
  <LinksUpToDate>false</LinksUpToDate>
  <CharactersWithSpaces>217852</CharactersWithSpaces>
  <SharedDoc>false</SharedDoc>
  <HLinks>
    <vt:vector size="48" baseType="variant">
      <vt:variant>
        <vt:i4>1572912</vt:i4>
      </vt:variant>
      <vt:variant>
        <vt:i4>44</vt:i4>
      </vt:variant>
      <vt:variant>
        <vt:i4>0</vt:i4>
      </vt:variant>
      <vt:variant>
        <vt:i4>5</vt:i4>
      </vt:variant>
      <vt:variant>
        <vt:lpwstr/>
      </vt:variant>
      <vt:variant>
        <vt:lpwstr>_Toc415058465</vt:lpwstr>
      </vt:variant>
      <vt:variant>
        <vt:i4>1572912</vt:i4>
      </vt:variant>
      <vt:variant>
        <vt:i4>38</vt:i4>
      </vt:variant>
      <vt:variant>
        <vt:i4>0</vt:i4>
      </vt:variant>
      <vt:variant>
        <vt:i4>5</vt:i4>
      </vt:variant>
      <vt:variant>
        <vt:lpwstr/>
      </vt:variant>
      <vt:variant>
        <vt:lpwstr>_Toc415058464</vt:lpwstr>
      </vt:variant>
      <vt:variant>
        <vt:i4>1572912</vt:i4>
      </vt:variant>
      <vt:variant>
        <vt:i4>32</vt:i4>
      </vt:variant>
      <vt:variant>
        <vt:i4>0</vt:i4>
      </vt:variant>
      <vt:variant>
        <vt:i4>5</vt:i4>
      </vt:variant>
      <vt:variant>
        <vt:lpwstr/>
      </vt:variant>
      <vt:variant>
        <vt:lpwstr>_Toc415058463</vt:lpwstr>
      </vt:variant>
      <vt:variant>
        <vt:i4>1572912</vt:i4>
      </vt:variant>
      <vt:variant>
        <vt:i4>26</vt:i4>
      </vt:variant>
      <vt:variant>
        <vt:i4>0</vt:i4>
      </vt:variant>
      <vt:variant>
        <vt:i4>5</vt:i4>
      </vt:variant>
      <vt:variant>
        <vt:lpwstr/>
      </vt:variant>
      <vt:variant>
        <vt:lpwstr>_Toc415058462</vt:lpwstr>
      </vt:variant>
      <vt:variant>
        <vt:i4>1572912</vt:i4>
      </vt:variant>
      <vt:variant>
        <vt:i4>20</vt:i4>
      </vt:variant>
      <vt:variant>
        <vt:i4>0</vt:i4>
      </vt:variant>
      <vt:variant>
        <vt:i4>5</vt:i4>
      </vt:variant>
      <vt:variant>
        <vt:lpwstr/>
      </vt:variant>
      <vt:variant>
        <vt:lpwstr>_Toc415058461</vt:lpwstr>
      </vt:variant>
      <vt:variant>
        <vt:i4>1572912</vt:i4>
      </vt:variant>
      <vt:variant>
        <vt:i4>14</vt:i4>
      </vt:variant>
      <vt:variant>
        <vt:i4>0</vt:i4>
      </vt:variant>
      <vt:variant>
        <vt:i4>5</vt:i4>
      </vt:variant>
      <vt:variant>
        <vt:lpwstr/>
      </vt:variant>
      <vt:variant>
        <vt:lpwstr>_Toc415058460</vt:lpwstr>
      </vt:variant>
      <vt:variant>
        <vt:i4>1769520</vt:i4>
      </vt:variant>
      <vt:variant>
        <vt:i4>8</vt:i4>
      </vt:variant>
      <vt:variant>
        <vt:i4>0</vt:i4>
      </vt:variant>
      <vt:variant>
        <vt:i4>5</vt:i4>
      </vt:variant>
      <vt:variant>
        <vt:lpwstr/>
      </vt:variant>
      <vt:variant>
        <vt:lpwstr>_Toc415058459</vt:lpwstr>
      </vt:variant>
      <vt:variant>
        <vt:i4>1769520</vt:i4>
      </vt:variant>
      <vt:variant>
        <vt:i4>2</vt:i4>
      </vt:variant>
      <vt:variant>
        <vt:i4>0</vt:i4>
      </vt:variant>
      <vt:variant>
        <vt:i4>5</vt:i4>
      </vt:variant>
      <vt:variant>
        <vt:lpwstr/>
      </vt:variant>
      <vt:variant>
        <vt:lpwstr>_Toc415058458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Victoria’s Prison Population 2004 to 2024</dc:title>
  <dc:subject/>
  <dc:creator>Sentencing Advisory Council</dc:creator>
  <cp:keywords/>
  <dc:description/>
  <cp:lastModifiedBy>SAC</cp:lastModifiedBy>
  <cp:revision>499</cp:revision>
  <dcterms:created xsi:type="dcterms:W3CDTF">2025-10-06T01:37:00Z</dcterms:created>
  <dcterms:modified xsi:type="dcterms:W3CDTF">2025-10-06T08:54:00Z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-344614904</vt:i4>
  </property>
</Properties>
</file>