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8DD6" w14:textId="3C694E05" w:rsidR="00504E70" w:rsidRPr="00D90C15" w:rsidRDefault="00504E70" w:rsidP="006B7598">
      <w:pPr>
        <w:pStyle w:val="Title"/>
      </w:pPr>
      <w:r w:rsidRPr="00D90C15">
        <w:t>Annual Report 2024–2025</w:t>
      </w:r>
    </w:p>
    <w:p w14:paraId="1137E549" w14:textId="1A175D15" w:rsidR="00504E70" w:rsidRDefault="00504E70" w:rsidP="00504E70">
      <w:pPr>
        <w:rPr>
          <w:b/>
          <w:bCs/>
        </w:rPr>
      </w:pPr>
      <w:r w:rsidRPr="002E3DEE">
        <w:rPr>
          <w:b/>
          <w:bCs/>
        </w:rPr>
        <w:t>Sentencing Advisory Council</w:t>
      </w:r>
    </w:p>
    <w:p w14:paraId="6C998F30" w14:textId="1958BCF2" w:rsidR="005A008B" w:rsidRDefault="006B7598" w:rsidP="00CB26D4">
      <w:pPr>
        <w:pStyle w:val="Heading1"/>
        <w:pageBreakBefore w:val="0"/>
      </w:pPr>
      <w:bookmarkStart w:id="0" w:name="_Toc221113766"/>
      <w:r w:rsidRPr="00D90C15">
        <w:t>Contents</w:t>
      </w:r>
      <w:bookmarkEnd w:id="0"/>
    </w:p>
    <w:p w14:paraId="29BAC110" w14:textId="7BF593B1"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r w:rsidRPr="008864E7">
        <w:rPr>
          <w:bCs w:val="0"/>
        </w:rPr>
        <w:fldChar w:fldCharType="begin"/>
      </w:r>
      <w:r w:rsidRPr="008864E7">
        <w:rPr>
          <w:bCs w:val="0"/>
        </w:rPr>
        <w:instrText xml:space="preserve"> TOC \o "2-3" \p " " \h \z \t "Heading 1,1" </w:instrText>
      </w:r>
      <w:r w:rsidRPr="008864E7">
        <w:rPr>
          <w:bCs w:val="0"/>
        </w:rPr>
        <w:fldChar w:fldCharType="separate"/>
      </w:r>
      <w:hyperlink w:anchor="_Toc221113767" w:history="1">
        <w:r w:rsidRPr="008864E7">
          <w:rPr>
            <w:rStyle w:val="Hyperlink"/>
            <w:bCs w:val="0"/>
            <w:caps w:val="0"/>
            <w:noProof/>
          </w:rPr>
          <w:t>Highlights In 2024–25</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_Toc221113767 \h </w:instrText>
        </w:r>
        <w:r w:rsidRPr="008864E7">
          <w:rPr>
            <w:bCs w:val="0"/>
            <w:noProof/>
            <w:webHidden/>
          </w:rPr>
        </w:r>
        <w:r w:rsidRPr="008864E7">
          <w:rPr>
            <w:bCs w:val="0"/>
            <w:noProof/>
            <w:webHidden/>
          </w:rPr>
          <w:fldChar w:fldCharType="separate"/>
        </w:r>
        <w:r w:rsidR="00E72956" w:rsidRPr="008864E7">
          <w:rPr>
            <w:bCs w:val="0"/>
            <w:noProof/>
            <w:webHidden/>
          </w:rPr>
          <w:t>2</w:t>
        </w:r>
        <w:r w:rsidRPr="008864E7">
          <w:rPr>
            <w:bCs w:val="0"/>
            <w:noProof/>
            <w:webHidden/>
          </w:rPr>
          <w:fldChar w:fldCharType="end"/>
        </w:r>
      </w:hyperlink>
    </w:p>
    <w:p w14:paraId="7C8D4831" w14:textId="21A962CA"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68" w:history="1">
        <w:r w:rsidRPr="008864E7">
          <w:rPr>
            <w:rStyle w:val="Hyperlink"/>
            <w:bCs w:val="0"/>
            <w:caps w:val="0"/>
            <w:noProof/>
          </w:rPr>
          <w:t>Ceo’s Report</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_Toc221113768 \h </w:instrText>
        </w:r>
        <w:r w:rsidRPr="008864E7">
          <w:rPr>
            <w:bCs w:val="0"/>
            <w:noProof/>
            <w:webHidden/>
          </w:rPr>
        </w:r>
        <w:r w:rsidRPr="008864E7">
          <w:rPr>
            <w:bCs w:val="0"/>
            <w:noProof/>
            <w:webHidden/>
          </w:rPr>
          <w:fldChar w:fldCharType="separate"/>
        </w:r>
        <w:r w:rsidR="00E72956" w:rsidRPr="008864E7">
          <w:rPr>
            <w:bCs w:val="0"/>
            <w:noProof/>
            <w:webHidden/>
          </w:rPr>
          <w:t>4</w:t>
        </w:r>
        <w:r w:rsidRPr="008864E7">
          <w:rPr>
            <w:bCs w:val="0"/>
            <w:noProof/>
            <w:webHidden/>
          </w:rPr>
          <w:fldChar w:fldCharType="end"/>
        </w:r>
      </w:hyperlink>
    </w:p>
    <w:p w14:paraId="531787A5" w14:textId="762DD9DB"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69" w:history="1">
        <w:r w:rsidRPr="008864E7">
          <w:rPr>
            <w:rStyle w:val="Hyperlink"/>
            <w:bCs w:val="0"/>
            <w:caps w:val="0"/>
            <w:noProof/>
          </w:rPr>
          <w:t>Our Purpose</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_Toc221113769 \h </w:instrText>
        </w:r>
        <w:r w:rsidRPr="008864E7">
          <w:rPr>
            <w:bCs w:val="0"/>
            <w:noProof/>
            <w:webHidden/>
          </w:rPr>
        </w:r>
        <w:r w:rsidRPr="008864E7">
          <w:rPr>
            <w:bCs w:val="0"/>
            <w:noProof/>
            <w:webHidden/>
          </w:rPr>
          <w:fldChar w:fldCharType="separate"/>
        </w:r>
        <w:r w:rsidR="00E72956" w:rsidRPr="008864E7">
          <w:rPr>
            <w:bCs w:val="0"/>
            <w:noProof/>
            <w:webHidden/>
          </w:rPr>
          <w:t>8</w:t>
        </w:r>
        <w:r w:rsidRPr="008864E7">
          <w:rPr>
            <w:bCs w:val="0"/>
            <w:noProof/>
            <w:webHidden/>
          </w:rPr>
          <w:fldChar w:fldCharType="end"/>
        </w:r>
      </w:hyperlink>
    </w:p>
    <w:p w14:paraId="48BBAAEB" w14:textId="4FD03231"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70" w:history="1">
        <w:r w:rsidRPr="008864E7">
          <w:rPr>
            <w:rStyle w:val="Hyperlink"/>
            <w:bCs w:val="0"/>
            <w:caps w:val="0"/>
            <w:noProof/>
          </w:rPr>
          <w:t>Our Values</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_Toc221113770 \h </w:instrText>
        </w:r>
        <w:r w:rsidRPr="008864E7">
          <w:rPr>
            <w:bCs w:val="0"/>
            <w:noProof/>
            <w:webHidden/>
          </w:rPr>
        </w:r>
        <w:r w:rsidRPr="008864E7">
          <w:rPr>
            <w:bCs w:val="0"/>
            <w:noProof/>
            <w:webHidden/>
          </w:rPr>
          <w:fldChar w:fldCharType="separate"/>
        </w:r>
        <w:r w:rsidR="00E72956" w:rsidRPr="008864E7">
          <w:rPr>
            <w:bCs w:val="0"/>
            <w:noProof/>
            <w:webHidden/>
          </w:rPr>
          <w:t>8</w:t>
        </w:r>
        <w:r w:rsidRPr="008864E7">
          <w:rPr>
            <w:bCs w:val="0"/>
            <w:noProof/>
            <w:webHidden/>
          </w:rPr>
          <w:fldChar w:fldCharType="end"/>
        </w:r>
      </w:hyperlink>
    </w:p>
    <w:p w14:paraId="6298DB60" w14:textId="20A93727"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71" w:history="1">
        <w:r w:rsidRPr="008864E7">
          <w:rPr>
            <w:rStyle w:val="Hyperlink"/>
            <w:bCs w:val="0"/>
            <w:caps w:val="0"/>
            <w:noProof/>
          </w:rPr>
          <w:t>Our Functions</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_Toc221113771 \h </w:instrText>
        </w:r>
        <w:r w:rsidRPr="008864E7">
          <w:rPr>
            <w:bCs w:val="0"/>
            <w:noProof/>
            <w:webHidden/>
          </w:rPr>
        </w:r>
        <w:r w:rsidRPr="008864E7">
          <w:rPr>
            <w:bCs w:val="0"/>
            <w:noProof/>
            <w:webHidden/>
          </w:rPr>
          <w:fldChar w:fldCharType="separate"/>
        </w:r>
        <w:r w:rsidR="00E72956" w:rsidRPr="008864E7">
          <w:rPr>
            <w:bCs w:val="0"/>
            <w:noProof/>
            <w:webHidden/>
          </w:rPr>
          <w:t>8</w:t>
        </w:r>
        <w:r w:rsidRPr="008864E7">
          <w:rPr>
            <w:bCs w:val="0"/>
            <w:noProof/>
            <w:webHidden/>
          </w:rPr>
          <w:fldChar w:fldCharType="end"/>
        </w:r>
      </w:hyperlink>
    </w:p>
    <w:p w14:paraId="1D24E232" w14:textId="51AFAEED"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72" w:history="1">
        <w:r w:rsidRPr="008864E7">
          <w:rPr>
            <w:rStyle w:val="Hyperlink"/>
            <w:bCs w:val="0"/>
            <w:caps w:val="0"/>
            <w:noProof/>
          </w:rPr>
          <w:t>Our Board Of Directors</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_Toc221113772 \h </w:instrText>
        </w:r>
        <w:r w:rsidRPr="008864E7">
          <w:rPr>
            <w:bCs w:val="0"/>
            <w:noProof/>
            <w:webHidden/>
          </w:rPr>
        </w:r>
        <w:r w:rsidRPr="008864E7">
          <w:rPr>
            <w:bCs w:val="0"/>
            <w:noProof/>
            <w:webHidden/>
          </w:rPr>
          <w:fldChar w:fldCharType="separate"/>
        </w:r>
        <w:r w:rsidR="00E72956" w:rsidRPr="008864E7">
          <w:rPr>
            <w:bCs w:val="0"/>
            <w:noProof/>
            <w:webHidden/>
          </w:rPr>
          <w:t>9</w:t>
        </w:r>
        <w:r w:rsidRPr="008864E7">
          <w:rPr>
            <w:bCs w:val="0"/>
            <w:noProof/>
            <w:webHidden/>
          </w:rPr>
          <w:fldChar w:fldCharType="end"/>
        </w:r>
      </w:hyperlink>
    </w:p>
    <w:p w14:paraId="2C13F920" w14:textId="540887F6"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85" w:history="1">
        <w:r w:rsidRPr="008864E7">
          <w:rPr>
            <w:rStyle w:val="Hyperlink"/>
            <w:bCs w:val="0"/>
            <w:caps w:val="0"/>
            <w:noProof/>
          </w:rPr>
          <w:t>The Secretariat</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_Toc221113785 \h </w:instrText>
        </w:r>
        <w:r w:rsidRPr="008864E7">
          <w:rPr>
            <w:bCs w:val="0"/>
            <w:noProof/>
            <w:webHidden/>
          </w:rPr>
        </w:r>
        <w:r w:rsidRPr="008864E7">
          <w:rPr>
            <w:bCs w:val="0"/>
            <w:noProof/>
            <w:webHidden/>
          </w:rPr>
          <w:fldChar w:fldCharType="separate"/>
        </w:r>
        <w:r w:rsidR="00E72956" w:rsidRPr="008864E7">
          <w:rPr>
            <w:bCs w:val="0"/>
            <w:noProof/>
            <w:webHidden/>
          </w:rPr>
          <w:t>14</w:t>
        </w:r>
        <w:r w:rsidRPr="008864E7">
          <w:rPr>
            <w:bCs w:val="0"/>
            <w:noProof/>
            <w:webHidden/>
          </w:rPr>
          <w:fldChar w:fldCharType="end"/>
        </w:r>
      </w:hyperlink>
    </w:p>
    <w:p w14:paraId="1548FCA5" w14:textId="5D1E37C0"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86" w:history="1">
        <w:r w:rsidRPr="008864E7">
          <w:rPr>
            <w:rStyle w:val="Hyperlink"/>
            <w:bCs w:val="0"/>
            <w:caps w:val="0"/>
            <w:noProof/>
          </w:rPr>
          <w:t>Our Statistical Products</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_Toc221113786 \h </w:instrText>
        </w:r>
        <w:r w:rsidRPr="008864E7">
          <w:rPr>
            <w:bCs w:val="0"/>
            <w:noProof/>
            <w:webHidden/>
          </w:rPr>
        </w:r>
        <w:r w:rsidRPr="008864E7">
          <w:rPr>
            <w:bCs w:val="0"/>
            <w:noProof/>
            <w:webHidden/>
          </w:rPr>
          <w:fldChar w:fldCharType="separate"/>
        </w:r>
        <w:r w:rsidR="00E72956" w:rsidRPr="008864E7">
          <w:rPr>
            <w:bCs w:val="0"/>
            <w:noProof/>
            <w:webHidden/>
          </w:rPr>
          <w:t>15</w:t>
        </w:r>
        <w:r w:rsidRPr="008864E7">
          <w:rPr>
            <w:bCs w:val="0"/>
            <w:noProof/>
            <w:webHidden/>
          </w:rPr>
          <w:fldChar w:fldCharType="end"/>
        </w:r>
      </w:hyperlink>
    </w:p>
    <w:p w14:paraId="665ED468" w14:textId="1F29F6C0"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91" w:history="1">
        <w:r w:rsidRPr="008864E7">
          <w:rPr>
            <w:rStyle w:val="Hyperlink"/>
            <w:bCs w:val="0"/>
            <w:caps w:val="0"/>
            <w:noProof/>
          </w:rPr>
          <w:t>Our Legal Research And Policy Work</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_Toc221113791 \h </w:instrText>
        </w:r>
        <w:r w:rsidRPr="008864E7">
          <w:rPr>
            <w:bCs w:val="0"/>
            <w:noProof/>
            <w:webHidden/>
          </w:rPr>
        </w:r>
        <w:r w:rsidRPr="008864E7">
          <w:rPr>
            <w:bCs w:val="0"/>
            <w:noProof/>
            <w:webHidden/>
          </w:rPr>
          <w:fldChar w:fldCharType="separate"/>
        </w:r>
        <w:r w:rsidR="00E72956" w:rsidRPr="008864E7">
          <w:rPr>
            <w:bCs w:val="0"/>
            <w:noProof/>
            <w:webHidden/>
          </w:rPr>
          <w:t>20</w:t>
        </w:r>
        <w:r w:rsidRPr="008864E7">
          <w:rPr>
            <w:bCs w:val="0"/>
            <w:noProof/>
            <w:webHidden/>
          </w:rPr>
          <w:fldChar w:fldCharType="end"/>
        </w:r>
      </w:hyperlink>
    </w:p>
    <w:p w14:paraId="503E1CEB" w14:textId="1D732055"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799" w:history="1">
        <w:r w:rsidRPr="008864E7">
          <w:rPr>
            <w:rStyle w:val="Hyperlink"/>
            <w:bCs w:val="0"/>
            <w:caps w:val="0"/>
            <w:noProof/>
          </w:rPr>
          <w:t>Our Education And Engagement Work</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_Toc221113799 \h </w:instrText>
        </w:r>
        <w:r w:rsidRPr="008864E7">
          <w:rPr>
            <w:bCs w:val="0"/>
            <w:noProof/>
            <w:webHidden/>
          </w:rPr>
        </w:r>
        <w:r w:rsidRPr="008864E7">
          <w:rPr>
            <w:bCs w:val="0"/>
            <w:noProof/>
            <w:webHidden/>
          </w:rPr>
          <w:fldChar w:fldCharType="separate"/>
        </w:r>
        <w:r w:rsidR="00E72956" w:rsidRPr="008864E7">
          <w:rPr>
            <w:bCs w:val="0"/>
            <w:noProof/>
            <w:webHidden/>
          </w:rPr>
          <w:t>25</w:t>
        </w:r>
        <w:r w:rsidRPr="008864E7">
          <w:rPr>
            <w:bCs w:val="0"/>
            <w:noProof/>
            <w:webHidden/>
          </w:rPr>
          <w:fldChar w:fldCharType="end"/>
        </w:r>
      </w:hyperlink>
    </w:p>
    <w:p w14:paraId="4E7159FA" w14:textId="38C57BAE"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813" w:history="1">
        <w:r w:rsidRPr="008864E7">
          <w:rPr>
            <w:rStyle w:val="Hyperlink"/>
            <w:bCs w:val="0"/>
            <w:caps w:val="0"/>
            <w:noProof/>
          </w:rPr>
          <w:t>Measuring Our Influence</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_Toc221113813 \h </w:instrText>
        </w:r>
        <w:r w:rsidRPr="008864E7">
          <w:rPr>
            <w:bCs w:val="0"/>
            <w:noProof/>
            <w:webHidden/>
          </w:rPr>
        </w:r>
        <w:r w:rsidRPr="008864E7">
          <w:rPr>
            <w:bCs w:val="0"/>
            <w:noProof/>
            <w:webHidden/>
          </w:rPr>
          <w:fldChar w:fldCharType="separate"/>
        </w:r>
        <w:r w:rsidR="00E72956" w:rsidRPr="008864E7">
          <w:rPr>
            <w:bCs w:val="0"/>
            <w:noProof/>
            <w:webHidden/>
          </w:rPr>
          <w:t>29</w:t>
        </w:r>
        <w:r w:rsidRPr="008864E7">
          <w:rPr>
            <w:bCs w:val="0"/>
            <w:noProof/>
            <w:webHidden/>
          </w:rPr>
          <w:fldChar w:fldCharType="end"/>
        </w:r>
      </w:hyperlink>
    </w:p>
    <w:p w14:paraId="61B18539" w14:textId="602F9392"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817" w:history="1">
        <w:r w:rsidR="00047CBD" w:rsidRPr="008864E7">
          <w:rPr>
            <w:rStyle w:val="Hyperlink"/>
            <w:bCs w:val="0"/>
            <w:caps w:val="0"/>
            <w:noProof/>
          </w:rPr>
          <w:t>Governance</w:t>
        </w:r>
        <w:r w:rsidR="00047CBD"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_Toc221113817 \h </w:instrText>
        </w:r>
        <w:r w:rsidRPr="008864E7">
          <w:rPr>
            <w:bCs w:val="0"/>
            <w:noProof/>
            <w:webHidden/>
          </w:rPr>
        </w:r>
        <w:r w:rsidRPr="008864E7">
          <w:rPr>
            <w:bCs w:val="0"/>
            <w:noProof/>
            <w:webHidden/>
          </w:rPr>
          <w:fldChar w:fldCharType="separate"/>
        </w:r>
        <w:r w:rsidR="00E72956" w:rsidRPr="008864E7">
          <w:rPr>
            <w:bCs w:val="0"/>
            <w:noProof/>
            <w:webHidden/>
          </w:rPr>
          <w:t>39</w:t>
        </w:r>
        <w:r w:rsidRPr="008864E7">
          <w:rPr>
            <w:bCs w:val="0"/>
            <w:noProof/>
            <w:webHidden/>
          </w:rPr>
          <w:fldChar w:fldCharType="end"/>
        </w:r>
      </w:hyperlink>
    </w:p>
    <w:p w14:paraId="29330232" w14:textId="717A38B3" w:rsidR="006F47E7" w:rsidRPr="008864E7" w:rsidRDefault="006F47E7" w:rsidP="00A319BF">
      <w:pPr>
        <w:pStyle w:val="TOC1"/>
        <w:tabs>
          <w:tab w:val="right" w:pos="9016"/>
        </w:tabs>
        <w:rPr>
          <w:rFonts w:eastAsiaTheme="minorEastAsia" w:cstheme="minorBidi"/>
          <w:bCs w:val="0"/>
          <w:caps w:val="0"/>
          <w:noProof/>
          <w:kern w:val="2"/>
          <w14:ligatures w14:val="standardContextual"/>
        </w:rPr>
      </w:pPr>
      <w:hyperlink w:anchor="_Toc221113842" w:history="1">
        <w:r w:rsidRPr="008864E7">
          <w:rPr>
            <w:rStyle w:val="Hyperlink"/>
            <w:bCs w:val="0"/>
            <w:caps w:val="0"/>
            <w:noProof/>
          </w:rPr>
          <w:t>Financial Report For The Year Ended 30 June 2025</w:t>
        </w:r>
        <w:r w:rsidRPr="008864E7">
          <w:rPr>
            <w:bCs w:val="0"/>
            <w:caps w:val="0"/>
            <w:noProof/>
            <w:webHidden/>
          </w:rPr>
          <w:t xml:space="preserve"> </w:t>
        </w:r>
        <w:r w:rsidRPr="008864E7">
          <w:rPr>
            <w:bCs w:val="0"/>
            <w:noProof/>
            <w:webHidden/>
          </w:rPr>
          <w:fldChar w:fldCharType="begin"/>
        </w:r>
        <w:r w:rsidRPr="008864E7">
          <w:rPr>
            <w:bCs w:val="0"/>
            <w:noProof/>
            <w:webHidden/>
          </w:rPr>
          <w:instrText xml:space="preserve"> PAGEREF _Toc221113842 \h </w:instrText>
        </w:r>
        <w:r w:rsidRPr="008864E7">
          <w:rPr>
            <w:bCs w:val="0"/>
            <w:noProof/>
            <w:webHidden/>
          </w:rPr>
        </w:r>
        <w:r w:rsidRPr="008864E7">
          <w:rPr>
            <w:bCs w:val="0"/>
            <w:noProof/>
            <w:webHidden/>
          </w:rPr>
          <w:fldChar w:fldCharType="separate"/>
        </w:r>
        <w:r w:rsidR="00E72956" w:rsidRPr="008864E7">
          <w:rPr>
            <w:bCs w:val="0"/>
            <w:noProof/>
            <w:webHidden/>
          </w:rPr>
          <w:t>49</w:t>
        </w:r>
        <w:r w:rsidRPr="008864E7">
          <w:rPr>
            <w:bCs w:val="0"/>
            <w:noProof/>
            <w:webHidden/>
          </w:rPr>
          <w:fldChar w:fldCharType="end"/>
        </w:r>
      </w:hyperlink>
    </w:p>
    <w:p w14:paraId="7DDE5B75" w14:textId="440EEA25" w:rsidR="00CB26D4" w:rsidRPr="00CB26D4" w:rsidRDefault="006F47E7" w:rsidP="00A319BF">
      <w:pPr>
        <w:spacing w:before="0" w:after="0"/>
      </w:pPr>
      <w:r w:rsidRPr="008864E7">
        <w:fldChar w:fldCharType="end"/>
      </w:r>
    </w:p>
    <w:p w14:paraId="7F012534" w14:textId="49710C7F" w:rsidR="005A008B" w:rsidRPr="00D90C15" w:rsidRDefault="006B7598" w:rsidP="00277903">
      <w:pPr>
        <w:pStyle w:val="Heading1"/>
      </w:pPr>
      <w:bookmarkStart w:id="1" w:name="_Toc221113767"/>
      <w:r w:rsidRPr="00D90C15">
        <w:lastRenderedPageBreak/>
        <w:t>Highlights In 2024–25</w:t>
      </w:r>
      <w:bookmarkEnd w:id="1"/>
    </w:p>
    <w:p w14:paraId="69FD4382" w14:textId="77777777" w:rsidR="005A008B" w:rsidRPr="0024372C" w:rsidRDefault="005A008B" w:rsidP="0024372C">
      <w:pPr>
        <w:rPr>
          <w:rStyle w:val="Bold"/>
        </w:rPr>
      </w:pPr>
      <w:r w:rsidRPr="0024372C">
        <w:rPr>
          <w:rStyle w:val="Bold"/>
        </w:rPr>
        <w:t>We published our final report on sentencing occupational health and safety offences in response to terms of reference from the Victorian Government, with 12 recommendations for reform</w:t>
      </w:r>
    </w:p>
    <w:p w14:paraId="3413C9BD" w14:textId="77777777" w:rsidR="005A008B" w:rsidRPr="0024372C" w:rsidRDefault="005A008B" w:rsidP="0024372C">
      <w:pPr>
        <w:rPr>
          <w:rStyle w:val="Bold"/>
        </w:rPr>
      </w:pPr>
      <w:r w:rsidRPr="0024372C">
        <w:rPr>
          <w:rStyle w:val="Bold"/>
        </w:rPr>
        <w:t>We published six reports on a range of sentencing topics</w:t>
      </w:r>
    </w:p>
    <w:p w14:paraId="762F26A2" w14:textId="77777777" w:rsidR="005A008B" w:rsidRPr="004A331A" w:rsidRDefault="005A008B" w:rsidP="004A331A">
      <w:pPr>
        <w:rPr>
          <w:i/>
          <w:iCs/>
        </w:rPr>
      </w:pPr>
      <w:r w:rsidRPr="004A331A">
        <w:rPr>
          <w:i/>
          <w:iCs/>
        </w:rPr>
        <w:t>Assessing the Impact of Inflation and Penalty Unit Indexation on Fine Amounts in Victoria</w:t>
      </w:r>
    </w:p>
    <w:p w14:paraId="09E9FFED" w14:textId="77777777" w:rsidR="005A008B" w:rsidRPr="004A331A" w:rsidRDefault="005A008B" w:rsidP="004A331A">
      <w:pPr>
        <w:rPr>
          <w:i/>
          <w:iCs/>
        </w:rPr>
      </w:pPr>
      <w:r w:rsidRPr="004A331A">
        <w:rPr>
          <w:i/>
          <w:iCs/>
        </w:rPr>
        <w:t>Sentencing Occupational Health and Safety Offences in Victoria: Report and Recommendations</w:t>
      </w:r>
    </w:p>
    <w:p w14:paraId="710BF04D" w14:textId="77777777" w:rsidR="005A008B" w:rsidRPr="004A331A" w:rsidRDefault="005A008B" w:rsidP="004A331A">
      <w:pPr>
        <w:rPr>
          <w:i/>
          <w:iCs/>
        </w:rPr>
      </w:pPr>
      <w:r w:rsidRPr="004A331A">
        <w:rPr>
          <w:i/>
          <w:iCs/>
        </w:rPr>
        <w:t>Serious Offending by People Serving a Community Correction Order: 2021–22</w:t>
      </w:r>
    </w:p>
    <w:p w14:paraId="720EA591" w14:textId="77777777" w:rsidR="005A008B" w:rsidRPr="004A331A" w:rsidRDefault="005A008B" w:rsidP="004A331A">
      <w:pPr>
        <w:rPr>
          <w:i/>
          <w:iCs/>
        </w:rPr>
      </w:pPr>
      <w:r w:rsidRPr="004A331A">
        <w:rPr>
          <w:i/>
          <w:iCs/>
        </w:rPr>
        <w:t>Serious Offending by People Serving a Community Correction Order: 2022–23</w:t>
      </w:r>
    </w:p>
    <w:p w14:paraId="36F2A596" w14:textId="77777777" w:rsidR="005A008B" w:rsidRPr="004A331A" w:rsidRDefault="005A008B" w:rsidP="004A331A">
      <w:pPr>
        <w:rPr>
          <w:i/>
          <w:iCs/>
        </w:rPr>
      </w:pPr>
      <w:r w:rsidRPr="004A331A">
        <w:rPr>
          <w:i/>
          <w:iCs/>
        </w:rPr>
        <w:t>Sentencing in Victoria 2013–14 to 2022–23</w:t>
      </w:r>
    </w:p>
    <w:p w14:paraId="15C7335A" w14:textId="77777777" w:rsidR="005A008B" w:rsidRPr="004A331A" w:rsidRDefault="005A008B" w:rsidP="004A331A">
      <w:pPr>
        <w:rPr>
          <w:i/>
          <w:iCs/>
        </w:rPr>
      </w:pPr>
      <w:r w:rsidRPr="004A331A">
        <w:rPr>
          <w:i/>
          <w:iCs/>
        </w:rPr>
        <w:t>Sentencing Younger Children’s Offending in Victoria</w:t>
      </w:r>
    </w:p>
    <w:p w14:paraId="1609BE98" w14:textId="77777777" w:rsidR="005A008B" w:rsidRPr="0024372C" w:rsidRDefault="005A008B" w:rsidP="0024372C">
      <w:pPr>
        <w:rPr>
          <w:rStyle w:val="Bold"/>
        </w:rPr>
      </w:pPr>
      <w:r w:rsidRPr="0024372C">
        <w:rPr>
          <w:rStyle w:val="Bold"/>
        </w:rPr>
        <w:t>We introduced dedicated federal sentencing data into SACStat, our online database of sentencing outcomes for Victorian adult courts</w:t>
      </w:r>
    </w:p>
    <w:p w14:paraId="0EE177DB" w14:textId="77777777" w:rsidR="005A008B" w:rsidRPr="00D90C15" w:rsidRDefault="005A008B" w:rsidP="00234617">
      <w:r w:rsidRPr="00D90C15">
        <w:t>For decades, the Australian Law Reform Commission has been recommending a publicly available database of sentencing statistics for federal offences. In May 2025, we published dedicated data about how federal offences are sentenced in Victoria, by the specific sentencing orders available in federal sentencing law, in both the higher courts and the Magistrates’ Court</w:t>
      </w:r>
    </w:p>
    <w:p w14:paraId="7ABFCD98" w14:textId="77777777" w:rsidR="005A008B" w:rsidRPr="0024372C" w:rsidRDefault="005A008B" w:rsidP="0024372C">
      <w:pPr>
        <w:rPr>
          <w:rStyle w:val="Bold"/>
        </w:rPr>
      </w:pPr>
      <w:r w:rsidRPr="0024372C">
        <w:rPr>
          <w:rStyle w:val="Bold"/>
        </w:rPr>
        <w:t>We updated our various statistical products to ensure courts and others have access to up-to-date information about current sentencing practices</w:t>
      </w:r>
    </w:p>
    <w:p w14:paraId="2B3F3389" w14:textId="77777777" w:rsidR="005A008B" w:rsidRPr="00D90C15" w:rsidRDefault="005A008B" w:rsidP="00926C26">
      <w:pPr>
        <w:pStyle w:val="Bullets"/>
      </w:pPr>
      <w:r w:rsidRPr="00D90C15">
        <w:t>Nine new Sentencing Snapshots</w:t>
      </w:r>
    </w:p>
    <w:p w14:paraId="32A8D73A" w14:textId="77777777" w:rsidR="005A008B" w:rsidRPr="00D90C15" w:rsidRDefault="005A008B" w:rsidP="00926C26">
      <w:pPr>
        <w:pStyle w:val="Bullets"/>
      </w:pPr>
      <w:r w:rsidRPr="00D90C15">
        <w:t>SACStat higher courts data to 30 June 2023</w:t>
      </w:r>
    </w:p>
    <w:p w14:paraId="1255985A" w14:textId="77777777" w:rsidR="005A008B" w:rsidRPr="00D90C15" w:rsidRDefault="005A008B" w:rsidP="00926C26">
      <w:pPr>
        <w:pStyle w:val="Bullets"/>
      </w:pPr>
      <w:r w:rsidRPr="00D90C15">
        <w:t>The ‘general trends’ data on our website</w:t>
      </w:r>
    </w:p>
    <w:p w14:paraId="78C264B9" w14:textId="77777777" w:rsidR="005A008B" w:rsidRPr="00D90C15" w:rsidRDefault="005A008B" w:rsidP="00926C26">
      <w:pPr>
        <w:pStyle w:val="Bullets"/>
      </w:pPr>
      <w:r w:rsidRPr="00D90C15">
        <w:t>A new user interface for SACStat</w:t>
      </w:r>
    </w:p>
    <w:p w14:paraId="549EF79B" w14:textId="77777777" w:rsidR="005A008B" w:rsidRPr="0024372C" w:rsidRDefault="005A008B" w:rsidP="0024372C">
      <w:pPr>
        <w:rPr>
          <w:rStyle w:val="Bold"/>
        </w:rPr>
      </w:pPr>
      <w:r w:rsidRPr="0024372C">
        <w:rPr>
          <w:rStyle w:val="Bold"/>
        </w:rPr>
        <w:t>Our resources were widely used and cited</w:t>
      </w:r>
    </w:p>
    <w:p w14:paraId="718DCC73" w14:textId="77777777" w:rsidR="005A008B" w:rsidRPr="00D90C15" w:rsidRDefault="005A008B" w:rsidP="00926C26">
      <w:pPr>
        <w:pStyle w:val="Bullets"/>
      </w:pPr>
      <w:r w:rsidRPr="00D90C15">
        <w:lastRenderedPageBreak/>
        <w:t>Citations in 89 published higher courts sentencing remarks and Court of Appeal decisions</w:t>
      </w:r>
    </w:p>
    <w:p w14:paraId="67E93B21" w14:textId="77777777" w:rsidR="005A008B" w:rsidRPr="00D90C15" w:rsidRDefault="005A008B" w:rsidP="00926C26">
      <w:pPr>
        <w:pStyle w:val="Bullets"/>
      </w:pPr>
      <w:r w:rsidRPr="00D90C15">
        <w:t xml:space="preserve">Citations in 53 academic and other publications </w:t>
      </w:r>
    </w:p>
    <w:p w14:paraId="798E5BCB" w14:textId="77777777" w:rsidR="005A008B" w:rsidRPr="00D90C15" w:rsidRDefault="005A008B" w:rsidP="00926C26">
      <w:pPr>
        <w:pStyle w:val="Bullets"/>
      </w:pPr>
      <w:r w:rsidRPr="00D90C15">
        <w:t>Over 80,000 visits to SACStat</w:t>
      </w:r>
    </w:p>
    <w:p w14:paraId="65646FC8" w14:textId="77777777" w:rsidR="005A008B" w:rsidRPr="00D90C15" w:rsidRDefault="005A008B" w:rsidP="00926C26">
      <w:pPr>
        <w:pStyle w:val="Bullets"/>
      </w:pPr>
      <w:r w:rsidRPr="00D90C15">
        <w:t>Over 1,000 downloads of our Sentencing OHS Offences final report</w:t>
      </w:r>
    </w:p>
    <w:p w14:paraId="5921415E" w14:textId="77777777" w:rsidR="005A008B" w:rsidRPr="00D90C15" w:rsidRDefault="005A008B" w:rsidP="00926C26">
      <w:pPr>
        <w:pStyle w:val="Bullets"/>
      </w:pPr>
      <w:r w:rsidRPr="00D90C15">
        <w:t>17,000 pageviews of Sentencing Snapshots</w:t>
      </w:r>
    </w:p>
    <w:p w14:paraId="6BD59AB2" w14:textId="77777777" w:rsidR="005A008B" w:rsidRPr="0024372C" w:rsidRDefault="005A008B" w:rsidP="0024372C">
      <w:pPr>
        <w:rPr>
          <w:rStyle w:val="Bold"/>
        </w:rPr>
      </w:pPr>
      <w:r w:rsidRPr="0024372C">
        <w:rPr>
          <w:rStyle w:val="Bold"/>
        </w:rPr>
        <w:t>We delivered 11 You Be the Judge sessions, which give users the opportunity to experience sentencing a real-life case themselves</w:t>
      </w:r>
    </w:p>
    <w:p w14:paraId="7C9C9FE9" w14:textId="760C5F90" w:rsidR="005A008B" w:rsidRPr="00AA1CB0" w:rsidRDefault="006B7598" w:rsidP="00AA1CB0">
      <w:pPr>
        <w:pStyle w:val="Heading1"/>
      </w:pPr>
      <w:bookmarkStart w:id="2" w:name="_Toc221113768"/>
      <w:r w:rsidRPr="00AA1CB0">
        <w:lastRenderedPageBreak/>
        <w:t>Ceo’s Report</w:t>
      </w:r>
      <w:bookmarkEnd w:id="2"/>
    </w:p>
    <w:p w14:paraId="1FAFBA96" w14:textId="77777777" w:rsidR="005A008B" w:rsidRPr="00D90C15" w:rsidRDefault="005A008B" w:rsidP="00234617">
      <w:r w:rsidRPr="00D90C15">
        <w:t>The Council’s work falls into three broad streams: statistics, legal policy and research, and education and engagement. Across all three streams of work, the Council had another busy and fruitful year.</w:t>
      </w:r>
    </w:p>
    <w:p w14:paraId="3395D998" w14:textId="77777777" w:rsidR="005A008B" w:rsidRPr="00D90C15" w:rsidRDefault="005A008B" w:rsidP="00234617">
      <w:r w:rsidRPr="00D90C15">
        <w:t xml:space="preserve">In February 2025, the Council published its final report on the sentencing of occupational health and safety (OHS) offences in Victoria, in response to terms of reference from the Victorian Government. After two years of research, statistical analysis, community consultation and stakeholder engagement, the final report contained 12 recommendations for reform, each of which had near-unanimous support from those we spoke to. The first set of recommendations aimed to improve the sentencing process for people affected by workplace safety offences. The second set aimed to change sentencing practices so that they are more capable of achieving the purposes of sentencing and better align with community expectations; this included recommending the introduction of a world-first legislated sentencing guideline. The third set of recommendations offered ways to better ensure that fines imposed for OHS offences are actually paid, especially in cases where the company has been deregistered after the offending. As the Council says in the report, this package of recommendations has the potential to improve safety practices in all Victorian workplaces, because ‘accountability is prevention’. </w:t>
      </w:r>
    </w:p>
    <w:p w14:paraId="16C9728A" w14:textId="77777777" w:rsidR="005A008B" w:rsidRPr="00D90C15" w:rsidRDefault="005A008B" w:rsidP="00234617">
      <w:r w:rsidRPr="00D90C15">
        <w:t xml:space="preserve">There were also several other important Council publications this financial year. Section 104AA of the </w:t>
      </w:r>
      <w:r w:rsidRPr="004A331A">
        <w:rPr>
          <w:i/>
          <w:iCs/>
        </w:rPr>
        <w:t xml:space="preserve">Corrections Act </w:t>
      </w:r>
      <w:r w:rsidRPr="00D90C15">
        <w:t xml:space="preserve">requires the Council to publish a report each year on the number of people sentenced for committing a serious offence while on a community correction order. The Council published two of these reports this financial year. Consistent with previous reports, only a small fraction of people serving community correction orders commit serious offences on those orders. </w:t>
      </w:r>
    </w:p>
    <w:p w14:paraId="493BD533" w14:textId="77777777" w:rsidR="005A008B" w:rsidRDefault="005A008B" w:rsidP="00234617">
      <w:r w:rsidRPr="00D90C15">
        <w:t xml:space="preserve">In October 2024, the Council published the first examination of the effect of penalty unit indexation on fine amounts in an Australian jurisdiction. In 2004, Victoria had become the first Australian jurisdiction to ‘index’ penalty unit values, that is, a single monetary value that can be increased annually so that maximum fines for all criminal offences can increase to keep pace with inflation. The aim of this report was to examine whether fine amounts in Victoria had </w:t>
      </w:r>
      <w:proofErr w:type="gramStart"/>
      <w:r w:rsidRPr="00D90C15">
        <w:lastRenderedPageBreak/>
        <w:t>actually changed</w:t>
      </w:r>
      <w:proofErr w:type="gramEnd"/>
      <w:r w:rsidRPr="00D90C15">
        <w:t xml:space="preserve"> in the 20 years since indexation began. The results were mixed, but overall, fine amounts did not seem to have increased in line with inflation. These results raise questions about whether fines continue to have the same deterrent power in an inflationary economy if their real value decreases over time.</w:t>
      </w:r>
    </w:p>
    <w:p w14:paraId="202F62DA" w14:textId="77777777" w:rsidR="00607191" w:rsidRDefault="00607191" w:rsidP="009B51BB">
      <w:pPr>
        <w:pStyle w:val="IntenseQuote"/>
      </w:pPr>
      <w:r>
        <w:t>[Our] package of recommendations has the potential to improve safety practices in all Victorian workplaces, because ‘accountability is prevention'</w:t>
      </w:r>
    </w:p>
    <w:p w14:paraId="176EE0CB" w14:textId="77777777" w:rsidR="005A008B" w:rsidRPr="00D90C15" w:rsidRDefault="005A008B" w:rsidP="00234617">
      <w:r w:rsidRPr="00D90C15">
        <w:t xml:space="preserve">In December 2024, the Council published the second in its new serious of yearly reports titled </w:t>
      </w:r>
      <w:r w:rsidRPr="004A331A">
        <w:rPr>
          <w:i/>
          <w:iCs/>
        </w:rPr>
        <w:t>Sentencing in Victoria</w:t>
      </w:r>
      <w:r w:rsidRPr="00D90C15">
        <w:t>. These reports provide sentencing trends in all criminal courts in Victoria, including how many cases were sentenced each year, the offence types in those cases, the types of sentences imposed, the lengths of prison terms, and the values of fines imposed. Case numbers in 2022–23 across all Victorian criminal courts had returned to pre-COVID levels, which is a testament to the hard work of the courts in the years that followed the peak of the pandemic.</w:t>
      </w:r>
    </w:p>
    <w:p w14:paraId="13B2885E" w14:textId="77777777" w:rsidR="005A008B" w:rsidRPr="00D90C15" w:rsidRDefault="005A008B" w:rsidP="00234617">
      <w:r w:rsidRPr="00D90C15">
        <w:t xml:space="preserve">The Council also published a Victorian-first examination of how younger children who offend while aged 10 to 13 years are sentenced. The report follows the passage of the </w:t>
      </w:r>
      <w:r w:rsidRPr="004A331A">
        <w:rPr>
          <w:i/>
          <w:iCs/>
        </w:rPr>
        <w:t>Youth Justice Act 2024</w:t>
      </w:r>
      <w:r w:rsidRPr="00D90C15">
        <w:t xml:space="preserve">, a transformative piece of legislation that changes how courts and others in the justice system respond to offending by children. Among other things, the </w:t>
      </w:r>
      <w:r w:rsidRPr="004A331A">
        <w:rPr>
          <w:i/>
          <w:iCs/>
        </w:rPr>
        <w:t xml:space="preserve">Youth Justice Act </w:t>
      </w:r>
      <w:r w:rsidRPr="00D90C15">
        <w:t>raises the age of criminal responsibility to 12 years old and introduces a new sentencing regime for children, with 12- and 13-year-olds being the new youngest children who will now be sentenced or diverted. The Council’s report details just how few criminal cases in Victoria involve any offences committed while the person was aged 10 to 13 (0.32% of all cases) and illustrates the very distinct offending and sentencing profiles of children based on both their age and their gender.</w:t>
      </w:r>
    </w:p>
    <w:p w14:paraId="43262F9A" w14:textId="77777777" w:rsidR="005A008B" w:rsidRPr="00D90C15" w:rsidRDefault="005A008B" w:rsidP="00234617">
      <w:r w:rsidRPr="00D90C15">
        <w:t xml:space="preserve">Our team of statistical analysts continued </w:t>
      </w:r>
      <w:r w:rsidRPr="00774C1D">
        <w:t xml:space="preserve">their typically exemplary work of updating and </w:t>
      </w:r>
      <w:r w:rsidRPr="00D90C15">
        <w:t xml:space="preserve">innovating the Council’s statistical products. </w:t>
      </w:r>
      <w:r w:rsidRPr="009A485A">
        <w:t xml:space="preserve">Nine new Sentencing Snapshots were published </w:t>
      </w:r>
      <w:r w:rsidRPr="00D90C15">
        <w:t xml:space="preserve">in October 2024, with sentencing data for </w:t>
      </w:r>
      <w:r w:rsidRPr="009A485A">
        <w:t xml:space="preserve">serious drug offences, serious violent offences, </w:t>
      </w:r>
      <w:r w:rsidRPr="00D90C15">
        <w:t xml:space="preserve">armed robbery and aggravated burglary. </w:t>
      </w:r>
      <w:r w:rsidRPr="00D90C15">
        <w:lastRenderedPageBreak/>
        <w:t>Higher courts data on SACStat was updated to 30 June 2023, covering almost 200 offences and how they were sentenced. These regular updates ensure courts have the most up-to-date information about current sentencing practices, which in turn helps them to achieve consistency in sentencing and promote the fundamental principle of equal justice.</w:t>
      </w:r>
    </w:p>
    <w:p w14:paraId="2AFCFC4A" w14:textId="77777777" w:rsidR="005A008B" w:rsidRPr="00D90C15" w:rsidRDefault="005A008B" w:rsidP="00234617">
      <w:r w:rsidRPr="00D90C15">
        <w:t xml:space="preserve">In addition to these regular updates to the Council’s statistical products, the team also overhauled the user interface for SACStat after usability testing with key stakeholders to make sure people can find the data they need when they need it, and the team introduced what is now the most comprehensive federal sentencing data available in the country. The introduction of federal sentencing data in SACStat followed the decommissioning of the Commonwealth Sentencing Database in 2024, with SACStat providing statistical information about how Commonwealth offences are sentenced in Victoria, including breakdowns by the specific sentencing orders in federal legislation. </w:t>
      </w:r>
    </w:p>
    <w:p w14:paraId="46677873" w14:textId="77777777" w:rsidR="005A008B" w:rsidRPr="00D90C15" w:rsidRDefault="005A008B" w:rsidP="00234617">
      <w:r w:rsidRPr="00D90C15">
        <w:t>The final stream of the Council’s work is education. We continued to deliver You Be the Judge</w:t>
      </w:r>
      <w:r w:rsidRPr="004A331A">
        <w:rPr>
          <w:i/>
          <w:iCs/>
        </w:rPr>
        <w:t xml:space="preserve"> </w:t>
      </w:r>
      <w:r w:rsidRPr="00D90C15">
        <w:t xml:space="preserve">sessions to give members of the community an opportunity to experience the sentencing process for themselves. We delivered numerous presentations about our published reports, such as an overview of our statistical report on diversion for staff in specialist courts, a presentation on our work for La Trobe University law and criminology students, and a presentation to WorkSafe staff on the recommendations in our OHS report. </w:t>
      </w:r>
    </w:p>
    <w:p w14:paraId="0A84BE41" w14:textId="77777777" w:rsidR="005A008B" w:rsidRPr="00D90C15" w:rsidRDefault="005A008B" w:rsidP="00234617">
      <w:r w:rsidRPr="00D90C15">
        <w:t xml:space="preserve">There is, however, always more we can do to educate people about sentencing, which we know has a flow-on effect of improving confidence in the justice system. Which is why we were thrilled in late 2024 to welcome our new senior education and engagement officer, Kathryn Stary. She has taken on the significant responsibility of managing the rebuild of our popular online product, </w:t>
      </w:r>
      <w:r w:rsidRPr="004A331A">
        <w:rPr>
          <w:i/>
          <w:iCs/>
        </w:rPr>
        <w:t>Virtual You Be the Judge</w:t>
      </w:r>
      <w:r w:rsidRPr="00D90C15">
        <w:t xml:space="preserve">, and reimagining how we educate and engage with stakeholders and the community. Kathryn has quickly become a welcome and indispensable member of the team. </w:t>
      </w:r>
    </w:p>
    <w:p w14:paraId="21837B5D" w14:textId="77777777" w:rsidR="005A008B" w:rsidRPr="00D90C15" w:rsidRDefault="005A008B" w:rsidP="00234617">
      <w:r w:rsidRPr="00D90C15">
        <w:t xml:space="preserve">Indeed, </w:t>
      </w:r>
      <w:proofErr w:type="gramStart"/>
      <w:r w:rsidRPr="00D90C15">
        <w:t>all of</w:t>
      </w:r>
      <w:proofErr w:type="gramEnd"/>
      <w:r w:rsidRPr="00D90C15">
        <w:t xml:space="preserve"> the Council’s work is only possible because of the remarkable people who make it happen. We have a small team of just 11 staff, mostly legal policy experts and statistical experts, but also an extremely capable operations manager, a multi-talented senior publications and website officer, and a highly </w:t>
      </w:r>
      <w:r w:rsidRPr="00D90C15">
        <w:lastRenderedPageBreak/>
        <w:t>experienced senior education and engagement officer. I never cease to be amazed at the volume of work this team can produce in a single year, the calibre of what they produce, and their commitment to maintaining the highest standards of integrity in their work.</w:t>
      </w:r>
    </w:p>
    <w:p w14:paraId="4C2057A8" w14:textId="77777777" w:rsidR="005A008B" w:rsidRPr="00D90C15" w:rsidRDefault="005A008B" w:rsidP="00234617">
      <w:r w:rsidRPr="00D90C15">
        <w:t>The work of the Council, too, is steered by our Board of Directors, a diverse group of people with immeasurable experience across the criminal justice system and elsewhere. They bring their wealth of expertise to their roles as Directors, both in and out of the boardroom, and I thank each of them for their commitment, support and guidance this past year.</w:t>
      </w:r>
    </w:p>
    <w:p w14:paraId="0FCF9CB4" w14:textId="77777777" w:rsidR="005A008B" w:rsidRPr="00D90C15" w:rsidRDefault="005A008B" w:rsidP="00234617">
      <w:r w:rsidRPr="00D90C15">
        <w:t xml:space="preserve">In recent years, too, the Council has only been able to continue with </w:t>
      </w:r>
      <w:proofErr w:type="gramStart"/>
      <w:r w:rsidRPr="00D90C15">
        <w:t>all of</w:t>
      </w:r>
      <w:proofErr w:type="gramEnd"/>
      <w:r w:rsidRPr="00D90C15">
        <w:t xml:space="preserve"> its work because of generous annual funding by the Victorian Legal Services Board + Commissioner (VLSB). Their assistance these past few years is the reason the Council has been able to retain </w:t>
      </w:r>
      <w:proofErr w:type="gramStart"/>
      <w:r w:rsidRPr="00D90C15">
        <w:t>all of</w:t>
      </w:r>
      <w:proofErr w:type="gramEnd"/>
      <w:r w:rsidRPr="00D90C15">
        <w:t xml:space="preserve"> its staff, continue to update its statistical products, continue to deliver educational sessions on sentencing to the community and stakeholders, and continue to produce sentencing research and law reform reports. On behalf of the Council, a sincere thank you to the VLSB and its staff for seeing the value of the Council’s work and ensuring the Council has the necessary resources to continue with all of it.</w:t>
      </w:r>
    </w:p>
    <w:p w14:paraId="2ABB629C" w14:textId="77777777" w:rsidR="005A008B" w:rsidRPr="00D90C15" w:rsidRDefault="005A008B" w:rsidP="00234617">
      <w:r w:rsidRPr="00D90C15">
        <w:t xml:space="preserve">Finally, thank you to the many people and organisations who so regularly, and unwaveringly, make the time to share their insights and expertise with the Council. Everything the Council does is enhanced by the participation of stakeholders – courts, lawyers, not-for-profit organisations, government bodies and many others – whether it be participating in roundtables to test our findings, participating in usability testing for updates to our products, or welcoming us into your workplaces to speak about our work. Thank you to everyone across Victoria’s criminal justice system for sharing our goal of making the system as fair and effective as possible. </w:t>
      </w:r>
    </w:p>
    <w:p w14:paraId="71C2BD81" w14:textId="6A50BB43" w:rsidR="005A008B" w:rsidRPr="00AA1CB0" w:rsidRDefault="006B7598" w:rsidP="00AA1CB0">
      <w:pPr>
        <w:pStyle w:val="Heading1"/>
      </w:pPr>
      <w:bookmarkStart w:id="3" w:name="_Toc221113769"/>
      <w:r w:rsidRPr="00AA1CB0">
        <w:lastRenderedPageBreak/>
        <w:t>Our Purpose</w:t>
      </w:r>
      <w:bookmarkEnd w:id="3"/>
    </w:p>
    <w:p w14:paraId="56ECFEF7" w14:textId="77777777" w:rsidR="005A008B" w:rsidRPr="00D90C15" w:rsidRDefault="005A008B" w:rsidP="00926C26">
      <w:r w:rsidRPr="00D90C15">
        <w:t xml:space="preserve">The Sentencing Advisory Council is an independent statutory body established under Part 9A of the </w:t>
      </w:r>
      <w:r w:rsidRPr="004A331A">
        <w:rPr>
          <w:i/>
          <w:iCs/>
        </w:rPr>
        <w:t xml:space="preserve">Sentencing Act 1991 </w:t>
      </w:r>
      <w:r w:rsidRPr="00D90C15">
        <w:t xml:space="preserve">(Vic). Our purpose is to promote confidence and fairness in sentencing through evidence-based advice, research, data and education. </w:t>
      </w:r>
    </w:p>
    <w:p w14:paraId="5CFE225F" w14:textId="22ABFA27" w:rsidR="005A008B" w:rsidRPr="00D90C15" w:rsidRDefault="006B7598" w:rsidP="002018BC">
      <w:pPr>
        <w:pStyle w:val="Heading1"/>
        <w:pageBreakBefore w:val="0"/>
      </w:pPr>
      <w:bookmarkStart w:id="4" w:name="_Toc221113770"/>
      <w:r w:rsidRPr="00D90C15">
        <w:t>Our Values</w:t>
      </w:r>
      <w:bookmarkEnd w:id="4"/>
    </w:p>
    <w:p w14:paraId="1C796BC8" w14:textId="77777777" w:rsidR="005A008B" w:rsidRPr="00D90C15" w:rsidRDefault="005A008B" w:rsidP="00234617">
      <w:r w:rsidRPr="006512A5">
        <w:rPr>
          <w:rStyle w:val="Bold"/>
        </w:rPr>
        <w:t>Transparency</w:t>
      </w:r>
      <w:r w:rsidRPr="00D90C15">
        <w:t>: Our work is clear, accessible and publicly available</w:t>
      </w:r>
    </w:p>
    <w:p w14:paraId="7928A641" w14:textId="77777777" w:rsidR="005A008B" w:rsidRPr="00D90C15" w:rsidRDefault="005A008B" w:rsidP="00234617">
      <w:r w:rsidRPr="006512A5">
        <w:rPr>
          <w:rStyle w:val="Bold"/>
        </w:rPr>
        <w:t>Reliability</w:t>
      </w:r>
      <w:r w:rsidRPr="00D90C15">
        <w:t>: We use our expertise to deliver impartial, evidence-based and accurate outputs</w:t>
      </w:r>
    </w:p>
    <w:p w14:paraId="277EFA36" w14:textId="77777777" w:rsidR="005A008B" w:rsidRPr="00D90C15" w:rsidRDefault="005A008B" w:rsidP="00234617">
      <w:r w:rsidRPr="006512A5">
        <w:rPr>
          <w:rStyle w:val="Bold"/>
        </w:rPr>
        <w:t>Engagement</w:t>
      </w:r>
      <w:r w:rsidRPr="00D90C15">
        <w:t>: We actively seek, value and incorporate input from the community and stakeholders</w:t>
      </w:r>
    </w:p>
    <w:p w14:paraId="4D51A0FD" w14:textId="77777777" w:rsidR="005A008B" w:rsidRPr="00D90C15" w:rsidRDefault="005A008B" w:rsidP="00234617">
      <w:r w:rsidRPr="006512A5">
        <w:rPr>
          <w:rStyle w:val="Bold"/>
        </w:rPr>
        <w:t>Wellbeing</w:t>
      </w:r>
      <w:r w:rsidRPr="00D90C15">
        <w:t>: We foster a supportive workplace that values staff wellbeing and development</w:t>
      </w:r>
    </w:p>
    <w:p w14:paraId="4F99ECAA" w14:textId="7F72B3DE" w:rsidR="005A008B" w:rsidRPr="00D90C15" w:rsidRDefault="006B7598" w:rsidP="002018BC">
      <w:pPr>
        <w:pStyle w:val="Heading1"/>
        <w:pageBreakBefore w:val="0"/>
      </w:pPr>
      <w:bookmarkStart w:id="5" w:name="_Toc221113771"/>
      <w:r w:rsidRPr="00D90C15">
        <w:t>Our Functions</w:t>
      </w:r>
      <w:bookmarkEnd w:id="5"/>
    </w:p>
    <w:p w14:paraId="5F191F08" w14:textId="77777777" w:rsidR="005A008B" w:rsidRPr="00D90C15" w:rsidRDefault="005A008B" w:rsidP="006512A5">
      <w:r w:rsidRPr="00D90C15">
        <w:t xml:space="preserve">Our functions are specified in section 108C of the </w:t>
      </w:r>
      <w:r w:rsidRPr="004A331A">
        <w:rPr>
          <w:i/>
          <w:iCs/>
        </w:rPr>
        <w:t xml:space="preserve">Sentencing Act </w:t>
      </w:r>
      <w:r w:rsidRPr="00D90C15">
        <w:t>to include:</w:t>
      </w:r>
    </w:p>
    <w:p w14:paraId="61C8579C" w14:textId="77777777" w:rsidR="005A008B" w:rsidRPr="00D90C15" w:rsidRDefault="005A008B" w:rsidP="00926C26">
      <w:pPr>
        <w:pStyle w:val="Bullets"/>
      </w:pPr>
      <w:r w:rsidRPr="00D90C15">
        <w:t>assisting the Court of Appeal in delivering guideline judgments</w:t>
      </w:r>
    </w:p>
    <w:p w14:paraId="5DD5F67A" w14:textId="77777777" w:rsidR="005A008B" w:rsidRPr="00D90C15" w:rsidRDefault="005A008B" w:rsidP="00926C26">
      <w:pPr>
        <w:pStyle w:val="Bullets"/>
      </w:pPr>
      <w:r w:rsidRPr="00D90C15">
        <w:t>producing sentencing statistics for the judiciary and the broader community</w:t>
      </w:r>
    </w:p>
    <w:p w14:paraId="745D9B5B" w14:textId="77777777" w:rsidR="005A008B" w:rsidRPr="00D90C15" w:rsidRDefault="005A008B" w:rsidP="00926C26">
      <w:pPr>
        <w:pStyle w:val="Bullets"/>
      </w:pPr>
      <w:r w:rsidRPr="00D90C15">
        <w:t>conducting research on sentencing</w:t>
      </w:r>
    </w:p>
    <w:p w14:paraId="461DE79F" w14:textId="77777777" w:rsidR="005A008B" w:rsidRPr="00D90C15" w:rsidRDefault="005A008B" w:rsidP="00926C26">
      <w:pPr>
        <w:pStyle w:val="Bullets"/>
      </w:pPr>
      <w:r w:rsidRPr="00D90C15">
        <w:t>gauging public opinion on sentencing matters</w:t>
      </w:r>
    </w:p>
    <w:p w14:paraId="044B9874" w14:textId="77777777" w:rsidR="005A008B" w:rsidRPr="00D90C15" w:rsidRDefault="005A008B" w:rsidP="00926C26">
      <w:pPr>
        <w:pStyle w:val="Bullets"/>
      </w:pPr>
      <w:r w:rsidRPr="00D90C15">
        <w:t>consulting on sentencing matters with government departments, other interested organisations and the broader community</w:t>
      </w:r>
    </w:p>
    <w:p w14:paraId="63245DE0" w14:textId="77777777" w:rsidR="005A008B" w:rsidRPr="00D90C15" w:rsidRDefault="005A008B" w:rsidP="00926C26">
      <w:pPr>
        <w:pStyle w:val="Bullets"/>
      </w:pPr>
      <w:r w:rsidRPr="00D90C15">
        <w:t>sharing our research and statistics with the judiciary and the broader community and</w:t>
      </w:r>
    </w:p>
    <w:p w14:paraId="05323C03" w14:textId="77777777" w:rsidR="005A008B" w:rsidRPr="00D90C15" w:rsidRDefault="005A008B" w:rsidP="00926C26">
      <w:pPr>
        <w:pStyle w:val="Bullets"/>
      </w:pPr>
      <w:r w:rsidRPr="00D90C15">
        <w:t>advising the Attorney-General on sentencing matters.</w:t>
      </w:r>
    </w:p>
    <w:p w14:paraId="7334E633" w14:textId="77777777" w:rsidR="005A008B" w:rsidRPr="00D90C15" w:rsidRDefault="005A008B" w:rsidP="00234617">
      <w:r w:rsidRPr="00D90C15">
        <w:t xml:space="preserve">Section 104AA of the </w:t>
      </w:r>
      <w:r w:rsidRPr="004A331A">
        <w:rPr>
          <w:i/>
          <w:iCs/>
        </w:rPr>
        <w:t>Corrections Act 1986</w:t>
      </w:r>
      <w:r w:rsidRPr="00D90C15">
        <w:t xml:space="preserve"> (Vic) also requires the Council to report annually on the number of people convicted of a ‘serious offence’ committed while subject to a community correction order.</w:t>
      </w:r>
    </w:p>
    <w:p w14:paraId="4F702BB0" w14:textId="71F086A2" w:rsidR="005A008B" w:rsidRPr="00AA1CB0" w:rsidRDefault="006B7598" w:rsidP="00AA1CB0">
      <w:pPr>
        <w:pStyle w:val="Heading1"/>
      </w:pPr>
      <w:bookmarkStart w:id="6" w:name="_Toc221113772"/>
      <w:r w:rsidRPr="00AA1CB0">
        <w:lastRenderedPageBreak/>
        <w:t xml:space="preserve">Our Board </w:t>
      </w:r>
      <w:proofErr w:type="gramStart"/>
      <w:r w:rsidRPr="00AA1CB0">
        <w:t>Of</w:t>
      </w:r>
      <w:proofErr w:type="gramEnd"/>
      <w:r w:rsidRPr="00AA1CB0">
        <w:t xml:space="preserve"> Directors</w:t>
      </w:r>
      <w:bookmarkEnd w:id="6"/>
    </w:p>
    <w:p w14:paraId="1D48CDD7" w14:textId="77777777" w:rsidR="005A008B" w:rsidRPr="00D90C15" w:rsidRDefault="005A008B" w:rsidP="00926C26">
      <w:r w:rsidRPr="00D90C15">
        <w:t xml:space="preserve">Section 108F of the </w:t>
      </w:r>
      <w:r w:rsidRPr="004A331A">
        <w:rPr>
          <w:i/>
          <w:iCs/>
        </w:rPr>
        <w:t xml:space="preserve">Sentencing Act </w:t>
      </w:r>
      <w:r w:rsidRPr="00D90C15">
        <w:t xml:space="preserve">requires the Council to have between 11 and 14 Directors, with many positions requiring people with </w:t>
      </w:r>
      <w:proofErr w:type="gramStart"/>
      <w:r w:rsidRPr="00D90C15">
        <w:t>particular experience</w:t>
      </w:r>
      <w:proofErr w:type="gramEnd"/>
      <w:r w:rsidRPr="00D90C15">
        <w:t xml:space="preserve"> or skillsets. The Council’s Board of Directors come from a broad spectrum of professional and community backgrounds and represent a range of perspectives. Throughout 2024–25, the Board of Directors included the following.</w:t>
      </w:r>
    </w:p>
    <w:p w14:paraId="0D0D6EDA" w14:textId="77777777" w:rsidR="005A008B" w:rsidRPr="00D90C15" w:rsidRDefault="005A008B" w:rsidP="00E120A1">
      <w:pPr>
        <w:pStyle w:val="Heading2"/>
      </w:pPr>
      <w:bookmarkStart w:id="7" w:name="_Toc221113773"/>
      <w:r w:rsidRPr="00D90C15">
        <w:t>Fiona Dowsley</w:t>
      </w:r>
      <w:bookmarkEnd w:id="7"/>
    </w:p>
    <w:p w14:paraId="57624815" w14:textId="77777777" w:rsidR="005A008B" w:rsidRPr="0024372C" w:rsidRDefault="005A008B" w:rsidP="0024372C">
      <w:pPr>
        <w:rPr>
          <w:rStyle w:val="Bold"/>
        </w:rPr>
      </w:pPr>
      <w:r w:rsidRPr="0024372C">
        <w:rPr>
          <w:rStyle w:val="Bold"/>
        </w:rPr>
        <w:t>Chief Statistician, Crime Statistics Agency</w:t>
      </w:r>
    </w:p>
    <w:p w14:paraId="707431E1" w14:textId="77777777" w:rsidR="005A008B" w:rsidRPr="00D90C15" w:rsidRDefault="005A008B" w:rsidP="00234617">
      <w:r w:rsidRPr="00D90C15">
        <w:t>Fiona is the Chief Statistician of the Crime Statistics Agency and Executive Director, Data and Performance at the Department of Justice and Community Safety. Fiona was previously Director of the National Centre for Crime and Justice Statistics at the Australian Bureau of Statistics and has collaborated with the United Nations Office on Drugs and Crime Task Force to develop an international classification of crime. After more than a decade on the Council, Fiona took some well-earned leave for the first half of 2025, but returned in June.</w:t>
      </w:r>
    </w:p>
    <w:p w14:paraId="34AA864A" w14:textId="77777777" w:rsidR="005A008B" w:rsidRPr="00D90C15" w:rsidRDefault="005A008B" w:rsidP="006512A5">
      <w:r w:rsidRPr="00D90C15">
        <w:t>Council meetings attended: 4/8 (extended leave from January to May 2025)</w:t>
      </w:r>
    </w:p>
    <w:p w14:paraId="0CEEA0F9" w14:textId="77777777" w:rsidR="005A008B" w:rsidRPr="00D90C15" w:rsidRDefault="005A008B" w:rsidP="00E120A1">
      <w:pPr>
        <w:pStyle w:val="Heading2"/>
      </w:pPr>
      <w:bookmarkStart w:id="8" w:name="_Toc221113774"/>
      <w:r w:rsidRPr="00D90C15">
        <w:t>Professor Marilyn McMahon</w:t>
      </w:r>
      <w:bookmarkEnd w:id="8"/>
    </w:p>
    <w:p w14:paraId="39A22D00" w14:textId="77777777" w:rsidR="005A008B" w:rsidRPr="0024372C" w:rsidRDefault="005A008B" w:rsidP="0024372C">
      <w:pPr>
        <w:rPr>
          <w:rStyle w:val="Bold"/>
        </w:rPr>
      </w:pPr>
      <w:r w:rsidRPr="0024372C">
        <w:rPr>
          <w:rStyle w:val="Bold"/>
        </w:rPr>
        <w:t>Dean, Deakin Law School</w:t>
      </w:r>
    </w:p>
    <w:p w14:paraId="1DA529DA" w14:textId="77777777" w:rsidR="005A008B" w:rsidRPr="00D90C15" w:rsidRDefault="005A008B" w:rsidP="00234617">
      <w:r w:rsidRPr="00D90C15">
        <w:t>Marilyn is Dean of the Law School at Deakin University, having taught and researched criminal law for many years. She has served as a consultant to the Victorian Government, and her work has been cited by law reform bodies in Australia and the United Kingdom. Professor McMahon is also a registered psychologist, and a member of the Forensic Leave Panel and the Disciplinary Appeals Board. She was previously a member of the Mental Health Tribunal and the Intellectual Disability Review Board.</w:t>
      </w:r>
    </w:p>
    <w:p w14:paraId="6443434B" w14:textId="77777777" w:rsidR="005A008B" w:rsidRPr="00D90C15" w:rsidRDefault="005A008B" w:rsidP="006512A5">
      <w:r w:rsidRPr="00D90C15">
        <w:t>Council meetings attended: 6/8</w:t>
      </w:r>
    </w:p>
    <w:p w14:paraId="03798FCF" w14:textId="77777777" w:rsidR="005A008B" w:rsidRPr="00D90C15" w:rsidRDefault="005A008B" w:rsidP="00E120A1">
      <w:pPr>
        <w:pStyle w:val="Heading2"/>
      </w:pPr>
      <w:bookmarkStart w:id="9" w:name="_Toc221113775"/>
      <w:r w:rsidRPr="00D90C15">
        <w:lastRenderedPageBreak/>
        <w:t>Wendy Steendam AM, APM</w:t>
      </w:r>
      <w:bookmarkEnd w:id="9"/>
    </w:p>
    <w:p w14:paraId="698E9977" w14:textId="77777777" w:rsidR="005A008B" w:rsidRPr="0024372C" w:rsidRDefault="005A008B" w:rsidP="000E5182">
      <w:pPr>
        <w:keepNext/>
        <w:rPr>
          <w:rStyle w:val="Bold"/>
        </w:rPr>
      </w:pPr>
      <w:r w:rsidRPr="0024372C">
        <w:rPr>
          <w:rStyle w:val="Bold"/>
        </w:rPr>
        <w:t>Deputy Commissioner, Victoria Police</w:t>
      </w:r>
    </w:p>
    <w:p w14:paraId="1EA25CF3" w14:textId="77777777" w:rsidR="005A008B" w:rsidRPr="00D90C15" w:rsidRDefault="005A008B" w:rsidP="00234617">
      <w:r w:rsidRPr="00D90C15">
        <w:t xml:space="preserve">Wendy is the Deputy Commissioner for specialist operations at Victoria Police, with portfolio responsibility for Road Policing Command, Family Violence Command, the Forensic Services Department and the Legal Services Department. She is a highly respected police leader with over 40 years’ experience, and she has contributed as a member of many boards of management, both within policing and more broadly across the community sector. Wendy is also a member of the Coronial Council of Victoria. </w:t>
      </w:r>
    </w:p>
    <w:p w14:paraId="55D48D46" w14:textId="77777777" w:rsidR="005A008B" w:rsidRPr="00D90C15" w:rsidRDefault="005A008B" w:rsidP="00234617">
      <w:r w:rsidRPr="00D90C15">
        <w:t>Council meetings attended: 4/8 (extended leave from September to December 2025)</w:t>
      </w:r>
    </w:p>
    <w:p w14:paraId="563C9CB5" w14:textId="77777777" w:rsidR="005A008B" w:rsidRPr="00D90C15" w:rsidRDefault="005A008B" w:rsidP="00E120A1">
      <w:pPr>
        <w:pStyle w:val="Heading2"/>
      </w:pPr>
      <w:bookmarkStart w:id="10" w:name="_Toc221113776"/>
      <w:r w:rsidRPr="00D90C15">
        <w:t>Anoushka Jeronimus</w:t>
      </w:r>
      <w:bookmarkEnd w:id="10"/>
    </w:p>
    <w:p w14:paraId="6E54A345" w14:textId="77777777" w:rsidR="005A008B" w:rsidRPr="0024372C" w:rsidRDefault="005A008B" w:rsidP="0024372C">
      <w:pPr>
        <w:rPr>
          <w:rStyle w:val="Bold"/>
        </w:rPr>
      </w:pPr>
      <w:r w:rsidRPr="0024372C">
        <w:rPr>
          <w:rStyle w:val="Bold"/>
        </w:rPr>
        <w:t xml:space="preserve">Director, Youth Law Program, </w:t>
      </w:r>
      <w:proofErr w:type="spellStart"/>
      <w:r w:rsidRPr="0024372C">
        <w:rPr>
          <w:rStyle w:val="Bold"/>
        </w:rPr>
        <w:t>WEstjustice</w:t>
      </w:r>
      <w:proofErr w:type="spellEnd"/>
    </w:p>
    <w:p w14:paraId="40086DE6" w14:textId="77777777" w:rsidR="005A008B" w:rsidRPr="00D90C15" w:rsidRDefault="005A008B" w:rsidP="00234617">
      <w:r w:rsidRPr="00D90C15">
        <w:t xml:space="preserve">Anoushka is the Director of the Youth Law Program at </w:t>
      </w:r>
      <w:proofErr w:type="spellStart"/>
      <w:r w:rsidRPr="00D90C15">
        <w:t>WEstjustice</w:t>
      </w:r>
      <w:proofErr w:type="spellEnd"/>
      <w:r w:rsidRPr="00D90C15">
        <w:t xml:space="preserve">. Prior to that, Anoushka held several roles at Victoria Legal Aid. She is a practising lawyer and an accredited specialist in criminal law and children’s law. She is also a member of the Victorian Multicultural Commission’s </w:t>
      </w:r>
      <w:proofErr w:type="gramStart"/>
      <w:r w:rsidRPr="00D90C15">
        <w:t>North West</w:t>
      </w:r>
      <w:proofErr w:type="gramEnd"/>
      <w:r w:rsidRPr="00D90C15">
        <w:t xml:space="preserve"> Advisory Group, the Law Institute of Victoria’s Criminal Law Executive and Children’s Law Advisory Committee, and Co-Convenor of Smart Justice 4 Young People.</w:t>
      </w:r>
    </w:p>
    <w:p w14:paraId="1E6CF6AF" w14:textId="77777777" w:rsidR="005A008B" w:rsidRPr="00D90C15" w:rsidRDefault="005A008B" w:rsidP="006512A5">
      <w:r w:rsidRPr="00D90C15">
        <w:t>Council meetings attended: 5/8</w:t>
      </w:r>
    </w:p>
    <w:p w14:paraId="55406127" w14:textId="77777777" w:rsidR="005A008B" w:rsidRPr="00D90C15" w:rsidRDefault="005A008B" w:rsidP="00E120A1">
      <w:pPr>
        <w:pStyle w:val="Heading2"/>
      </w:pPr>
      <w:bookmarkStart w:id="11" w:name="_Toc221113777"/>
      <w:r w:rsidRPr="00D90C15">
        <w:t>Anne O’Brien</w:t>
      </w:r>
      <w:bookmarkEnd w:id="11"/>
    </w:p>
    <w:p w14:paraId="21DBFD3F" w14:textId="77777777" w:rsidR="005A008B" w:rsidRPr="00D90C15" w:rsidRDefault="005A008B" w:rsidP="00234617">
      <w:r w:rsidRPr="00D90C15">
        <w:t>Anne is a social worker with over 30 years’ experience working within Victoria’s criminal justice system. She has previously worked for the Office of Corrections, and she spent 25 years as a senior social worker at the Office of Public Prosecutions assisting victims of crime navigate the criminal justice process.</w:t>
      </w:r>
    </w:p>
    <w:p w14:paraId="0F8F18D4" w14:textId="77777777" w:rsidR="005A008B" w:rsidRPr="00D90C15" w:rsidRDefault="005A008B" w:rsidP="006512A5">
      <w:r w:rsidRPr="00D90C15">
        <w:t>Council meetings attended: 7/8</w:t>
      </w:r>
    </w:p>
    <w:p w14:paraId="7FB846AB" w14:textId="77777777" w:rsidR="005A008B" w:rsidRPr="00D90C15" w:rsidRDefault="005A008B" w:rsidP="00E120A1">
      <w:pPr>
        <w:pStyle w:val="Heading2"/>
      </w:pPr>
      <w:bookmarkStart w:id="12" w:name="_Toc221113778"/>
      <w:r w:rsidRPr="00D90C15">
        <w:lastRenderedPageBreak/>
        <w:t>Paul Smallwood</w:t>
      </w:r>
      <w:bookmarkEnd w:id="12"/>
    </w:p>
    <w:p w14:paraId="5B7BFD2A" w14:textId="77777777" w:rsidR="005A008B" w:rsidRPr="0024372C" w:rsidRDefault="005A008B" w:rsidP="00E120A1">
      <w:pPr>
        <w:keepNext/>
        <w:rPr>
          <w:rStyle w:val="Bold"/>
        </w:rPr>
      </w:pPr>
      <w:r w:rsidRPr="0024372C">
        <w:rPr>
          <w:rStyle w:val="Bold"/>
        </w:rPr>
        <w:t>Barrister, Victorian Bar</w:t>
      </w:r>
    </w:p>
    <w:p w14:paraId="3EAC1597" w14:textId="77777777" w:rsidR="005A008B" w:rsidRPr="00D90C15" w:rsidRDefault="005A008B" w:rsidP="00234617">
      <w:r w:rsidRPr="00D90C15">
        <w:t xml:space="preserve">Paul Smallwood is a barrister practising primarily in criminal law. He appears in trials and appeals in Victoria and other Australian jurisdictions. He has </w:t>
      </w:r>
      <w:r w:rsidRPr="004F3C92">
        <w:t xml:space="preserve">appeared in </w:t>
      </w:r>
      <w:proofErr w:type="gramStart"/>
      <w:r w:rsidRPr="004F3C92">
        <w:t>a number of</w:t>
      </w:r>
      <w:proofErr w:type="gramEnd"/>
      <w:r w:rsidRPr="004F3C92">
        <w:t xml:space="preserve"> high-profile sentencing </w:t>
      </w:r>
      <w:r w:rsidRPr="00D90C15">
        <w:t xml:space="preserve">cases. He is a member of the Criminal Bar Association (Victoria) Committee and the </w:t>
      </w:r>
      <w:r w:rsidRPr="00774C1D">
        <w:t xml:space="preserve">Greens List Committee. He has previously been </w:t>
      </w:r>
      <w:r w:rsidRPr="00D90C15">
        <w:t xml:space="preserve">the Secretary of the Criminal Bar Association </w:t>
      </w:r>
      <w:r w:rsidRPr="004F3C92">
        <w:t xml:space="preserve">(Victoria) Committee and Liberty Victoria. Doyle’s </w:t>
      </w:r>
      <w:r w:rsidRPr="00D90C15">
        <w:t xml:space="preserve">Guide has on multiple occasions considered Paul one of the pre-eminent </w:t>
      </w:r>
      <w:proofErr w:type="gramStart"/>
      <w:r w:rsidRPr="00D90C15">
        <w:t>counsel</w:t>
      </w:r>
      <w:proofErr w:type="gramEnd"/>
      <w:r w:rsidRPr="00D90C15">
        <w:t xml:space="preserve"> practising in criminal law in Victoria and Australia.</w:t>
      </w:r>
    </w:p>
    <w:p w14:paraId="6AC519D2" w14:textId="77777777" w:rsidR="005A008B" w:rsidRPr="00D90C15" w:rsidRDefault="005A008B" w:rsidP="006512A5">
      <w:r w:rsidRPr="00D90C15">
        <w:t>Council meetings attended: 3/8</w:t>
      </w:r>
    </w:p>
    <w:p w14:paraId="267C7092" w14:textId="77777777" w:rsidR="005A008B" w:rsidRPr="00D90C15" w:rsidRDefault="005A008B" w:rsidP="00E120A1">
      <w:pPr>
        <w:pStyle w:val="Heading2"/>
      </w:pPr>
      <w:bookmarkStart w:id="13" w:name="_Toc221113779"/>
      <w:r w:rsidRPr="00D90C15">
        <w:t>Nathan Watt</w:t>
      </w:r>
      <w:bookmarkEnd w:id="13"/>
    </w:p>
    <w:p w14:paraId="0EF75E71" w14:textId="77777777" w:rsidR="005A008B" w:rsidRPr="0024372C" w:rsidRDefault="005A008B" w:rsidP="0024372C">
      <w:pPr>
        <w:rPr>
          <w:rStyle w:val="Bold"/>
        </w:rPr>
      </w:pPr>
      <w:r w:rsidRPr="0024372C">
        <w:rPr>
          <w:rStyle w:val="Bold"/>
        </w:rPr>
        <w:t>Sergeant, Victoria Police</w:t>
      </w:r>
    </w:p>
    <w:p w14:paraId="42EEE0E1" w14:textId="77777777" w:rsidR="005A008B" w:rsidRPr="009A485A" w:rsidRDefault="005A008B" w:rsidP="00234617">
      <w:r w:rsidRPr="00D90C15">
        <w:t xml:space="preserve">Nathan has worked at Victoria Police for 18 years, the last 13 in the legal services department. Currently a Sergeant, he appears regularly in criminal </w:t>
      </w:r>
      <w:r w:rsidRPr="009A485A">
        <w:t xml:space="preserve">matters in the Magistrates’ Court and Supreme Court, trains frontline members including police </w:t>
      </w:r>
      <w:r w:rsidRPr="004F3C92">
        <w:t xml:space="preserve">prosecutors, and advises senior management of </w:t>
      </w:r>
      <w:r w:rsidRPr="009A485A">
        <w:t xml:space="preserve">Victoria Police about legislative reform and policy. </w:t>
      </w:r>
    </w:p>
    <w:p w14:paraId="6135EAAF" w14:textId="77777777" w:rsidR="005A008B" w:rsidRPr="00D90C15" w:rsidRDefault="005A008B" w:rsidP="00234617">
      <w:r w:rsidRPr="00D90C15">
        <w:t>Council meetings attended: 7/8</w:t>
      </w:r>
    </w:p>
    <w:p w14:paraId="6C791855" w14:textId="77777777" w:rsidR="005A008B" w:rsidRPr="00D90C15" w:rsidRDefault="005A008B" w:rsidP="00E120A1">
      <w:pPr>
        <w:pStyle w:val="Heading2"/>
      </w:pPr>
      <w:bookmarkStart w:id="14" w:name="_Toc221113780"/>
      <w:r w:rsidRPr="00D90C15">
        <w:t>David Glynn</w:t>
      </w:r>
      <w:bookmarkEnd w:id="14"/>
    </w:p>
    <w:p w14:paraId="7CA77022" w14:textId="77777777" w:rsidR="005A008B" w:rsidRPr="0024372C" w:rsidRDefault="005A008B" w:rsidP="0024372C">
      <w:pPr>
        <w:rPr>
          <w:rStyle w:val="Bold"/>
        </w:rPr>
      </w:pPr>
      <w:r w:rsidRPr="0024372C">
        <w:rPr>
          <w:rStyle w:val="Bold"/>
        </w:rPr>
        <w:t>Crown Prosecutor</w:t>
      </w:r>
    </w:p>
    <w:p w14:paraId="3E85C0E9" w14:textId="77777777" w:rsidR="005A008B" w:rsidRPr="00D90C15" w:rsidRDefault="005A008B" w:rsidP="00234617">
      <w:r w:rsidRPr="00D90C15">
        <w:t>David is a Crown Prosecutor, having been appointed in 2019. Since being admitted to practice as a lawyer in 1992, David has worked in private practice and at Victoria Legal Aid, and he became a barrister in 2001. He specialises in criminal law and has experience appearing for both the defence and the prosecution.</w:t>
      </w:r>
    </w:p>
    <w:p w14:paraId="2C468E87" w14:textId="77777777" w:rsidR="005A008B" w:rsidRPr="00D90C15" w:rsidRDefault="005A008B" w:rsidP="00234617">
      <w:r w:rsidRPr="00D90C15">
        <w:t>Council meetings attended: 5/8</w:t>
      </w:r>
    </w:p>
    <w:p w14:paraId="29D68964" w14:textId="77777777" w:rsidR="005A008B" w:rsidRPr="00D90C15" w:rsidRDefault="005A008B" w:rsidP="00E120A1">
      <w:pPr>
        <w:pStyle w:val="Heading2"/>
      </w:pPr>
      <w:bookmarkStart w:id="15" w:name="_Toc221113781"/>
      <w:r w:rsidRPr="00D90C15">
        <w:lastRenderedPageBreak/>
        <w:t>Dr Danny Sullivan</w:t>
      </w:r>
      <w:bookmarkEnd w:id="15"/>
    </w:p>
    <w:p w14:paraId="26618B95" w14:textId="77777777" w:rsidR="005A008B" w:rsidRPr="0024372C" w:rsidRDefault="005A008B" w:rsidP="0023749F">
      <w:pPr>
        <w:keepNext/>
        <w:rPr>
          <w:rStyle w:val="Bold"/>
        </w:rPr>
      </w:pPr>
      <w:r w:rsidRPr="0024372C">
        <w:rPr>
          <w:rStyle w:val="Bold"/>
        </w:rPr>
        <w:t>Consultant Forensic Psychiatrist</w:t>
      </w:r>
    </w:p>
    <w:p w14:paraId="0734AD32" w14:textId="77777777" w:rsidR="005A008B" w:rsidRPr="00D90C15" w:rsidRDefault="005A008B" w:rsidP="00234617">
      <w:r w:rsidRPr="00D90C15">
        <w:t>Danny is a consultant forensic and adult psychiatrist. He works in the public mental health sector and is an experienced expert witness. He has extensive clinical experience working in prisons, and community and inpatient forensic services in England and Australia. He holds academic posts with both Swinburne University and the University of Melbourne.</w:t>
      </w:r>
    </w:p>
    <w:p w14:paraId="0AE51762" w14:textId="77777777" w:rsidR="005A008B" w:rsidRPr="00D90C15" w:rsidRDefault="005A008B" w:rsidP="00234617">
      <w:r w:rsidRPr="00D90C15">
        <w:t>Council meetings attended: 7/8</w:t>
      </w:r>
    </w:p>
    <w:p w14:paraId="11BEB145" w14:textId="77777777" w:rsidR="005A008B" w:rsidRPr="00D90C15" w:rsidRDefault="005A008B" w:rsidP="00E120A1">
      <w:pPr>
        <w:pStyle w:val="Heading2"/>
      </w:pPr>
      <w:bookmarkStart w:id="16" w:name="_Toc221113782"/>
      <w:r w:rsidRPr="00D90C15">
        <w:t>Stan Winford</w:t>
      </w:r>
      <w:bookmarkEnd w:id="16"/>
    </w:p>
    <w:p w14:paraId="5BA34D0D" w14:textId="77777777" w:rsidR="005A008B" w:rsidRPr="0024372C" w:rsidRDefault="005A008B" w:rsidP="0024372C">
      <w:pPr>
        <w:rPr>
          <w:rStyle w:val="Bold"/>
        </w:rPr>
      </w:pPr>
      <w:r w:rsidRPr="0024372C">
        <w:rPr>
          <w:rStyle w:val="Bold"/>
        </w:rPr>
        <w:t>Associate Director, RMIT Centre for Innovative Justice</w:t>
      </w:r>
    </w:p>
    <w:p w14:paraId="22CFD347" w14:textId="77777777" w:rsidR="005A008B" w:rsidRPr="00D90C15" w:rsidRDefault="005A008B" w:rsidP="00234617">
      <w:r w:rsidRPr="00D90C15">
        <w:t>Stan is Associate Director at RMIT University’s Centre for Innovative Justice. Stan is a lawyer and researcher, and he has previously worked as a prosecutor and defence lawyer in the private, government and community legal sectors.</w:t>
      </w:r>
    </w:p>
    <w:p w14:paraId="19E8FF52" w14:textId="77777777" w:rsidR="005A008B" w:rsidRPr="00D90C15" w:rsidRDefault="005A008B" w:rsidP="00234617">
      <w:r w:rsidRPr="00D90C15">
        <w:t>Council meetings attended: 7/8</w:t>
      </w:r>
    </w:p>
    <w:p w14:paraId="1A97ACEE" w14:textId="77777777" w:rsidR="005A008B" w:rsidRPr="00D90C15" w:rsidRDefault="005A008B" w:rsidP="00E120A1">
      <w:pPr>
        <w:pStyle w:val="Heading2"/>
      </w:pPr>
      <w:bookmarkStart w:id="17" w:name="_Toc221113783"/>
      <w:r w:rsidRPr="00D90C15">
        <w:t>Dr Jana Katerinskaja OAM</w:t>
      </w:r>
      <w:bookmarkEnd w:id="17"/>
    </w:p>
    <w:p w14:paraId="47D1EC85" w14:textId="77777777" w:rsidR="005A008B" w:rsidRPr="00D90C15" w:rsidRDefault="005A008B" w:rsidP="00234617">
      <w:r w:rsidRPr="00D90C15">
        <w:t>Jana works as a human rights lawyer and independent investigator. She is a founding member of the Domestic Family and Sexual Violence Commission’s Lived Experience Advisory Council, was a member of the Commonwealth DFSV Commissioner’s Guiding Group, and is a co-founder of the Independent Collective of Survivor Advocates, and a member of Safe and Equal’s Expert Advisory Panel.</w:t>
      </w:r>
    </w:p>
    <w:p w14:paraId="5B6B7DC9" w14:textId="77777777" w:rsidR="005A008B" w:rsidRPr="00D90C15" w:rsidRDefault="005A008B" w:rsidP="00234617">
      <w:r w:rsidRPr="00D90C15">
        <w:t>Council meetings attended: 8/8</w:t>
      </w:r>
    </w:p>
    <w:p w14:paraId="45C56F32" w14:textId="77777777" w:rsidR="005A008B" w:rsidRPr="00D90C15" w:rsidRDefault="005A008B" w:rsidP="00E120A1">
      <w:pPr>
        <w:pStyle w:val="Heading2"/>
      </w:pPr>
      <w:bookmarkStart w:id="18" w:name="_Toc221113784"/>
      <w:r w:rsidRPr="00D90C15">
        <w:t>Kate Bundrock</w:t>
      </w:r>
      <w:bookmarkEnd w:id="18"/>
    </w:p>
    <w:p w14:paraId="4247AF93" w14:textId="77777777" w:rsidR="005A008B" w:rsidRPr="0024372C" w:rsidRDefault="005A008B" w:rsidP="0024372C">
      <w:pPr>
        <w:rPr>
          <w:rStyle w:val="Bold"/>
        </w:rPr>
      </w:pPr>
      <w:r w:rsidRPr="0024372C">
        <w:rPr>
          <w:rStyle w:val="Bold"/>
        </w:rPr>
        <w:t xml:space="preserve">Executive Director, Criminal Law at Victoria Legal Aid </w:t>
      </w:r>
    </w:p>
    <w:p w14:paraId="53276F25" w14:textId="77777777" w:rsidR="005A008B" w:rsidRPr="00D90C15" w:rsidRDefault="005A008B" w:rsidP="00234617">
      <w:r w:rsidRPr="00D90C15">
        <w:t xml:space="preserve">Kate is the Executive Director, Criminal Law at Victoria Legal Aid (VLA). Kate has over 20 years’ experience working in the legal assistance sector and criminal legal system. Kate is committed to access to justice and client-centred legal service design and has led significant service transformation projects at VLA, including the establishment of the Help Before Court service, changes to VLA’s </w:t>
      </w:r>
      <w:r w:rsidRPr="00D90C15">
        <w:lastRenderedPageBreak/>
        <w:t>‘bail’ and ‘not guilty’ guidelines, and improvements to services provided to people facing remand.</w:t>
      </w:r>
    </w:p>
    <w:p w14:paraId="2ADFC8FE" w14:textId="77777777" w:rsidR="005A008B" w:rsidRPr="00D90C15" w:rsidRDefault="005A008B" w:rsidP="00234617">
      <w:r w:rsidRPr="00D90C15">
        <w:t>Council meetings attended: 2/2 </w:t>
      </w:r>
    </w:p>
    <w:p w14:paraId="662E76FD" w14:textId="5A63B80A" w:rsidR="005A008B" w:rsidRPr="00AA1CB0" w:rsidRDefault="006B7598" w:rsidP="00AA1CB0">
      <w:pPr>
        <w:pStyle w:val="Heading1"/>
      </w:pPr>
      <w:bookmarkStart w:id="19" w:name="_Toc221113785"/>
      <w:r w:rsidRPr="00AA1CB0">
        <w:lastRenderedPageBreak/>
        <w:t>The Secretariat</w:t>
      </w:r>
      <w:bookmarkEnd w:id="19"/>
    </w:p>
    <w:p w14:paraId="1F97A306" w14:textId="77777777" w:rsidR="005A008B" w:rsidRDefault="005A008B" w:rsidP="00926C26">
      <w:r w:rsidRPr="00D90C15">
        <w:t xml:space="preserve">The staff of the Council undertake the Council’s daily work. They are experts in criminal law theory and practice, policy development, criminology, data analysis, publishing and administration. The secretariat as </w:t>
      </w:r>
      <w:proofErr w:type="gramStart"/>
      <w:r w:rsidRPr="00D90C15">
        <w:t>at</w:t>
      </w:r>
      <w:proofErr w:type="gramEnd"/>
      <w:r w:rsidRPr="00D90C15">
        <w:t xml:space="preserve"> 30 June 2025 are shown below.</w:t>
      </w:r>
    </w:p>
    <w:p w14:paraId="1887C869" w14:textId="77777777" w:rsidR="00A72D40" w:rsidRDefault="00A72D40" w:rsidP="00A72D40">
      <w:r>
        <w:t>Chief Executive Officer</w:t>
      </w:r>
      <w:r w:rsidRPr="00044D74">
        <w:t xml:space="preserve"> </w:t>
      </w:r>
      <w:r>
        <w:t>– Dr Paul McGorrery</w:t>
      </w:r>
    </w:p>
    <w:p w14:paraId="2C2021D0" w14:textId="77777777" w:rsidR="00A72D40" w:rsidRDefault="00A72D40" w:rsidP="00A72D40">
      <w:pPr>
        <w:pStyle w:val="Bullets"/>
      </w:pPr>
      <w:r>
        <w:t>Operations Manager – Sarah Lappin</w:t>
      </w:r>
    </w:p>
    <w:p w14:paraId="67BDEED8" w14:textId="77777777" w:rsidR="00A72D40" w:rsidRDefault="00A72D40" w:rsidP="00A72D40">
      <w:pPr>
        <w:pStyle w:val="Bullets"/>
        <w:numPr>
          <w:ilvl w:val="1"/>
          <w:numId w:val="2"/>
        </w:numPr>
        <w:ind w:left="1491" w:hanging="357"/>
      </w:pPr>
      <w:r>
        <w:t>Chief Finance and Accounting Officer Michael Almond</w:t>
      </w:r>
    </w:p>
    <w:p w14:paraId="7C80BCD7" w14:textId="77777777" w:rsidR="00A72D40" w:rsidRDefault="00A72D40" w:rsidP="00A72D40">
      <w:pPr>
        <w:pStyle w:val="Bullets"/>
      </w:pPr>
      <w:r>
        <w:t>Manager, Statistical Analysis – Paul Schollum</w:t>
      </w:r>
    </w:p>
    <w:p w14:paraId="71D98547" w14:textId="77777777" w:rsidR="00A72D40" w:rsidRDefault="00A72D40" w:rsidP="00A72D40">
      <w:pPr>
        <w:pStyle w:val="Bullets"/>
        <w:numPr>
          <w:ilvl w:val="1"/>
          <w:numId w:val="2"/>
        </w:numPr>
        <w:ind w:left="1491" w:hanging="357"/>
      </w:pPr>
      <w:r>
        <w:t>Senior Data Analyst – Zsombor Bathy</w:t>
      </w:r>
    </w:p>
    <w:p w14:paraId="40DAFAB1" w14:textId="77777777" w:rsidR="00A72D40" w:rsidRDefault="00A72D40" w:rsidP="00A72D40">
      <w:pPr>
        <w:pStyle w:val="Bullets"/>
        <w:numPr>
          <w:ilvl w:val="1"/>
          <w:numId w:val="2"/>
        </w:numPr>
        <w:ind w:left="1491" w:hanging="357"/>
      </w:pPr>
      <w:r>
        <w:t>Senior Data Analyst – Dennis Byles</w:t>
      </w:r>
    </w:p>
    <w:p w14:paraId="2BD0228E" w14:textId="77777777" w:rsidR="00A72D40" w:rsidRPr="00A766B4" w:rsidRDefault="00A72D40" w:rsidP="00A72D40">
      <w:pPr>
        <w:pStyle w:val="Bullets"/>
        <w:numPr>
          <w:ilvl w:val="1"/>
          <w:numId w:val="2"/>
        </w:numPr>
        <w:ind w:left="1491" w:hanging="357"/>
      </w:pPr>
      <w:r>
        <w:t>Data Analyst – Pallavi Waghmode</w:t>
      </w:r>
    </w:p>
    <w:p w14:paraId="6ACA7BA6" w14:textId="11C01745" w:rsidR="00A72D40" w:rsidRDefault="00A72D40" w:rsidP="00A72D40">
      <w:pPr>
        <w:pStyle w:val="Bullets"/>
      </w:pPr>
      <w:r>
        <w:t xml:space="preserve">Legal </w:t>
      </w:r>
      <w:r w:rsidR="00CF7FF2">
        <w:t>P</w:t>
      </w:r>
      <w:r>
        <w:t>olicy</w:t>
      </w:r>
    </w:p>
    <w:p w14:paraId="74F675E1" w14:textId="77777777" w:rsidR="00A72D40" w:rsidRDefault="00A72D40" w:rsidP="00A72D40">
      <w:pPr>
        <w:pStyle w:val="Bullets"/>
        <w:numPr>
          <w:ilvl w:val="1"/>
          <w:numId w:val="2"/>
        </w:numPr>
        <w:ind w:left="1491" w:hanging="357"/>
      </w:pPr>
      <w:r>
        <w:t>Principal Legal Policy Officer – Felicity Stewart</w:t>
      </w:r>
    </w:p>
    <w:p w14:paraId="2E152C34" w14:textId="77777777" w:rsidR="00A72D40" w:rsidRDefault="00A72D40" w:rsidP="00A72D40">
      <w:pPr>
        <w:pStyle w:val="Bullets"/>
        <w:numPr>
          <w:ilvl w:val="1"/>
          <w:numId w:val="2"/>
        </w:numPr>
        <w:ind w:left="1491" w:hanging="357"/>
      </w:pPr>
      <w:r>
        <w:t>Senior Legal Policy Officer – Octavian Simu</w:t>
      </w:r>
    </w:p>
    <w:p w14:paraId="7D4D9D48" w14:textId="77777777" w:rsidR="00A72D40" w:rsidRPr="00E635BF" w:rsidRDefault="00A72D40" w:rsidP="00A72D40">
      <w:pPr>
        <w:pStyle w:val="Bullets"/>
        <w:numPr>
          <w:ilvl w:val="1"/>
          <w:numId w:val="2"/>
        </w:numPr>
        <w:ind w:left="1491" w:hanging="357"/>
      </w:pPr>
      <w:r>
        <w:t>Legal Policy Researcher – Melanie Hull</w:t>
      </w:r>
    </w:p>
    <w:p w14:paraId="2597BD8E" w14:textId="77777777" w:rsidR="00A72D40" w:rsidRDefault="00A72D40" w:rsidP="00A72D40">
      <w:pPr>
        <w:pStyle w:val="Bullets"/>
      </w:pPr>
      <w:r>
        <w:t>Senior Publications and Website Officer – Catherine Jeffreys</w:t>
      </w:r>
    </w:p>
    <w:p w14:paraId="494FC7BA" w14:textId="0F2D9B07" w:rsidR="00A72D40" w:rsidRDefault="00A72D40" w:rsidP="00A72D40">
      <w:pPr>
        <w:pStyle w:val="Bullets"/>
      </w:pPr>
      <w:r>
        <w:t xml:space="preserve">Senior Education and Engagement Officer – </w:t>
      </w:r>
      <w:r w:rsidR="003B1611">
        <w:t>Kathryn Stary</w:t>
      </w:r>
    </w:p>
    <w:p w14:paraId="1755F23A" w14:textId="162AD747" w:rsidR="005A008B" w:rsidRPr="00AA1CB0" w:rsidRDefault="006B7598" w:rsidP="00AA1CB0">
      <w:pPr>
        <w:pStyle w:val="Heading1"/>
      </w:pPr>
      <w:bookmarkStart w:id="20" w:name="_Toc221113786"/>
      <w:r w:rsidRPr="00AA1CB0">
        <w:lastRenderedPageBreak/>
        <w:t>Our Statistical Products</w:t>
      </w:r>
      <w:bookmarkEnd w:id="20"/>
    </w:p>
    <w:p w14:paraId="573A54C4" w14:textId="77777777" w:rsidR="005A008B" w:rsidRPr="00D90C15" w:rsidRDefault="005A008B" w:rsidP="00926C26">
      <w:r w:rsidRPr="00D90C15">
        <w:t>One of the Council’s statutory functions is to provide statistical information on sentencing, including information on current sentencing practices.</w:t>
      </w:r>
    </w:p>
    <w:p w14:paraId="73D2B7CB" w14:textId="77777777" w:rsidR="005A008B" w:rsidRDefault="005A008B" w:rsidP="00234617">
      <w:r w:rsidRPr="00D90C15">
        <w:t>Sentencing statistics are of crucial importance to a transparent and well-functioning criminal justice system. Among other things, courts have a legislative obligation to have regard to current sentencing practices when sentencing offenders (</w:t>
      </w:r>
      <w:r w:rsidRPr="004A331A">
        <w:rPr>
          <w:i/>
          <w:iCs/>
        </w:rPr>
        <w:t>Sentencing Act 1991</w:t>
      </w:r>
      <w:r w:rsidRPr="00D90C15">
        <w:t xml:space="preserve"> s 5(2)(b)), including both sentencing statistics and comparable cases (</w:t>
      </w:r>
      <w:r w:rsidRPr="004A331A">
        <w:rPr>
          <w:i/>
          <w:iCs/>
        </w:rPr>
        <w:t xml:space="preserve">DPP v CPD </w:t>
      </w:r>
      <w:r w:rsidRPr="00D90C15">
        <w:t xml:space="preserve">[2009] VSCA 114). The Council produces a range of statistical products, most prominently its Sentencing Snapshots and its SACStat online sentencing statistics database. We also produce various graphs and statistics on general sentencing trends, which are maintained on our website. We produce a report each year on the number of people sentenced for committing a serious offence while on a community correction order. And most recently, we have begun producing an annual series of publications titled </w:t>
      </w:r>
      <w:r w:rsidRPr="004A331A">
        <w:rPr>
          <w:i/>
          <w:iCs/>
        </w:rPr>
        <w:t>Sentencing in Victoria</w:t>
      </w:r>
      <w:r w:rsidRPr="00D90C15">
        <w:t>, which provide a 10-year overview of sentencing trends in the various criminal jurisdictions in Victoria.</w:t>
      </w:r>
    </w:p>
    <w:p w14:paraId="178D98C2" w14:textId="77777777" w:rsidR="00C20BBA" w:rsidRDefault="00C20BBA" w:rsidP="00C20BBA">
      <w:pPr>
        <w:pStyle w:val="IntenseQuote"/>
      </w:pPr>
      <w:r>
        <w:t>The Sentencing Advisory Council online data gives the Court the capacity to look at the statistics held only in relation to past sentences for the crime of rape that were covered by the standard sentence scheme. That is a useful feature</w:t>
      </w:r>
    </w:p>
    <w:p w14:paraId="2E29FEA1" w14:textId="77777777" w:rsidR="00C20BBA" w:rsidRDefault="00C20BBA" w:rsidP="00C20BBA">
      <w:pPr>
        <w:pStyle w:val="IntenseQuote"/>
      </w:pPr>
      <w:r w:rsidRPr="00774C1D">
        <w:rPr>
          <w:i/>
          <w:iCs w:val="0"/>
        </w:rPr>
        <w:t xml:space="preserve">DPP v Atalay </w:t>
      </w:r>
      <w:r>
        <w:t>[2024] VCC 2100, [114]</w:t>
      </w:r>
    </w:p>
    <w:p w14:paraId="75E1E9B8" w14:textId="77777777" w:rsidR="005A008B" w:rsidRPr="00D90C15" w:rsidRDefault="005A008B" w:rsidP="00926C26">
      <w:pPr>
        <w:pStyle w:val="Heading2"/>
      </w:pPr>
      <w:bookmarkStart w:id="21" w:name="_Toc221113787"/>
      <w:r w:rsidRPr="00D90C15">
        <w:t>Sentencing Advisory Council Statistics Online (SACStat)</w:t>
      </w:r>
      <w:bookmarkEnd w:id="21"/>
    </w:p>
    <w:p w14:paraId="76D02529" w14:textId="77777777" w:rsidR="005A008B" w:rsidRPr="00D90C15" w:rsidRDefault="005A008B" w:rsidP="006512A5">
      <w:r w:rsidRPr="00D90C15">
        <w:t xml:space="preserve">First launched in 2012, </w:t>
      </w:r>
      <w:hyperlink r:id="rId8" w:history="1">
        <w:r w:rsidRPr="00D90C15">
          <w:rPr>
            <w:rStyle w:val="Hyperlink"/>
          </w:rPr>
          <w:t>SACStat</w:t>
        </w:r>
      </w:hyperlink>
      <w:r w:rsidRPr="00D90C15">
        <w:t xml:space="preserve"> provides sentencing data for 540 offences in the Magistrates’ Court and 254 offences in the higher courts. A new version of SACStat was launched in May 2025, which included:</w:t>
      </w:r>
    </w:p>
    <w:p w14:paraId="2A2E96B3" w14:textId="77777777" w:rsidR="005A008B" w:rsidRPr="00D90C15" w:rsidRDefault="005A008B" w:rsidP="00926C26">
      <w:pPr>
        <w:pStyle w:val="Bullets"/>
      </w:pPr>
      <w:r w:rsidRPr="00D90C15">
        <w:t>redeveloping the interface for improved usability</w:t>
      </w:r>
    </w:p>
    <w:p w14:paraId="58580DCB" w14:textId="77777777" w:rsidR="005A008B" w:rsidRPr="00D90C15" w:rsidRDefault="005A008B" w:rsidP="00926C26">
      <w:pPr>
        <w:pStyle w:val="Bullets"/>
      </w:pPr>
      <w:r w:rsidRPr="00D90C15">
        <w:lastRenderedPageBreak/>
        <w:t xml:space="preserve">adding the maximum penalty and operational period (for repealed offences) for all higher </w:t>
      </w:r>
      <w:proofErr w:type="gramStart"/>
      <w:r w:rsidRPr="00D90C15">
        <w:t>courts</w:t>
      </w:r>
      <w:proofErr w:type="gramEnd"/>
      <w:r w:rsidRPr="00D90C15">
        <w:t xml:space="preserve"> offences</w:t>
      </w:r>
    </w:p>
    <w:p w14:paraId="45160A80" w14:textId="77777777" w:rsidR="005A008B" w:rsidRPr="00D90C15" w:rsidRDefault="005A008B" w:rsidP="00926C26">
      <w:pPr>
        <w:pStyle w:val="Bullets"/>
      </w:pPr>
      <w:r w:rsidRPr="00D90C15">
        <w:t>reducing the number of graphs available for each offence to simplify the user experience</w:t>
      </w:r>
    </w:p>
    <w:p w14:paraId="799D9D99" w14:textId="77777777" w:rsidR="005A008B" w:rsidRPr="00D90C15" w:rsidRDefault="005A008B" w:rsidP="00926C26">
      <w:pPr>
        <w:pStyle w:val="Bullets"/>
      </w:pPr>
      <w:r w:rsidRPr="00D90C15">
        <w:t>expanding Magistrates’ Court data to include sentencing outcomes for federal offences and</w:t>
      </w:r>
    </w:p>
    <w:p w14:paraId="2EB3F344" w14:textId="77777777" w:rsidR="005A008B" w:rsidRPr="00D90C15" w:rsidRDefault="005A008B" w:rsidP="00926C26">
      <w:pPr>
        <w:pStyle w:val="Bullets"/>
      </w:pPr>
      <w:r w:rsidRPr="00D90C15">
        <w:t>for those federal offences, providing information about the specific Commonwealth sentencing orders available in all jurisdictions.</w:t>
      </w:r>
    </w:p>
    <w:p w14:paraId="488834C5" w14:textId="77777777" w:rsidR="005A008B" w:rsidRPr="00D90C15" w:rsidRDefault="005A008B" w:rsidP="00234617">
      <w:r w:rsidRPr="00D90C15">
        <w:t xml:space="preserve">The introduction of federal sentencing data in SACStat follows the decommissioning of the Commonwealth Sentencing Database in February 2024. The Australian Law Reform Commission has for years recommended making federal sentencing data publicly available to promote consistency. This new data in SACStat – along with sentencing data about </w:t>
      </w:r>
      <w:proofErr w:type="gramStart"/>
      <w:r w:rsidRPr="00D90C15">
        <w:t>a number of</w:t>
      </w:r>
      <w:proofErr w:type="gramEnd"/>
      <w:r w:rsidRPr="00D90C15">
        <w:t xml:space="preserve"> federal offences in the Queensland Sentencing Advisory Council’s new </w:t>
      </w:r>
      <w:proofErr w:type="spellStart"/>
      <w:r w:rsidRPr="006512A5">
        <w:rPr>
          <w:rStyle w:val="Bold"/>
        </w:rPr>
        <w:t>DataHub</w:t>
      </w:r>
      <w:proofErr w:type="spellEnd"/>
      <w:r w:rsidRPr="00D90C15">
        <w:t>, launched in August 2024 – means that dedicated federal sentencing data is now publicly available.</w:t>
      </w:r>
    </w:p>
    <w:p w14:paraId="2C5D44D5" w14:textId="77777777" w:rsidR="005A008B" w:rsidRPr="00D90C15" w:rsidRDefault="005A008B" w:rsidP="006512A5">
      <w:r w:rsidRPr="00D90C15">
        <w:t>The Council updates the data on SACStat on a regular basis, ensuring that SACStat continues to provide up-to-date sentencing data:</w:t>
      </w:r>
    </w:p>
    <w:p w14:paraId="11265C00" w14:textId="77777777" w:rsidR="005A008B" w:rsidRPr="00D90C15" w:rsidRDefault="005A008B" w:rsidP="00926C26">
      <w:pPr>
        <w:pStyle w:val="Bullets"/>
      </w:pPr>
      <w:r w:rsidRPr="00D90C15">
        <w:t xml:space="preserve">statistics for the </w:t>
      </w:r>
      <w:r w:rsidRPr="00926C26">
        <w:rPr>
          <w:rStyle w:val="Bold"/>
        </w:rPr>
        <w:t>higher courts</w:t>
      </w:r>
      <w:r w:rsidRPr="00D90C15">
        <w:t xml:space="preserve"> are updated annually and were last updated in July 2024 for 254 offences covering the five-year period to 30 June 2023</w:t>
      </w:r>
    </w:p>
    <w:p w14:paraId="07A41D75" w14:textId="77777777" w:rsidR="005A008B" w:rsidRDefault="005A008B" w:rsidP="00926C26">
      <w:pPr>
        <w:pStyle w:val="Bullets"/>
      </w:pPr>
      <w:r w:rsidRPr="00D90C15">
        <w:t xml:space="preserve">statistics for the </w:t>
      </w:r>
      <w:r w:rsidRPr="00926C26">
        <w:rPr>
          <w:rStyle w:val="Bold"/>
        </w:rPr>
        <w:t xml:space="preserve">Magistrates’ Court </w:t>
      </w:r>
      <w:r w:rsidRPr="00D90C15">
        <w:t>are updated biennially and were last updated in April 2024 for 540 offences covering the three-year period to 30 June 2023.</w:t>
      </w:r>
    </w:p>
    <w:p w14:paraId="4CD25494" w14:textId="77777777" w:rsidR="00511AD3" w:rsidRDefault="00511AD3" w:rsidP="00511AD3">
      <w:pPr>
        <w:pStyle w:val="IntenseQuote"/>
      </w:pPr>
      <w:r>
        <w:t>the sentences of 5 years and 6 months, and 6 years’ imprisonment, are significantly higher than any other recorded on the database kept by the Sentencing Advisory Council</w:t>
      </w:r>
    </w:p>
    <w:p w14:paraId="3C03A275" w14:textId="77777777" w:rsidR="00511AD3" w:rsidRPr="00E938F7" w:rsidRDefault="00511AD3" w:rsidP="00511AD3">
      <w:pPr>
        <w:pStyle w:val="IntenseQuote"/>
      </w:pPr>
      <w:r w:rsidRPr="00774C1D">
        <w:rPr>
          <w:i/>
          <w:iCs w:val="0"/>
        </w:rPr>
        <w:t>Barton (a pseudonym) v The King; DPP v Barton (a pseudonym) &amp; Anor</w:t>
      </w:r>
      <w:r w:rsidRPr="002822AC">
        <w:t xml:space="preserve"> </w:t>
      </w:r>
      <w:r w:rsidRPr="00E938F7">
        <w:t>[2025] VSCA 74, [88]</w:t>
      </w:r>
    </w:p>
    <w:p w14:paraId="3E0AC07C" w14:textId="39378489" w:rsidR="005A008B" w:rsidRPr="00D90C15" w:rsidRDefault="005A008B" w:rsidP="00926C26">
      <w:pPr>
        <w:pStyle w:val="Heading2"/>
      </w:pPr>
      <w:bookmarkStart w:id="22" w:name="_Toc221113788"/>
      <w:r w:rsidRPr="00D90C15">
        <w:lastRenderedPageBreak/>
        <w:t>Sentencing Snapshots</w:t>
      </w:r>
      <w:bookmarkEnd w:id="22"/>
    </w:p>
    <w:p w14:paraId="3D872A9E" w14:textId="77777777" w:rsidR="005A008B" w:rsidRPr="00D90C15" w:rsidRDefault="005A008B" w:rsidP="006512A5">
      <w:r w:rsidRPr="00D90C15">
        <w:t xml:space="preserve">The Council has been publishing Sentencing Snapshots since 2005. Each Snapshot details how a specific offence has been sentenced in the higher courts (the County and Supreme Courts) over the most recent five years. The Council currently publishes two separate batches of Sentencing Snapshots, one per year, with nine Sentencing Snapshots in each batch. The following nine Sentencing Snapshots were published in October 2024: </w:t>
      </w:r>
    </w:p>
    <w:p w14:paraId="057AB383" w14:textId="77777777" w:rsidR="005A008B" w:rsidRPr="00D90C15" w:rsidRDefault="005A008B" w:rsidP="00926C26">
      <w:pPr>
        <w:pStyle w:val="Bullets"/>
        <w:rPr>
          <w:rStyle w:val="Hyperlink"/>
        </w:rPr>
      </w:pPr>
      <w:r w:rsidRPr="00D90C15">
        <w:rPr>
          <w:rStyle w:val="Hyperlink"/>
        </w:rPr>
        <w:fldChar w:fldCharType="begin"/>
      </w:r>
      <w:r w:rsidRPr="00D90C15">
        <w:rPr>
          <w:rStyle w:val="Hyperlink"/>
        </w:rPr>
        <w:instrText>HYPERLINK  "https://www.sentencingcouncil.vic.gov.au/snapshots/285-armed-robbery"</w:instrText>
      </w:r>
      <w:r w:rsidRPr="00D90C15">
        <w:rPr>
          <w:rStyle w:val="Hyperlink"/>
        </w:rPr>
      </w:r>
      <w:r w:rsidRPr="00D90C15">
        <w:rPr>
          <w:rStyle w:val="Hyperlink"/>
        </w:rPr>
        <w:fldChar w:fldCharType="separate"/>
      </w:r>
      <w:r w:rsidRPr="00D90C15">
        <w:rPr>
          <w:rStyle w:val="Hyperlink"/>
        </w:rPr>
        <w:t>Sentencing Snapshot 285: Armed Robbery</w:t>
      </w:r>
    </w:p>
    <w:p w14:paraId="4F456056" w14:textId="77777777" w:rsidR="005A008B" w:rsidRPr="00D90C15" w:rsidRDefault="005A008B" w:rsidP="00926C26">
      <w:pPr>
        <w:pStyle w:val="Bullets"/>
      </w:pPr>
      <w:r w:rsidRPr="00D90C15">
        <w:rPr>
          <w:rStyle w:val="Hyperlink"/>
        </w:rPr>
        <w:fldChar w:fldCharType="end"/>
      </w:r>
      <w:hyperlink r:id="rId9" w:history="1">
        <w:r w:rsidRPr="00D90C15">
          <w:rPr>
            <w:rStyle w:val="Hyperlink"/>
          </w:rPr>
          <w:t>Sentencing Snapshot 286: Aggravated Burglary</w:t>
        </w:r>
      </w:hyperlink>
    </w:p>
    <w:p w14:paraId="338DA27A" w14:textId="77777777" w:rsidR="005A008B" w:rsidRPr="00D90C15" w:rsidRDefault="005A008B" w:rsidP="00926C26">
      <w:pPr>
        <w:pStyle w:val="Bullets"/>
      </w:pPr>
      <w:hyperlink r:id="rId10" w:history="1">
        <w:r w:rsidRPr="00D90C15">
          <w:rPr>
            <w:rStyle w:val="Hyperlink"/>
          </w:rPr>
          <w:t>Sentencing Snapshot 287: Arson</w:t>
        </w:r>
      </w:hyperlink>
    </w:p>
    <w:p w14:paraId="5B9EF6FD" w14:textId="77777777" w:rsidR="005A008B" w:rsidRPr="00D90C15" w:rsidRDefault="005A008B" w:rsidP="00926C26">
      <w:pPr>
        <w:pStyle w:val="Bullets"/>
      </w:pPr>
      <w:hyperlink r:id="rId11" w:history="1">
        <w:r w:rsidRPr="00D90C15">
          <w:rPr>
            <w:rStyle w:val="Hyperlink"/>
          </w:rPr>
          <w:t>Sentencing Snapshot 288: Intentionally Causing Serious Injury</w:t>
        </w:r>
      </w:hyperlink>
    </w:p>
    <w:p w14:paraId="7C762B7D" w14:textId="77777777" w:rsidR="005A008B" w:rsidRPr="00D90C15" w:rsidRDefault="005A008B" w:rsidP="00926C26">
      <w:pPr>
        <w:pStyle w:val="Bullets"/>
      </w:pPr>
      <w:hyperlink r:id="rId12" w:history="1">
        <w:r w:rsidRPr="00D90C15">
          <w:rPr>
            <w:rStyle w:val="Hyperlink"/>
          </w:rPr>
          <w:t>Sentencing Snapshot 289: Recklessly Causing Serious Injury</w:t>
        </w:r>
      </w:hyperlink>
    </w:p>
    <w:p w14:paraId="5C6F439C" w14:textId="77777777" w:rsidR="005A008B" w:rsidRPr="00D90C15" w:rsidRDefault="005A008B" w:rsidP="00926C26">
      <w:pPr>
        <w:pStyle w:val="Bullets"/>
      </w:pPr>
      <w:hyperlink r:id="rId13" w:history="1">
        <w:r w:rsidRPr="00D90C15">
          <w:rPr>
            <w:rStyle w:val="Hyperlink"/>
          </w:rPr>
          <w:t>Sentencing Snapshot 290: Intentionally Causing Injury</w:t>
        </w:r>
      </w:hyperlink>
    </w:p>
    <w:p w14:paraId="33819269" w14:textId="77777777" w:rsidR="005A008B" w:rsidRPr="00D90C15" w:rsidRDefault="005A008B" w:rsidP="00926C26">
      <w:pPr>
        <w:pStyle w:val="Bullets"/>
      </w:pPr>
      <w:hyperlink r:id="rId14" w:history="1">
        <w:r w:rsidRPr="00D90C15">
          <w:rPr>
            <w:rStyle w:val="Hyperlink"/>
          </w:rPr>
          <w:t>Sentencing Snapshot 291: Trafficking in a Commercial Quantity of Drugs</w:t>
        </w:r>
      </w:hyperlink>
    </w:p>
    <w:p w14:paraId="0CDA9EB7" w14:textId="77777777" w:rsidR="005A008B" w:rsidRPr="00D90C15" w:rsidRDefault="005A008B" w:rsidP="00926C26">
      <w:pPr>
        <w:pStyle w:val="Bullets"/>
      </w:pPr>
      <w:hyperlink r:id="rId15" w:history="1">
        <w:r w:rsidRPr="00D90C15">
          <w:rPr>
            <w:rStyle w:val="Hyperlink"/>
          </w:rPr>
          <w:t>Sentencing Snapshot 292: Trafficking in a Large Commercial Quantity of Drugs</w:t>
        </w:r>
      </w:hyperlink>
    </w:p>
    <w:p w14:paraId="3A077A6B" w14:textId="77777777" w:rsidR="005A008B" w:rsidRPr="00D90C15" w:rsidRDefault="005A008B" w:rsidP="00926C26">
      <w:pPr>
        <w:pStyle w:val="Bullets"/>
      </w:pPr>
      <w:hyperlink r:id="rId16" w:history="1">
        <w:r w:rsidRPr="00D90C15">
          <w:rPr>
            <w:rStyle w:val="Hyperlink"/>
          </w:rPr>
          <w:t>Sentencing Snapshot 293: Cultivating a Commercial Quantity of Narcotic Plants</w:t>
        </w:r>
      </w:hyperlink>
      <w:r w:rsidRPr="00D90C15">
        <w:t>.</w:t>
      </w:r>
    </w:p>
    <w:p w14:paraId="2979CAB6" w14:textId="77777777" w:rsidR="002310A8" w:rsidRDefault="002310A8" w:rsidP="00BF5447">
      <w:pPr>
        <w:pStyle w:val="IntenseQuote"/>
      </w:pPr>
      <w:r>
        <w:t>According to the Sentencing Advisory Council's Sentencing Snapshot No 273, during the period from 2017–18 to 2021–22, of the 89 people sentenced for murder, the shortest prison terms were 13 to less than 14 years</w:t>
      </w:r>
    </w:p>
    <w:p w14:paraId="40626BDA" w14:textId="77777777" w:rsidR="002310A8" w:rsidRDefault="002310A8" w:rsidP="00BF5447">
      <w:pPr>
        <w:pStyle w:val="IntenseQuote"/>
      </w:pPr>
      <w:r w:rsidRPr="00774C1D">
        <w:rPr>
          <w:i/>
          <w:iCs w:val="0"/>
        </w:rPr>
        <w:t xml:space="preserve">R v ST </w:t>
      </w:r>
      <w:r>
        <w:t>[2025] VSC 227, [159]</w:t>
      </w:r>
    </w:p>
    <w:p w14:paraId="4BF02D97" w14:textId="77777777" w:rsidR="005A008B" w:rsidRPr="00D90C15" w:rsidRDefault="005A008B" w:rsidP="00926C26">
      <w:pPr>
        <w:pStyle w:val="Heading2"/>
      </w:pPr>
      <w:bookmarkStart w:id="23" w:name="_Toc221113789"/>
      <w:r w:rsidRPr="00D90C15">
        <w:t>Sentencing in Victoria 2013–14 to 2022–23</w:t>
      </w:r>
      <w:bookmarkEnd w:id="23"/>
    </w:p>
    <w:p w14:paraId="5811E813" w14:textId="77777777" w:rsidR="005A008B" w:rsidRPr="00D90C15" w:rsidRDefault="005A008B" w:rsidP="006512A5">
      <w:r w:rsidRPr="00D90C15">
        <w:t xml:space="preserve">The second issue of the Council’s new </w:t>
      </w:r>
      <w:r w:rsidRPr="004A331A">
        <w:rPr>
          <w:i/>
          <w:iCs/>
        </w:rPr>
        <w:t xml:space="preserve">Sentencing in Victoria </w:t>
      </w:r>
      <w:r w:rsidRPr="00D90C15">
        <w:t>reports was published in December 2024:</w:t>
      </w:r>
      <w:hyperlink r:id="rId17" w:history="1">
        <w:r w:rsidRPr="00D90C15">
          <w:rPr>
            <w:rStyle w:val="Hyperlink"/>
          </w:rPr>
          <w:t xml:space="preserve"> Sentencing in Victoria 2013–14 to 2022–23</w:t>
        </w:r>
      </w:hyperlink>
      <w:r w:rsidRPr="00D90C15">
        <w:t>. These reports provide a high-level overview of sentencing trends in the various jurisdictions, including the Supreme Court, County Court, Magistrates’ Court and Children’s Court. For each of those jurisdictions, the report details:</w:t>
      </w:r>
    </w:p>
    <w:p w14:paraId="42010229" w14:textId="77777777" w:rsidR="005A008B" w:rsidRPr="00D90C15" w:rsidRDefault="005A008B" w:rsidP="00926C26">
      <w:pPr>
        <w:pStyle w:val="Bullets"/>
      </w:pPr>
      <w:r w:rsidRPr="00D90C15">
        <w:lastRenderedPageBreak/>
        <w:t>the number of people sentenced each year</w:t>
      </w:r>
    </w:p>
    <w:p w14:paraId="3BBCAFE5" w14:textId="77777777" w:rsidR="005A008B" w:rsidRPr="00D90C15" w:rsidRDefault="005A008B" w:rsidP="00926C26">
      <w:pPr>
        <w:pStyle w:val="Bullets"/>
      </w:pPr>
      <w:r w:rsidRPr="00D90C15">
        <w:t>the gender of sentenced offenders (or if they were companies)</w:t>
      </w:r>
    </w:p>
    <w:p w14:paraId="50B4A53A" w14:textId="77777777" w:rsidR="005A008B" w:rsidRPr="00D90C15" w:rsidRDefault="005A008B" w:rsidP="00926C26">
      <w:pPr>
        <w:pStyle w:val="Bullets"/>
      </w:pPr>
      <w:r w:rsidRPr="00D90C15">
        <w:t>the most serious offences for which offenders were sentenced</w:t>
      </w:r>
    </w:p>
    <w:p w14:paraId="3D339563" w14:textId="77777777" w:rsidR="005A008B" w:rsidRPr="00D90C15" w:rsidRDefault="005A008B" w:rsidP="00926C26">
      <w:pPr>
        <w:pStyle w:val="Bullets"/>
      </w:pPr>
      <w:r w:rsidRPr="00D90C15">
        <w:t>the types of sentences they received and</w:t>
      </w:r>
    </w:p>
    <w:p w14:paraId="7EF6BF58" w14:textId="77777777" w:rsidR="005A008B" w:rsidRPr="00D90C15" w:rsidRDefault="005A008B" w:rsidP="00926C26">
      <w:pPr>
        <w:pStyle w:val="Bullets"/>
      </w:pPr>
      <w:r w:rsidRPr="00D90C15">
        <w:t xml:space="preserve">the lengths (for prison or detention) or values (for fines) of the sentences they received. </w:t>
      </w:r>
    </w:p>
    <w:p w14:paraId="7AF39126" w14:textId="77777777" w:rsidR="00ED0899" w:rsidRDefault="00ED0899" w:rsidP="00ED0899">
      <w:pPr>
        <w:pStyle w:val="IntenseQuote"/>
      </w:pPr>
      <w:r>
        <w:t>the parties accepted that the sentencing statistics produced by the Sentencing Advisory Council may provide some assistance … Of the 60 sentences that the statistics record as having been imposed in the County and Supreme Courts over this period, only two of the sentences were lower than four years</w:t>
      </w:r>
    </w:p>
    <w:p w14:paraId="6D1447DA" w14:textId="77777777" w:rsidR="00ED0899" w:rsidRDefault="00ED0899" w:rsidP="00ED0899">
      <w:pPr>
        <w:pStyle w:val="IntenseQuote"/>
      </w:pPr>
      <w:r w:rsidRPr="00774C1D">
        <w:rPr>
          <w:i/>
          <w:iCs w:val="0"/>
        </w:rPr>
        <w:t>Chapman v The King</w:t>
      </w:r>
      <w:r>
        <w:t xml:space="preserve"> [2024] VSCA 205, [68]</w:t>
      </w:r>
    </w:p>
    <w:p w14:paraId="5B177EA4" w14:textId="77777777" w:rsidR="005A008B" w:rsidRPr="00D90C15" w:rsidRDefault="005A008B" w:rsidP="006512A5">
      <w:r w:rsidRPr="00D90C15">
        <w:t>For example, in the County Court of Victoria, for the 10 years to 30 June 2023:</w:t>
      </w:r>
    </w:p>
    <w:p w14:paraId="2F62342B" w14:textId="77777777" w:rsidR="005A008B" w:rsidRPr="00D90C15" w:rsidRDefault="005A008B" w:rsidP="00926C26">
      <w:pPr>
        <w:pStyle w:val="Bullets"/>
      </w:pPr>
      <w:r w:rsidRPr="00D90C15">
        <w:t xml:space="preserve">16,600 people or companies were sentenced </w:t>
      </w:r>
    </w:p>
    <w:p w14:paraId="6578203F" w14:textId="77777777" w:rsidR="005A008B" w:rsidRPr="00D90C15" w:rsidRDefault="005A008B" w:rsidP="00926C26">
      <w:pPr>
        <w:pStyle w:val="Bullets"/>
      </w:pPr>
      <w:r w:rsidRPr="00D90C15">
        <w:t xml:space="preserve">14,770 offenders were male, and the remainder were female (1,657), companies (92) or unspecified in the data (81) </w:t>
      </w:r>
    </w:p>
    <w:p w14:paraId="4C7A0DCB" w14:textId="77777777" w:rsidR="005A008B" w:rsidRPr="00D90C15" w:rsidRDefault="005A008B" w:rsidP="00926C26">
      <w:pPr>
        <w:pStyle w:val="Bullets"/>
      </w:pPr>
      <w:r w:rsidRPr="00D90C15">
        <w:t>sexual assault offences were the most common principal offence type (19.2% of cases, or 3,185)</w:t>
      </w:r>
    </w:p>
    <w:p w14:paraId="016FF6B9" w14:textId="77777777" w:rsidR="005A008B" w:rsidRPr="00D90C15" w:rsidRDefault="005A008B" w:rsidP="00926C26">
      <w:pPr>
        <w:pStyle w:val="Bullets"/>
      </w:pPr>
      <w:r w:rsidRPr="00D90C15">
        <w:t>the most common sentence type was a term of imprisonment either with or without a community correction order (70% of cases, or 11,603) and</w:t>
      </w:r>
    </w:p>
    <w:p w14:paraId="3F58BFBE" w14:textId="77777777" w:rsidR="005A008B" w:rsidRPr="00D90C15" w:rsidRDefault="005A008B" w:rsidP="00926C26">
      <w:pPr>
        <w:pStyle w:val="Bullets"/>
      </w:pPr>
      <w:r w:rsidRPr="00D90C15">
        <w:t>the median prison sentence duration in those 11,603 cases was 3 years.</w:t>
      </w:r>
    </w:p>
    <w:p w14:paraId="2BCF6621" w14:textId="77777777" w:rsidR="000F1A43" w:rsidRDefault="000F1A43" w:rsidP="000F1A43">
      <w:pPr>
        <w:pStyle w:val="IntenseQuote"/>
      </w:pPr>
      <w:r>
        <w:t>It is clear from the statistics published by the Sentencing Advisory Council that the sentences imposed in the period preceding the decision in Harrison in 2015 no longer reflect current sentencing practices</w:t>
      </w:r>
    </w:p>
    <w:p w14:paraId="4E8DDC73" w14:textId="77777777" w:rsidR="000F1A43" w:rsidRDefault="000F1A43" w:rsidP="000F1A43">
      <w:pPr>
        <w:pStyle w:val="IntenseQuote"/>
      </w:pPr>
      <w:r w:rsidRPr="00774C1D">
        <w:rPr>
          <w:i/>
          <w:iCs w:val="0"/>
        </w:rPr>
        <w:lastRenderedPageBreak/>
        <w:t>Di Gregorio v The King</w:t>
      </w:r>
      <w:r w:rsidRPr="002822AC">
        <w:t xml:space="preserve"> </w:t>
      </w:r>
      <w:r>
        <w:t>[2025] VSCA 103, [86]</w:t>
      </w:r>
    </w:p>
    <w:p w14:paraId="4AC0C021" w14:textId="77777777" w:rsidR="005A008B" w:rsidRPr="00D90C15" w:rsidRDefault="005A008B" w:rsidP="00926C26">
      <w:pPr>
        <w:pStyle w:val="Heading2"/>
      </w:pPr>
      <w:bookmarkStart w:id="24" w:name="_Toc221113790"/>
      <w:r w:rsidRPr="00D90C15">
        <w:t>Serious Offending on a Community Correction Order</w:t>
      </w:r>
      <w:bookmarkEnd w:id="24"/>
    </w:p>
    <w:p w14:paraId="5F978AB4" w14:textId="77777777" w:rsidR="005A008B" w:rsidRPr="00D90C15" w:rsidRDefault="005A008B" w:rsidP="006512A5">
      <w:r w:rsidRPr="00D90C15">
        <w:t xml:space="preserve">Section 104AA of the </w:t>
      </w:r>
      <w:r w:rsidRPr="004A331A">
        <w:rPr>
          <w:i/>
          <w:iCs/>
        </w:rPr>
        <w:t xml:space="preserve">Corrections Act 1986 </w:t>
      </w:r>
      <w:r w:rsidRPr="00D90C15">
        <w:t>(Vic) requires the Council to publish, annually, the number of people sentenced for committing a ‘serious offence’ (defined in legislation) while on a community correction order (CCO). In December 2024, the Council published the sixth and seventh of these reports:</w:t>
      </w:r>
    </w:p>
    <w:p w14:paraId="53B0F7A0" w14:textId="77777777" w:rsidR="005A008B" w:rsidRPr="004A331A" w:rsidRDefault="005A008B" w:rsidP="00926C26">
      <w:pPr>
        <w:pStyle w:val="Bullets"/>
        <w:rPr>
          <w:i/>
          <w:iCs/>
        </w:rPr>
      </w:pPr>
      <w:hyperlink r:id="rId18" w:history="1">
        <w:r w:rsidRPr="00D90C15">
          <w:rPr>
            <w:rStyle w:val="Hyperlink"/>
          </w:rPr>
          <w:t>Serious Offending by People Serving a Community Correction Order 2021–22</w:t>
        </w:r>
      </w:hyperlink>
    </w:p>
    <w:p w14:paraId="4718A5F8" w14:textId="77777777" w:rsidR="005A008B" w:rsidRPr="004A331A" w:rsidRDefault="005A008B" w:rsidP="00926C26">
      <w:pPr>
        <w:pStyle w:val="Bullets"/>
        <w:rPr>
          <w:i/>
          <w:iCs/>
        </w:rPr>
      </w:pPr>
      <w:hyperlink r:id="rId19" w:history="1">
        <w:r w:rsidRPr="00D90C15">
          <w:rPr>
            <w:rStyle w:val="Hyperlink"/>
          </w:rPr>
          <w:t>Serious Offending by People Serving a Community Correction Order 2022–23</w:t>
        </w:r>
      </w:hyperlink>
    </w:p>
    <w:p w14:paraId="17A3E3B4" w14:textId="77777777" w:rsidR="005A008B" w:rsidRPr="00D90C15" w:rsidRDefault="005A008B" w:rsidP="00234617">
      <w:r w:rsidRPr="00D90C15">
        <w:t>Consistent with all previous reports on the topic, about 1.7% of people on a CCO are sentenced for having committed a serious offence during their CCO, with the three most common serious offences being making a threat to kill, aggravated burglary and making a threat to inflict serious injury.</w:t>
      </w:r>
    </w:p>
    <w:p w14:paraId="0563243F" w14:textId="77777777" w:rsidR="005A008B" w:rsidRPr="00D90C15" w:rsidRDefault="005A008B" w:rsidP="00926C26">
      <w:pPr>
        <w:pStyle w:val="Caption"/>
      </w:pPr>
      <w:r w:rsidRPr="00D90C15">
        <w:t>Proportion of people sentenced for committing a serious offence on a CCO each year</w:t>
      </w:r>
    </w:p>
    <w:tbl>
      <w:tblPr>
        <w:tblStyle w:val="Table"/>
        <w:tblW w:w="5000" w:type="pct"/>
        <w:tblLook w:val="04A0" w:firstRow="1" w:lastRow="0" w:firstColumn="1" w:lastColumn="0" w:noHBand="0" w:noVBand="1"/>
      </w:tblPr>
      <w:tblGrid>
        <w:gridCol w:w="4508"/>
        <w:gridCol w:w="4508"/>
      </w:tblGrid>
      <w:tr w:rsidR="00CE6502" w14:paraId="31A019D2" w14:textId="77777777" w:rsidTr="00337D45">
        <w:trPr>
          <w:tblHeader/>
        </w:trPr>
        <w:tc>
          <w:tcPr>
            <w:tcW w:w="2500" w:type="pct"/>
          </w:tcPr>
          <w:p w14:paraId="7587B804" w14:textId="5FF2AD39" w:rsidR="00CE6502" w:rsidRDefault="00CE6502" w:rsidP="00984C57">
            <w:pPr>
              <w:pStyle w:val="TableHeading"/>
            </w:pPr>
            <w:r>
              <w:t>Financial year</w:t>
            </w:r>
          </w:p>
        </w:tc>
        <w:tc>
          <w:tcPr>
            <w:tcW w:w="2500" w:type="pct"/>
          </w:tcPr>
          <w:p w14:paraId="72AB5A33" w14:textId="5D3B9681" w:rsidR="00CE6502" w:rsidRDefault="00CE6502" w:rsidP="00984C57">
            <w:pPr>
              <w:pStyle w:val="TableHeading"/>
            </w:pPr>
            <w:r>
              <w:t>Proportion</w:t>
            </w:r>
          </w:p>
        </w:tc>
      </w:tr>
      <w:tr w:rsidR="00CE6502" w14:paraId="32400E7D" w14:textId="77777777" w:rsidTr="00984C57">
        <w:tc>
          <w:tcPr>
            <w:tcW w:w="2500" w:type="pct"/>
          </w:tcPr>
          <w:p w14:paraId="660B5811" w14:textId="63C15567" w:rsidR="00CE6502" w:rsidRDefault="00CE6502" w:rsidP="00984C57">
            <w:pPr>
              <w:pStyle w:val="TableBody"/>
            </w:pPr>
            <w:r>
              <w:t>2022-23</w:t>
            </w:r>
          </w:p>
        </w:tc>
        <w:tc>
          <w:tcPr>
            <w:tcW w:w="2500" w:type="pct"/>
          </w:tcPr>
          <w:p w14:paraId="5C3E68A7" w14:textId="7E5F318F" w:rsidR="00CE6502" w:rsidRDefault="00CE6502" w:rsidP="00984C57">
            <w:pPr>
              <w:pStyle w:val="TableBody"/>
            </w:pPr>
            <w:r>
              <w:t>1.7%</w:t>
            </w:r>
          </w:p>
        </w:tc>
      </w:tr>
      <w:tr w:rsidR="00CE6502" w14:paraId="27E40C92" w14:textId="77777777" w:rsidTr="00984C57">
        <w:tc>
          <w:tcPr>
            <w:tcW w:w="2500" w:type="pct"/>
          </w:tcPr>
          <w:p w14:paraId="5E78AE78" w14:textId="1A5D12C5" w:rsidR="00CE6502" w:rsidRDefault="00CE6502" w:rsidP="00984C57">
            <w:pPr>
              <w:pStyle w:val="TableBody"/>
            </w:pPr>
            <w:r>
              <w:t>2021-22</w:t>
            </w:r>
          </w:p>
        </w:tc>
        <w:tc>
          <w:tcPr>
            <w:tcW w:w="2500" w:type="pct"/>
          </w:tcPr>
          <w:p w14:paraId="56CA225C" w14:textId="7BC40861" w:rsidR="00CE6502" w:rsidRDefault="00CE6502" w:rsidP="00984C57">
            <w:pPr>
              <w:pStyle w:val="TableBody"/>
            </w:pPr>
            <w:r>
              <w:t>1.7%</w:t>
            </w:r>
          </w:p>
        </w:tc>
      </w:tr>
      <w:tr w:rsidR="00CE6502" w14:paraId="5253E538" w14:textId="77777777" w:rsidTr="00984C57">
        <w:tc>
          <w:tcPr>
            <w:tcW w:w="2500" w:type="pct"/>
          </w:tcPr>
          <w:p w14:paraId="72C30AD0" w14:textId="7E8517B5" w:rsidR="00CE6502" w:rsidRDefault="00CE6502" w:rsidP="00984C57">
            <w:pPr>
              <w:pStyle w:val="TableBody"/>
            </w:pPr>
            <w:r>
              <w:t>2020-21</w:t>
            </w:r>
          </w:p>
        </w:tc>
        <w:tc>
          <w:tcPr>
            <w:tcW w:w="2500" w:type="pct"/>
          </w:tcPr>
          <w:p w14:paraId="3F82BC3B" w14:textId="2EF3C370" w:rsidR="00CE6502" w:rsidRPr="00CE6502" w:rsidRDefault="00CE6502" w:rsidP="00984C57">
            <w:pPr>
              <w:pStyle w:val="TableBody"/>
            </w:pPr>
            <w:r>
              <w:t>1.6%</w:t>
            </w:r>
          </w:p>
        </w:tc>
      </w:tr>
      <w:tr w:rsidR="00CE6502" w14:paraId="49D5961A" w14:textId="77777777" w:rsidTr="00984C57">
        <w:tc>
          <w:tcPr>
            <w:tcW w:w="2500" w:type="pct"/>
          </w:tcPr>
          <w:p w14:paraId="6138252F" w14:textId="4D897D5C" w:rsidR="00CE6502" w:rsidRDefault="00CE6502" w:rsidP="00984C57">
            <w:pPr>
              <w:pStyle w:val="TableBody"/>
            </w:pPr>
            <w:r>
              <w:t>2019-20</w:t>
            </w:r>
          </w:p>
        </w:tc>
        <w:tc>
          <w:tcPr>
            <w:tcW w:w="2500" w:type="pct"/>
          </w:tcPr>
          <w:p w14:paraId="41F75DC8" w14:textId="4629EADD" w:rsidR="00CE6502" w:rsidRDefault="00CE6502" w:rsidP="00984C57">
            <w:pPr>
              <w:pStyle w:val="TableBody"/>
            </w:pPr>
            <w:r>
              <w:t>1.7%</w:t>
            </w:r>
          </w:p>
        </w:tc>
      </w:tr>
      <w:tr w:rsidR="00CE6502" w14:paraId="1EA6C88F" w14:textId="77777777" w:rsidTr="00984C57">
        <w:tc>
          <w:tcPr>
            <w:tcW w:w="2500" w:type="pct"/>
          </w:tcPr>
          <w:p w14:paraId="001CBE90" w14:textId="72AFB739" w:rsidR="00CE6502" w:rsidRDefault="00CE6502" w:rsidP="00984C57">
            <w:pPr>
              <w:pStyle w:val="TableBody"/>
            </w:pPr>
            <w:r>
              <w:t>2018-19</w:t>
            </w:r>
          </w:p>
        </w:tc>
        <w:tc>
          <w:tcPr>
            <w:tcW w:w="2500" w:type="pct"/>
          </w:tcPr>
          <w:p w14:paraId="69C75222" w14:textId="7A0A3CC8" w:rsidR="00CE6502" w:rsidRDefault="00CE6502" w:rsidP="00984C57">
            <w:pPr>
              <w:pStyle w:val="TableBody"/>
            </w:pPr>
            <w:r>
              <w:t>1.7%</w:t>
            </w:r>
          </w:p>
        </w:tc>
      </w:tr>
    </w:tbl>
    <w:p w14:paraId="0228ADA3" w14:textId="2A1030DD" w:rsidR="005A008B" w:rsidRPr="00AA1CB0" w:rsidRDefault="006B7598" w:rsidP="00AA1CB0">
      <w:pPr>
        <w:pStyle w:val="Heading1"/>
      </w:pPr>
      <w:bookmarkStart w:id="25" w:name="_Toc221113791"/>
      <w:r w:rsidRPr="00AA1CB0">
        <w:lastRenderedPageBreak/>
        <w:t xml:space="preserve">Our Legal Research </w:t>
      </w:r>
      <w:proofErr w:type="gramStart"/>
      <w:r w:rsidRPr="00AA1CB0">
        <w:t>And</w:t>
      </w:r>
      <w:proofErr w:type="gramEnd"/>
      <w:r w:rsidRPr="00AA1CB0">
        <w:t xml:space="preserve"> Policy Work</w:t>
      </w:r>
      <w:bookmarkEnd w:id="25"/>
    </w:p>
    <w:p w14:paraId="6D99EFF3" w14:textId="77777777" w:rsidR="005A008B" w:rsidRPr="00D90C15" w:rsidRDefault="005A008B" w:rsidP="00926C26">
      <w:r w:rsidRPr="00D90C15">
        <w:t>One of the Council’s primary functions is the provision of independent, high-quality sentencing research and policy advice by conducting research and disseminating information on sentencing matters, and advising the Attorney-General on sentencing matters.</w:t>
      </w:r>
    </w:p>
    <w:p w14:paraId="45971DCA" w14:textId="77777777" w:rsidR="005A008B" w:rsidRPr="00D90C15" w:rsidRDefault="005A008B" w:rsidP="00926C26">
      <w:pPr>
        <w:pStyle w:val="Heading2"/>
      </w:pPr>
      <w:bookmarkStart w:id="26" w:name="_Toc221113792"/>
      <w:r w:rsidRPr="00D90C15">
        <w:t>Assessing the Impact of Inflation and Penalty Unit Indexation on Fine Amounts in Victoria</w:t>
      </w:r>
      <w:bookmarkEnd w:id="26"/>
    </w:p>
    <w:p w14:paraId="515E9723" w14:textId="77777777" w:rsidR="005A008B" w:rsidRPr="00D90C15" w:rsidRDefault="005A008B" w:rsidP="00234617">
      <w:r w:rsidRPr="00D90C15">
        <w:t xml:space="preserve">In October 2024, the Council released a new report examining whether fines imposed in the Magistrates’ Court have kept pace with inflation and the changing value of a penalty unit in Victoria between 2004 and 2023. We analysed fine data relating to the 30 offences that </w:t>
      </w:r>
      <w:proofErr w:type="gramStart"/>
      <w:r w:rsidRPr="00D90C15">
        <w:t>most commonly received</w:t>
      </w:r>
      <w:proofErr w:type="gramEnd"/>
      <w:r w:rsidRPr="00D90C15">
        <w:t xml:space="preserve"> fines over that period, and applied </w:t>
      </w:r>
      <w:proofErr w:type="gramStart"/>
      <w:r w:rsidRPr="00D90C15">
        <w:t>a number of</w:t>
      </w:r>
      <w:proofErr w:type="gramEnd"/>
      <w:r w:rsidRPr="00D90C15">
        <w:t xml:space="preserve"> statistical models to determine whether fine amounts changed over time. </w:t>
      </w:r>
    </w:p>
    <w:p w14:paraId="34D901DE" w14:textId="77777777" w:rsidR="005A008B" w:rsidRPr="00D90C15" w:rsidRDefault="005A008B" w:rsidP="006512A5">
      <w:r w:rsidRPr="00D90C15">
        <w:t>Some of the key findings included:</w:t>
      </w:r>
    </w:p>
    <w:p w14:paraId="0429678F" w14:textId="77777777" w:rsidR="005A008B" w:rsidRPr="00D90C15" w:rsidRDefault="005A008B" w:rsidP="00926C26">
      <w:pPr>
        <w:pStyle w:val="Bullets"/>
      </w:pPr>
      <w:r w:rsidRPr="00D90C15">
        <w:t>there were over 2 million offences that received a fine in the Magistrates’ Court in the 19-year period</w:t>
      </w:r>
    </w:p>
    <w:p w14:paraId="43769E7C" w14:textId="77777777" w:rsidR="005A008B" w:rsidRPr="00D90C15" w:rsidRDefault="005A008B" w:rsidP="00926C26">
      <w:pPr>
        <w:pStyle w:val="Bullets"/>
      </w:pPr>
      <w:r w:rsidRPr="00D90C15">
        <w:t>for 7 of the 30 offences examined, the average fine amount largely kept pace with inflation, with most of these being traffic offences (e.g. stopping in a no-stopping area) or animal-related offences (e.g. failing to register a cat or dog)</w:t>
      </w:r>
    </w:p>
    <w:p w14:paraId="38AAC41A" w14:textId="77777777" w:rsidR="005A008B" w:rsidRPr="00D90C15" w:rsidRDefault="005A008B" w:rsidP="00926C26">
      <w:pPr>
        <w:pStyle w:val="Bullets"/>
      </w:pPr>
      <w:r w:rsidRPr="00D90C15">
        <w:t xml:space="preserve">for the other 23 offences, the average fine amount did not seem to keep pace with inflation, being slightly or significantly below what would have been expected, especially for offences that could not originally be dealt with by way of an infringement notice. </w:t>
      </w:r>
    </w:p>
    <w:p w14:paraId="0A31F71C" w14:textId="77777777" w:rsidR="005A008B" w:rsidRDefault="005A008B" w:rsidP="00234617">
      <w:r w:rsidRPr="00D90C15">
        <w:t>On the release of the report, Council Director Stan Winford said:</w:t>
      </w:r>
    </w:p>
    <w:p w14:paraId="348A53B5" w14:textId="0284572C" w:rsidR="007205A1" w:rsidRPr="00D90C15" w:rsidRDefault="007205A1" w:rsidP="007205A1">
      <w:pPr>
        <w:ind w:left="992"/>
      </w:pPr>
      <w:r>
        <w:t xml:space="preserve">This report is the first review of the effect of penalty unit indexation on court fine </w:t>
      </w:r>
      <w:r w:rsidRPr="007205A1">
        <w:t>amounts</w:t>
      </w:r>
      <w:r>
        <w:t xml:space="preserve"> since indexation began in 2004. We found that fine amounts for some offences are increasing over time to keep pace with inflation, but others aren’t. This raises some challenging issues.</w:t>
      </w:r>
    </w:p>
    <w:p w14:paraId="39E1A299" w14:textId="77777777" w:rsidR="005A008B" w:rsidRPr="00D90C15" w:rsidRDefault="005A008B" w:rsidP="00926C26">
      <w:pPr>
        <w:pStyle w:val="Heading2"/>
      </w:pPr>
      <w:bookmarkStart w:id="27" w:name="_Toc221113793"/>
      <w:r w:rsidRPr="00D90C15">
        <w:lastRenderedPageBreak/>
        <w:t>Sentencing Occupational Health and Safety Offences in Victoria: Report and Recommendations</w:t>
      </w:r>
      <w:bookmarkEnd w:id="27"/>
    </w:p>
    <w:p w14:paraId="20278E9E" w14:textId="77777777" w:rsidR="005A008B" w:rsidRPr="00D90C15" w:rsidRDefault="005A008B" w:rsidP="00234617">
      <w:r w:rsidRPr="00D90C15">
        <w:t>In January 2024, the Victorian Government provided the Council with terms of reference to investigate potential reforms to the sentencing of occupational health and safety (OHS) offences. The Council was asked to review sentencing practices for OHS offences, consult with stakeholders, consider whether current sentencing practices align with community expectations, consider the role of injured workers and the families of deceased workers in the sentencing of OHS offences, and examine the enforcement of sentencing orders, especially court fines.</w:t>
      </w:r>
    </w:p>
    <w:p w14:paraId="2896FE5E" w14:textId="77777777" w:rsidR="005A008B" w:rsidRPr="00D90C15" w:rsidRDefault="005A008B" w:rsidP="006512A5">
      <w:r w:rsidRPr="00D90C15">
        <w:t xml:space="preserve">Over the two years of this project, the Council: </w:t>
      </w:r>
    </w:p>
    <w:p w14:paraId="43A9341D" w14:textId="77777777" w:rsidR="005A008B" w:rsidRPr="00D90C15" w:rsidRDefault="005A008B" w:rsidP="00926C26">
      <w:pPr>
        <w:pStyle w:val="Bullets"/>
      </w:pPr>
      <w:r w:rsidRPr="00D90C15">
        <w:t>reviewed academic and other literature on the sentencing of OHS offences</w:t>
      </w:r>
    </w:p>
    <w:p w14:paraId="4D411FD1" w14:textId="77777777" w:rsidR="005A008B" w:rsidRPr="00D90C15" w:rsidRDefault="005A008B" w:rsidP="00926C26">
      <w:pPr>
        <w:pStyle w:val="Bullets"/>
      </w:pPr>
      <w:r w:rsidRPr="00D90C15">
        <w:t>reviewed case law about the sentencing of OHS offences</w:t>
      </w:r>
    </w:p>
    <w:p w14:paraId="566E6240" w14:textId="77777777" w:rsidR="005A008B" w:rsidRPr="00D90C15" w:rsidRDefault="005A008B" w:rsidP="00926C26">
      <w:pPr>
        <w:pStyle w:val="Bullets"/>
      </w:pPr>
      <w:r w:rsidRPr="00D90C15">
        <w:t>iteratively consulted with key stakeholders, including during preliminary consultation and in testing draft recommendations for reform</w:t>
      </w:r>
    </w:p>
    <w:p w14:paraId="63BC1C78" w14:textId="77777777" w:rsidR="005A008B" w:rsidRPr="00D90C15" w:rsidRDefault="005A008B" w:rsidP="00926C26">
      <w:pPr>
        <w:pStyle w:val="Bullets"/>
      </w:pPr>
      <w:r w:rsidRPr="00D90C15">
        <w:t xml:space="preserve">published a </w:t>
      </w:r>
      <w:r w:rsidRPr="00926C26">
        <w:rPr>
          <w:rStyle w:val="Bold"/>
        </w:rPr>
        <w:t>statistical report</w:t>
      </w:r>
      <w:r w:rsidRPr="00D90C15">
        <w:t xml:space="preserve"> on the sentencing of OHS offences in the 19 years since the </w:t>
      </w:r>
      <w:r w:rsidRPr="004A331A">
        <w:rPr>
          <w:i/>
          <w:iCs/>
        </w:rPr>
        <w:t xml:space="preserve">Occupational Health and Safety Act 2004 </w:t>
      </w:r>
      <w:r w:rsidRPr="00D90C15">
        <w:t>(Vic) came into operation</w:t>
      </w:r>
    </w:p>
    <w:p w14:paraId="429D2506" w14:textId="77777777" w:rsidR="005A008B" w:rsidRPr="00D90C15" w:rsidRDefault="005A008B" w:rsidP="00926C26">
      <w:pPr>
        <w:pStyle w:val="Bullets"/>
      </w:pPr>
      <w:r w:rsidRPr="00D90C15">
        <w:t xml:space="preserve">published a </w:t>
      </w:r>
      <w:r w:rsidRPr="00926C26">
        <w:rPr>
          <w:rStyle w:val="Bold"/>
        </w:rPr>
        <w:t>consultation paper</w:t>
      </w:r>
      <w:r w:rsidRPr="00D90C15">
        <w:t xml:space="preserve"> on key areas of potential reform</w:t>
      </w:r>
    </w:p>
    <w:p w14:paraId="21A23392" w14:textId="77777777" w:rsidR="005A008B" w:rsidRPr="00D90C15" w:rsidRDefault="005A008B" w:rsidP="00926C26">
      <w:pPr>
        <w:pStyle w:val="Bullets"/>
      </w:pPr>
      <w:r w:rsidRPr="00D90C15">
        <w:t xml:space="preserve">invited and received </w:t>
      </w:r>
      <w:r w:rsidRPr="00926C26">
        <w:rPr>
          <w:rStyle w:val="Bold"/>
        </w:rPr>
        <w:t>written submissions</w:t>
      </w:r>
      <w:r w:rsidRPr="00D90C15">
        <w:t xml:space="preserve"> </w:t>
      </w:r>
      <w:r w:rsidRPr="00774C1D">
        <w:t>from key stakeholders on potential reforms</w:t>
      </w:r>
    </w:p>
    <w:p w14:paraId="66A11A17" w14:textId="77777777" w:rsidR="005A008B" w:rsidRPr="00D90C15" w:rsidRDefault="005A008B" w:rsidP="00926C26">
      <w:pPr>
        <w:pStyle w:val="Bullets"/>
      </w:pPr>
      <w:r w:rsidRPr="00D90C15">
        <w:t>hosted a survey on the Engage Victoria website to seek community views</w:t>
      </w:r>
    </w:p>
    <w:p w14:paraId="4D72CB15" w14:textId="77777777" w:rsidR="005A008B" w:rsidRPr="00D90C15" w:rsidRDefault="005A008B" w:rsidP="00926C26">
      <w:pPr>
        <w:pStyle w:val="Bullets"/>
      </w:pPr>
      <w:r w:rsidRPr="00D90C15">
        <w:t xml:space="preserve">facilitated a series of community consultation events, including five in regional Victoria, to ask the community how they would have sentenced a real-life OHS case and </w:t>
      </w:r>
    </w:p>
    <w:p w14:paraId="47E5BF97" w14:textId="77777777" w:rsidR="005A008B" w:rsidRPr="00D90C15" w:rsidRDefault="005A008B" w:rsidP="00926C26">
      <w:pPr>
        <w:pStyle w:val="Bullets"/>
      </w:pPr>
      <w:r w:rsidRPr="00D90C15">
        <w:t xml:space="preserve">in February 2025, published the final report, with 12 recommendations for reform. </w:t>
      </w:r>
    </w:p>
    <w:p w14:paraId="53F3F153" w14:textId="77777777" w:rsidR="005A008B" w:rsidRPr="00D90C15" w:rsidRDefault="005A008B" w:rsidP="00234617">
      <w:r w:rsidRPr="00D90C15">
        <w:t xml:space="preserve">The 12 recommendations in </w:t>
      </w:r>
      <w:hyperlink r:id="rId20" w:history="1">
        <w:r w:rsidRPr="00D90C15">
          <w:rPr>
            <w:rStyle w:val="Hyperlink"/>
          </w:rPr>
          <w:t>Sentencing Occupational Health and Safety Offences in Victoria: Report and Recommendations</w:t>
        </w:r>
      </w:hyperlink>
      <w:r w:rsidRPr="00D90C15">
        <w:t xml:space="preserve"> included: </w:t>
      </w:r>
    </w:p>
    <w:p w14:paraId="507DE574" w14:textId="77777777" w:rsidR="005A008B" w:rsidRPr="0024372C" w:rsidRDefault="005A008B" w:rsidP="0024372C">
      <w:pPr>
        <w:rPr>
          <w:rStyle w:val="Bold"/>
        </w:rPr>
      </w:pPr>
      <w:r w:rsidRPr="0024372C">
        <w:rPr>
          <w:rStyle w:val="Bold"/>
        </w:rPr>
        <w:lastRenderedPageBreak/>
        <w:t>Victims and other affected persons</w:t>
      </w:r>
    </w:p>
    <w:p w14:paraId="08D866FD" w14:textId="77777777" w:rsidR="005A008B" w:rsidRPr="00ED4195" w:rsidRDefault="005A008B" w:rsidP="00ED4195">
      <w:pPr>
        <w:pStyle w:val="ListParagraph"/>
        <w:numPr>
          <w:ilvl w:val="0"/>
          <w:numId w:val="18"/>
        </w:numPr>
      </w:pPr>
      <w:r w:rsidRPr="00ED4195">
        <w:t>Expanding the circumstances in which affected people can submit ‘impact statements’ during sentencing hearings in OHS cases</w:t>
      </w:r>
    </w:p>
    <w:p w14:paraId="70F3B533" w14:textId="77777777" w:rsidR="005A008B" w:rsidRPr="00ED4195" w:rsidRDefault="005A008B" w:rsidP="00ED4195">
      <w:pPr>
        <w:pStyle w:val="ListParagraph"/>
        <w:numPr>
          <w:ilvl w:val="0"/>
          <w:numId w:val="18"/>
        </w:numPr>
      </w:pPr>
      <w:r w:rsidRPr="00ED4195">
        <w:t>Introducing a legislative framework to enable restorative justice conferences in OHS cases</w:t>
      </w:r>
    </w:p>
    <w:p w14:paraId="507B55B2" w14:textId="77777777" w:rsidR="005A008B" w:rsidRPr="00D90C15" w:rsidRDefault="005A008B" w:rsidP="00ED4195">
      <w:pPr>
        <w:pStyle w:val="ListParagraph"/>
        <w:numPr>
          <w:ilvl w:val="0"/>
          <w:numId w:val="18"/>
        </w:numPr>
      </w:pPr>
      <w:r w:rsidRPr="00ED4195">
        <w:t>Piloting and evaluating the implementation of restorative justice conferences</w:t>
      </w:r>
      <w:r w:rsidRPr="00D90C15">
        <w:t xml:space="preserve"> in OHS cases</w:t>
      </w:r>
    </w:p>
    <w:p w14:paraId="2693645C" w14:textId="77777777" w:rsidR="005A008B" w:rsidRPr="0024372C" w:rsidRDefault="005A008B" w:rsidP="0024372C">
      <w:pPr>
        <w:rPr>
          <w:rStyle w:val="Bold"/>
        </w:rPr>
      </w:pPr>
      <w:r w:rsidRPr="0024372C">
        <w:rPr>
          <w:rStyle w:val="Bold"/>
        </w:rPr>
        <w:t>Changing sentencing practices</w:t>
      </w:r>
    </w:p>
    <w:p w14:paraId="7F7DD6F7" w14:textId="77777777" w:rsidR="005A008B" w:rsidRPr="000A3FEA" w:rsidRDefault="005A008B" w:rsidP="000A3FEA">
      <w:pPr>
        <w:pStyle w:val="ListParagraph"/>
        <w:numPr>
          <w:ilvl w:val="0"/>
          <w:numId w:val="18"/>
        </w:numPr>
      </w:pPr>
      <w:r w:rsidRPr="000A3FEA">
        <w:t>Various legislative revisions to the provisions relating to health and safety undertakings, including removing the need for offenders to consent to the order</w:t>
      </w:r>
    </w:p>
    <w:p w14:paraId="19ACAEC1" w14:textId="77777777" w:rsidR="005A008B" w:rsidRPr="000A3FEA" w:rsidRDefault="005A008B" w:rsidP="000A3FEA">
      <w:pPr>
        <w:pStyle w:val="ListParagraph"/>
        <w:numPr>
          <w:ilvl w:val="0"/>
          <w:numId w:val="18"/>
        </w:numPr>
      </w:pPr>
      <w:r w:rsidRPr="000A3FEA">
        <w:t>A new policy at WorkSafe to encourage increased use of health and safety undertakings</w:t>
      </w:r>
    </w:p>
    <w:p w14:paraId="10B8E0AE" w14:textId="77777777" w:rsidR="005A008B" w:rsidRPr="000A3FEA" w:rsidRDefault="005A008B" w:rsidP="000A3FEA">
      <w:pPr>
        <w:pStyle w:val="ListParagraph"/>
        <w:numPr>
          <w:ilvl w:val="0"/>
          <w:numId w:val="18"/>
        </w:numPr>
      </w:pPr>
      <w:r w:rsidRPr="000A3FEA">
        <w:t>A new policy at WorkSafe to encourage increased use of adverse publicity orders</w:t>
      </w:r>
    </w:p>
    <w:p w14:paraId="1F904064" w14:textId="77777777" w:rsidR="005A008B" w:rsidRPr="000A3FEA" w:rsidRDefault="005A008B" w:rsidP="000A3FEA">
      <w:pPr>
        <w:pStyle w:val="ListParagraph"/>
        <w:numPr>
          <w:ilvl w:val="0"/>
          <w:numId w:val="18"/>
        </w:numPr>
      </w:pPr>
      <w:r w:rsidRPr="000A3FEA">
        <w:t>Increasing the maximum penalties for breach of duty offences to ensure appropriate sanctions can be imposed in especially serious cases involving large companies</w:t>
      </w:r>
    </w:p>
    <w:p w14:paraId="7C02F33F" w14:textId="77777777" w:rsidR="005A008B" w:rsidRPr="000A3FEA" w:rsidRDefault="005A008B" w:rsidP="000A3FEA">
      <w:pPr>
        <w:pStyle w:val="ListParagraph"/>
        <w:numPr>
          <w:ilvl w:val="0"/>
          <w:numId w:val="18"/>
        </w:numPr>
      </w:pPr>
      <w:r w:rsidRPr="000A3FEA">
        <w:t>Revising the reckless endangerment in a workplace offence</w:t>
      </w:r>
    </w:p>
    <w:p w14:paraId="183ABD90" w14:textId="77777777" w:rsidR="005A008B" w:rsidRPr="000A3FEA" w:rsidRDefault="005A008B" w:rsidP="000A3FEA">
      <w:pPr>
        <w:pStyle w:val="ListParagraph"/>
        <w:numPr>
          <w:ilvl w:val="0"/>
          <w:numId w:val="18"/>
        </w:numPr>
      </w:pPr>
      <w:r w:rsidRPr="000A3FEA">
        <w:t>Asking this Council to develop a world-first legislated sentencing guideline</w:t>
      </w:r>
    </w:p>
    <w:p w14:paraId="2086F297" w14:textId="77777777" w:rsidR="005A008B" w:rsidRPr="0024372C" w:rsidRDefault="005A008B" w:rsidP="0024372C">
      <w:pPr>
        <w:rPr>
          <w:rStyle w:val="Bold"/>
        </w:rPr>
      </w:pPr>
      <w:r w:rsidRPr="0024372C">
        <w:rPr>
          <w:rStyle w:val="Bold"/>
        </w:rPr>
        <w:t>Fine payment</w:t>
      </w:r>
    </w:p>
    <w:p w14:paraId="741543F3" w14:textId="77777777" w:rsidR="005A008B" w:rsidRPr="00B77B46" w:rsidRDefault="005A008B" w:rsidP="00B77B46">
      <w:pPr>
        <w:pStyle w:val="ListParagraph"/>
        <w:numPr>
          <w:ilvl w:val="0"/>
          <w:numId w:val="18"/>
        </w:numPr>
      </w:pPr>
      <w:r w:rsidRPr="00B77B46">
        <w:t xml:space="preserve">Amending the OHS Act to ensure all fines are paid into the </w:t>
      </w:r>
      <w:proofErr w:type="spellStart"/>
      <w:r w:rsidRPr="00B77B46">
        <w:t>WorkCover</w:t>
      </w:r>
      <w:proofErr w:type="spellEnd"/>
      <w:r w:rsidRPr="00B77B46">
        <w:t xml:space="preserve"> Authority Fund</w:t>
      </w:r>
    </w:p>
    <w:p w14:paraId="6EDCAAD9" w14:textId="77777777" w:rsidR="005A008B" w:rsidRPr="00B77B46" w:rsidRDefault="005A008B" w:rsidP="00B77B46">
      <w:pPr>
        <w:pStyle w:val="ListParagraph"/>
        <w:numPr>
          <w:ilvl w:val="0"/>
          <w:numId w:val="18"/>
        </w:numPr>
      </w:pPr>
      <w:r w:rsidRPr="00B77B46">
        <w:t>Fines Victoria reviewing unpaid OHS fines and considering whether to issue declared director notices, which would hold directors personally liable for unpaid fines</w:t>
      </w:r>
    </w:p>
    <w:p w14:paraId="2293447D" w14:textId="77777777" w:rsidR="005A008B" w:rsidRPr="00B77B46" w:rsidRDefault="005A008B" w:rsidP="00B77B46">
      <w:pPr>
        <w:pStyle w:val="ListParagraph"/>
        <w:numPr>
          <w:ilvl w:val="0"/>
          <w:numId w:val="18"/>
        </w:numPr>
      </w:pPr>
      <w:r w:rsidRPr="00B77B46">
        <w:t>Asking the Victorian Law Reform Commission to investigate the potential introduction of ‘successor liability’, which would hold new companies accountable for fines imposed on a predecessor company if they are a mere continuation of that pre-existing entity.</w:t>
      </w:r>
    </w:p>
    <w:p w14:paraId="06B73A6B" w14:textId="77777777" w:rsidR="005A008B" w:rsidRPr="00D90C15" w:rsidRDefault="005A008B" w:rsidP="00234617">
      <w:r w:rsidRPr="00D90C15">
        <w:t xml:space="preserve">A number of these recommendations are already being implemented, with WorkSafe Victoria reviewing its policies around health and safety undertakings </w:t>
      </w:r>
      <w:r w:rsidRPr="00D90C15">
        <w:lastRenderedPageBreak/>
        <w:t xml:space="preserve">and adverse publicity orders, and Fines Victoria issuing the first declared director notices, all in OHS cases. The remaining recommendations are with the government for consideration. </w:t>
      </w:r>
    </w:p>
    <w:p w14:paraId="3E48C787" w14:textId="77777777" w:rsidR="005A008B" w:rsidRPr="00D90C15" w:rsidRDefault="005A008B" w:rsidP="00926C26">
      <w:pPr>
        <w:pStyle w:val="Heading2"/>
      </w:pPr>
      <w:bookmarkStart w:id="28" w:name="_Toc221113794"/>
      <w:r w:rsidRPr="00D90C15">
        <w:t>Sentencing Younger Children’s Offending in Victoria</w:t>
      </w:r>
      <w:bookmarkEnd w:id="28"/>
    </w:p>
    <w:p w14:paraId="091B69C7" w14:textId="77777777" w:rsidR="005A008B" w:rsidRPr="00D90C15" w:rsidRDefault="005A008B" w:rsidP="00234617">
      <w:r w:rsidRPr="00D90C15">
        <w:t xml:space="preserve">In June 2025, we released </w:t>
      </w:r>
      <w:hyperlink r:id="rId21" w:history="1">
        <w:r w:rsidRPr="00D11517">
          <w:rPr>
            <w:rStyle w:val="Hyperlink"/>
          </w:rPr>
          <w:t>Sentencing Younger Children's Offending in Victoria</w:t>
        </w:r>
      </w:hyperlink>
      <w:r w:rsidRPr="00D90C15">
        <w:t xml:space="preserve">, a report </w:t>
      </w:r>
      <w:r w:rsidRPr="009A485A">
        <w:t xml:space="preserve">examining offending by children aged 10 to 13 in Victoria. The report was designed to assist with the implementation and monitoring of measures for children aged under 14 after the introduction </w:t>
      </w:r>
      <w:r w:rsidRPr="00D90C15">
        <w:t xml:space="preserve">of the new </w:t>
      </w:r>
      <w:r w:rsidRPr="004A331A">
        <w:rPr>
          <w:i/>
          <w:iCs/>
        </w:rPr>
        <w:t xml:space="preserve">Youth Justice Act 2024 </w:t>
      </w:r>
      <w:r w:rsidRPr="00D90C15">
        <w:t xml:space="preserve">(Vic). </w:t>
      </w:r>
    </w:p>
    <w:p w14:paraId="7BB5A1B3" w14:textId="77777777" w:rsidR="005A008B" w:rsidRPr="00D90C15" w:rsidRDefault="005A008B" w:rsidP="00234617">
      <w:r w:rsidRPr="00D90C15">
        <w:t xml:space="preserve">We analysed all cases sentenced or diverted in Victorian courts in the 10 years to 30 June 2021 and found that children offending while aged 10 to 13 made up less than 1 in 300 (0.32%) criminal cases in Victoria. When children aged 10 to 13 did offend, their main offences were theft (30% of charges) and property damage (14%). And of the assault/cause injury offences committed by children aged 10 to 13, most were less serious summary offences. </w:t>
      </w:r>
    </w:p>
    <w:p w14:paraId="020948E4" w14:textId="77777777" w:rsidR="005A008B" w:rsidRPr="00D90C15" w:rsidRDefault="005A008B" w:rsidP="00234617">
      <w:r w:rsidRPr="00D90C15">
        <w:t xml:space="preserve">The report also found that Aboriginal children and children from regional Victoria were overrepresented among younger children who are sentenced or receive diversion. </w:t>
      </w:r>
    </w:p>
    <w:p w14:paraId="393E05DB" w14:textId="77777777" w:rsidR="005A008B" w:rsidRDefault="005A008B" w:rsidP="00234617">
      <w:r w:rsidRPr="00D90C15">
        <w:t xml:space="preserve">Children aged 10 to 13 commonly received less serious outcomes, such as diversion or a sentence at the lower end of the sentencing hierarchy, reflecting the less serious nature of their offending as well as various mitigating factors such as age, trauma and disadvantage. </w:t>
      </w:r>
    </w:p>
    <w:tbl>
      <w:tblPr>
        <w:tblStyle w:val="Table"/>
        <w:tblW w:w="5000" w:type="pct"/>
        <w:tblLook w:val="0020" w:firstRow="1" w:lastRow="0" w:firstColumn="0" w:lastColumn="0" w:noHBand="0" w:noVBand="0"/>
      </w:tblPr>
      <w:tblGrid>
        <w:gridCol w:w="4586"/>
        <w:gridCol w:w="2591"/>
        <w:gridCol w:w="1839"/>
      </w:tblGrid>
      <w:tr w:rsidR="006272EF" w:rsidRPr="0045372B" w14:paraId="562173B7" w14:textId="77777777" w:rsidTr="00A768EF">
        <w:trPr>
          <w:trHeight w:val="60"/>
          <w:tblHeader/>
        </w:trPr>
        <w:tc>
          <w:tcPr>
            <w:tcW w:w="2543" w:type="pct"/>
          </w:tcPr>
          <w:p w14:paraId="12693BE7" w14:textId="77777777" w:rsidR="006272EF" w:rsidRPr="0045372B" w:rsidRDefault="006272EF" w:rsidP="004F187B">
            <w:pPr>
              <w:pStyle w:val="TableHeading"/>
            </w:pPr>
            <w:r w:rsidRPr="0045372B">
              <w:t>Age at offence</w:t>
            </w:r>
          </w:p>
        </w:tc>
        <w:tc>
          <w:tcPr>
            <w:tcW w:w="1437" w:type="pct"/>
          </w:tcPr>
          <w:p w14:paraId="1334EC39" w14:textId="594E36D5" w:rsidR="006272EF" w:rsidRPr="0045372B" w:rsidRDefault="006272EF" w:rsidP="004F187B">
            <w:pPr>
              <w:pStyle w:val="TableHeading"/>
            </w:pPr>
            <w:r>
              <w:t>Number of cases</w:t>
            </w:r>
          </w:p>
        </w:tc>
        <w:tc>
          <w:tcPr>
            <w:tcW w:w="1020" w:type="pct"/>
          </w:tcPr>
          <w:p w14:paraId="705709D7" w14:textId="025FC613" w:rsidR="006272EF" w:rsidRPr="0045372B" w:rsidRDefault="006272EF" w:rsidP="004F187B">
            <w:pPr>
              <w:pStyle w:val="TableHeading"/>
            </w:pPr>
            <w:r>
              <w:t>Percentage</w:t>
            </w:r>
          </w:p>
        </w:tc>
      </w:tr>
      <w:tr w:rsidR="006272EF" w:rsidRPr="0045372B" w14:paraId="18E901E9" w14:textId="77777777" w:rsidTr="00346BAA">
        <w:trPr>
          <w:trHeight w:val="60"/>
        </w:trPr>
        <w:tc>
          <w:tcPr>
            <w:tcW w:w="2543" w:type="pct"/>
          </w:tcPr>
          <w:p w14:paraId="5C612200" w14:textId="3F141EE1" w:rsidR="006272EF" w:rsidRPr="0045372B" w:rsidRDefault="006272EF" w:rsidP="004F187B">
            <w:pPr>
              <w:pStyle w:val="TableBody"/>
            </w:pPr>
            <w:r w:rsidRPr="0045372B">
              <w:t>At least one offence aged 10</w:t>
            </w:r>
            <w:r>
              <w:t xml:space="preserve"> or 11</w:t>
            </w:r>
          </w:p>
        </w:tc>
        <w:tc>
          <w:tcPr>
            <w:tcW w:w="1437" w:type="pct"/>
          </w:tcPr>
          <w:p w14:paraId="16F9A419" w14:textId="35978B84" w:rsidR="006272EF" w:rsidRPr="0045372B" w:rsidRDefault="006272EF" w:rsidP="004F187B">
            <w:pPr>
              <w:pStyle w:val="TableBody"/>
            </w:pPr>
            <w:r>
              <w:t>222</w:t>
            </w:r>
          </w:p>
        </w:tc>
        <w:tc>
          <w:tcPr>
            <w:tcW w:w="1020" w:type="pct"/>
          </w:tcPr>
          <w:p w14:paraId="02191FE3" w14:textId="7E252DE3" w:rsidR="006272EF" w:rsidRPr="0045372B" w:rsidRDefault="006272EF" w:rsidP="004F187B">
            <w:pPr>
              <w:pStyle w:val="TableBody"/>
            </w:pPr>
            <w:r>
              <w:t>0.02%</w:t>
            </w:r>
          </w:p>
        </w:tc>
      </w:tr>
      <w:tr w:rsidR="006272EF" w:rsidRPr="0045372B" w14:paraId="0B315FBF" w14:textId="77777777" w:rsidTr="00346BAA">
        <w:trPr>
          <w:trHeight w:val="60"/>
        </w:trPr>
        <w:tc>
          <w:tcPr>
            <w:tcW w:w="2543" w:type="pct"/>
          </w:tcPr>
          <w:p w14:paraId="5DA09C08" w14:textId="77777777" w:rsidR="006272EF" w:rsidRPr="0045372B" w:rsidRDefault="006272EF" w:rsidP="004F187B">
            <w:pPr>
              <w:pStyle w:val="TableBody"/>
            </w:pPr>
            <w:r w:rsidRPr="0045372B">
              <w:t>At least one offence aged 12</w:t>
            </w:r>
          </w:p>
        </w:tc>
        <w:tc>
          <w:tcPr>
            <w:tcW w:w="1437" w:type="pct"/>
          </w:tcPr>
          <w:p w14:paraId="3CB379BE" w14:textId="77777777" w:rsidR="006272EF" w:rsidRPr="0045372B" w:rsidRDefault="006272EF" w:rsidP="004F187B">
            <w:pPr>
              <w:pStyle w:val="TableBody"/>
            </w:pPr>
            <w:r w:rsidRPr="0045372B">
              <w:t xml:space="preserve"> 697</w:t>
            </w:r>
          </w:p>
        </w:tc>
        <w:tc>
          <w:tcPr>
            <w:tcW w:w="1020" w:type="pct"/>
          </w:tcPr>
          <w:p w14:paraId="4C524517" w14:textId="5FD301ED" w:rsidR="006272EF" w:rsidRPr="0045372B" w:rsidRDefault="006272EF" w:rsidP="004F187B">
            <w:pPr>
              <w:pStyle w:val="TableBody"/>
            </w:pPr>
            <w:r>
              <w:t>0.08%</w:t>
            </w:r>
          </w:p>
        </w:tc>
      </w:tr>
      <w:tr w:rsidR="006272EF" w:rsidRPr="0045372B" w14:paraId="48129CD8" w14:textId="77777777" w:rsidTr="00346BAA">
        <w:trPr>
          <w:trHeight w:val="60"/>
        </w:trPr>
        <w:tc>
          <w:tcPr>
            <w:tcW w:w="2543" w:type="pct"/>
          </w:tcPr>
          <w:p w14:paraId="0032D471" w14:textId="77777777" w:rsidR="006272EF" w:rsidRPr="0045372B" w:rsidRDefault="006272EF" w:rsidP="004F187B">
            <w:pPr>
              <w:pStyle w:val="TableBody"/>
            </w:pPr>
            <w:r w:rsidRPr="0045372B">
              <w:t>At least one offence aged 13</w:t>
            </w:r>
          </w:p>
        </w:tc>
        <w:tc>
          <w:tcPr>
            <w:tcW w:w="1437" w:type="pct"/>
          </w:tcPr>
          <w:p w14:paraId="2FE8B263" w14:textId="77777777" w:rsidR="006272EF" w:rsidRPr="0045372B" w:rsidRDefault="006272EF" w:rsidP="004F187B">
            <w:pPr>
              <w:pStyle w:val="TableBody"/>
            </w:pPr>
            <w:r w:rsidRPr="0045372B">
              <w:t xml:space="preserve"> 2,302</w:t>
            </w:r>
          </w:p>
        </w:tc>
        <w:tc>
          <w:tcPr>
            <w:tcW w:w="1020" w:type="pct"/>
          </w:tcPr>
          <w:p w14:paraId="0D105ED4" w14:textId="46F91AB2" w:rsidR="006272EF" w:rsidRPr="0045372B" w:rsidRDefault="006272EF" w:rsidP="004F187B">
            <w:pPr>
              <w:pStyle w:val="TableBody"/>
            </w:pPr>
            <w:r>
              <w:t>0.25%</w:t>
            </w:r>
          </w:p>
        </w:tc>
      </w:tr>
      <w:tr w:rsidR="006272EF" w:rsidRPr="0045372B" w14:paraId="12770011" w14:textId="77777777" w:rsidTr="00346BAA">
        <w:trPr>
          <w:trHeight w:val="60"/>
        </w:trPr>
        <w:tc>
          <w:tcPr>
            <w:tcW w:w="2543" w:type="pct"/>
          </w:tcPr>
          <w:p w14:paraId="14570CBF" w14:textId="76AF2962" w:rsidR="006272EF" w:rsidRPr="0045372B" w:rsidRDefault="00FC4C31" w:rsidP="004F187B">
            <w:pPr>
              <w:pStyle w:val="TableBody"/>
            </w:pPr>
            <w:r>
              <w:t>All</w:t>
            </w:r>
            <w:r w:rsidR="006272EF" w:rsidRPr="0045372B">
              <w:t xml:space="preserve"> ages and corporations</w:t>
            </w:r>
          </w:p>
        </w:tc>
        <w:tc>
          <w:tcPr>
            <w:tcW w:w="1437" w:type="pct"/>
          </w:tcPr>
          <w:p w14:paraId="3D3C3176" w14:textId="77777777" w:rsidR="006272EF" w:rsidRPr="0045372B" w:rsidRDefault="006272EF" w:rsidP="004F187B">
            <w:pPr>
              <w:pStyle w:val="TableBody"/>
            </w:pPr>
            <w:r w:rsidRPr="0045372B">
              <w:t>927,514</w:t>
            </w:r>
          </w:p>
        </w:tc>
        <w:tc>
          <w:tcPr>
            <w:tcW w:w="1020" w:type="pct"/>
          </w:tcPr>
          <w:p w14:paraId="49426059" w14:textId="72742BE8" w:rsidR="006272EF" w:rsidRPr="0045372B" w:rsidRDefault="006272EF" w:rsidP="004F187B">
            <w:pPr>
              <w:pStyle w:val="TableBody"/>
            </w:pPr>
            <w:r>
              <w:t>100%</w:t>
            </w:r>
          </w:p>
        </w:tc>
      </w:tr>
    </w:tbl>
    <w:p w14:paraId="1B7370CA" w14:textId="77777777" w:rsidR="005A008B" w:rsidRPr="00D90C15" w:rsidRDefault="005A008B" w:rsidP="00926C26">
      <w:pPr>
        <w:pStyle w:val="Heading2"/>
      </w:pPr>
      <w:bookmarkStart w:id="29" w:name="_Toc221113795"/>
      <w:r w:rsidRPr="00D90C15">
        <w:t>Other Ongoing Legal Policy and Research Projects</w:t>
      </w:r>
      <w:bookmarkEnd w:id="29"/>
    </w:p>
    <w:p w14:paraId="36BAB1C7" w14:textId="77777777" w:rsidR="005A008B" w:rsidRPr="00D90C15" w:rsidRDefault="005A008B" w:rsidP="006512A5">
      <w:r w:rsidRPr="00D90C15">
        <w:t xml:space="preserve">There are </w:t>
      </w:r>
      <w:proofErr w:type="gramStart"/>
      <w:r w:rsidRPr="00D90C15">
        <w:t>a number of</w:t>
      </w:r>
      <w:proofErr w:type="gramEnd"/>
      <w:r w:rsidRPr="00D90C15">
        <w:t xml:space="preserve"> other projects that are ongoing as </w:t>
      </w:r>
      <w:proofErr w:type="gramStart"/>
      <w:r w:rsidRPr="00D90C15">
        <w:t>at</w:t>
      </w:r>
      <w:proofErr w:type="gramEnd"/>
      <w:r w:rsidRPr="00D90C15">
        <w:t xml:space="preserve"> 30 June this year, which will be finalised over the next year or two. </w:t>
      </w:r>
    </w:p>
    <w:p w14:paraId="3342E234" w14:textId="77777777" w:rsidR="005A008B" w:rsidRPr="00D90C15" w:rsidRDefault="005A008B" w:rsidP="0008277F">
      <w:pPr>
        <w:pStyle w:val="Heading3"/>
      </w:pPr>
      <w:bookmarkStart w:id="30" w:name="_Toc221113796"/>
      <w:r w:rsidRPr="00D90C15">
        <w:lastRenderedPageBreak/>
        <w:t>Sentencing Commonwealth Offences</w:t>
      </w:r>
      <w:bookmarkEnd w:id="30"/>
    </w:p>
    <w:p w14:paraId="27ECC699" w14:textId="77777777" w:rsidR="005A008B" w:rsidRPr="00D90C15" w:rsidRDefault="005A008B" w:rsidP="006512A5">
      <w:r w:rsidRPr="00D90C15">
        <w:t>The Council is currently investigating the sentencing of Commonwealth offences in Victoria. The aim of the report is to present a comprehensive overview of how many federal offences are sentenced in Victoria, which federal offences are sentenced, who prosecutes them, and how they are sentenced.</w:t>
      </w:r>
    </w:p>
    <w:p w14:paraId="418BB007" w14:textId="77777777" w:rsidR="005A008B" w:rsidRPr="00D90C15" w:rsidRDefault="005A008B" w:rsidP="0008277F">
      <w:pPr>
        <w:pStyle w:val="Heading3"/>
      </w:pPr>
      <w:bookmarkStart w:id="31" w:name="_Toc221113797"/>
      <w:r w:rsidRPr="00D90C15">
        <w:t>Victoria’s Prison Population</w:t>
      </w:r>
      <w:bookmarkEnd w:id="31"/>
    </w:p>
    <w:p w14:paraId="26ECCB38" w14:textId="77777777" w:rsidR="005A008B" w:rsidRPr="00D90C15" w:rsidRDefault="005A008B" w:rsidP="006512A5">
      <w:r w:rsidRPr="00D90C15">
        <w:t xml:space="preserve">The Council has previously published three reports on Victoria’s prison population, in </w:t>
      </w:r>
      <w:hyperlink r:id="rId22" w:history="1">
        <w:r w:rsidRPr="009A485A">
          <w:rPr>
            <w:rStyle w:val="Hyperlink"/>
          </w:rPr>
          <w:t>2007</w:t>
        </w:r>
      </w:hyperlink>
      <w:r w:rsidRPr="00D90C15">
        <w:t xml:space="preserve">, </w:t>
      </w:r>
      <w:hyperlink r:id="rId23" w:history="1">
        <w:r w:rsidRPr="00D90C15">
          <w:rPr>
            <w:rStyle w:val="Hyperlink"/>
          </w:rPr>
          <w:t>2013</w:t>
        </w:r>
      </w:hyperlink>
      <w:r w:rsidRPr="00D90C15">
        <w:t xml:space="preserve"> and </w:t>
      </w:r>
      <w:hyperlink r:id="rId24" w:history="1">
        <w:r w:rsidRPr="00D90C15">
          <w:rPr>
            <w:rStyle w:val="Hyperlink"/>
          </w:rPr>
          <w:t>2016</w:t>
        </w:r>
      </w:hyperlink>
      <w:r w:rsidRPr="00D90C15">
        <w:t>. Building on that earlier work, following significant changes to Victoria’s prison population over the last decade, this new report examines changes in Victoria’s prison population for the 20 years to 30 June 2024.</w:t>
      </w:r>
    </w:p>
    <w:p w14:paraId="653CF28A" w14:textId="77777777" w:rsidR="005A008B" w:rsidRPr="00D90C15" w:rsidRDefault="005A008B" w:rsidP="0008277F">
      <w:pPr>
        <w:pStyle w:val="Heading3"/>
      </w:pPr>
      <w:bookmarkStart w:id="32" w:name="_Toc221113798"/>
      <w:r w:rsidRPr="00D90C15">
        <w:t>Sentencing Family Violence Offenders</w:t>
      </w:r>
      <w:bookmarkEnd w:id="32"/>
    </w:p>
    <w:p w14:paraId="6E31981C" w14:textId="77777777" w:rsidR="005A008B" w:rsidRPr="00D90C15" w:rsidRDefault="005A008B" w:rsidP="00234617">
      <w:r w:rsidRPr="00D90C15">
        <w:t>The aim of this report is to examine all cases sentenced in Victoria involving at least one family violence offence and to examine the types of offences in those cases, the age and gender of sentenced family violence offenders, the sentencing outcomes they receive and their reoffending patterns.</w:t>
      </w:r>
    </w:p>
    <w:p w14:paraId="7FA54D4C" w14:textId="244895F9" w:rsidR="005A008B" w:rsidRPr="00AA1CB0" w:rsidRDefault="006B7598" w:rsidP="00AA1CB0">
      <w:pPr>
        <w:pStyle w:val="Heading1"/>
      </w:pPr>
      <w:bookmarkStart w:id="33" w:name="_Toc221113799"/>
      <w:r w:rsidRPr="00AA1CB0">
        <w:lastRenderedPageBreak/>
        <w:t xml:space="preserve">Our Education </w:t>
      </w:r>
      <w:proofErr w:type="gramStart"/>
      <w:r w:rsidRPr="00AA1CB0">
        <w:t>And</w:t>
      </w:r>
      <w:proofErr w:type="gramEnd"/>
      <w:r w:rsidRPr="00AA1CB0">
        <w:t xml:space="preserve"> Engagement Work</w:t>
      </w:r>
      <w:bookmarkEnd w:id="33"/>
    </w:p>
    <w:p w14:paraId="039368CE" w14:textId="77777777" w:rsidR="005A008B" w:rsidRPr="00D90C15" w:rsidRDefault="005A008B" w:rsidP="00926C26">
      <w:r w:rsidRPr="00D90C15">
        <w:t xml:space="preserve">The Council’s functions under the </w:t>
      </w:r>
      <w:r w:rsidRPr="004A331A">
        <w:rPr>
          <w:i/>
          <w:iCs/>
        </w:rPr>
        <w:t>Sentencing Act 1991</w:t>
      </w:r>
      <w:r w:rsidRPr="00D90C15">
        <w:t xml:space="preserve"> (Vic) include consulting widely on sentencing matters and disseminating information about sentencing to members of the judiciary and other interested persons.</w:t>
      </w:r>
    </w:p>
    <w:p w14:paraId="4928549E" w14:textId="77777777" w:rsidR="005A008B" w:rsidRPr="00D90C15" w:rsidRDefault="005A008B" w:rsidP="00926C26">
      <w:pPr>
        <w:pStyle w:val="Heading2"/>
      </w:pPr>
      <w:bookmarkStart w:id="34" w:name="_Toc221113800"/>
      <w:r w:rsidRPr="00D90C15">
        <w:t>You Be the Judge</w:t>
      </w:r>
      <w:bookmarkEnd w:id="34"/>
    </w:p>
    <w:p w14:paraId="2B430A91" w14:textId="77777777" w:rsidR="005A008B" w:rsidRPr="00D90C15" w:rsidRDefault="005A008B" w:rsidP="00234617">
      <w:r w:rsidRPr="00D90C15">
        <w:t>The Council offers free and interactive You Be the Judge sessions for the general community. These 90-minute sessions are delivered in person to a group of participants who learn about sentencing and then, using a case study based on a real-life case, get the opportunity to decide what sentence they would impose, before hearing what sentence the judge imposed. Participants routinely describe the sessions as fun, engaging and highly educational.</w:t>
      </w:r>
    </w:p>
    <w:p w14:paraId="45F915FF" w14:textId="77777777" w:rsidR="005A008B" w:rsidRPr="00D90C15" w:rsidRDefault="005A008B" w:rsidP="006512A5">
      <w:r w:rsidRPr="00D90C15">
        <w:t xml:space="preserve">In 2024–25, the Council delivered 11 You Be the Judge sessions to: </w:t>
      </w:r>
    </w:p>
    <w:p w14:paraId="7FCDAFC0" w14:textId="77777777" w:rsidR="005A008B" w:rsidRPr="00D90C15" w:rsidRDefault="005A008B" w:rsidP="00926C26">
      <w:pPr>
        <w:pStyle w:val="Bullets"/>
      </w:pPr>
      <w:r w:rsidRPr="00D90C15">
        <w:t>law students participating in the Victorian Bar shadowing program (twice)</w:t>
      </w:r>
    </w:p>
    <w:p w14:paraId="10DC49F8" w14:textId="77777777" w:rsidR="005A008B" w:rsidRPr="00D90C15" w:rsidRDefault="005A008B" w:rsidP="00926C26">
      <w:pPr>
        <w:pStyle w:val="Bullets"/>
      </w:pPr>
      <w:r w:rsidRPr="00D90C15">
        <w:t>Amber Community (the road trauma support agency)</w:t>
      </w:r>
    </w:p>
    <w:p w14:paraId="6E0E7440" w14:textId="77777777" w:rsidR="005A008B" w:rsidRPr="00D90C15" w:rsidRDefault="005A008B" w:rsidP="00926C26">
      <w:pPr>
        <w:pStyle w:val="Bullets"/>
      </w:pPr>
      <w:r w:rsidRPr="00D90C15">
        <w:t>Carrum Downs Secondary College</w:t>
      </w:r>
    </w:p>
    <w:p w14:paraId="3B8EAE31" w14:textId="77777777" w:rsidR="005A008B" w:rsidRPr="00D90C15" w:rsidRDefault="005A008B" w:rsidP="00926C26">
      <w:pPr>
        <w:pStyle w:val="Bullets"/>
      </w:pPr>
      <w:r w:rsidRPr="00D90C15">
        <w:t>Neighbourhood Watch</w:t>
      </w:r>
    </w:p>
    <w:p w14:paraId="6BBD59DA" w14:textId="77777777" w:rsidR="005A008B" w:rsidRPr="00D90C15" w:rsidRDefault="005A008B" w:rsidP="00926C26">
      <w:pPr>
        <w:pStyle w:val="Bullets"/>
      </w:pPr>
      <w:r w:rsidRPr="00D90C15">
        <w:t>Victorian Legal Services Board + Commissioner</w:t>
      </w:r>
    </w:p>
    <w:p w14:paraId="5A2CE80B" w14:textId="77777777" w:rsidR="005A008B" w:rsidRPr="00D90C15" w:rsidRDefault="005A008B" w:rsidP="00926C26">
      <w:pPr>
        <w:pStyle w:val="Bullets"/>
      </w:pPr>
      <w:r w:rsidRPr="00D90C15">
        <w:t>Department of Premier and Cabinet – Justice Branch</w:t>
      </w:r>
    </w:p>
    <w:p w14:paraId="07CEE4E9" w14:textId="77777777" w:rsidR="005A008B" w:rsidRPr="00D90C15" w:rsidRDefault="005A008B" w:rsidP="00926C26">
      <w:pPr>
        <w:pStyle w:val="Bullets"/>
      </w:pPr>
      <w:r w:rsidRPr="00D90C15">
        <w:t>Victorian Bar Student Engagement Committee</w:t>
      </w:r>
    </w:p>
    <w:p w14:paraId="27307C3D" w14:textId="77777777" w:rsidR="005A008B" w:rsidRPr="00D90C15" w:rsidRDefault="005A008B" w:rsidP="00926C26">
      <w:pPr>
        <w:pStyle w:val="Bullets"/>
      </w:pPr>
      <w:r w:rsidRPr="00D90C15">
        <w:t>RMIT journalism students (twice)</w:t>
      </w:r>
    </w:p>
    <w:p w14:paraId="0A1AEF7A" w14:textId="77777777" w:rsidR="005A008B" w:rsidRPr="00D90C15" w:rsidRDefault="005A008B" w:rsidP="00926C26">
      <w:pPr>
        <w:pStyle w:val="Bullets"/>
      </w:pPr>
      <w:r w:rsidRPr="00D90C15">
        <w:t>Women and Mentoring.</w:t>
      </w:r>
    </w:p>
    <w:p w14:paraId="4661E174" w14:textId="77777777" w:rsidR="005A008B" w:rsidRPr="00D90C15" w:rsidRDefault="005A008B" w:rsidP="00926C26">
      <w:pPr>
        <w:pStyle w:val="Heading2"/>
      </w:pPr>
      <w:bookmarkStart w:id="35" w:name="_Toc221113801"/>
      <w:r w:rsidRPr="00D90C15">
        <w:t>Finding and Using Sentencing Statistics</w:t>
      </w:r>
      <w:bookmarkEnd w:id="35"/>
    </w:p>
    <w:p w14:paraId="3412F995" w14:textId="77777777" w:rsidR="005A008B" w:rsidRPr="00D90C15" w:rsidRDefault="005A008B" w:rsidP="00234617">
      <w:r w:rsidRPr="00D90C15">
        <w:t>The Council also offers a one-hour interactive training session that guides participants in how to use the Council’s statistical products, including SACStat, Sentencing Snapshots and the general sentencing trends on the Council’s website. The Council delivered two Finding and Using Sentencing Statistics</w:t>
      </w:r>
      <w:r w:rsidRPr="004A331A">
        <w:rPr>
          <w:i/>
          <w:iCs/>
        </w:rPr>
        <w:t xml:space="preserve"> </w:t>
      </w:r>
      <w:r w:rsidRPr="00D90C15">
        <w:t>training sessions this year, to Master of Laws students at Monash University and staff at the Department of Justice and Community Safety.</w:t>
      </w:r>
    </w:p>
    <w:p w14:paraId="56FD85D2" w14:textId="77777777" w:rsidR="005A008B" w:rsidRPr="00D90C15" w:rsidRDefault="005A008B" w:rsidP="00926C26">
      <w:pPr>
        <w:pStyle w:val="Heading2"/>
      </w:pPr>
      <w:bookmarkStart w:id="36" w:name="_Toc221113802"/>
      <w:r w:rsidRPr="00D90C15">
        <w:lastRenderedPageBreak/>
        <w:t>Teachers’ Kit</w:t>
      </w:r>
      <w:bookmarkEnd w:id="36"/>
    </w:p>
    <w:p w14:paraId="5703A813" w14:textId="77777777" w:rsidR="005A008B" w:rsidRPr="00D90C15" w:rsidRDefault="005A008B" w:rsidP="00234617">
      <w:r w:rsidRPr="00D90C15">
        <w:t>The Council produces a package of resources – collectively known as our Teachers’ Kit</w:t>
      </w:r>
      <w:r w:rsidRPr="004A331A">
        <w:rPr>
          <w:i/>
          <w:iCs/>
        </w:rPr>
        <w:t xml:space="preserve"> </w:t>
      </w:r>
      <w:r w:rsidRPr="00D90C15">
        <w:t>– that enables Year 11 and 12 teachers to run their own You Be the Judge</w:t>
      </w:r>
      <w:r w:rsidRPr="004A331A">
        <w:rPr>
          <w:i/>
          <w:iCs/>
        </w:rPr>
        <w:t xml:space="preserve"> </w:t>
      </w:r>
      <w:r w:rsidRPr="00D90C15">
        <w:t xml:space="preserve">sessions in the classroom. The kit currently includes case studies for the offences of dangerous driving causing death, aggravated burglary and theft. </w:t>
      </w:r>
    </w:p>
    <w:p w14:paraId="4253B220" w14:textId="77777777" w:rsidR="005A008B" w:rsidRPr="00D90C15" w:rsidRDefault="005A008B" w:rsidP="00926C26">
      <w:pPr>
        <w:pStyle w:val="Heading2"/>
      </w:pPr>
      <w:bookmarkStart w:id="37" w:name="_Toc221113803"/>
      <w:r w:rsidRPr="00D90C15">
        <w:t>Virtual You Be the Judge</w:t>
      </w:r>
      <w:bookmarkEnd w:id="37"/>
    </w:p>
    <w:p w14:paraId="1FE54B92" w14:textId="77777777" w:rsidR="005A008B" w:rsidRPr="00D90C15" w:rsidRDefault="005A008B" w:rsidP="00234617">
      <w:r w:rsidRPr="00D90C15">
        <w:t xml:space="preserve">Since its launch in 2010, the Council’s online interactive application </w:t>
      </w:r>
      <w:r w:rsidRPr="004A331A">
        <w:rPr>
          <w:i/>
          <w:iCs/>
        </w:rPr>
        <w:t>Virtual You Be the Judge</w:t>
      </w:r>
      <w:r w:rsidRPr="00D90C15">
        <w:t xml:space="preserve"> has helped users learn about sentencing law by inviting them to ‘sentence’ a real-life case. Unlike attendees at You Be the Judge</w:t>
      </w:r>
      <w:r w:rsidRPr="004A331A">
        <w:rPr>
          <w:i/>
          <w:iCs/>
        </w:rPr>
        <w:t xml:space="preserve"> </w:t>
      </w:r>
      <w:r w:rsidRPr="00D90C15">
        <w:t xml:space="preserve">sessions, people can access and participate in </w:t>
      </w:r>
      <w:r w:rsidRPr="004A331A">
        <w:rPr>
          <w:i/>
          <w:iCs/>
        </w:rPr>
        <w:t xml:space="preserve">Virtual You Be the Judge </w:t>
      </w:r>
      <w:r w:rsidRPr="00D90C15">
        <w:t>at any time.</w:t>
      </w:r>
    </w:p>
    <w:p w14:paraId="3A90E0A1" w14:textId="77777777" w:rsidR="005A008B" w:rsidRPr="00D90C15" w:rsidRDefault="005A008B" w:rsidP="00234617">
      <w:r w:rsidRPr="00D90C15">
        <w:t xml:space="preserve">Sentencing law, trends and online technology have, though, changed considerably since </w:t>
      </w:r>
      <w:r w:rsidRPr="004A331A">
        <w:rPr>
          <w:i/>
          <w:iCs/>
        </w:rPr>
        <w:t>Virtual You Be the Judge</w:t>
      </w:r>
      <w:r w:rsidRPr="00D90C15">
        <w:t xml:space="preserve"> first went live in 2010. With a generous funding grant by the Victorian Legal Services Board, the Council is currently in the process of building an entirely new version of </w:t>
      </w:r>
      <w:r w:rsidRPr="004A331A">
        <w:rPr>
          <w:i/>
          <w:iCs/>
        </w:rPr>
        <w:t>Virtual You Be the Judge</w:t>
      </w:r>
      <w:r w:rsidRPr="00D90C15">
        <w:t>, with new case studies and a new interface. The new program is expected to go live in time for the 2027 school year.</w:t>
      </w:r>
    </w:p>
    <w:p w14:paraId="630649FE" w14:textId="77777777" w:rsidR="005A008B" w:rsidRPr="00D90C15" w:rsidRDefault="005A008B" w:rsidP="00926C26">
      <w:pPr>
        <w:pStyle w:val="Heading2"/>
      </w:pPr>
      <w:bookmarkStart w:id="38" w:name="_Toc221113804"/>
      <w:r w:rsidRPr="00D90C15">
        <w:t>Social Media</w:t>
      </w:r>
      <w:bookmarkEnd w:id="38"/>
    </w:p>
    <w:p w14:paraId="03517662" w14:textId="77777777" w:rsidR="005A008B" w:rsidRPr="00D90C15" w:rsidRDefault="005A008B" w:rsidP="00234617">
      <w:r w:rsidRPr="00D90C15">
        <w:t xml:space="preserve">The Council uses </w:t>
      </w:r>
      <w:r w:rsidRPr="006512A5">
        <w:rPr>
          <w:rStyle w:val="Bold"/>
        </w:rPr>
        <w:t>LinkedIn</w:t>
      </w:r>
      <w:r w:rsidRPr="00D90C15">
        <w:t xml:space="preserve"> to publicise our work, invite people to events, and inform and engage with key audiences, such as legal practitioners, journalists and the community.</w:t>
      </w:r>
    </w:p>
    <w:p w14:paraId="673750A9" w14:textId="77777777" w:rsidR="005A008B" w:rsidRPr="000F2928" w:rsidRDefault="005A008B" w:rsidP="000F2928">
      <w:pPr>
        <w:pStyle w:val="Heading2"/>
      </w:pPr>
      <w:bookmarkStart w:id="39" w:name="_Toc221113805"/>
      <w:r w:rsidRPr="000F2928">
        <w:t>www.sentencingcouncil.vic.gov.au</w:t>
      </w:r>
      <w:bookmarkEnd w:id="39"/>
    </w:p>
    <w:p w14:paraId="501E530A" w14:textId="77777777" w:rsidR="005A008B" w:rsidRPr="00D90C15" w:rsidRDefault="005A008B" w:rsidP="00234617">
      <w:r w:rsidRPr="00D90C15">
        <w:t xml:space="preserve">Our website helps us to fulfil our statutory function to disseminate statistical information and research on sentencing. Most of our website users come from Australia (87%), and 50% of all users come from Victoria (45% from Melbourne and 5% from regional and rural Victoria). Around 90% of our users arrive on our website after searching in Google for phrases such as ‘Verdins principles’, ‘drug charges and sentences Australia’ and ‘sentencing principles’. Close to 15% of users viewed our pages on maximum penalties, reoffending in Victoria and sentencing principles. </w:t>
      </w:r>
    </w:p>
    <w:p w14:paraId="366489D7" w14:textId="77777777" w:rsidR="005A008B" w:rsidRPr="00D90C15" w:rsidRDefault="005A008B" w:rsidP="00234617">
      <w:proofErr w:type="gramStart"/>
      <w:r w:rsidRPr="00D90C15">
        <w:t>All of</w:t>
      </w:r>
      <w:proofErr w:type="gramEnd"/>
      <w:r w:rsidRPr="00D90C15">
        <w:t xml:space="preserve"> our publications since we were first established (numbering close to 200) are available through our website. Our most accessed publication this financial </w:t>
      </w:r>
      <w:r w:rsidRPr="00D90C15">
        <w:lastRenderedPageBreak/>
        <w:t xml:space="preserve">year was our final report on occupational health and safety offences in Victoria, which was downloaded over 1,000 times following its release in February 2025. Other popular publications included </w:t>
      </w:r>
      <w:r w:rsidRPr="004A331A">
        <w:rPr>
          <w:i/>
          <w:iCs/>
        </w:rPr>
        <w:t>A Quick Guide to Sentencing</w:t>
      </w:r>
      <w:r w:rsidRPr="00D90C15">
        <w:t xml:space="preserve"> and our You Be the Judge teaching materials for years 11 and 12.</w:t>
      </w:r>
    </w:p>
    <w:p w14:paraId="4A08C376" w14:textId="77777777" w:rsidR="005A008B" w:rsidRPr="00D90C15" w:rsidRDefault="005A008B" w:rsidP="00234617">
      <w:r w:rsidRPr="00D90C15">
        <w:t xml:space="preserve">Our main statistical products are our Sentencing Snapshots and our SACStat database of sentencing statistics. Our nearly 300 Snapshots generated around 17,000 pageviews this financial year. </w:t>
      </w:r>
    </w:p>
    <w:p w14:paraId="4D3F7536" w14:textId="77777777" w:rsidR="005A008B" w:rsidRPr="009A485A" w:rsidRDefault="005A008B" w:rsidP="009A485A">
      <w:pPr>
        <w:pStyle w:val="Heading2"/>
      </w:pPr>
      <w:bookmarkStart w:id="40" w:name="_Toc221113806"/>
      <w:r w:rsidRPr="009A485A">
        <w:t>www.sacstat.vic.gov.au</w:t>
      </w:r>
      <w:bookmarkEnd w:id="40"/>
    </w:p>
    <w:p w14:paraId="16806F50" w14:textId="77777777" w:rsidR="005A008B" w:rsidRPr="00D90C15" w:rsidRDefault="005A008B" w:rsidP="00234617">
      <w:r w:rsidRPr="00D90C15">
        <w:t xml:space="preserve">In May 2025, we moved SACStat to its own domain at </w:t>
      </w:r>
      <w:r w:rsidRPr="006512A5">
        <w:rPr>
          <w:rStyle w:val="Bold"/>
        </w:rPr>
        <w:t>www.sacstat.vic.gov.au</w:t>
      </w:r>
      <w:r w:rsidRPr="00D90C15">
        <w:t>. Before the move, SACStat had over 80,000 pageviews for the financial year.</w:t>
      </w:r>
    </w:p>
    <w:p w14:paraId="583B099B" w14:textId="77777777" w:rsidR="005A008B" w:rsidRPr="00D90C15" w:rsidRDefault="005A008B" w:rsidP="00926C26">
      <w:pPr>
        <w:pStyle w:val="Heading2"/>
      </w:pPr>
      <w:bookmarkStart w:id="41" w:name="_Toc221113807"/>
      <w:r w:rsidRPr="00D90C15">
        <w:t>Consultation in 2024–25</w:t>
      </w:r>
      <w:bookmarkEnd w:id="41"/>
    </w:p>
    <w:p w14:paraId="6BEC6C54" w14:textId="77777777" w:rsidR="005A008B" w:rsidRPr="00D90C15" w:rsidRDefault="005A008B" w:rsidP="007977AB">
      <w:pPr>
        <w:pStyle w:val="Heading3"/>
      </w:pPr>
      <w:bookmarkStart w:id="42" w:name="_Toc221113808"/>
      <w:r w:rsidRPr="00D90C15">
        <w:t>Judicial</w:t>
      </w:r>
      <w:bookmarkEnd w:id="42"/>
    </w:p>
    <w:p w14:paraId="6804B75E" w14:textId="77777777" w:rsidR="005A008B" w:rsidRPr="00D90C15" w:rsidRDefault="005A008B" w:rsidP="00234617">
      <w:r w:rsidRPr="00D90C15">
        <w:t>Magistrates’ Court of Victoria; County Court of Victoria; Supreme Court of Victoria; Children’s Court of Victoria</w:t>
      </w:r>
    </w:p>
    <w:p w14:paraId="17FB7DDF" w14:textId="77777777" w:rsidR="005A008B" w:rsidRPr="00D90C15" w:rsidRDefault="005A008B" w:rsidP="007977AB">
      <w:pPr>
        <w:pStyle w:val="Heading3"/>
      </w:pPr>
      <w:bookmarkStart w:id="43" w:name="_Toc221113809"/>
      <w:r w:rsidRPr="00D90C15">
        <w:t>Government</w:t>
      </w:r>
      <w:bookmarkEnd w:id="43"/>
    </w:p>
    <w:p w14:paraId="26189CFE" w14:textId="77777777" w:rsidR="005A008B" w:rsidRPr="00D90C15" w:rsidRDefault="005A008B" w:rsidP="00234617">
      <w:r w:rsidRPr="00D90C15">
        <w:t>Aboriginal Justice Caucus; Adult Parole Board; Australian Bureau of Statistics; Commissioner for Children and Young People; Corrections Victoria; Crime Statistics Agency; Department of Justice and Community Safety; Department of Treasury and Finance; Environment Protection Authority; Fines Victoria; Judicial College of Victoria; Post Sentence Authority; Productivity Commission; Victims of Crime Commissioner; Victoria Police; Workplace Incidents Consultative Committee; WorkSafe Victoria</w:t>
      </w:r>
    </w:p>
    <w:p w14:paraId="194B92F8" w14:textId="77777777" w:rsidR="005A008B" w:rsidRPr="00D90C15" w:rsidRDefault="005A008B" w:rsidP="007977AB">
      <w:pPr>
        <w:pStyle w:val="Heading3"/>
      </w:pPr>
      <w:bookmarkStart w:id="44" w:name="_Toc221113810"/>
      <w:r w:rsidRPr="00D90C15">
        <w:t>Legal Profession</w:t>
      </w:r>
      <w:bookmarkEnd w:id="44"/>
    </w:p>
    <w:p w14:paraId="0351EDA5" w14:textId="77777777" w:rsidR="005A008B" w:rsidRPr="00D90C15" w:rsidRDefault="005A008B" w:rsidP="00234617">
      <w:r w:rsidRPr="00D90C15">
        <w:t xml:space="preserve">Ariadne French (barrister); Children’s Court Bar Association; Criminal Bar Association; Federation of Community Legal Centres; Herbert Smith Freehills; Karen </w:t>
      </w:r>
      <w:proofErr w:type="spellStart"/>
      <w:r w:rsidRPr="00D90C15">
        <w:t>Argiropoulos</w:t>
      </w:r>
      <w:proofErr w:type="spellEnd"/>
      <w:r w:rsidRPr="00D90C15">
        <w:t xml:space="preserve"> SC (barrister); Law Institute of Victoria; Leigh Crosbie (barrister); Office of Public Prosecutions; Office of the Commonwealth Director of Public Prosecutions; Tim Bourbon (barrister); Victoria Law Foundation; Victoria </w:t>
      </w:r>
      <w:r w:rsidRPr="00D90C15">
        <w:lastRenderedPageBreak/>
        <w:t xml:space="preserve">Legal Aid; Victorian Aboriginal Legal Service; Victorian Legal Services Board + Commissioner; </w:t>
      </w:r>
      <w:proofErr w:type="spellStart"/>
      <w:r w:rsidRPr="00D90C15">
        <w:t>Youthlaw</w:t>
      </w:r>
      <w:proofErr w:type="spellEnd"/>
    </w:p>
    <w:p w14:paraId="7916733B" w14:textId="77777777" w:rsidR="005A008B" w:rsidRPr="00D90C15" w:rsidRDefault="005A008B" w:rsidP="007977AB">
      <w:pPr>
        <w:pStyle w:val="Heading3"/>
      </w:pPr>
      <w:bookmarkStart w:id="45" w:name="_Toc221113811"/>
      <w:r w:rsidRPr="00D90C15">
        <w:t>Academia</w:t>
      </w:r>
      <w:bookmarkEnd w:id="45"/>
    </w:p>
    <w:p w14:paraId="6D4FA9A6" w14:textId="77777777" w:rsidR="005A008B" w:rsidRPr="00D90C15" w:rsidRDefault="005A008B" w:rsidP="00234617">
      <w:r w:rsidRPr="00D90C15">
        <w:t>Australian Centre for Justice and Innovation (Monash University); Centre for Innovative Justice (RMIT University); Emeritus Professor Arie Freiberg AM; Associate Professor Natalia Antolak-Saper (Monash University); Associate Professor Susan Baidawi (Monash University)</w:t>
      </w:r>
    </w:p>
    <w:p w14:paraId="242C48F5" w14:textId="77777777" w:rsidR="005A008B" w:rsidRPr="00D90C15" w:rsidRDefault="005A008B" w:rsidP="007977AB">
      <w:pPr>
        <w:pStyle w:val="Heading3"/>
      </w:pPr>
      <w:bookmarkStart w:id="46" w:name="_Toc221113812"/>
      <w:r w:rsidRPr="00D90C15">
        <w:t>Non-Government Organisations</w:t>
      </w:r>
      <w:bookmarkEnd w:id="46"/>
    </w:p>
    <w:p w14:paraId="51F79806" w14:textId="77777777" w:rsidR="005A008B" w:rsidRPr="00D90C15" w:rsidRDefault="005A008B" w:rsidP="00234617">
      <w:r w:rsidRPr="00D90C15">
        <w:t xml:space="preserve">Australian Association for Restorative Justice; Australian Industry Group (Ai Group); Australian Institute for Health and Safety; Community and Public Sector Union (CPSU); Construction, Forestry and Maritime Employees Union (CFMEU); Jesuit Social Services; Smart Justice for Young People; Uniting </w:t>
      </w:r>
      <w:proofErr w:type="spellStart"/>
      <w:r w:rsidRPr="00D90C15">
        <w:t>Vic.Tas</w:t>
      </w:r>
      <w:proofErr w:type="spellEnd"/>
      <w:r w:rsidRPr="00D90C15">
        <w:t>; Victorian Aboriginal Child and Community Agency; Victorian Automotive Chamber of Commerce; Victorian Congress of Employer Associations ; Victorian Trades Hall Council</w:t>
      </w:r>
    </w:p>
    <w:p w14:paraId="229000CA" w14:textId="1F1AE056" w:rsidR="005A008B" w:rsidRPr="00D90C15" w:rsidRDefault="006B7598" w:rsidP="006B7598">
      <w:pPr>
        <w:pStyle w:val="Heading1"/>
      </w:pPr>
      <w:bookmarkStart w:id="47" w:name="_Toc221113813"/>
      <w:r w:rsidRPr="00D90C15">
        <w:lastRenderedPageBreak/>
        <w:t>Measuring Our Influence</w:t>
      </w:r>
      <w:bookmarkEnd w:id="47"/>
    </w:p>
    <w:p w14:paraId="097AFA5C" w14:textId="77777777" w:rsidR="005A008B" w:rsidRPr="00D90C15" w:rsidRDefault="005A008B" w:rsidP="00926C26">
      <w:r w:rsidRPr="00D90C15">
        <w:t xml:space="preserve">One measure of our influence is the extent to which our work is cited by others, in judgments, in submissions to government inquiries, in academic works such as books, journal articles and PhD theses, in government reports, and in the media. In 2024–25, the Council’s research, statistical products and educational resources were cited in at least 53 academic works and government or related reports, and 89 published higher courts and appeal judgments. </w:t>
      </w:r>
    </w:p>
    <w:p w14:paraId="4DE35F02" w14:textId="77777777" w:rsidR="005A008B" w:rsidRPr="00D90C15" w:rsidRDefault="005A008B" w:rsidP="007977AB">
      <w:pPr>
        <w:pStyle w:val="Heading3"/>
      </w:pPr>
      <w:bookmarkStart w:id="48" w:name="_Toc221113814"/>
      <w:r w:rsidRPr="00D90C15">
        <w:t>Case Citations</w:t>
      </w:r>
      <w:bookmarkEnd w:id="48"/>
    </w:p>
    <w:p w14:paraId="26C0A36C" w14:textId="77777777" w:rsidR="005A008B" w:rsidRPr="00D90C15" w:rsidRDefault="005A008B" w:rsidP="006512A5">
      <w:r w:rsidRPr="00253A7E">
        <w:rPr>
          <w:i/>
          <w:iCs/>
        </w:rPr>
        <w:t>DPP v Nordic Elevators Pty Ltd &amp; Anor</w:t>
      </w:r>
      <w:r w:rsidRPr="004A331A">
        <w:t xml:space="preserve"> </w:t>
      </w:r>
      <w:r w:rsidRPr="00D90C15">
        <w:t>[2025] VSC 379</w:t>
      </w:r>
    </w:p>
    <w:p w14:paraId="474A3BF4" w14:textId="77777777" w:rsidR="005A008B" w:rsidRPr="00D90C15" w:rsidRDefault="005A008B" w:rsidP="006512A5">
      <w:r w:rsidRPr="004A331A">
        <w:rPr>
          <w:i/>
          <w:iCs/>
        </w:rPr>
        <w:t xml:space="preserve">DPP v </w:t>
      </w:r>
      <w:proofErr w:type="spellStart"/>
      <w:r w:rsidRPr="004A331A">
        <w:rPr>
          <w:i/>
          <w:iCs/>
        </w:rPr>
        <w:t>Sidoni</w:t>
      </w:r>
      <w:proofErr w:type="spellEnd"/>
      <w:r w:rsidRPr="004A331A">
        <w:rPr>
          <w:i/>
          <w:iCs/>
        </w:rPr>
        <w:t xml:space="preserve"> </w:t>
      </w:r>
      <w:r w:rsidRPr="00D90C15">
        <w:t>[2025] VCC 724</w:t>
      </w:r>
    </w:p>
    <w:p w14:paraId="05EAD1B1" w14:textId="77777777" w:rsidR="005A008B" w:rsidRPr="00D90C15" w:rsidRDefault="005A008B" w:rsidP="006512A5">
      <w:r w:rsidRPr="004A331A">
        <w:rPr>
          <w:i/>
          <w:iCs/>
        </w:rPr>
        <w:t xml:space="preserve">DPP v </w:t>
      </w:r>
      <w:proofErr w:type="spellStart"/>
      <w:r w:rsidRPr="004A331A">
        <w:rPr>
          <w:i/>
          <w:iCs/>
        </w:rPr>
        <w:t>Tzounos</w:t>
      </w:r>
      <w:proofErr w:type="spellEnd"/>
      <w:r w:rsidRPr="004A331A">
        <w:rPr>
          <w:i/>
          <w:iCs/>
        </w:rPr>
        <w:t xml:space="preserve"> </w:t>
      </w:r>
      <w:r w:rsidRPr="00D90C15">
        <w:t>[2025] VCC 808</w:t>
      </w:r>
    </w:p>
    <w:p w14:paraId="1C7B22CF" w14:textId="77777777" w:rsidR="005A008B" w:rsidRPr="00D90C15" w:rsidRDefault="005A008B" w:rsidP="006512A5">
      <w:r w:rsidRPr="00253A7E">
        <w:rPr>
          <w:i/>
          <w:iCs/>
        </w:rPr>
        <w:t>DPP v McCarthy (a pseudonym)</w:t>
      </w:r>
      <w:r w:rsidRPr="004A331A">
        <w:t xml:space="preserve"> </w:t>
      </w:r>
      <w:r w:rsidRPr="00D90C15">
        <w:t>[2025] VCC 771</w:t>
      </w:r>
    </w:p>
    <w:p w14:paraId="3AF318D2" w14:textId="77777777" w:rsidR="005A008B" w:rsidRPr="00D90C15" w:rsidRDefault="005A008B" w:rsidP="006512A5">
      <w:r w:rsidRPr="004A331A">
        <w:rPr>
          <w:i/>
          <w:iCs/>
        </w:rPr>
        <w:t xml:space="preserve">Ji v The King </w:t>
      </w:r>
      <w:r w:rsidRPr="00D90C15">
        <w:t>[2025] VSCA 113</w:t>
      </w:r>
    </w:p>
    <w:p w14:paraId="1B0BFDEB" w14:textId="77777777" w:rsidR="005A008B" w:rsidRPr="00D90C15" w:rsidRDefault="005A008B" w:rsidP="006512A5">
      <w:r w:rsidRPr="00253A7E">
        <w:rPr>
          <w:i/>
          <w:iCs/>
        </w:rPr>
        <w:t>Di Gregorio v The King</w:t>
      </w:r>
      <w:r w:rsidRPr="004A331A">
        <w:t xml:space="preserve"> </w:t>
      </w:r>
      <w:r w:rsidRPr="00D90C15">
        <w:t>[2025] VSCA 103</w:t>
      </w:r>
    </w:p>
    <w:p w14:paraId="3618DABE" w14:textId="77777777" w:rsidR="005A008B" w:rsidRPr="00D90C15" w:rsidRDefault="005A008B" w:rsidP="006512A5">
      <w:r w:rsidRPr="00253A7E">
        <w:rPr>
          <w:i/>
          <w:iCs/>
        </w:rPr>
        <w:t>DPP v Tanner (a pseudonym)</w:t>
      </w:r>
      <w:r w:rsidRPr="004A331A">
        <w:t xml:space="preserve"> </w:t>
      </w:r>
      <w:r w:rsidRPr="00D90C15">
        <w:t>[2025] VCC 563</w:t>
      </w:r>
    </w:p>
    <w:p w14:paraId="728C719A" w14:textId="77777777" w:rsidR="005A008B" w:rsidRPr="00D90C15" w:rsidRDefault="005A008B" w:rsidP="006512A5">
      <w:r w:rsidRPr="004A331A">
        <w:rPr>
          <w:i/>
          <w:iCs/>
        </w:rPr>
        <w:t xml:space="preserve">DPP v Cole </w:t>
      </w:r>
      <w:r w:rsidRPr="00D90C15">
        <w:t>[2025] VCC 577</w:t>
      </w:r>
    </w:p>
    <w:p w14:paraId="10EF2532" w14:textId="77777777" w:rsidR="005A008B" w:rsidRPr="00D90C15" w:rsidRDefault="005A008B" w:rsidP="006512A5">
      <w:r w:rsidRPr="004A331A">
        <w:rPr>
          <w:i/>
          <w:iCs/>
        </w:rPr>
        <w:t xml:space="preserve">R v ST </w:t>
      </w:r>
      <w:r w:rsidRPr="00D90C15">
        <w:t>[2025] VSC 227</w:t>
      </w:r>
    </w:p>
    <w:p w14:paraId="4172B991" w14:textId="77777777" w:rsidR="005A008B" w:rsidRPr="00D90C15" w:rsidRDefault="005A008B" w:rsidP="006512A5">
      <w:r w:rsidRPr="004A331A">
        <w:rPr>
          <w:i/>
          <w:iCs/>
        </w:rPr>
        <w:t xml:space="preserve">DPP v </w:t>
      </w:r>
      <w:proofErr w:type="spellStart"/>
      <w:r w:rsidRPr="004A331A">
        <w:rPr>
          <w:i/>
          <w:iCs/>
        </w:rPr>
        <w:t>Ofli</w:t>
      </w:r>
      <w:proofErr w:type="spellEnd"/>
      <w:r w:rsidRPr="004A331A">
        <w:rPr>
          <w:i/>
          <w:iCs/>
        </w:rPr>
        <w:t xml:space="preserve"> </w:t>
      </w:r>
      <w:r w:rsidRPr="00D90C15">
        <w:t>[2025] VCC 519</w:t>
      </w:r>
    </w:p>
    <w:p w14:paraId="6945D7AD" w14:textId="77777777" w:rsidR="005A008B" w:rsidRPr="00D90C15" w:rsidRDefault="005A008B" w:rsidP="006512A5">
      <w:r w:rsidRPr="004A331A">
        <w:rPr>
          <w:i/>
          <w:iCs/>
        </w:rPr>
        <w:t>R v Liang</w:t>
      </w:r>
      <w:r w:rsidRPr="00D90C15">
        <w:t xml:space="preserve"> [2025] VSC 218</w:t>
      </w:r>
    </w:p>
    <w:p w14:paraId="376FE62F" w14:textId="77777777" w:rsidR="005A008B" w:rsidRPr="00D90C15" w:rsidRDefault="005A008B" w:rsidP="006512A5">
      <w:r w:rsidRPr="004A331A">
        <w:rPr>
          <w:i/>
          <w:iCs/>
        </w:rPr>
        <w:t xml:space="preserve">DPP v Gabriel </w:t>
      </w:r>
      <w:r w:rsidRPr="00D90C15">
        <w:t>[2025] VCC 595</w:t>
      </w:r>
    </w:p>
    <w:p w14:paraId="5ADE66D9" w14:textId="77777777" w:rsidR="005A008B" w:rsidRPr="00D90C15" w:rsidRDefault="005A008B" w:rsidP="006512A5">
      <w:r w:rsidRPr="004A331A">
        <w:rPr>
          <w:i/>
          <w:iCs/>
        </w:rPr>
        <w:t xml:space="preserve">DPP v Yildiz </w:t>
      </w:r>
      <w:r w:rsidRPr="00D90C15">
        <w:t>[2025] VCC 467</w:t>
      </w:r>
    </w:p>
    <w:p w14:paraId="211C8181" w14:textId="77777777" w:rsidR="005A008B" w:rsidRPr="00D90C15" w:rsidRDefault="005A008B" w:rsidP="006512A5">
      <w:r w:rsidRPr="00253A7E">
        <w:rPr>
          <w:i/>
          <w:iCs/>
        </w:rPr>
        <w:t>DPP v Swain (a pseudonym) (No 2)</w:t>
      </w:r>
      <w:r w:rsidRPr="004A331A">
        <w:t xml:space="preserve"> </w:t>
      </w:r>
      <w:r w:rsidRPr="00D90C15">
        <w:t>[2025] ACTSC 209</w:t>
      </w:r>
    </w:p>
    <w:p w14:paraId="5DA0F034" w14:textId="77777777" w:rsidR="005A008B" w:rsidRPr="00D90C15" w:rsidRDefault="005A008B" w:rsidP="006512A5">
      <w:r w:rsidRPr="004A331A">
        <w:rPr>
          <w:i/>
          <w:iCs/>
        </w:rPr>
        <w:t xml:space="preserve">DPP v Dow </w:t>
      </w:r>
      <w:r w:rsidRPr="00D90C15">
        <w:t>[2025] VCC 652</w:t>
      </w:r>
    </w:p>
    <w:p w14:paraId="022BD987" w14:textId="77777777" w:rsidR="005A008B" w:rsidRPr="00D90C15" w:rsidRDefault="005A008B" w:rsidP="006512A5">
      <w:r w:rsidRPr="007B5725">
        <w:rPr>
          <w:i/>
          <w:iCs/>
        </w:rPr>
        <w:t>DPP v Burke (a pseudonym) [</w:t>
      </w:r>
      <w:r w:rsidRPr="00D90C15">
        <w:t>2025] VCC 386</w:t>
      </w:r>
    </w:p>
    <w:p w14:paraId="6744D354" w14:textId="77777777" w:rsidR="005A008B" w:rsidRPr="00D90C15" w:rsidRDefault="005A008B" w:rsidP="006512A5">
      <w:r w:rsidRPr="007B5725">
        <w:rPr>
          <w:i/>
          <w:iCs/>
        </w:rPr>
        <w:t>Barton (a pseudonym) v The King; DPP v Barton (a pseudonym) &amp; Anor</w:t>
      </w:r>
      <w:r w:rsidRPr="00D90C15">
        <w:t xml:space="preserve"> [2025] VSCA 74</w:t>
      </w:r>
    </w:p>
    <w:p w14:paraId="566C1BB4" w14:textId="77777777" w:rsidR="005A008B" w:rsidRPr="00D90C15" w:rsidRDefault="005A008B" w:rsidP="006512A5">
      <w:proofErr w:type="spellStart"/>
      <w:r w:rsidRPr="007B5725">
        <w:rPr>
          <w:i/>
          <w:iCs/>
        </w:rPr>
        <w:lastRenderedPageBreak/>
        <w:t>Malovski</w:t>
      </w:r>
      <w:proofErr w:type="spellEnd"/>
      <w:r w:rsidRPr="007B5725">
        <w:rPr>
          <w:i/>
          <w:iCs/>
        </w:rPr>
        <w:t xml:space="preserve"> v The King</w:t>
      </w:r>
      <w:r w:rsidRPr="004A331A">
        <w:t xml:space="preserve"> </w:t>
      </w:r>
      <w:r w:rsidRPr="00D90C15">
        <w:t>[2025] VSCA 72</w:t>
      </w:r>
    </w:p>
    <w:p w14:paraId="0C6F9F3C" w14:textId="77777777" w:rsidR="005A008B" w:rsidRPr="00D90C15" w:rsidRDefault="005A008B" w:rsidP="006512A5">
      <w:r w:rsidRPr="004A331A">
        <w:rPr>
          <w:i/>
          <w:iCs/>
        </w:rPr>
        <w:t xml:space="preserve">DPP v Ivanac </w:t>
      </w:r>
      <w:r w:rsidRPr="00D90C15">
        <w:t>[2025] VCC 567</w:t>
      </w:r>
    </w:p>
    <w:p w14:paraId="313C8848" w14:textId="77777777" w:rsidR="005A008B" w:rsidRPr="00D90C15" w:rsidRDefault="005A008B" w:rsidP="006512A5">
      <w:r w:rsidRPr="004A331A">
        <w:rPr>
          <w:i/>
          <w:iCs/>
        </w:rPr>
        <w:t xml:space="preserve">DPP v Clapp </w:t>
      </w:r>
      <w:r w:rsidRPr="00D90C15">
        <w:t>[2025] VCC 576</w:t>
      </w:r>
    </w:p>
    <w:p w14:paraId="7A44F091" w14:textId="77777777" w:rsidR="005A008B" w:rsidRPr="00D90C15" w:rsidRDefault="005A008B" w:rsidP="006512A5">
      <w:r w:rsidRPr="004A331A">
        <w:rPr>
          <w:i/>
          <w:iCs/>
        </w:rPr>
        <w:t xml:space="preserve">DPP v Duff </w:t>
      </w:r>
      <w:r w:rsidRPr="00D90C15">
        <w:t>[2025] VCC 599</w:t>
      </w:r>
    </w:p>
    <w:p w14:paraId="41CDF6A4" w14:textId="77777777" w:rsidR="005A008B" w:rsidRPr="00D90C15" w:rsidRDefault="005A008B" w:rsidP="006512A5">
      <w:r w:rsidRPr="004A331A">
        <w:rPr>
          <w:i/>
          <w:iCs/>
        </w:rPr>
        <w:t xml:space="preserve">DPP v Pham </w:t>
      </w:r>
      <w:r w:rsidRPr="00D90C15">
        <w:t>[2025] VCC 310</w:t>
      </w:r>
    </w:p>
    <w:p w14:paraId="157BD71C" w14:textId="77777777" w:rsidR="005A008B" w:rsidRPr="00D90C15" w:rsidRDefault="005A008B" w:rsidP="006512A5">
      <w:r w:rsidRPr="004A331A">
        <w:rPr>
          <w:i/>
          <w:iCs/>
        </w:rPr>
        <w:t xml:space="preserve">Re Nguyen </w:t>
      </w:r>
      <w:r w:rsidRPr="00D90C15">
        <w:t>[2025] VSC 179</w:t>
      </w:r>
    </w:p>
    <w:p w14:paraId="4AF8055E" w14:textId="77777777" w:rsidR="005A008B" w:rsidRPr="00D90C15" w:rsidRDefault="005A008B" w:rsidP="006512A5">
      <w:r w:rsidRPr="004A331A">
        <w:rPr>
          <w:i/>
          <w:iCs/>
        </w:rPr>
        <w:t xml:space="preserve">DPP v </w:t>
      </w:r>
      <w:proofErr w:type="spellStart"/>
      <w:r w:rsidRPr="004A331A">
        <w:rPr>
          <w:i/>
          <w:iCs/>
        </w:rPr>
        <w:t>Maloth</w:t>
      </w:r>
      <w:proofErr w:type="spellEnd"/>
      <w:r w:rsidRPr="004A331A">
        <w:rPr>
          <w:i/>
          <w:iCs/>
        </w:rPr>
        <w:t xml:space="preserve"> </w:t>
      </w:r>
      <w:r w:rsidRPr="00D90C15">
        <w:t>[2025] VCC 423</w:t>
      </w:r>
    </w:p>
    <w:p w14:paraId="27F2C9D5" w14:textId="77777777" w:rsidR="005A008B" w:rsidRPr="00D90C15" w:rsidRDefault="005A008B" w:rsidP="006512A5">
      <w:r w:rsidRPr="00253A7E">
        <w:rPr>
          <w:i/>
          <w:iCs/>
        </w:rPr>
        <w:t>DPP v 623452924HAV Pty Ltd</w:t>
      </w:r>
      <w:r w:rsidRPr="004A331A">
        <w:t xml:space="preserve"> </w:t>
      </w:r>
      <w:r w:rsidRPr="00D90C15">
        <w:t>[2025] VCC 379</w:t>
      </w:r>
    </w:p>
    <w:p w14:paraId="2835AC53" w14:textId="77777777" w:rsidR="005A008B" w:rsidRPr="00D90C15" w:rsidRDefault="005A008B" w:rsidP="006512A5">
      <w:r w:rsidRPr="004A331A">
        <w:rPr>
          <w:i/>
          <w:iCs/>
        </w:rPr>
        <w:t xml:space="preserve">R v Shumski </w:t>
      </w:r>
      <w:r w:rsidRPr="00D90C15">
        <w:t>[2025] VSC 148</w:t>
      </w:r>
    </w:p>
    <w:p w14:paraId="2E20AB9E" w14:textId="77777777" w:rsidR="005A008B" w:rsidRPr="00D90C15" w:rsidRDefault="005A008B" w:rsidP="006512A5">
      <w:r w:rsidRPr="004A331A">
        <w:rPr>
          <w:i/>
          <w:iCs/>
        </w:rPr>
        <w:t xml:space="preserve">DPP v Le </w:t>
      </w:r>
      <w:r w:rsidRPr="00D90C15">
        <w:t>[2025] VCC 373</w:t>
      </w:r>
    </w:p>
    <w:p w14:paraId="3664A078" w14:textId="77777777" w:rsidR="005A008B" w:rsidRPr="00D90C15" w:rsidRDefault="005A008B" w:rsidP="006512A5">
      <w:r w:rsidRPr="005079AE">
        <w:rPr>
          <w:i/>
          <w:iCs/>
        </w:rPr>
        <w:t>DPP v Energy Australia (Yallourn)</w:t>
      </w:r>
      <w:r w:rsidRPr="004A331A">
        <w:t xml:space="preserve"> </w:t>
      </w:r>
      <w:r w:rsidRPr="00D90C15">
        <w:t>[2025] VCC 329</w:t>
      </w:r>
    </w:p>
    <w:p w14:paraId="4D6CEDCA" w14:textId="77777777" w:rsidR="005A008B" w:rsidRPr="00D90C15" w:rsidRDefault="005A008B" w:rsidP="006512A5">
      <w:r w:rsidRPr="004A331A">
        <w:rPr>
          <w:i/>
          <w:iCs/>
        </w:rPr>
        <w:t xml:space="preserve">DPP v </w:t>
      </w:r>
      <w:proofErr w:type="spellStart"/>
      <w:r w:rsidRPr="004A331A">
        <w:rPr>
          <w:i/>
          <w:iCs/>
        </w:rPr>
        <w:t>Tofi</w:t>
      </w:r>
      <w:proofErr w:type="spellEnd"/>
      <w:r w:rsidRPr="004A331A">
        <w:rPr>
          <w:i/>
          <w:iCs/>
        </w:rPr>
        <w:t xml:space="preserve"> </w:t>
      </w:r>
      <w:r w:rsidRPr="00D90C15">
        <w:t>[2025] VCC 330</w:t>
      </w:r>
    </w:p>
    <w:p w14:paraId="66EB422F" w14:textId="77777777" w:rsidR="005A008B" w:rsidRPr="00D90C15" w:rsidRDefault="005A008B" w:rsidP="006512A5">
      <w:r w:rsidRPr="004A331A">
        <w:rPr>
          <w:i/>
          <w:iCs/>
        </w:rPr>
        <w:t xml:space="preserve">DPP v Lewis </w:t>
      </w:r>
      <w:r w:rsidRPr="00D90C15">
        <w:t>[2025] VCC 283</w:t>
      </w:r>
    </w:p>
    <w:p w14:paraId="6A57032D" w14:textId="77777777" w:rsidR="005A008B" w:rsidRPr="00D90C15" w:rsidRDefault="005A008B" w:rsidP="006512A5">
      <w:r w:rsidRPr="004A331A">
        <w:rPr>
          <w:i/>
          <w:iCs/>
        </w:rPr>
        <w:t xml:space="preserve">DPP v Gioffre </w:t>
      </w:r>
      <w:r w:rsidRPr="00D90C15">
        <w:t>[2025] VCC 269</w:t>
      </w:r>
    </w:p>
    <w:p w14:paraId="2721CA16" w14:textId="77777777" w:rsidR="005A008B" w:rsidRPr="00D90C15" w:rsidRDefault="005A008B" w:rsidP="006512A5">
      <w:r w:rsidRPr="004A331A">
        <w:rPr>
          <w:i/>
          <w:iCs/>
        </w:rPr>
        <w:t xml:space="preserve">DPP v </w:t>
      </w:r>
      <w:proofErr w:type="spellStart"/>
      <w:r w:rsidRPr="004A331A">
        <w:rPr>
          <w:i/>
          <w:iCs/>
        </w:rPr>
        <w:t>Stockil</w:t>
      </w:r>
      <w:proofErr w:type="spellEnd"/>
      <w:r w:rsidRPr="004A331A">
        <w:rPr>
          <w:i/>
          <w:iCs/>
        </w:rPr>
        <w:t xml:space="preserve"> </w:t>
      </w:r>
      <w:r w:rsidRPr="00D90C15">
        <w:t>[2025] VCC 260</w:t>
      </w:r>
    </w:p>
    <w:p w14:paraId="565287AE" w14:textId="77777777" w:rsidR="005A008B" w:rsidRPr="00D90C15" w:rsidRDefault="005A008B" w:rsidP="006512A5">
      <w:r w:rsidRPr="004A331A">
        <w:rPr>
          <w:i/>
          <w:iCs/>
        </w:rPr>
        <w:t xml:space="preserve">R v Fenwick </w:t>
      </w:r>
      <w:r w:rsidRPr="00D90C15">
        <w:t>[2025] VSC 95</w:t>
      </w:r>
    </w:p>
    <w:p w14:paraId="372C084F" w14:textId="77777777" w:rsidR="005A008B" w:rsidRPr="00D90C15" w:rsidRDefault="005A008B" w:rsidP="006512A5">
      <w:r w:rsidRPr="005079AE">
        <w:rPr>
          <w:i/>
          <w:iCs/>
        </w:rPr>
        <w:t>Andrews v The King</w:t>
      </w:r>
      <w:r w:rsidRPr="004A331A">
        <w:t xml:space="preserve"> </w:t>
      </w:r>
      <w:r w:rsidRPr="00D90C15">
        <w:t>[2025] VSCA 26</w:t>
      </w:r>
    </w:p>
    <w:p w14:paraId="2F47A055" w14:textId="77777777" w:rsidR="005A008B" w:rsidRPr="00D90C15" w:rsidRDefault="005A008B" w:rsidP="006512A5">
      <w:r w:rsidRPr="005079AE">
        <w:rPr>
          <w:i/>
          <w:iCs/>
        </w:rPr>
        <w:t>DPP v Chambers</w:t>
      </w:r>
      <w:r w:rsidRPr="004A331A">
        <w:t xml:space="preserve"> </w:t>
      </w:r>
      <w:r w:rsidRPr="00D90C15">
        <w:t>[2025] VSC 63</w:t>
      </w:r>
    </w:p>
    <w:p w14:paraId="69DEAA5A" w14:textId="77777777" w:rsidR="005A008B" w:rsidRPr="00D90C15" w:rsidRDefault="005A008B" w:rsidP="006512A5">
      <w:r w:rsidRPr="005079AE">
        <w:rPr>
          <w:i/>
          <w:iCs/>
        </w:rPr>
        <w:t>DPP v Hoover (a pseudonym)</w:t>
      </w:r>
      <w:r w:rsidRPr="004A331A">
        <w:t xml:space="preserve"> </w:t>
      </w:r>
      <w:r w:rsidRPr="00D90C15">
        <w:t>[2025] VCC 157</w:t>
      </w:r>
    </w:p>
    <w:p w14:paraId="1E3A37DB" w14:textId="77777777" w:rsidR="005A008B" w:rsidRPr="00D90C15" w:rsidRDefault="005A008B" w:rsidP="006512A5">
      <w:r w:rsidRPr="005079AE">
        <w:rPr>
          <w:i/>
          <w:iCs/>
        </w:rPr>
        <w:t>DPP v Wrench (a pseudonym)</w:t>
      </w:r>
      <w:r w:rsidRPr="004A331A">
        <w:t xml:space="preserve"> </w:t>
      </w:r>
      <w:r w:rsidRPr="00D90C15">
        <w:t>[2025] VCC 111</w:t>
      </w:r>
    </w:p>
    <w:p w14:paraId="3A7D9B62" w14:textId="77777777" w:rsidR="005A008B" w:rsidRPr="00D90C15" w:rsidRDefault="005A008B" w:rsidP="006512A5">
      <w:r w:rsidRPr="005079AE">
        <w:rPr>
          <w:i/>
          <w:iCs/>
        </w:rPr>
        <w:t>DPP v Waterhouse</w:t>
      </w:r>
      <w:r w:rsidRPr="004A331A">
        <w:t xml:space="preserve"> </w:t>
      </w:r>
      <w:r w:rsidRPr="00D90C15">
        <w:t>[2025] VSC 67</w:t>
      </w:r>
    </w:p>
    <w:p w14:paraId="7FBEDBBC" w14:textId="77777777" w:rsidR="005A008B" w:rsidRPr="00D90C15" w:rsidRDefault="005A008B" w:rsidP="006512A5">
      <w:r w:rsidRPr="005079AE">
        <w:rPr>
          <w:i/>
          <w:iCs/>
        </w:rPr>
        <w:t>Long (a pseudonym) v The King</w:t>
      </w:r>
      <w:r w:rsidRPr="004A331A">
        <w:t xml:space="preserve"> </w:t>
      </w:r>
      <w:r w:rsidRPr="00D90C15">
        <w:t>[2025] VSCA 15</w:t>
      </w:r>
    </w:p>
    <w:p w14:paraId="5800B308" w14:textId="77777777" w:rsidR="005A008B" w:rsidRPr="00D90C15" w:rsidRDefault="005A008B" w:rsidP="006512A5">
      <w:r w:rsidRPr="005079AE">
        <w:rPr>
          <w:i/>
          <w:iCs/>
        </w:rPr>
        <w:t>Comer v The King</w:t>
      </w:r>
      <w:r w:rsidRPr="00D90C15">
        <w:t xml:space="preserve"> [2025] VSCA 8</w:t>
      </w:r>
    </w:p>
    <w:p w14:paraId="2DE11DF0" w14:textId="77777777" w:rsidR="005A008B" w:rsidRPr="00D90C15" w:rsidRDefault="005A008B" w:rsidP="006512A5">
      <w:r w:rsidRPr="004A331A">
        <w:rPr>
          <w:i/>
          <w:iCs/>
        </w:rPr>
        <w:t xml:space="preserve">R v </w:t>
      </w:r>
      <w:proofErr w:type="spellStart"/>
      <w:r w:rsidRPr="004A331A">
        <w:rPr>
          <w:i/>
          <w:iCs/>
        </w:rPr>
        <w:t>Uluivuya</w:t>
      </w:r>
      <w:proofErr w:type="spellEnd"/>
      <w:r w:rsidRPr="00D90C15">
        <w:t xml:space="preserve"> [2025] VSC 29</w:t>
      </w:r>
    </w:p>
    <w:p w14:paraId="30464679" w14:textId="77777777" w:rsidR="005A008B" w:rsidRPr="00D90C15" w:rsidRDefault="005A008B" w:rsidP="006512A5">
      <w:r w:rsidRPr="005079AE">
        <w:rPr>
          <w:i/>
          <w:iCs/>
        </w:rPr>
        <w:t xml:space="preserve">DPP v </w:t>
      </w:r>
      <w:proofErr w:type="spellStart"/>
      <w:r w:rsidRPr="005079AE">
        <w:rPr>
          <w:i/>
          <w:iCs/>
        </w:rPr>
        <w:t>Favento</w:t>
      </w:r>
      <w:proofErr w:type="spellEnd"/>
      <w:r w:rsidRPr="004A331A">
        <w:t xml:space="preserve"> </w:t>
      </w:r>
      <w:r w:rsidRPr="00D90C15">
        <w:t>[2025] VCC 86</w:t>
      </w:r>
    </w:p>
    <w:p w14:paraId="130A51F9" w14:textId="77777777" w:rsidR="005A008B" w:rsidRPr="00D90C15" w:rsidRDefault="005A008B" w:rsidP="006512A5">
      <w:r w:rsidRPr="005079AE">
        <w:rPr>
          <w:i/>
          <w:iCs/>
        </w:rPr>
        <w:lastRenderedPageBreak/>
        <w:t>Shari v Victorian Aboriginal Health Service</w:t>
      </w:r>
      <w:r w:rsidRPr="004A331A">
        <w:t xml:space="preserve"> </w:t>
      </w:r>
      <w:r w:rsidRPr="00D90C15">
        <w:t>[2024] VCAT 1223</w:t>
      </w:r>
    </w:p>
    <w:p w14:paraId="0DF771E9" w14:textId="77777777" w:rsidR="005A008B" w:rsidRPr="00D90C15" w:rsidRDefault="005A008B" w:rsidP="006512A5">
      <w:r w:rsidRPr="004A331A">
        <w:rPr>
          <w:i/>
          <w:iCs/>
        </w:rPr>
        <w:t>DPP v Atalay</w:t>
      </w:r>
      <w:r w:rsidRPr="00D90C15">
        <w:t xml:space="preserve"> [2024] VCC 2100</w:t>
      </w:r>
    </w:p>
    <w:p w14:paraId="68D9B0D0" w14:textId="77777777" w:rsidR="005A008B" w:rsidRPr="00D90C15" w:rsidRDefault="005A008B" w:rsidP="006512A5">
      <w:r w:rsidRPr="005079AE">
        <w:rPr>
          <w:i/>
          <w:iCs/>
        </w:rPr>
        <w:t>DPP v Al Hilo &amp; Ors</w:t>
      </w:r>
      <w:r w:rsidRPr="004A331A">
        <w:t xml:space="preserve"> </w:t>
      </w:r>
      <w:r w:rsidRPr="00D90C15">
        <w:t>[2024] VCC 1961</w:t>
      </w:r>
    </w:p>
    <w:p w14:paraId="02610C1C" w14:textId="77777777" w:rsidR="005A008B" w:rsidRPr="00D90C15" w:rsidRDefault="005A008B" w:rsidP="006512A5">
      <w:r w:rsidRPr="004A331A">
        <w:rPr>
          <w:i/>
          <w:iCs/>
        </w:rPr>
        <w:t xml:space="preserve">DPP v Beaton </w:t>
      </w:r>
      <w:r w:rsidRPr="00D90C15">
        <w:t>[2024] VCC 1993</w:t>
      </w:r>
    </w:p>
    <w:p w14:paraId="601A3AE7" w14:textId="77777777" w:rsidR="005A008B" w:rsidRPr="00D90C15" w:rsidRDefault="005A008B" w:rsidP="006512A5">
      <w:r w:rsidRPr="004A331A">
        <w:rPr>
          <w:i/>
          <w:iCs/>
        </w:rPr>
        <w:t xml:space="preserve">DPP v Pyle </w:t>
      </w:r>
      <w:r w:rsidRPr="00D90C15">
        <w:t>[2024] VCC 2074</w:t>
      </w:r>
    </w:p>
    <w:p w14:paraId="69529A9E" w14:textId="77777777" w:rsidR="005A008B" w:rsidRPr="00D90C15" w:rsidRDefault="005A008B" w:rsidP="006512A5">
      <w:r w:rsidRPr="005079AE">
        <w:rPr>
          <w:i/>
          <w:iCs/>
        </w:rPr>
        <w:t>DPP v Daniels (a pseudonym)</w:t>
      </w:r>
      <w:r w:rsidRPr="004A331A">
        <w:t xml:space="preserve"> </w:t>
      </w:r>
      <w:r w:rsidRPr="00D90C15">
        <w:t>[2024] VCC 1854</w:t>
      </w:r>
    </w:p>
    <w:p w14:paraId="2102830E" w14:textId="77777777" w:rsidR="005A008B" w:rsidRPr="00D90C15" w:rsidRDefault="005A008B" w:rsidP="006512A5">
      <w:r w:rsidRPr="005079AE">
        <w:rPr>
          <w:i/>
          <w:iCs/>
        </w:rPr>
        <w:t>Armstrong v The King</w:t>
      </w:r>
      <w:r w:rsidRPr="004A331A">
        <w:t xml:space="preserve"> </w:t>
      </w:r>
      <w:r w:rsidRPr="00D90C15">
        <w:t>[2024] VSCA 316</w:t>
      </w:r>
    </w:p>
    <w:p w14:paraId="786A79E3" w14:textId="77777777" w:rsidR="005A008B" w:rsidRPr="00D90C15" w:rsidRDefault="005A008B" w:rsidP="006512A5">
      <w:r w:rsidRPr="004A331A">
        <w:rPr>
          <w:i/>
          <w:iCs/>
        </w:rPr>
        <w:t xml:space="preserve">DPP v Sulemani </w:t>
      </w:r>
      <w:r w:rsidRPr="00D90C15">
        <w:t>[2024] VCC 2077</w:t>
      </w:r>
    </w:p>
    <w:p w14:paraId="27D2F672" w14:textId="77777777" w:rsidR="005A008B" w:rsidRPr="00D90C15" w:rsidRDefault="005A008B" w:rsidP="006512A5">
      <w:r w:rsidRPr="005079AE">
        <w:rPr>
          <w:i/>
          <w:iCs/>
        </w:rPr>
        <w:t>DPP v Haileselassie</w:t>
      </w:r>
      <w:r w:rsidRPr="004A331A">
        <w:t xml:space="preserve"> </w:t>
      </w:r>
      <w:r w:rsidRPr="00D90C15">
        <w:t>[2024] VCC 2071</w:t>
      </w:r>
    </w:p>
    <w:p w14:paraId="63454C5A" w14:textId="77777777" w:rsidR="005A008B" w:rsidRPr="00D90C15" w:rsidRDefault="005A008B" w:rsidP="006512A5">
      <w:r w:rsidRPr="004A331A">
        <w:rPr>
          <w:i/>
          <w:iCs/>
        </w:rPr>
        <w:t xml:space="preserve">DPP v Kerr </w:t>
      </w:r>
      <w:r w:rsidRPr="00D90C15">
        <w:t>[2024] VCC 2048</w:t>
      </w:r>
    </w:p>
    <w:p w14:paraId="748F09D6" w14:textId="77777777" w:rsidR="005A008B" w:rsidRPr="00D90C15" w:rsidRDefault="005A008B" w:rsidP="006512A5">
      <w:r w:rsidRPr="005079AE">
        <w:rPr>
          <w:i/>
          <w:iCs/>
        </w:rPr>
        <w:t>WGL v Safe Transport Victoria</w:t>
      </w:r>
      <w:r w:rsidRPr="004A331A">
        <w:t xml:space="preserve"> </w:t>
      </w:r>
      <w:r w:rsidRPr="00D90C15">
        <w:t>[2024] VCAT 1142</w:t>
      </w:r>
    </w:p>
    <w:p w14:paraId="2E793B39" w14:textId="77777777" w:rsidR="005A008B" w:rsidRPr="00D90C15" w:rsidRDefault="005A008B" w:rsidP="006512A5">
      <w:r w:rsidRPr="004A331A">
        <w:rPr>
          <w:i/>
          <w:iCs/>
        </w:rPr>
        <w:t xml:space="preserve">Re Sahin </w:t>
      </w:r>
      <w:r w:rsidRPr="00D90C15">
        <w:t>[2024] VSC 748</w:t>
      </w:r>
    </w:p>
    <w:p w14:paraId="7BE1C382" w14:textId="77777777" w:rsidR="005A008B" w:rsidRPr="00D90C15" w:rsidRDefault="005A008B" w:rsidP="006512A5">
      <w:r w:rsidRPr="004A331A">
        <w:rPr>
          <w:i/>
          <w:iCs/>
        </w:rPr>
        <w:t xml:space="preserve">DPP v Le </w:t>
      </w:r>
      <w:r w:rsidRPr="00D90C15">
        <w:t>[2024] VCC 1937</w:t>
      </w:r>
    </w:p>
    <w:p w14:paraId="1F164F36" w14:textId="77777777" w:rsidR="005A008B" w:rsidRPr="00D90C15" w:rsidRDefault="005A008B" w:rsidP="006512A5">
      <w:r w:rsidRPr="005079AE">
        <w:rPr>
          <w:i/>
          <w:iCs/>
        </w:rPr>
        <w:t>DPP v Dean &amp; Anor</w:t>
      </w:r>
      <w:r w:rsidRPr="004A331A">
        <w:t xml:space="preserve"> </w:t>
      </w:r>
      <w:r w:rsidRPr="00D90C15">
        <w:t>[2024] VCC 1602</w:t>
      </w:r>
    </w:p>
    <w:p w14:paraId="35E97D32" w14:textId="77777777" w:rsidR="005A008B" w:rsidRPr="00D90C15" w:rsidRDefault="005A008B" w:rsidP="006512A5">
      <w:r w:rsidRPr="004A331A">
        <w:rPr>
          <w:i/>
          <w:iCs/>
        </w:rPr>
        <w:t xml:space="preserve">DPP v </w:t>
      </w:r>
      <w:proofErr w:type="spellStart"/>
      <w:r w:rsidRPr="004A331A">
        <w:rPr>
          <w:i/>
          <w:iCs/>
        </w:rPr>
        <w:t>Batsanes</w:t>
      </w:r>
      <w:proofErr w:type="spellEnd"/>
      <w:r w:rsidRPr="004A331A">
        <w:rPr>
          <w:i/>
          <w:iCs/>
        </w:rPr>
        <w:t xml:space="preserve"> </w:t>
      </w:r>
      <w:r w:rsidRPr="00D90C15">
        <w:t>[2024] VCC 1702</w:t>
      </w:r>
    </w:p>
    <w:p w14:paraId="5974B1F1" w14:textId="77777777" w:rsidR="005A008B" w:rsidRPr="00D90C15" w:rsidRDefault="005A008B" w:rsidP="006512A5">
      <w:r w:rsidRPr="005079AE">
        <w:rPr>
          <w:i/>
          <w:iCs/>
        </w:rPr>
        <w:t>Nguyen v The King</w:t>
      </w:r>
      <w:r w:rsidRPr="004A331A">
        <w:t xml:space="preserve"> </w:t>
      </w:r>
      <w:r w:rsidRPr="00D90C15">
        <w:t>[2024] VSCA 290</w:t>
      </w:r>
    </w:p>
    <w:p w14:paraId="6CDB4F07" w14:textId="77777777" w:rsidR="005A008B" w:rsidRPr="00D90C15" w:rsidRDefault="005A008B" w:rsidP="006512A5">
      <w:r w:rsidRPr="004A331A">
        <w:rPr>
          <w:i/>
          <w:iCs/>
        </w:rPr>
        <w:t xml:space="preserve">DPP v Cousins </w:t>
      </w:r>
      <w:r w:rsidRPr="00D90C15">
        <w:t>[2024] VCC 1906</w:t>
      </w:r>
    </w:p>
    <w:p w14:paraId="3473AFA3" w14:textId="77777777" w:rsidR="005A008B" w:rsidRPr="00D90C15" w:rsidRDefault="005A008B" w:rsidP="006512A5">
      <w:r w:rsidRPr="005079AE">
        <w:rPr>
          <w:i/>
          <w:iCs/>
        </w:rPr>
        <w:t>DPP v Yarra Valley Park Lane Holiday Park Pty Ltd</w:t>
      </w:r>
      <w:r w:rsidRPr="004A331A">
        <w:t xml:space="preserve"> </w:t>
      </w:r>
      <w:r w:rsidRPr="00D90C15">
        <w:t>[2024] VCC 1863</w:t>
      </w:r>
    </w:p>
    <w:p w14:paraId="5525CFDD" w14:textId="77777777" w:rsidR="005A008B" w:rsidRPr="00D90C15" w:rsidRDefault="005A008B" w:rsidP="006512A5">
      <w:r w:rsidRPr="005079AE">
        <w:rPr>
          <w:i/>
          <w:iCs/>
        </w:rPr>
        <w:t>Kwag v The King</w:t>
      </w:r>
      <w:r w:rsidRPr="004A331A">
        <w:t xml:space="preserve"> </w:t>
      </w:r>
      <w:r w:rsidRPr="00D90C15">
        <w:t>[2024] VSCA 279</w:t>
      </w:r>
    </w:p>
    <w:p w14:paraId="26A42E59" w14:textId="77777777" w:rsidR="005A008B" w:rsidRPr="00D90C15" w:rsidRDefault="005A008B" w:rsidP="006512A5">
      <w:r w:rsidRPr="004A331A">
        <w:rPr>
          <w:i/>
          <w:iCs/>
        </w:rPr>
        <w:t xml:space="preserve">DPP v Dand </w:t>
      </w:r>
      <w:r w:rsidRPr="00D90C15">
        <w:t>[2024] VCC 1791</w:t>
      </w:r>
    </w:p>
    <w:p w14:paraId="0392D6BD" w14:textId="77777777" w:rsidR="005A008B" w:rsidRPr="00D90C15" w:rsidRDefault="005A008B" w:rsidP="006512A5">
      <w:r w:rsidRPr="005079AE">
        <w:rPr>
          <w:i/>
          <w:iCs/>
        </w:rPr>
        <w:t>Liberatore v The King</w:t>
      </w:r>
      <w:r w:rsidRPr="004A331A">
        <w:t xml:space="preserve"> </w:t>
      </w:r>
      <w:r w:rsidRPr="00D90C15">
        <w:t>[2024] VSCA 263</w:t>
      </w:r>
    </w:p>
    <w:p w14:paraId="3344D24C" w14:textId="77777777" w:rsidR="005A008B" w:rsidRPr="00D90C15" w:rsidRDefault="005A008B" w:rsidP="006512A5">
      <w:r w:rsidRPr="004A331A">
        <w:rPr>
          <w:i/>
          <w:iCs/>
        </w:rPr>
        <w:t xml:space="preserve">DPP v Brown </w:t>
      </w:r>
      <w:r w:rsidRPr="00D90C15">
        <w:t>[2024] VCC 1785</w:t>
      </w:r>
    </w:p>
    <w:p w14:paraId="72448BF1" w14:textId="77777777" w:rsidR="005A008B" w:rsidRPr="00D90C15" w:rsidRDefault="005A008B" w:rsidP="006512A5">
      <w:r w:rsidRPr="005079AE">
        <w:rPr>
          <w:i/>
          <w:iCs/>
        </w:rPr>
        <w:t>DPP v Pritchard</w:t>
      </w:r>
      <w:r w:rsidRPr="004A331A">
        <w:t xml:space="preserve"> </w:t>
      </w:r>
      <w:r w:rsidRPr="00D90C15">
        <w:t>[2024] VSC 660</w:t>
      </w:r>
    </w:p>
    <w:p w14:paraId="4AB990B0" w14:textId="77777777" w:rsidR="005A008B" w:rsidRPr="00D90C15" w:rsidRDefault="005A008B" w:rsidP="006512A5">
      <w:r w:rsidRPr="005079AE">
        <w:rPr>
          <w:i/>
          <w:iCs/>
        </w:rPr>
        <w:t>DPP v Randall (a pseudonym)</w:t>
      </w:r>
      <w:r w:rsidRPr="004A331A">
        <w:t xml:space="preserve"> </w:t>
      </w:r>
      <w:r w:rsidRPr="00D90C15">
        <w:t>[2024] VCC 1748</w:t>
      </w:r>
    </w:p>
    <w:p w14:paraId="4BF09EC2" w14:textId="77777777" w:rsidR="005A008B" w:rsidRPr="00D90C15" w:rsidRDefault="005A008B" w:rsidP="006512A5">
      <w:r w:rsidRPr="004A331A">
        <w:rPr>
          <w:i/>
          <w:iCs/>
        </w:rPr>
        <w:t xml:space="preserve">DPP v Goeldner </w:t>
      </w:r>
      <w:r w:rsidRPr="00D90C15">
        <w:t>[2024] VCC 1749</w:t>
      </w:r>
    </w:p>
    <w:p w14:paraId="690744C0" w14:textId="77777777" w:rsidR="005A008B" w:rsidRPr="00D90C15" w:rsidRDefault="005A008B" w:rsidP="006512A5">
      <w:r w:rsidRPr="005079AE">
        <w:rPr>
          <w:i/>
          <w:iCs/>
        </w:rPr>
        <w:lastRenderedPageBreak/>
        <w:t>DPP v Jenkins (a pseudonym)</w:t>
      </w:r>
      <w:r w:rsidRPr="004A331A">
        <w:t xml:space="preserve"> </w:t>
      </w:r>
      <w:r w:rsidRPr="00D90C15">
        <w:t>[2024] VCC 1709</w:t>
      </w:r>
    </w:p>
    <w:p w14:paraId="56E57681" w14:textId="77777777" w:rsidR="005A008B" w:rsidRPr="00D90C15" w:rsidRDefault="005A008B" w:rsidP="006512A5">
      <w:r w:rsidRPr="005079AE">
        <w:rPr>
          <w:i/>
          <w:iCs/>
        </w:rPr>
        <w:t>R v Hagi Ali &amp; Anor</w:t>
      </w:r>
      <w:r w:rsidRPr="004A331A">
        <w:t xml:space="preserve"> </w:t>
      </w:r>
      <w:r w:rsidRPr="00D90C15">
        <w:t>[2024] VSC 645</w:t>
      </w:r>
    </w:p>
    <w:p w14:paraId="3C001D43" w14:textId="77777777" w:rsidR="005A008B" w:rsidRPr="00D90C15" w:rsidRDefault="005A008B" w:rsidP="006512A5">
      <w:r w:rsidRPr="004A331A">
        <w:rPr>
          <w:i/>
          <w:iCs/>
        </w:rPr>
        <w:t xml:space="preserve">DPP v Thomas </w:t>
      </w:r>
      <w:r w:rsidRPr="00D90C15">
        <w:t>[2024] VSC 659</w:t>
      </w:r>
    </w:p>
    <w:p w14:paraId="6B6F6A7B" w14:textId="77777777" w:rsidR="005A008B" w:rsidRPr="00D90C15" w:rsidRDefault="005A008B" w:rsidP="006512A5">
      <w:r w:rsidRPr="005079AE">
        <w:rPr>
          <w:i/>
          <w:iCs/>
        </w:rPr>
        <w:t>Dennert v The King</w:t>
      </w:r>
      <w:r w:rsidRPr="004A331A">
        <w:t xml:space="preserve"> </w:t>
      </w:r>
      <w:r w:rsidRPr="00D90C15">
        <w:t>[2024] VSCA 250</w:t>
      </w:r>
    </w:p>
    <w:p w14:paraId="2C54D40A" w14:textId="77777777" w:rsidR="005A008B" w:rsidRPr="00D90C15" w:rsidRDefault="005A008B" w:rsidP="006512A5">
      <w:r w:rsidRPr="004A331A">
        <w:rPr>
          <w:i/>
          <w:iCs/>
        </w:rPr>
        <w:t xml:space="preserve">R v Lynn </w:t>
      </w:r>
      <w:r w:rsidRPr="00D90C15">
        <w:t>[2024] VSC 635</w:t>
      </w:r>
    </w:p>
    <w:p w14:paraId="4D575814" w14:textId="77777777" w:rsidR="005A008B" w:rsidRPr="00D90C15" w:rsidRDefault="005A008B" w:rsidP="006512A5">
      <w:r w:rsidRPr="004A331A">
        <w:rPr>
          <w:i/>
          <w:iCs/>
        </w:rPr>
        <w:t xml:space="preserve">DPP v Deak </w:t>
      </w:r>
      <w:r w:rsidRPr="00D90C15">
        <w:t>[2024] VSC 723</w:t>
      </w:r>
    </w:p>
    <w:p w14:paraId="2ADAC5F1" w14:textId="77777777" w:rsidR="005A008B" w:rsidRPr="00D90C15" w:rsidRDefault="005A008B" w:rsidP="006512A5">
      <w:r w:rsidRPr="004A331A">
        <w:rPr>
          <w:i/>
          <w:iCs/>
        </w:rPr>
        <w:t xml:space="preserve">DPP v Platten </w:t>
      </w:r>
      <w:r w:rsidRPr="00D90C15">
        <w:t>[2024] VCC 1612</w:t>
      </w:r>
    </w:p>
    <w:p w14:paraId="25E87DC0" w14:textId="77777777" w:rsidR="005A008B" w:rsidRPr="00D90C15" w:rsidRDefault="005A008B" w:rsidP="006512A5">
      <w:r w:rsidRPr="004A331A">
        <w:rPr>
          <w:i/>
          <w:iCs/>
        </w:rPr>
        <w:t xml:space="preserve">DPP v Sprott </w:t>
      </w:r>
      <w:r w:rsidRPr="00D90C15">
        <w:t>[2024] VCC 1608</w:t>
      </w:r>
    </w:p>
    <w:p w14:paraId="632D085D" w14:textId="77777777" w:rsidR="005A008B" w:rsidRPr="009A485A" w:rsidRDefault="005A008B" w:rsidP="006512A5">
      <w:r w:rsidRPr="005079AE">
        <w:rPr>
          <w:i/>
          <w:iCs/>
        </w:rPr>
        <w:t>Greene (a pseudonym) v The King</w:t>
      </w:r>
      <w:r w:rsidRPr="004A331A">
        <w:t xml:space="preserve"> </w:t>
      </w:r>
      <w:r w:rsidRPr="009A485A">
        <w:t>[2024] VSCA 226</w:t>
      </w:r>
    </w:p>
    <w:p w14:paraId="51A6BAEA" w14:textId="77777777" w:rsidR="005A008B" w:rsidRPr="00D90C15" w:rsidRDefault="005A008B" w:rsidP="006512A5">
      <w:r w:rsidRPr="005079AE">
        <w:rPr>
          <w:i/>
          <w:iCs/>
        </w:rPr>
        <w:t>Chapman v The King</w:t>
      </w:r>
      <w:r w:rsidRPr="004A331A">
        <w:t xml:space="preserve"> </w:t>
      </w:r>
      <w:r w:rsidRPr="00D90C15">
        <w:t>[2024] VSCA 205</w:t>
      </w:r>
    </w:p>
    <w:p w14:paraId="045D88C4" w14:textId="77777777" w:rsidR="005A008B" w:rsidRPr="00D90C15" w:rsidRDefault="005A008B" w:rsidP="006512A5">
      <w:r w:rsidRPr="004A331A">
        <w:rPr>
          <w:i/>
          <w:iCs/>
        </w:rPr>
        <w:t xml:space="preserve">DPP v Christie </w:t>
      </w:r>
      <w:r w:rsidRPr="00D90C15">
        <w:t>[2024] VSCA 198</w:t>
      </w:r>
    </w:p>
    <w:p w14:paraId="13546DF2" w14:textId="77777777" w:rsidR="005A008B" w:rsidRPr="00D90C15" w:rsidRDefault="005A008B" w:rsidP="006512A5">
      <w:r w:rsidRPr="005079AE">
        <w:rPr>
          <w:i/>
          <w:iCs/>
        </w:rPr>
        <w:t>DPP v Tran (a pseudonym)</w:t>
      </w:r>
      <w:r w:rsidRPr="004A331A">
        <w:t xml:space="preserve"> </w:t>
      </w:r>
      <w:r w:rsidRPr="00D90C15">
        <w:t>[2024] VCC 1373</w:t>
      </w:r>
    </w:p>
    <w:p w14:paraId="290A8CDF" w14:textId="77777777" w:rsidR="005A008B" w:rsidRPr="00D90C15" w:rsidRDefault="005A008B" w:rsidP="006512A5">
      <w:r w:rsidRPr="004A331A">
        <w:rPr>
          <w:i/>
          <w:iCs/>
        </w:rPr>
        <w:t xml:space="preserve">DPP v Sao </w:t>
      </w:r>
      <w:r w:rsidRPr="00D90C15">
        <w:t>[2024] VCC 1295</w:t>
      </w:r>
    </w:p>
    <w:p w14:paraId="14CB0415" w14:textId="77777777" w:rsidR="005A008B" w:rsidRPr="00D90C15" w:rsidRDefault="005A008B" w:rsidP="006512A5">
      <w:r w:rsidRPr="004A331A">
        <w:rPr>
          <w:i/>
          <w:iCs/>
        </w:rPr>
        <w:t xml:space="preserve">DPP v Leggett </w:t>
      </w:r>
      <w:r w:rsidRPr="00D90C15">
        <w:t>[2024] VCC 1272</w:t>
      </w:r>
    </w:p>
    <w:p w14:paraId="4B684E87" w14:textId="77777777" w:rsidR="005A008B" w:rsidRPr="00D90C15" w:rsidRDefault="005A008B" w:rsidP="006512A5">
      <w:proofErr w:type="spellStart"/>
      <w:r w:rsidRPr="005079AE">
        <w:rPr>
          <w:i/>
          <w:iCs/>
        </w:rPr>
        <w:t>Ierardo</w:t>
      </w:r>
      <w:proofErr w:type="spellEnd"/>
      <w:r w:rsidRPr="005079AE">
        <w:rPr>
          <w:i/>
          <w:iCs/>
        </w:rPr>
        <w:t xml:space="preserve"> v The King</w:t>
      </w:r>
      <w:r w:rsidRPr="004A331A">
        <w:t xml:space="preserve"> </w:t>
      </w:r>
      <w:r w:rsidRPr="00D90C15">
        <w:t>[2024] VSCA 181</w:t>
      </w:r>
    </w:p>
    <w:p w14:paraId="7B997405" w14:textId="77777777" w:rsidR="005A008B" w:rsidRPr="00D90C15" w:rsidRDefault="005A008B" w:rsidP="006512A5">
      <w:r w:rsidRPr="004A331A">
        <w:rPr>
          <w:i/>
          <w:iCs/>
        </w:rPr>
        <w:t xml:space="preserve">DPP v Urquhart </w:t>
      </w:r>
      <w:r w:rsidRPr="00D90C15">
        <w:t>[2024] VCC 1217</w:t>
      </w:r>
    </w:p>
    <w:p w14:paraId="4904E1FF" w14:textId="77777777" w:rsidR="005A008B" w:rsidRPr="00D90C15" w:rsidRDefault="005A008B" w:rsidP="006512A5">
      <w:r w:rsidRPr="004A331A">
        <w:rPr>
          <w:i/>
          <w:iCs/>
        </w:rPr>
        <w:t xml:space="preserve">DPP v Cheng </w:t>
      </w:r>
      <w:r w:rsidRPr="00D90C15">
        <w:t>[2024] VCC 1228</w:t>
      </w:r>
    </w:p>
    <w:p w14:paraId="5B5EC8FB" w14:textId="77777777" w:rsidR="005A008B" w:rsidRPr="00D90C15" w:rsidRDefault="005A008B" w:rsidP="006512A5">
      <w:r w:rsidRPr="004A331A">
        <w:rPr>
          <w:i/>
          <w:iCs/>
        </w:rPr>
        <w:t xml:space="preserve">R v Kidd </w:t>
      </w:r>
      <w:r w:rsidRPr="00D90C15">
        <w:t>[2024] VSC 458</w:t>
      </w:r>
    </w:p>
    <w:p w14:paraId="5E511AC0" w14:textId="77777777" w:rsidR="005A008B" w:rsidRPr="00D90C15" w:rsidRDefault="005A008B" w:rsidP="006512A5">
      <w:r w:rsidRPr="005079AE">
        <w:rPr>
          <w:i/>
          <w:iCs/>
        </w:rPr>
        <w:t>DPP v Waterhouse</w:t>
      </w:r>
      <w:r w:rsidRPr="004A331A">
        <w:t xml:space="preserve"> </w:t>
      </w:r>
      <w:r w:rsidRPr="00D90C15">
        <w:t>[2024] VSC 585</w:t>
      </w:r>
    </w:p>
    <w:p w14:paraId="687C2239" w14:textId="77777777" w:rsidR="005A008B" w:rsidRPr="00D90C15" w:rsidRDefault="005A008B" w:rsidP="006512A5">
      <w:r w:rsidRPr="005079AE">
        <w:rPr>
          <w:i/>
          <w:iCs/>
        </w:rPr>
        <w:t>DPP v Joannides</w:t>
      </w:r>
      <w:r w:rsidRPr="004A331A">
        <w:t xml:space="preserve"> </w:t>
      </w:r>
      <w:r w:rsidRPr="00D90C15">
        <w:t>[2024] VCC 1043</w:t>
      </w:r>
    </w:p>
    <w:p w14:paraId="7D39C2D0" w14:textId="77777777" w:rsidR="005A008B" w:rsidRPr="00D90C15" w:rsidRDefault="005A008B" w:rsidP="006512A5">
      <w:r w:rsidRPr="005079AE">
        <w:rPr>
          <w:i/>
          <w:iCs/>
        </w:rPr>
        <w:t>DPP v Bartlett</w:t>
      </w:r>
      <w:r w:rsidRPr="004A331A">
        <w:t xml:space="preserve"> </w:t>
      </w:r>
      <w:r w:rsidRPr="00D90C15">
        <w:t>[2024] VCC 621</w:t>
      </w:r>
    </w:p>
    <w:p w14:paraId="2BF3AB29" w14:textId="77777777" w:rsidR="005A008B" w:rsidRPr="00D90C15" w:rsidRDefault="005A008B" w:rsidP="006512A5">
      <w:r w:rsidRPr="004A331A">
        <w:rPr>
          <w:i/>
          <w:iCs/>
        </w:rPr>
        <w:t xml:space="preserve">DPP v Comer </w:t>
      </w:r>
      <w:r w:rsidRPr="00D90C15">
        <w:t>[2024] VCC 1006</w:t>
      </w:r>
    </w:p>
    <w:p w14:paraId="3DFA18A4" w14:textId="77777777" w:rsidR="005A008B" w:rsidRPr="00D90C15" w:rsidRDefault="005A008B" w:rsidP="007977AB">
      <w:pPr>
        <w:pStyle w:val="Heading3"/>
      </w:pPr>
      <w:bookmarkStart w:id="49" w:name="_Toc221113815"/>
      <w:r w:rsidRPr="00D90C15">
        <w:lastRenderedPageBreak/>
        <w:t>Academic, Government and Other Citations</w:t>
      </w:r>
      <w:bookmarkEnd w:id="49"/>
    </w:p>
    <w:p w14:paraId="3E900FC3" w14:textId="77777777" w:rsidR="005A008B" w:rsidRPr="00D90C15" w:rsidRDefault="005A008B" w:rsidP="006512A5">
      <w:r w:rsidRPr="00D90C15">
        <w:t xml:space="preserve">ACT Law Reform and Sentencing Advisory Council, </w:t>
      </w:r>
      <w:r w:rsidRPr="004A331A">
        <w:rPr>
          <w:i/>
          <w:iCs/>
        </w:rPr>
        <w:t xml:space="preserve">Report into Dangerous Driving: Sentencing and Recidivism </w:t>
      </w:r>
      <w:r w:rsidRPr="00D90C15">
        <w:t>(ACT Law Reform and Sentencing Advisory Council, 2024)</w:t>
      </w:r>
    </w:p>
    <w:p w14:paraId="37B990EB" w14:textId="77777777" w:rsidR="005A008B" w:rsidRPr="00D90C15" w:rsidRDefault="005A008B" w:rsidP="006512A5">
      <w:r w:rsidRPr="00D90C15">
        <w:t xml:space="preserve">Allison, Fiona, ‘The Promise of Justice Reinvestment for First Nations Children and Young People in Australia’ (2025) 47(1) </w:t>
      </w:r>
      <w:r w:rsidRPr="004A331A">
        <w:rPr>
          <w:i/>
          <w:iCs/>
        </w:rPr>
        <w:t>Children Australia</w:t>
      </w:r>
      <w:r w:rsidRPr="00D90C15">
        <w:t xml:space="preserve"> 1</w:t>
      </w:r>
    </w:p>
    <w:p w14:paraId="64F9627B" w14:textId="77777777" w:rsidR="005A008B" w:rsidRPr="00D90C15" w:rsidRDefault="005A008B" w:rsidP="006512A5">
      <w:proofErr w:type="spellStart"/>
      <w:r w:rsidRPr="00D90C15">
        <w:t>Antojado</w:t>
      </w:r>
      <w:proofErr w:type="spellEnd"/>
      <w:r w:rsidRPr="00D90C15">
        <w:t xml:space="preserve">, Dwayne, Jessica Budd, Caroline Doyle and Lorena Bartels, ‘Criminal Justice, Representation and the Lived Experience Scholar’ (2024) 5 </w:t>
      </w:r>
      <w:r w:rsidRPr="004A331A">
        <w:rPr>
          <w:i/>
          <w:iCs/>
        </w:rPr>
        <w:t>Incarceration</w:t>
      </w:r>
      <w:r w:rsidRPr="00D90C15">
        <w:t xml:space="preserve"> 1</w:t>
      </w:r>
    </w:p>
    <w:p w14:paraId="4E440417" w14:textId="77777777" w:rsidR="005A008B" w:rsidRPr="00D90C15" w:rsidRDefault="005A008B" w:rsidP="006512A5">
      <w:r w:rsidRPr="00D90C15">
        <w:t xml:space="preserve">Arnold, Bronwyn, ‘The Presumption of Harm and Descriptions of Sexual Victimization: Sentencing the Victim-Offender’ (2025) </w:t>
      </w:r>
      <w:r w:rsidRPr="004A331A">
        <w:rPr>
          <w:i/>
          <w:iCs/>
        </w:rPr>
        <w:t>British Journal of Criminology</w:t>
      </w:r>
      <w:r w:rsidRPr="00D90C15">
        <w:t xml:space="preserve"> (DOI 10.1093/</w:t>
      </w:r>
      <w:proofErr w:type="spellStart"/>
      <w:r w:rsidRPr="00D90C15">
        <w:t>bjc</w:t>
      </w:r>
      <w:proofErr w:type="spellEnd"/>
      <w:r w:rsidRPr="00D90C15">
        <w:t>/azaf019)</w:t>
      </w:r>
    </w:p>
    <w:p w14:paraId="225DC66A" w14:textId="77777777" w:rsidR="005A008B" w:rsidRPr="00D90C15" w:rsidRDefault="005A008B" w:rsidP="006512A5">
      <w:r w:rsidRPr="00D90C15">
        <w:t xml:space="preserve">Boe, Andrew, ‘Then and Now: A Personal Reflection Upon the Experience of Indigenous People Within the Criminal Justice System in Australia’ (2024) </w:t>
      </w:r>
      <w:r w:rsidRPr="004A331A">
        <w:rPr>
          <w:i/>
          <w:iCs/>
        </w:rPr>
        <w:t>Pandora’s Box</w:t>
      </w:r>
      <w:r w:rsidRPr="00D90C15">
        <w:t xml:space="preserve"> 136</w:t>
      </w:r>
    </w:p>
    <w:p w14:paraId="0291A51B" w14:textId="77777777" w:rsidR="005A008B" w:rsidRPr="00D90C15" w:rsidRDefault="005A008B" w:rsidP="006512A5">
      <w:r w:rsidRPr="00D90C15">
        <w:t xml:space="preserve">Braithwaite, Vanessa and Mary Ivec, ‘“How About Being Trustworthy Rather Than Asking Families to Trust?”: A Prerequisite for Child Protection Authorities Partnering with Indigenous Communities’ (2024) 7(4) </w:t>
      </w:r>
      <w:r w:rsidRPr="004A331A">
        <w:rPr>
          <w:i/>
          <w:iCs/>
        </w:rPr>
        <w:t>International Journal on Child Maltreatment: Research, Policy and Practice</w:t>
      </w:r>
      <w:r w:rsidRPr="00D90C15">
        <w:t xml:space="preserve"> 501</w:t>
      </w:r>
    </w:p>
    <w:p w14:paraId="2877B30F" w14:textId="77777777" w:rsidR="005A008B" w:rsidRPr="00D90C15" w:rsidRDefault="005A008B" w:rsidP="006512A5">
      <w:r w:rsidRPr="00D90C15">
        <w:t xml:space="preserve">Chen, Mating, Yanyu Xin and </w:t>
      </w:r>
      <w:proofErr w:type="spellStart"/>
      <w:r w:rsidRPr="00D90C15">
        <w:t>Tianji</w:t>
      </w:r>
      <w:proofErr w:type="spellEnd"/>
      <w:r w:rsidRPr="00D90C15">
        <w:t xml:space="preserve"> Cai, ‘Sexual Distance in Victim-Offender Relationships: Expanding the Social Distance Hypothesis for Rape Sentencing in China’ (2025) </w:t>
      </w:r>
      <w:r w:rsidRPr="004A331A">
        <w:rPr>
          <w:i/>
          <w:iCs/>
        </w:rPr>
        <w:t>Journal of Quantitative Criminology</w:t>
      </w:r>
      <w:r w:rsidRPr="00D90C15">
        <w:t xml:space="preserve"> (DOI 10.1007/s10940-025-09607-9)</w:t>
      </w:r>
    </w:p>
    <w:p w14:paraId="131D0D69" w14:textId="77777777" w:rsidR="005A008B" w:rsidRPr="00D90C15" w:rsidRDefault="005A008B" w:rsidP="006512A5">
      <w:r w:rsidRPr="00D90C15">
        <w:t xml:space="preserve">Cotterell, Jennifer, Jacquie Rand and Rebekah Scotney, ‘Rethinking Urban Cat Management – Limitations and Unintended Consequences of Traditional Cat Management’ (2025) 15(7) </w:t>
      </w:r>
      <w:r w:rsidRPr="004A331A">
        <w:rPr>
          <w:i/>
          <w:iCs/>
        </w:rPr>
        <w:t xml:space="preserve">Animals </w:t>
      </w:r>
      <w:r w:rsidRPr="00D90C15">
        <w:t>1005</w:t>
      </w:r>
    </w:p>
    <w:p w14:paraId="5C984025" w14:textId="77777777" w:rsidR="005A008B" w:rsidRPr="00D90C15" w:rsidRDefault="005A008B" w:rsidP="006512A5">
      <w:r w:rsidRPr="00D90C15">
        <w:t xml:space="preserve">Cover, Rob, </w:t>
      </w:r>
      <w:proofErr w:type="spellStart"/>
      <w:r w:rsidRPr="00D90C15">
        <w:t>Rhyle</w:t>
      </w:r>
      <w:proofErr w:type="spellEnd"/>
      <w:r w:rsidRPr="00D90C15">
        <w:t xml:space="preserve"> Simcock and Joel Humphries, ‘Digital Harms and Penalties: Australian Regulation, Platform Moderation and the Figure of the Perpetrator’ (2025) </w:t>
      </w:r>
      <w:r w:rsidRPr="004A331A">
        <w:rPr>
          <w:i/>
          <w:iCs/>
        </w:rPr>
        <w:t xml:space="preserve">Media International Australia </w:t>
      </w:r>
      <w:r w:rsidRPr="00D90C15">
        <w:t>(DOI 10.1177/1329878X251350727)</w:t>
      </w:r>
    </w:p>
    <w:p w14:paraId="57E1C4D3" w14:textId="77777777" w:rsidR="005A008B" w:rsidRPr="00D90C15" w:rsidRDefault="005A008B" w:rsidP="006512A5">
      <w:r w:rsidRPr="00D90C15">
        <w:lastRenderedPageBreak/>
        <w:t xml:space="preserve">Deegan, Simone J., ‘Brothers in Arms or Making a Murderer? Public Opinion on Joint Criminal Enterprise’ (2025) </w:t>
      </w:r>
      <w:r w:rsidRPr="004A331A">
        <w:rPr>
          <w:i/>
          <w:iCs/>
        </w:rPr>
        <w:t>Psychiatry, Psychology and Law</w:t>
      </w:r>
      <w:r w:rsidRPr="00D90C15">
        <w:t xml:space="preserve"> (DOI 10.1080/13218719.2025.2470648)</w:t>
      </w:r>
    </w:p>
    <w:p w14:paraId="0B48B663" w14:textId="77777777" w:rsidR="005A008B" w:rsidRPr="00D90C15" w:rsidRDefault="005A008B" w:rsidP="006512A5">
      <w:r w:rsidRPr="00D90C15">
        <w:t>Deegan, Simone</w:t>
      </w:r>
      <w:r w:rsidRPr="004A331A">
        <w:rPr>
          <w:i/>
          <w:iCs/>
        </w:rPr>
        <w:t xml:space="preserve"> </w:t>
      </w:r>
      <w:r w:rsidRPr="00D90C15">
        <w:t xml:space="preserve">J. and Milla Jane, ‘Community Sentiment and Joint Enterprise Murder: Challenging the Mandatory Minimum Sentence’ (2025) </w:t>
      </w:r>
      <w:r w:rsidRPr="004A331A">
        <w:rPr>
          <w:i/>
          <w:iCs/>
        </w:rPr>
        <w:t>Criminology &amp; Criminal Justice</w:t>
      </w:r>
      <w:r w:rsidRPr="00D90C15">
        <w:t xml:space="preserve"> (DOI 10.1177/17488958241312539)</w:t>
      </w:r>
    </w:p>
    <w:p w14:paraId="7F899E5F" w14:textId="77777777" w:rsidR="005A008B" w:rsidRPr="00D90C15" w:rsidRDefault="005A008B" w:rsidP="006512A5">
      <w:r w:rsidRPr="00D90C15">
        <w:t xml:space="preserve">Dunne, Ashley L., Melanie Simmons, Nina Papalia, Benjamin Spivak, Janet Ruffles, James R. P. Ogloff and Rachael Fullam, ‘Validity of the LSI-R:SV, LS/RNR and VRS Risk Assessment Instruments in a Sample of Male Serious Violent Offenders in Australia’ (2025) </w:t>
      </w:r>
      <w:r w:rsidRPr="004A331A">
        <w:rPr>
          <w:i/>
          <w:iCs/>
        </w:rPr>
        <w:t>Psychology, Crime &amp; Law</w:t>
      </w:r>
      <w:r w:rsidRPr="00D90C15">
        <w:t xml:space="preserve"> (DOI 10.1080/106316X.2025.2470272)</w:t>
      </w:r>
    </w:p>
    <w:p w14:paraId="5D8D9B5F" w14:textId="77777777" w:rsidR="005A008B" w:rsidRPr="00D90C15" w:rsidRDefault="005A008B" w:rsidP="006512A5">
      <w:r w:rsidRPr="00D90C15">
        <w:t xml:space="preserve">Edelman, Meredith, ‘Corporate Moral Insolvency: Lessons from Purdue Pharma’ (2024) </w:t>
      </w:r>
      <w:r w:rsidRPr="004A331A">
        <w:rPr>
          <w:i/>
          <w:iCs/>
        </w:rPr>
        <w:t>Griffith Law Review</w:t>
      </w:r>
      <w:r w:rsidRPr="00D90C15">
        <w:t xml:space="preserve"> (DOI 10.1080/10383441.2024.2409599)</w:t>
      </w:r>
    </w:p>
    <w:p w14:paraId="1C8E64E7" w14:textId="77777777" w:rsidR="005A008B" w:rsidRPr="00D90C15" w:rsidRDefault="005A008B" w:rsidP="006512A5">
      <w:r w:rsidRPr="00D90C15">
        <w:t xml:space="preserve">Eriksson, Li, Paul Mazerolle, Samara McPhedran and Richard Wortley, ‘Committing Homicide After Drinking: The Characteristics of Self-Reported Alcohol-Involved Homicide Offending’ (2024) 33(12) </w:t>
      </w:r>
      <w:r w:rsidRPr="004A331A">
        <w:rPr>
          <w:i/>
          <w:iCs/>
        </w:rPr>
        <w:t>Journal of Aggression, Maltreatment and Trauma</w:t>
      </w:r>
      <w:r w:rsidRPr="00D90C15">
        <w:t xml:space="preserve"> 1437</w:t>
      </w:r>
    </w:p>
    <w:p w14:paraId="1DC1C025" w14:textId="77777777" w:rsidR="005A008B" w:rsidRPr="00D90C15" w:rsidRDefault="005A008B" w:rsidP="006512A5">
      <w:r w:rsidRPr="00D90C15">
        <w:t xml:space="preserve">Fitzgerald, Robin and Heather Douglas, ‘Domestic Violence and the Role of Imprisonment as a Response: Men’s Post-Conviction Talk About Strangling Women’ (2025) </w:t>
      </w:r>
      <w:r w:rsidRPr="004A331A">
        <w:rPr>
          <w:i/>
          <w:iCs/>
        </w:rPr>
        <w:t xml:space="preserve">Current Issues in Criminal Justice </w:t>
      </w:r>
      <w:r w:rsidRPr="00D90C15">
        <w:t>(DOI 10.1080/10345329.2025.2499290)</w:t>
      </w:r>
    </w:p>
    <w:p w14:paraId="2CF51732" w14:textId="77777777" w:rsidR="005A008B" w:rsidRPr="00D90C15" w:rsidRDefault="005A008B" w:rsidP="006512A5">
      <w:proofErr w:type="spellStart"/>
      <w:r w:rsidRPr="00D90C15">
        <w:t>FitzGibbon</w:t>
      </w:r>
      <w:proofErr w:type="spellEnd"/>
      <w:r w:rsidRPr="00D90C15">
        <w:t xml:space="preserve">, Kate, Sandra Walklate, Silke Meyer and Ellen Reeves, ‘Male Victim-Survivor Views on the Criminalisation of Coercive Control in Australia’ (2025) </w:t>
      </w:r>
      <w:r w:rsidRPr="004A331A">
        <w:rPr>
          <w:i/>
          <w:iCs/>
        </w:rPr>
        <w:t>Current Issues in Criminal Justice</w:t>
      </w:r>
      <w:r w:rsidRPr="00D90C15">
        <w:t xml:space="preserve"> (DOI 10.1080/10345329.2025.2501356)</w:t>
      </w:r>
    </w:p>
    <w:p w14:paraId="5187A524" w14:textId="77777777" w:rsidR="005A008B" w:rsidRPr="00D90C15" w:rsidRDefault="005A008B" w:rsidP="006512A5">
      <w:r w:rsidRPr="00D90C15">
        <w:t xml:space="preserve">Foster, Tammie Rebecca, </w:t>
      </w:r>
      <w:r w:rsidRPr="004A331A">
        <w:t>The Intersection of Autism and Law: Remorse Assessments and Diagnosis Considerations in Sentencing</w:t>
      </w:r>
      <w:r w:rsidRPr="00D90C15">
        <w:t xml:space="preserve"> (PhD Thesis, Flinders University, 2024)</w:t>
      </w:r>
    </w:p>
    <w:p w14:paraId="5BD736F6" w14:textId="77777777" w:rsidR="005A008B" w:rsidRPr="00D90C15" w:rsidRDefault="005A008B" w:rsidP="006512A5">
      <w:r w:rsidRPr="00D90C15">
        <w:t xml:space="preserve">Freiberg, Arie, ‘Reflections on 50 Years of Sentencing Reform: The Good, The Bad and The Future’ (2025) </w:t>
      </w:r>
      <w:r w:rsidRPr="004A331A">
        <w:rPr>
          <w:i/>
          <w:iCs/>
        </w:rPr>
        <w:t>Alternative Law Journal</w:t>
      </w:r>
      <w:r w:rsidRPr="00D90C15">
        <w:t xml:space="preserve"> (DOI 10.1177/1037969X251323921)</w:t>
      </w:r>
    </w:p>
    <w:p w14:paraId="6A644FE2" w14:textId="77777777" w:rsidR="005A008B" w:rsidRPr="00D90C15" w:rsidRDefault="005A008B" w:rsidP="006512A5">
      <w:r w:rsidRPr="00D90C15">
        <w:lastRenderedPageBreak/>
        <w:t xml:space="preserve">Gately, Natalie, Suzanne Rock, James L. Finney and Cate Parry, ‘Complex Lives and Procedural Barriers: Detainees’ “Life Happens” Explanations for Breaching Orders’ (2024) 58(2) </w:t>
      </w:r>
      <w:r w:rsidRPr="004A331A">
        <w:rPr>
          <w:i/>
          <w:iCs/>
        </w:rPr>
        <w:t>Journal of Criminology</w:t>
      </w:r>
      <w:r w:rsidRPr="00D90C15">
        <w:t xml:space="preserve"> 299</w:t>
      </w:r>
    </w:p>
    <w:p w14:paraId="25598D1C" w14:textId="77777777" w:rsidR="005A008B" w:rsidRPr="00D90C15" w:rsidRDefault="005A008B" w:rsidP="006512A5">
      <w:r w:rsidRPr="00D90C15">
        <w:t xml:space="preserve">Heenan, Karen, Christine Bond and Krystal Lockwood, ‘Cultural Context and Sentencing: Content Analysis of Sentencing Remarks for Indigenous Defendants of Domestic Violence in the Northern Territory, Australia’ (2024) </w:t>
      </w:r>
      <w:r w:rsidRPr="004A331A">
        <w:rPr>
          <w:i/>
          <w:iCs/>
        </w:rPr>
        <w:t>Psychology, Crime &amp; Law</w:t>
      </w:r>
      <w:r w:rsidRPr="00D90C15">
        <w:t xml:space="preserve"> 1</w:t>
      </w:r>
    </w:p>
    <w:p w14:paraId="7787363F" w14:textId="77777777" w:rsidR="005A008B" w:rsidRPr="00D90C15" w:rsidRDefault="005A008B" w:rsidP="006512A5">
      <w:r w:rsidRPr="00D90C15">
        <w:t xml:space="preserve">Jones, Balwyn and </w:t>
      </w:r>
      <w:proofErr w:type="spellStart"/>
      <w:r w:rsidRPr="00D90C15">
        <w:t>Akuck</w:t>
      </w:r>
      <w:proofErr w:type="spellEnd"/>
      <w:r w:rsidRPr="00D90C15">
        <w:t xml:space="preserve"> Kuol Anyieth, ‘CALD Communities as “Collateral Damage” in the Criminalization of Coercive Control: An Argument for Prioritizing Civil System Reform Over Further Criminalization in Victoria’ (2025) 31(2) </w:t>
      </w:r>
      <w:r w:rsidRPr="004A331A">
        <w:rPr>
          <w:i/>
          <w:iCs/>
        </w:rPr>
        <w:t>Violence Against Women</w:t>
      </w:r>
      <w:r w:rsidRPr="00D90C15">
        <w:t xml:space="preserve"> 598</w:t>
      </w:r>
    </w:p>
    <w:p w14:paraId="19390F3E" w14:textId="77777777" w:rsidR="005A008B" w:rsidRPr="00D90C15" w:rsidRDefault="005A008B" w:rsidP="006512A5">
      <w:r w:rsidRPr="00D90C15">
        <w:t xml:space="preserve">Lakshman, Amirtha, </w:t>
      </w:r>
      <w:r w:rsidRPr="004A331A">
        <w:t>The Use of Telehealth for Forensic Psychiatric and Psychological Pre-Sentence Reports</w:t>
      </w:r>
      <w:r w:rsidRPr="00D90C15">
        <w:t xml:space="preserve"> (PhD Thesis, Swinburne University of Technology, 2025)</w:t>
      </w:r>
    </w:p>
    <w:p w14:paraId="3D0A76D8" w14:textId="77777777" w:rsidR="005A008B" w:rsidRPr="00D90C15" w:rsidRDefault="005A008B" w:rsidP="006512A5">
      <w:r w:rsidRPr="00D90C15">
        <w:t xml:space="preserve">Lee, Lewis H., Mandi R. Fowler, Jill R. Beck, Alesia Allen, Mandi E. Hall, Minseop Kim and Melissa Ticozzi, ‘Exploring Factors Associated with Girls’ Recidivism in Alabama: A Discrete-Time Survival Analysis’ (2025) </w:t>
      </w:r>
      <w:r w:rsidRPr="004A331A">
        <w:rPr>
          <w:i/>
          <w:iCs/>
        </w:rPr>
        <w:t xml:space="preserve">Crime &amp; Delinquency </w:t>
      </w:r>
      <w:r w:rsidRPr="00D90C15">
        <w:t>(DOI 10.1177/00111287251339649)</w:t>
      </w:r>
    </w:p>
    <w:p w14:paraId="557E1495" w14:textId="77777777" w:rsidR="005A008B" w:rsidRPr="00D90C15" w:rsidRDefault="005A008B" w:rsidP="006512A5">
      <w:proofErr w:type="spellStart"/>
      <w:r w:rsidRPr="00D90C15">
        <w:t>Lejins</w:t>
      </w:r>
      <w:proofErr w:type="spellEnd"/>
      <w:r w:rsidRPr="00D90C15">
        <w:t xml:space="preserve">, Mara, ‘“Come and Live Like This”: An Examination of Australian Legal Perspectives on Child Sex Tourism in Southeast Asia and the Pacific’ (2025) 37(1) </w:t>
      </w:r>
      <w:r w:rsidRPr="004A331A">
        <w:rPr>
          <w:i/>
          <w:iCs/>
        </w:rPr>
        <w:t>Bond Law Review</w:t>
      </w:r>
      <w:r w:rsidRPr="00D90C15">
        <w:t xml:space="preserve"> 79</w:t>
      </w:r>
    </w:p>
    <w:p w14:paraId="60E88958" w14:textId="77777777" w:rsidR="005A008B" w:rsidRPr="00D90C15" w:rsidRDefault="005A008B" w:rsidP="006512A5">
      <w:r w:rsidRPr="00D90C15">
        <w:t xml:space="preserve">Li, Zheng, </w:t>
      </w:r>
      <w:proofErr w:type="spellStart"/>
      <w:r w:rsidRPr="00D90C15">
        <w:t>Enshen</w:t>
      </w:r>
      <w:proofErr w:type="spellEnd"/>
      <w:r w:rsidRPr="00D90C15">
        <w:t xml:space="preserve"> Li, </w:t>
      </w:r>
      <w:proofErr w:type="spellStart"/>
      <w:r w:rsidRPr="00D90C15">
        <w:t>Sihong</w:t>
      </w:r>
      <w:proofErr w:type="spellEnd"/>
      <w:r w:rsidRPr="00D90C15">
        <w:t xml:space="preserve"> Liu and </w:t>
      </w:r>
      <w:proofErr w:type="spellStart"/>
      <w:r w:rsidRPr="00D90C15">
        <w:t>Xifen</w:t>
      </w:r>
      <w:proofErr w:type="spellEnd"/>
      <w:r w:rsidRPr="00D90C15">
        <w:t xml:space="preserve"> Lin, ‘The Predictors of Penal Exemption: Evidence from China’ (2025) </w:t>
      </w:r>
      <w:r w:rsidRPr="004A331A">
        <w:rPr>
          <w:i/>
          <w:iCs/>
        </w:rPr>
        <w:t xml:space="preserve">European Journal on Criminal Policy and Research </w:t>
      </w:r>
      <w:r w:rsidRPr="00D90C15">
        <w:t>(DOI 10.1007/s10610-025-09618-z)</w:t>
      </w:r>
    </w:p>
    <w:p w14:paraId="53E9E06A" w14:textId="77777777" w:rsidR="005A008B" w:rsidRPr="00D90C15" w:rsidRDefault="005A008B" w:rsidP="006512A5">
      <w:r w:rsidRPr="00D90C15">
        <w:t xml:space="preserve">MacIsaac, Michael B., Timothy Papaluca, Lucy McDonald, Anne Craigie, Amy Edwards, Chloe Layton, Annabelle Gibson, Rebecca J. Winter, Kiran Iyer, Abigail Sim, Sophia Evans, </w:t>
      </w:r>
      <w:proofErr w:type="spellStart"/>
      <w:r w:rsidRPr="00D90C15">
        <w:t>Kavindu</w:t>
      </w:r>
      <w:proofErr w:type="spellEnd"/>
      <w:r w:rsidRPr="00D90C15">
        <w:t xml:space="preserve"> </w:t>
      </w:r>
      <w:proofErr w:type="spellStart"/>
      <w:r w:rsidRPr="00D90C15">
        <w:t>Kumaragama</w:t>
      </w:r>
      <w:proofErr w:type="spellEnd"/>
      <w:r w:rsidRPr="00D90C15">
        <w:t xml:space="preserve">, Jessica Howell, Paul Desmond, David Iser, Nick Scott, Margaret Hellard, Mark Stoove, David Wilson, Alisa Pedrana, Josheph S. Doyle, Jacinta A. Holmes and Alexander J. Thompson, ‘Long-Term Outcomes of a Decentralized, Nurse-Led, Statewide Model of Care for Hepatitis C Among People in Prison in Victoria, Australia’ (2024) 80(5) </w:t>
      </w:r>
      <w:r w:rsidRPr="004A331A">
        <w:rPr>
          <w:i/>
          <w:iCs/>
        </w:rPr>
        <w:t>Clinical Infectious Diseases</w:t>
      </w:r>
      <w:r w:rsidRPr="00D90C15">
        <w:t xml:space="preserve"> 471</w:t>
      </w:r>
    </w:p>
    <w:p w14:paraId="4E532E7B" w14:textId="77777777" w:rsidR="005A008B" w:rsidRPr="00D90C15" w:rsidRDefault="005A008B" w:rsidP="006512A5">
      <w:r w:rsidRPr="00D90C15">
        <w:lastRenderedPageBreak/>
        <w:t xml:space="preserve">Mackay, Anita, </w:t>
      </w:r>
      <w:r w:rsidRPr="004A331A">
        <w:t>A Children’s Rights Assessment of Juvenile Detention in Australia</w:t>
      </w:r>
      <w:r w:rsidRPr="00D90C15">
        <w:t xml:space="preserve"> (Routledge, 2025)</w:t>
      </w:r>
    </w:p>
    <w:p w14:paraId="682AF4B4" w14:textId="77777777" w:rsidR="005A008B" w:rsidRPr="00D90C15" w:rsidRDefault="005A008B" w:rsidP="006512A5">
      <w:r w:rsidRPr="00D90C15">
        <w:t xml:space="preserve">Malvaso, Catio, Andrew Day, Katherine McLachlan, Rick Sarre, John Lynch and Rhiannon Pilkington, ‘Welfare, Child Development and Human Rights: A Review of the Objects of Youth Justice Legislation in Australia’ (2024) 36(4) </w:t>
      </w:r>
      <w:r w:rsidRPr="004A331A">
        <w:rPr>
          <w:i/>
          <w:iCs/>
        </w:rPr>
        <w:t>Current Issues in Criminal Justice</w:t>
      </w:r>
      <w:r w:rsidRPr="00D90C15">
        <w:t xml:space="preserve"> 451</w:t>
      </w:r>
    </w:p>
    <w:p w14:paraId="52FA9D4B" w14:textId="77777777" w:rsidR="005A008B" w:rsidRPr="00D90C15" w:rsidRDefault="005A008B" w:rsidP="006512A5">
      <w:r w:rsidRPr="00D90C15">
        <w:t xml:space="preserve">Marmo, Marinella, ‘Non-Citizen Women and Visa Cancellation: The Role of Gender in Australia’s Current Deportation Regime Under s 501’ (2025) </w:t>
      </w:r>
      <w:r w:rsidRPr="004A331A">
        <w:rPr>
          <w:i/>
          <w:iCs/>
        </w:rPr>
        <w:t xml:space="preserve">Griffith Law Review </w:t>
      </w:r>
      <w:r w:rsidRPr="00D90C15">
        <w:t>(DOI 10.1080/10383441.2025.2450589)</w:t>
      </w:r>
    </w:p>
    <w:p w14:paraId="73712268" w14:textId="77777777" w:rsidR="005A008B" w:rsidRPr="00D90C15" w:rsidRDefault="005A008B" w:rsidP="006512A5">
      <w:r w:rsidRPr="00D90C15">
        <w:t xml:space="preserve">Mizzi, Jenna, Caitlin Hughes, Mark Halsey, Jen Cleary, Simone Deegan and Ian Goodwin-Smith, </w:t>
      </w:r>
      <w:r w:rsidRPr="004A331A">
        <w:rPr>
          <w:i/>
          <w:iCs/>
        </w:rPr>
        <w:t>Beyond Bars: Exploring the Challenges and Solutions to the Problem of Short Custodial Stays in Regional South Australia</w:t>
      </w:r>
      <w:r w:rsidRPr="00D90C15">
        <w:t xml:space="preserve"> (Centre for Social Impact, Flinders University, 2024)</w:t>
      </w:r>
    </w:p>
    <w:p w14:paraId="5641D9A7" w14:textId="77777777" w:rsidR="005A008B" w:rsidRPr="00D90C15" w:rsidRDefault="005A008B" w:rsidP="006512A5">
      <w:r w:rsidRPr="00D90C15">
        <w:t xml:space="preserve">Morgan, Matthew M. and Shannon Dodd, ‘Joyriding Among Young First Nations Australians: Assessing Police Trust and Confidence Through the Lens of Youth and Key Stakeholders’ (2025) 25(1) </w:t>
      </w:r>
      <w:r w:rsidRPr="004A331A">
        <w:rPr>
          <w:i/>
          <w:iCs/>
        </w:rPr>
        <w:t xml:space="preserve">Youth Justice </w:t>
      </w:r>
      <w:r w:rsidRPr="00D90C15">
        <w:t>31</w:t>
      </w:r>
    </w:p>
    <w:p w14:paraId="3747CED5" w14:textId="77777777" w:rsidR="005A008B" w:rsidRPr="00D90C15" w:rsidRDefault="005A008B" w:rsidP="006512A5">
      <w:r w:rsidRPr="00D90C15">
        <w:t xml:space="preserve">Moriarty, Anna, Benjamin Spivak, Nina Papalia, Mohammed M. Ali, Stefan Luebbers and Stephanie Shepherd, ‘Differentiating Crossover Youth: Examining Psychological Characteristics in a Multicultural Australian Youth Justice Cohort’ (2024) 163 </w:t>
      </w:r>
      <w:r w:rsidRPr="004A331A">
        <w:rPr>
          <w:i/>
          <w:iCs/>
        </w:rPr>
        <w:t xml:space="preserve">Children and Youth Services Review </w:t>
      </w:r>
      <w:r w:rsidRPr="00D90C15">
        <w:t>107810</w:t>
      </w:r>
    </w:p>
    <w:p w14:paraId="58D6A22F" w14:textId="77777777" w:rsidR="005A008B" w:rsidRPr="00D90C15" w:rsidRDefault="005A008B" w:rsidP="006512A5">
      <w:r w:rsidRPr="00D90C15">
        <w:t xml:space="preserve">Morgan, Anthony, </w:t>
      </w:r>
      <w:r w:rsidRPr="004A331A">
        <w:t>Money Laundering and the Harm from Organised Crime: Results from a Data Linkage Study</w:t>
      </w:r>
      <w:r w:rsidRPr="00D90C15">
        <w:t xml:space="preserve"> (Australian Institute of Criminology, 2024)</w:t>
      </w:r>
    </w:p>
    <w:p w14:paraId="3D18D8FD" w14:textId="77777777" w:rsidR="005A008B" w:rsidRPr="00D90C15" w:rsidRDefault="005A008B" w:rsidP="006512A5">
      <w:r w:rsidRPr="00D90C15">
        <w:t xml:space="preserve">New Zealand Law Commission, </w:t>
      </w:r>
      <w:r w:rsidRPr="004A331A">
        <w:t xml:space="preserve">Here Ora? Preventive Measures for Community Safety, Rehabilitation and Reintegration: Preferred Approach Paper </w:t>
      </w:r>
      <w:r w:rsidRPr="00D90C15">
        <w:t>(New Zealand Law Commission, 2024)</w:t>
      </w:r>
    </w:p>
    <w:p w14:paraId="7D493BAC" w14:textId="77777777" w:rsidR="005A008B" w:rsidRPr="00D90C15" w:rsidRDefault="005A008B" w:rsidP="006512A5">
      <w:r w:rsidRPr="00D90C15">
        <w:t xml:space="preserve">Nicholson, Grant, Anthony Harper and Elizabeth Wray, ‘Crime and Punishment: Is the Existing Offence for Reckless Breaches of Health and Safety Duties Working, or Does New Zealand Need Something New?’ (2024) 1(2) </w:t>
      </w:r>
      <w:r w:rsidRPr="004A331A">
        <w:rPr>
          <w:i/>
          <w:iCs/>
        </w:rPr>
        <w:t>New Zealand Journal of Health and Safety Practice</w:t>
      </w:r>
      <w:r w:rsidRPr="00D90C15">
        <w:t xml:space="preserve"> 1</w:t>
      </w:r>
    </w:p>
    <w:p w14:paraId="7D83268C" w14:textId="77777777" w:rsidR="005A008B" w:rsidRPr="00D90C15" w:rsidRDefault="005A008B" w:rsidP="006512A5">
      <w:r w:rsidRPr="00D90C15">
        <w:t>NSW Law Reform Commission, Serious Racial and Religious Vilification, Report 151 (</w:t>
      </w:r>
      <w:r w:rsidRPr="004A331A">
        <w:rPr>
          <w:i/>
          <w:iCs/>
        </w:rPr>
        <w:t>NSW</w:t>
      </w:r>
      <w:r w:rsidRPr="00D90C15">
        <w:t xml:space="preserve"> Law </w:t>
      </w:r>
      <w:r w:rsidRPr="004A331A">
        <w:rPr>
          <w:i/>
          <w:iCs/>
        </w:rPr>
        <w:t xml:space="preserve">Reform </w:t>
      </w:r>
      <w:r w:rsidRPr="00D90C15">
        <w:t>Commission, 2024)</w:t>
      </w:r>
    </w:p>
    <w:p w14:paraId="2B6ACCCF" w14:textId="77777777" w:rsidR="005A008B" w:rsidRPr="00D90C15" w:rsidRDefault="005A008B" w:rsidP="006512A5">
      <w:r w:rsidRPr="00D90C15">
        <w:lastRenderedPageBreak/>
        <w:t xml:space="preserve">Paterson-Young, Claire, Tatiana Corrales, Ian Warren and Patricia McNamara, ‘Impact of Trauma and Placement in Residential or Congregate Care on the Criminalisation of Children in England/Wales and Australia’ (2024) 166 </w:t>
      </w:r>
      <w:r w:rsidRPr="004A331A">
        <w:rPr>
          <w:i/>
          <w:iCs/>
        </w:rPr>
        <w:t xml:space="preserve">Children and Youth Services Review </w:t>
      </w:r>
      <w:r w:rsidRPr="00D90C15">
        <w:t>1</w:t>
      </w:r>
    </w:p>
    <w:p w14:paraId="3B3FF618" w14:textId="77777777" w:rsidR="005A008B" w:rsidRPr="00D90C15" w:rsidRDefault="005A008B" w:rsidP="006512A5">
      <w:r w:rsidRPr="00D90C15">
        <w:t xml:space="preserve">Parker, Megan Kathleen, </w:t>
      </w:r>
      <w:r w:rsidRPr="004A331A">
        <w:t>Navigating the Paradox: Judicial Decision-Making About Young People Who Sexually Offend</w:t>
      </w:r>
      <w:r w:rsidRPr="00D90C15">
        <w:t xml:space="preserve"> (PhD Thesis, Queensland University of Technology, 2024)</w:t>
      </w:r>
    </w:p>
    <w:p w14:paraId="1FD0C8D8" w14:textId="77777777" w:rsidR="005A008B" w:rsidRPr="00D90C15" w:rsidRDefault="005A008B" w:rsidP="006512A5">
      <w:r w:rsidRPr="00D90C15">
        <w:t xml:space="preserve">Parton, Loren E. and Michaela M. Rogers, ‘The Predictors, Motivations and Characteristics of Image-Based Sexual Abuse: A Scoping Review’ (2025) </w:t>
      </w:r>
      <w:r w:rsidRPr="004A331A">
        <w:rPr>
          <w:i/>
          <w:iCs/>
        </w:rPr>
        <w:t>Trauma, Violence &amp; Abuse</w:t>
      </w:r>
      <w:r w:rsidRPr="00D90C15">
        <w:t xml:space="preserve"> (DOI 10.1177/15248380251320992)</w:t>
      </w:r>
    </w:p>
    <w:p w14:paraId="27B5BCF2" w14:textId="77777777" w:rsidR="005A008B" w:rsidRPr="00D90C15" w:rsidRDefault="005A008B" w:rsidP="006512A5">
      <w:r w:rsidRPr="00D90C15">
        <w:t xml:space="preserve">Pears, Jonathan and Patricia L. </w:t>
      </w:r>
      <w:proofErr w:type="spellStart"/>
      <w:r w:rsidRPr="00D90C15">
        <w:t>Easteal</w:t>
      </w:r>
      <w:proofErr w:type="spellEnd"/>
      <w:r w:rsidRPr="00D90C15">
        <w:t xml:space="preserve">, ‘Judicial Narratives and “Reality”: A Thematic Analysis of References to Family Violence in Sentencing Remarks for the Offence of Threat to Kill’ (2025) 14(15) </w:t>
      </w:r>
      <w:r w:rsidRPr="004A331A">
        <w:rPr>
          <w:i/>
          <w:iCs/>
        </w:rPr>
        <w:t>Laws</w:t>
      </w:r>
      <w:r w:rsidRPr="00D90C15">
        <w:t xml:space="preserve"> 1</w:t>
      </w:r>
    </w:p>
    <w:p w14:paraId="021E456B" w14:textId="77777777" w:rsidR="005A008B" w:rsidRPr="00D90C15" w:rsidRDefault="005A008B" w:rsidP="006512A5">
      <w:r w:rsidRPr="00D90C15">
        <w:t xml:space="preserve">Peterson, Jessica Rene, Kyle Mulrooney and Alistair Harkness, ‘Farm Crime Victimisation and Punitive Attitudes: The Cases of Australia and the United States’, in Vania Ceccato and Alistair Harkness (eds), </w:t>
      </w:r>
      <w:r w:rsidRPr="004A331A">
        <w:rPr>
          <w:i/>
          <w:iCs/>
        </w:rPr>
        <w:t>Crime, People and Places: Perspectives on Rural Safety and Justice</w:t>
      </w:r>
      <w:r w:rsidRPr="00D90C15">
        <w:t xml:space="preserve"> (Routledge, 2025)</w:t>
      </w:r>
    </w:p>
    <w:p w14:paraId="5E59C182" w14:textId="77777777" w:rsidR="005A008B" w:rsidRPr="00D90C15" w:rsidRDefault="005A008B" w:rsidP="006512A5">
      <w:r w:rsidRPr="00D90C15">
        <w:t xml:space="preserve">Power, Jennifer and Andrea Waling, </w:t>
      </w:r>
      <w:r w:rsidRPr="004A331A">
        <w:t>Tech, Sex and Health: The Place of New Technologies in Sex, Sexual Health, and Human Intimacy</w:t>
      </w:r>
      <w:r w:rsidRPr="00D90C15">
        <w:t xml:space="preserve"> (Routledge, 2024)</w:t>
      </w:r>
    </w:p>
    <w:p w14:paraId="34617571" w14:textId="77777777" w:rsidR="005A008B" w:rsidRPr="00D90C15" w:rsidRDefault="005A008B" w:rsidP="006512A5">
      <w:r w:rsidRPr="00D90C15">
        <w:t xml:space="preserve">Queensland Law Reform Commission, </w:t>
      </w:r>
      <w:r w:rsidRPr="004A331A">
        <w:rPr>
          <w:i/>
          <w:iCs/>
        </w:rPr>
        <w:t>Criminal Defences Review: Community Attitudes Literature Review</w:t>
      </w:r>
      <w:r w:rsidRPr="00D90C15">
        <w:t xml:space="preserve"> (Queensland Law Reform Commission, 2024)</w:t>
      </w:r>
    </w:p>
    <w:p w14:paraId="19E33909" w14:textId="77777777" w:rsidR="005A008B" w:rsidRPr="00D90C15" w:rsidRDefault="005A008B" w:rsidP="006512A5">
      <w:r w:rsidRPr="00D90C15">
        <w:t xml:space="preserve">Queensland Law Reform Commission, </w:t>
      </w:r>
      <w:r w:rsidRPr="004A331A">
        <w:t>Review of Particular Criminal Defences: Community Attitudes to Defences and Sentences in Cases of Homicide and Assault in Queensland, Research Report 1</w:t>
      </w:r>
      <w:r w:rsidRPr="00D90C15">
        <w:t xml:space="preserve"> (Queensland Law Reform Commission, 2024)</w:t>
      </w:r>
    </w:p>
    <w:p w14:paraId="3D0FBE99" w14:textId="77777777" w:rsidR="005A008B" w:rsidRPr="00D90C15" w:rsidRDefault="005A008B" w:rsidP="006512A5">
      <w:r w:rsidRPr="00D90C15">
        <w:t xml:space="preserve">Quilter, Julia, Luke McNamara, Elyse Methven and Grace Bowles, </w:t>
      </w:r>
      <w:r w:rsidRPr="004A331A">
        <w:rPr>
          <w:i/>
          <w:iCs/>
        </w:rPr>
        <w:t>Children and COVID-19 Fines in NSW: Impacts and Lessons for the Future Use of Penalty Notices</w:t>
      </w:r>
      <w:r w:rsidRPr="00D90C15">
        <w:t xml:space="preserve"> (University of Wollongong, University of New South Wales and University of Technology Sydney, 2024)</w:t>
      </w:r>
    </w:p>
    <w:p w14:paraId="200FD37E" w14:textId="77777777" w:rsidR="005A008B" w:rsidRPr="00D90C15" w:rsidRDefault="005A008B" w:rsidP="006512A5">
      <w:proofErr w:type="spellStart"/>
      <w:r w:rsidRPr="00D90C15">
        <w:lastRenderedPageBreak/>
        <w:t>Reutens</w:t>
      </w:r>
      <w:proofErr w:type="spellEnd"/>
      <w:r w:rsidRPr="00D90C15">
        <w:t xml:space="preserve">, Sharon, Tony Butler, Ye </w:t>
      </w:r>
      <w:proofErr w:type="gramStart"/>
      <w:r w:rsidRPr="00D90C15">
        <w:t>In</w:t>
      </w:r>
      <w:proofErr w:type="gramEnd"/>
      <w:r w:rsidRPr="00D90C15">
        <w:t xml:space="preserve"> Jane Hwang and </w:t>
      </w:r>
      <w:proofErr w:type="spellStart"/>
      <w:r w:rsidRPr="00D90C15">
        <w:t>Adrienee</w:t>
      </w:r>
      <w:proofErr w:type="spellEnd"/>
      <w:r w:rsidRPr="00D90C15">
        <w:t xml:space="preserve"> Withall, ‘An Examination of Criminal Offenders with Dementia in Australian Courts’ (2025) 32(1) </w:t>
      </w:r>
      <w:r w:rsidRPr="004A331A">
        <w:rPr>
          <w:i/>
          <w:iCs/>
        </w:rPr>
        <w:t xml:space="preserve">Psychiatry, Psychology &amp; Law </w:t>
      </w:r>
      <w:r w:rsidRPr="00D90C15">
        <w:t>92</w:t>
      </w:r>
    </w:p>
    <w:p w14:paraId="1A314F6F" w14:textId="77777777" w:rsidR="005A008B" w:rsidRPr="00D90C15" w:rsidRDefault="005A008B" w:rsidP="006512A5">
      <w:r w:rsidRPr="00D90C15">
        <w:t xml:space="preserve">Sakama, Samuel and Joseph Chitambo, ‘The Policing of African Migrants in Australia’, in Nicole L. Asquith, Jess Rodgers, James Clover, Gary Cordner, Angela Dwyer and </w:t>
      </w:r>
      <w:proofErr w:type="spellStart"/>
      <w:r w:rsidRPr="00D90C15">
        <w:t>Rishweena</w:t>
      </w:r>
      <w:proofErr w:type="spellEnd"/>
      <w:r w:rsidRPr="00D90C15">
        <w:t xml:space="preserve"> Ahmed (eds), </w:t>
      </w:r>
      <w:r w:rsidRPr="004A331A">
        <w:rPr>
          <w:i/>
          <w:iCs/>
        </w:rPr>
        <w:t>Routledge International Handbook of Critical Policing Studies</w:t>
      </w:r>
      <w:r w:rsidRPr="00D90C15">
        <w:t xml:space="preserve"> (Routledge, 2025)</w:t>
      </w:r>
    </w:p>
    <w:p w14:paraId="70C113D0" w14:textId="77777777" w:rsidR="005A008B" w:rsidRPr="00D90C15" w:rsidRDefault="005A008B" w:rsidP="006512A5">
      <w:proofErr w:type="spellStart"/>
      <w:r w:rsidRPr="00D90C15">
        <w:t>Sarre</w:t>
      </w:r>
      <w:proofErr w:type="spellEnd"/>
      <w:r w:rsidRPr="00D90C15">
        <w:t xml:space="preserve">, Rick, </w:t>
      </w:r>
      <w:r w:rsidRPr="004A331A">
        <w:t>Preventing Crime: What We Know, and What We Need to Do</w:t>
      </w:r>
      <w:r w:rsidRPr="00D90C15">
        <w:t xml:space="preserve"> (Palgrave Macmillan, 2024)</w:t>
      </w:r>
    </w:p>
    <w:p w14:paraId="3A21FF22" w14:textId="77777777" w:rsidR="005A008B" w:rsidRPr="00D90C15" w:rsidRDefault="005A008B" w:rsidP="006512A5">
      <w:r w:rsidRPr="00D90C15">
        <w:t xml:space="preserve">Sentencing Council for England and Wales, </w:t>
      </w:r>
      <w:r w:rsidRPr="004A331A">
        <w:rPr>
          <w:i/>
          <w:iCs/>
        </w:rPr>
        <w:t>Reconceptualising the Effectiveness of Sentencing: Four Perspectives</w:t>
      </w:r>
      <w:r w:rsidRPr="00D90C15">
        <w:t xml:space="preserve"> (Sentencing Council for England and Wales, 2024)</w:t>
      </w:r>
    </w:p>
    <w:p w14:paraId="45459CD5" w14:textId="77777777" w:rsidR="005A008B" w:rsidRPr="00D90C15" w:rsidRDefault="005A008B" w:rsidP="006512A5">
      <w:r w:rsidRPr="00D90C15">
        <w:t xml:space="preserve">Sleath, Emma, Eleanor Lutman-White, Grace Carter, Sarah Brown and Lorna O’Doherty, ‘The Impact of COVID-19 on Recovery After Sexual Violence and Abuse: Voices of Help-Seeking Survivors and Those Individuals Working Within Specialist Support Services in England’ (2025) 31(1) </w:t>
      </w:r>
      <w:r w:rsidRPr="004A331A">
        <w:rPr>
          <w:i/>
          <w:iCs/>
        </w:rPr>
        <w:t xml:space="preserve">International Review of Victimology </w:t>
      </w:r>
      <w:r w:rsidRPr="00D90C15">
        <w:t>135</w:t>
      </w:r>
    </w:p>
    <w:p w14:paraId="1A9E7D49" w14:textId="77777777" w:rsidR="005A008B" w:rsidRPr="004A331A" w:rsidRDefault="005A008B" w:rsidP="006512A5">
      <w:pPr>
        <w:rPr>
          <w:i/>
          <w:iCs/>
        </w:rPr>
      </w:pPr>
      <w:r w:rsidRPr="00D90C15">
        <w:t xml:space="preserve">Walk, Dror and Netanel Dagan, ‘Rehabilitation vs. Risk: What Predicts Parole Board Decisions and Rehabilitation Authority Recommendations?’ (2024) 26(5) </w:t>
      </w:r>
      <w:r w:rsidRPr="004A331A">
        <w:rPr>
          <w:i/>
          <w:iCs/>
        </w:rPr>
        <w:t>Punishment &amp; Society 769</w:t>
      </w:r>
    </w:p>
    <w:p w14:paraId="4D390E32" w14:textId="77777777" w:rsidR="005A008B" w:rsidRPr="00D90C15" w:rsidRDefault="005A008B" w:rsidP="006512A5">
      <w:r w:rsidRPr="00D90C15">
        <w:t xml:space="preserve">Walsh, Tamara, Jane Beilby, Phylicia Lim and Lucy Cornwell, ‘Problem-Solving Courts for Children, Do They Work? Perspectives of Youth Justice Practitioners in Queensland, Australia’ (2025) 25(1) </w:t>
      </w:r>
      <w:r w:rsidRPr="004A331A">
        <w:rPr>
          <w:i/>
          <w:iCs/>
        </w:rPr>
        <w:t xml:space="preserve">Youth Justice </w:t>
      </w:r>
      <w:r w:rsidRPr="00D90C15">
        <w:t>126</w:t>
      </w:r>
    </w:p>
    <w:p w14:paraId="20E2623E" w14:textId="77777777" w:rsidR="005A008B" w:rsidRPr="00D90C15" w:rsidRDefault="005A008B" w:rsidP="006512A5">
      <w:r w:rsidRPr="00D90C15">
        <w:t xml:space="preserve">Wolf, Gabrielle, ‘Sentencing Criminal Offenders with Autism: A Comparative Analysis of Three Jurisdictions’ (2024) 45(2) </w:t>
      </w:r>
      <w:r w:rsidRPr="004A331A">
        <w:rPr>
          <w:i/>
          <w:iCs/>
        </w:rPr>
        <w:t>Adelaide Law Review</w:t>
      </w:r>
      <w:r w:rsidRPr="00D90C15">
        <w:t xml:space="preserve"> 207</w:t>
      </w:r>
    </w:p>
    <w:p w14:paraId="27DFA257" w14:textId="77777777" w:rsidR="005A008B" w:rsidRPr="00D90C15" w:rsidRDefault="005A008B" w:rsidP="00926C26">
      <w:pPr>
        <w:pStyle w:val="Heading2"/>
      </w:pPr>
      <w:bookmarkStart w:id="50" w:name="_Toc221113816"/>
      <w:r w:rsidRPr="00D90C15">
        <w:t>Media</w:t>
      </w:r>
      <w:bookmarkEnd w:id="50"/>
    </w:p>
    <w:p w14:paraId="4963B7D3" w14:textId="77777777" w:rsidR="005A008B" w:rsidRPr="00D90C15" w:rsidRDefault="005A008B" w:rsidP="00234617">
      <w:r w:rsidRPr="00D90C15">
        <w:t>In 2024–25, we received 69 media mentions in a combination of television, newspaper, radio, social media and other online coverage with a potential reach of 4.45 million people (</w:t>
      </w:r>
      <w:proofErr w:type="spellStart"/>
      <w:r w:rsidRPr="00D90C15">
        <w:t>isentia</w:t>
      </w:r>
      <w:proofErr w:type="spellEnd"/>
      <w:r w:rsidRPr="00D90C15">
        <w:t xml:space="preserve"> analytics). Most of our reach was via online and print newspapers (3.9 million people), while the remainder was via AM radio, other online coverage and television.</w:t>
      </w:r>
    </w:p>
    <w:p w14:paraId="118FF9CA" w14:textId="660E8EB0" w:rsidR="005A008B" w:rsidRPr="00AA1CB0" w:rsidRDefault="006B7598" w:rsidP="00AA1CB0">
      <w:pPr>
        <w:pStyle w:val="Heading1"/>
      </w:pPr>
      <w:bookmarkStart w:id="51" w:name="_Toc221113817"/>
      <w:r w:rsidRPr="00AA1CB0">
        <w:lastRenderedPageBreak/>
        <w:t>Governance</w:t>
      </w:r>
      <w:bookmarkEnd w:id="51"/>
    </w:p>
    <w:p w14:paraId="5B6E6F95" w14:textId="77777777" w:rsidR="005A008B" w:rsidRPr="00D90C15" w:rsidRDefault="005A008B" w:rsidP="00926C26">
      <w:r w:rsidRPr="00D90C15">
        <w:t xml:space="preserve">As a public entity, the Council is required to implement accountable </w:t>
      </w:r>
      <w:r w:rsidRPr="009A485A">
        <w:t xml:space="preserve">and effective governance under the </w:t>
      </w:r>
      <w:r w:rsidRPr="004A331A">
        <w:rPr>
          <w:i/>
          <w:iCs/>
        </w:rPr>
        <w:t>Financial Management Act 1994</w:t>
      </w:r>
      <w:r w:rsidRPr="009A485A">
        <w:t xml:space="preserve">, the </w:t>
      </w:r>
      <w:r w:rsidRPr="004A331A">
        <w:rPr>
          <w:i/>
          <w:iCs/>
        </w:rPr>
        <w:t>Public Administration Act 2004</w:t>
      </w:r>
      <w:r w:rsidRPr="00774C1D">
        <w:t xml:space="preserve">, the </w:t>
      </w:r>
      <w:r w:rsidRPr="004A331A">
        <w:rPr>
          <w:i/>
          <w:iCs/>
        </w:rPr>
        <w:t>Audit Act 1994</w:t>
      </w:r>
      <w:r w:rsidRPr="00774C1D">
        <w:t xml:space="preserve">, and other applicable </w:t>
      </w:r>
      <w:r w:rsidRPr="00D90C15">
        <w:t>laws, regulations and directions from the Minister of Finance.</w:t>
      </w:r>
    </w:p>
    <w:p w14:paraId="36BB7F9F" w14:textId="77777777" w:rsidR="005A008B" w:rsidRPr="00D90C15" w:rsidRDefault="005A008B" w:rsidP="00926C26">
      <w:pPr>
        <w:pStyle w:val="Heading2"/>
      </w:pPr>
      <w:bookmarkStart w:id="52" w:name="_Toc221113818"/>
      <w:r w:rsidRPr="00D90C15">
        <w:t>Audit and Finance Committee</w:t>
      </w:r>
      <w:bookmarkEnd w:id="52"/>
    </w:p>
    <w:p w14:paraId="521BBE18" w14:textId="77777777" w:rsidR="005A008B" w:rsidRPr="00D90C15" w:rsidRDefault="005A008B" w:rsidP="006512A5">
      <w:r w:rsidRPr="00D90C15">
        <w:t xml:space="preserve">As </w:t>
      </w:r>
      <w:proofErr w:type="gramStart"/>
      <w:r w:rsidRPr="00D90C15">
        <w:t>at</w:t>
      </w:r>
      <w:proofErr w:type="gramEnd"/>
      <w:r w:rsidRPr="00D90C15">
        <w:t xml:space="preserve"> 30 June 2025, the Council’s Audit and Finance Committee consists of the following: </w:t>
      </w:r>
    </w:p>
    <w:p w14:paraId="0D587590" w14:textId="77777777" w:rsidR="005A008B" w:rsidRPr="00D90C15" w:rsidRDefault="005A008B" w:rsidP="00926C26">
      <w:pPr>
        <w:pStyle w:val="Bullets"/>
      </w:pPr>
      <w:r w:rsidRPr="00D90C15">
        <w:t>Sam Jones (Chair and Independent Member)</w:t>
      </w:r>
    </w:p>
    <w:p w14:paraId="15A2DCCC" w14:textId="77777777" w:rsidR="005A008B" w:rsidRPr="00D90C15" w:rsidRDefault="005A008B" w:rsidP="00926C26">
      <w:pPr>
        <w:pStyle w:val="Bullets"/>
      </w:pPr>
      <w:r w:rsidRPr="00D90C15">
        <w:t>Robyn Dyt (Independent Member)</w:t>
      </w:r>
    </w:p>
    <w:p w14:paraId="23FD3C87" w14:textId="77777777" w:rsidR="005A008B" w:rsidRPr="00D90C15" w:rsidRDefault="005A008B" w:rsidP="00926C26">
      <w:pPr>
        <w:pStyle w:val="Bullets"/>
      </w:pPr>
      <w:r w:rsidRPr="00D90C15">
        <w:t>Dr Jana Katerinskaja (Board Representative).</w:t>
      </w:r>
    </w:p>
    <w:p w14:paraId="4507C648" w14:textId="77777777" w:rsidR="005A008B" w:rsidRPr="00D90C15" w:rsidRDefault="005A008B" w:rsidP="006512A5">
      <w:r w:rsidRPr="00D90C15">
        <w:t>The main responsibilities of the Audit and Finance Committee are to:</w:t>
      </w:r>
    </w:p>
    <w:p w14:paraId="564E9DAF" w14:textId="77777777" w:rsidR="005A008B" w:rsidRPr="00774C1D" w:rsidRDefault="005A008B" w:rsidP="00926C26">
      <w:pPr>
        <w:pStyle w:val="Bullets"/>
      </w:pPr>
      <w:r w:rsidRPr="00D90C15">
        <w:t xml:space="preserve">review and report independently to the Council on the annual report and all other </w:t>
      </w:r>
      <w:r w:rsidRPr="00774C1D">
        <w:t>financial information published by the Council</w:t>
      </w:r>
    </w:p>
    <w:p w14:paraId="21042123" w14:textId="77777777" w:rsidR="005A008B" w:rsidRPr="00D90C15" w:rsidRDefault="005A008B" w:rsidP="00926C26">
      <w:pPr>
        <w:pStyle w:val="Bullets"/>
      </w:pPr>
      <w:r w:rsidRPr="00D90C15">
        <w:t>assist the Council in reviewing the effectiveness of the Council’s internal control environment covering effectiveness and efficiency of operations, reliability of financial reporting and compliance with applicable laws and regulations</w:t>
      </w:r>
    </w:p>
    <w:p w14:paraId="3677F808" w14:textId="77777777" w:rsidR="005A008B" w:rsidRPr="00D90C15" w:rsidRDefault="005A008B" w:rsidP="00926C26">
      <w:pPr>
        <w:pStyle w:val="Bullets"/>
      </w:pPr>
      <w:r w:rsidRPr="00D90C15">
        <w:t>ensure the Council’s resources are adequate and used effectively, including liaising with the external auditors</w:t>
      </w:r>
    </w:p>
    <w:p w14:paraId="33732D37" w14:textId="77777777" w:rsidR="005A008B" w:rsidRPr="00D90C15" w:rsidRDefault="005A008B" w:rsidP="00926C26">
      <w:pPr>
        <w:pStyle w:val="Bullets"/>
      </w:pPr>
      <w:r w:rsidRPr="00774C1D">
        <w:t xml:space="preserve">consider recommendations made by external </w:t>
      </w:r>
      <w:r w:rsidRPr="00D90C15">
        <w:t>auditors and review the implementation of actions to resolve issues raised and</w:t>
      </w:r>
    </w:p>
    <w:p w14:paraId="649A5671" w14:textId="77777777" w:rsidR="005A008B" w:rsidRPr="00D90C15" w:rsidRDefault="005A008B" w:rsidP="00926C26">
      <w:pPr>
        <w:pStyle w:val="Bullets"/>
      </w:pPr>
      <w:r w:rsidRPr="00D90C15">
        <w:t>oversee the effective operation of the risk management framework.</w:t>
      </w:r>
    </w:p>
    <w:p w14:paraId="0FF3277D" w14:textId="77777777" w:rsidR="005A008B" w:rsidRPr="001E2554" w:rsidRDefault="005A008B" w:rsidP="00926C26">
      <w:pPr>
        <w:pStyle w:val="Heading2"/>
        <w:rPr>
          <w:i/>
          <w:iCs w:val="0"/>
        </w:rPr>
      </w:pPr>
      <w:bookmarkStart w:id="53" w:name="_Toc221113819"/>
      <w:r w:rsidRPr="00D90C15">
        <w:t xml:space="preserve">Compliance with the </w:t>
      </w:r>
      <w:r w:rsidRPr="001E2554">
        <w:rPr>
          <w:i/>
          <w:iCs w:val="0"/>
        </w:rPr>
        <w:t>Building Act 1993</w:t>
      </w:r>
      <w:bookmarkEnd w:id="53"/>
    </w:p>
    <w:p w14:paraId="7E3E923D" w14:textId="77777777" w:rsidR="005A008B" w:rsidRPr="00D90C15" w:rsidRDefault="005A008B" w:rsidP="00234617">
      <w:r w:rsidRPr="00D90C15">
        <w:t xml:space="preserve">The Council does not own nor control any government buildings and consequently is exempt from notifying its compliance with the building and maintenance provisions of the </w:t>
      </w:r>
      <w:r w:rsidRPr="004A331A">
        <w:rPr>
          <w:i/>
          <w:iCs/>
        </w:rPr>
        <w:t>Building Act 1993</w:t>
      </w:r>
      <w:r w:rsidRPr="00D90C15">
        <w:t>.</w:t>
      </w:r>
    </w:p>
    <w:p w14:paraId="417D3854" w14:textId="77777777" w:rsidR="005A008B" w:rsidRPr="00D90C15" w:rsidRDefault="005A008B" w:rsidP="00926C26">
      <w:pPr>
        <w:pStyle w:val="Heading2"/>
      </w:pPr>
      <w:bookmarkStart w:id="54" w:name="_Toc221113820"/>
      <w:r w:rsidRPr="00D90C15">
        <w:lastRenderedPageBreak/>
        <w:t xml:space="preserve">Compliance with the </w:t>
      </w:r>
      <w:r w:rsidRPr="001E2554">
        <w:rPr>
          <w:i/>
          <w:iCs w:val="0"/>
        </w:rPr>
        <w:t>Carers Recognition Act 2012</w:t>
      </w:r>
      <w:bookmarkEnd w:id="54"/>
    </w:p>
    <w:p w14:paraId="7BE6C641" w14:textId="77777777" w:rsidR="005A008B" w:rsidRPr="00D90C15" w:rsidRDefault="005A008B" w:rsidP="00234617">
      <w:r w:rsidRPr="00D90C15">
        <w:t>Council staff are made aware of their entitlement to carers leave on commencement. Staff also have access to the Department of Justice and Community Safety induction, training and awareness activities, including in relation to carer obligations.</w:t>
      </w:r>
    </w:p>
    <w:p w14:paraId="5F50A05A" w14:textId="77777777" w:rsidR="005A008B" w:rsidRPr="00D90C15" w:rsidRDefault="005A008B" w:rsidP="00926C26">
      <w:pPr>
        <w:pStyle w:val="Heading2"/>
      </w:pPr>
      <w:bookmarkStart w:id="55" w:name="_Toc221113821"/>
      <w:r w:rsidRPr="00D90C15">
        <w:t xml:space="preserve">Compliance with the </w:t>
      </w:r>
      <w:r w:rsidRPr="001E2554">
        <w:rPr>
          <w:i/>
          <w:iCs w:val="0"/>
        </w:rPr>
        <w:t>Disability Act 2006</w:t>
      </w:r>
      <w:bookmarkEnd w:id="55"/>
      <w:r w:rsidRPr="00D90C15">
        <w:t xml:space="preserve"> </w:t>
      </w:r>
    </w:p>
    <w:p w14:paraId="33247689" w14:textId="77777777" w:rsidR="005A008B" w:rsidRPr="00D90C15" w:rsidRDefault="005A008B" w:rsidP="00234617">
      <w:r w:rsidRPr="00D90C15">
        <w:t xml:space="preserve">The </w:t>
      </w:r>
      <w:r w:rsidRPr="004A331A">
        <w:rPr>
          <w:i/>
          <w:iCs/>
        </w:rPr>
        <w:t>Disability Act 2006</w:t>
      </w:r>
      <w:r w:rsidRPr="00D90C15">
        <w:t xml:space="preserve"> reaffirms and strengthens the rights of people with a disability and recognises that this requires support across the government sector and within the community. The Council facilitates access by people with disabilities to the information it publishes by providing an accessibility-compliant website and publishing all materials in accessible formats. Contributions to the Council’s work can be provided in writing (by post, email or through web-based forms) or through face-to-face or online meetings. The Council will also receive submissions over the telephone if requested. The Council’s offices are wheelchair accessible and have wheelchair accessible facilities.</w:t>
      </w:r>
    </w:p>
    <w:p w14:paraId="18E43772" w14:textId="77777777" w:rsidR="005A008B" w:rsidRPr="00D90C15" w:rsidRDefault="005A008B" w:rsidP="00926C26">
      <w:pPr>
        <w:pStyle w:val="Heading2"/>
      </w:pPr>
      <w:bookmarkStart w:id="56" w:name="_Toc221113822"/>
      <w:r w:rsidRPr="00D90C15">
        <w:t xml:space="preserve">Compliance with the </w:t>
      </w:r>
      <w:r w:rsidRPr="001E2554">
        <w:rPr>
          <w:i/>
          <w:iCs w:val="0"/>
        </w:rPr>
        <w:t>Local Jobs First Act 2003</w:t>
      </w:r>
      <w:bookmarkEnd w:id="56"/>
    </w:p>
    <w:p w14:paraId="062FC372" w14:textId="77777777" w:rsidR="005A008B" w:rsidRPr="00D90C15" w:rsidRDefault="005A008B" w:rsidP="00234617">
      <w:r w:rsidRPr="00D90C15">
        <w:t xml:space="preserve">The </w:t>
      </w:r>
      <w:r w:rsidRPr="004A331A">
        <w:rPr>
          <w:i/>
          <w:iCs/>
        </w:rPr>
        <w:t>Local Jobs First Act 2003</w:t>
      </w:r>
      <w:r w:rsidRPr="00D90C15">
        <w:t xml:space="preserve"> introduced in August 2018 brings together the Victorian Industry Participation Policy (VIPP) and Major Project Skills Guarantee policy which were previously administered separately. Departments and public sector bodies are required to apply the Local Jobs First policy in all projects valued at $3 million or more in metropolitan Melbourne or for statewide projects, or $1 million or more for projects in regional Victoria. The Council did not </w:t>
      </w:r>
      <w:proofErr w:type="gramStart"/>
      <w:r w:rsidRPr="00D90C15">
        <w:t>enter into</w:t>
      </w:r>
      <w:proofErr w:type="gramEnd"/>
      <w:r w:rsidRPr="00D90C15">
        <w:t xml:space="preserve"> any contracts to which the VIPP or the Local Jobs First policy applied in 2024–25.</w:t>
      </w:r>
    </w:p>
    <w:p w14:paraId="71699446" w14:textId="77777777" w:rsidR="005A008B" w:rsidRPr="00D90C15" w:rsidRDefault="005A008B" w:rsidP="00926C26">
      <w:pPr>
        <w:pStyle w:val="Heading2"/>
      </w:pPr>
      <w:bookmarkStart w:id="57" w:name="_Toc221113823"/>
      <w:r w:rsidRPr="00D90C15">
        <w:t xml:space="preserve">Compliance with the </w:t>
      </w:r>
      <w:r w:rsidRPr="001E2554">
        <w:rPr>
          <w:i/>
          <w:iCs w:val="0"/>
        </w:rPr>
        <w:t>Public Interest Disclosures Act 2012</w:t>
      </w:r>
      <w:bookmarkEnd w:id="57"/>
    </w:p>
    <w:p w14:paraId="7A6A338B" w14:textId="77777777" w:rsidR="005A008B" w:rsidRPr="00D90C15" w:rsidRDefault="005A008B" w:rsidP="00234617">
      <w:r w:rsidRPr="00D90C15">
        <w:t xml:space="preserve">The </w:t>
      </w:r>
      <w:r w:rsidRPr="004A331A">
        <w:rPr>
          <w:i/>
          <w:iCs/>
        </w:rPr>
        <w:t>Public Interest Disclosures Act 2012</w:t>
      </w:r>
      <w:r w:rsidRPr="00D90C15">
        <w:t xml:space="preserve"> encourages and assists people in making disclosures of improper conduct by public officers and public bodies. The Act provides protection to people who make disclosures in accordance with the Act and establishes a system for the matters disclosed to be investigated and rectifying action to be taken.</w:t>
      </w:r>
    </w:p>
    <w:p w14:paraId="57484DE9" w14:textId="77777777" w:rsidR="005A008B" w:rsidRPr="00D90C15" w:rsidRDefault="005A008B" w:rsidP="00234617">
      <w:r w:rsidRPr="00D90C15">
        <w:lastRenderedPageBreak/>
        <w:t xml:space="preserve">The Council does not tolerate improper conduct by employees, nor the taking of reprisals against those who come forward to disclose such conduct. It is committed to ensuring transparency and accountability in its </w:t>
      </w:r>
      <w:r w:rsidRPr="00774C1D">
        <w:t xml:space="preserve">administrative and management practices and </w:t>
      </w:r>
      <w:r w:rsidRPr="00D90C15">
        <w:t xml:space="preserve">supports the making of disclosures that reveal </w:t>
      </w:r>
      <w:r w:rsidRPr="009A485A">
        <w:t xml:space="preserve">corrupt conduct, conduct involving a substantial </w:t>
      </w:r>
      <w:r w:rsidRPr="00D90C15">
        <w:t xml:space="preserve">mismanagement of public resources, or conduct involving a substantial risk to public health and safety or the environment. </w:t>
      </w:r>
    </w:p>
    <w:p w14:paraId="0BE1CB93" w14:textId="77777777" w:rsidR="005A008B" w:rsidRPr="00D90C15" w:rsidRDefault="005A008B" w:rsidP="00234617">
      <w:r w:rsidRPr="00D90C15">
        <w:t>The Council will take all reasonable steps to protect people who make such disclosures from any detrimental action in reprisal for making the disclosure. It will also afford natural justice to the person who is the subject of the disclosure to the extent it is legally possible.</w:t>
      </w:r>
    </w:p>
    <w:p w14:paraId="704B7767" w14:textId="77777777" w:rsidR="005A008B" w:rsidRPr="00D90C15" w:rsidRDefault="005A008B" w:rsidP="006512A5">
      <w:r w:rsidRPr="00D90C15">
        <w:t>There were no relevant disclosures relating to the Council in 2024–25.</w:t>
      </w:r>
    </w:p>
    <w:p w14:paraId="1A30A2AE" w14:textId="77777777" w:rsidR="005A008B" w:rsidRPr="00D90C15" w:rsidRDefault="005A008B" w:rsidP="007977AB">
      <w:pPr>
        <w:pStyle w:val="Heading3"/>
      </w:pPr>
      <w:bookmarkStart w:id="58" w:name="_Toc221113824"/>
      <w:r w:rsidRPr="00D90C15">
        <w:t>Reporting Procedures</w:t>
      </w:r>
      <w:bookmarkEnd w:id="58"/>
    </w:p>
    <w:p w14:paraId="56DDB537" w14:textId="77777777" w:rsidR="005A008B" w:rsidRPr="00D90C15" w:rsidRDefault="005A008B" w:rsidP="006512A5">
      <w:r w:rsidRPr="00D90C15">
        <w:t xml:space="preserve">Disclosures of improper conduct or detrimental action by the Council or any of its employees may be made to the Independent Broad-Based Anti-Corruption Commission (IBAC) at: </w:t>
      </w:r>
    </w:p>
    <w:p w14:paraId="127DEE2D" w14:textId="77777777" w:rsidR="005A008B" w:rsidRPr="00D90C15" w:rsidRDefault="005A008B" w:rsidP="00A323FF">
      <w:pPr>
        <w:spacing w:after="0"/>
        <w:ind w:left="992"/>
      </w:pPr>
      <w:r w:rsidRPr="00D90C15">
        <w:t>Level 1, North Tower</w:t>
      </w:r>
    </w:p>
    <w:p w14:paraId="0426FD1B" w14:textId="77777777" w:rsidR="005A008B" w:rsidRPr="00D90C15" w:rsidRDefault="005A008B" w:rsidP="00A323FF">
      <w:pPr>
        <w:spacing w:before="0" w:after="0"/>
        <w:ind w:left="992"/>
      </w:pPr>
      <w:r w:rsidRPr="00D90C15">
        <w:t>459 Collins Street</w:t>
      </w:r>
    </w:p>
    <w:p w14:paraId="66C8B698" w14:textId="77777777" w:rsidR="005A008B" w:rsidRPr="00D90C15" w:rsidRDefault="005A008B" w:rsidP="00A323FF">
      <w:pPr>
        <w:spacing w:before="0" w:after="0"/>
        <w:ind w:left="992"/>
      </w:pPr>
      <w:r w:rsidRPr="00D90C15">
        <w:t>Melbourne VIC 3000</w:t>
      </w:r>
    </w:p>
    <w:p w14:paraId="3D11D17E" w14:textId="77777777" w:rsidR="005A008B" w:rsidRPr="00D90C15" w:rsidRDefault="005A008B" w:rsidP="00A323FF">
      <w:pPr>
        <w:spacing w:before="0" w:after="0"/>
        <w:ind w:left="992"/>
      </w:pPr>
      <w:r w:rsidRPr="00D90C15">
        <w:t>Tel: 1300 735 135</w:t>
      </w:r>
    </w:p>
    <w:p w14:paraId="6F9E944E" w14:textId="77777777" w:rsidR="005A008B" w:rsidRPr="00D90C15" w:rsidRDefault="005A008B" w:rsidP="00A323FF">
      <w:pPr>
        <w:spacing w:before="0"/>
        <w:ind w:left="992"/>
      </w:pPr>
      <w:r w:rsidRPr="00D90C15">
        <w:t xml:space="preserve">Internet: </w:t>
      </w:r>
      <w:r w:rsidRPr="00D90C15">
        <w:rPr>
          <w:rStyle w:val="Hyperlink"/>
        </w:rPr>
        <w:t>www.ibac.vic.gov.au</w:t>
      </w:r>
      <w:r w:rsidRPr="00D90C15">
        <w:t xml:space="preserve"> </w:t>
      </w:r>
    </w:p>
    <w:p w14:paraId="31AC63C1" w14:textId="77777777" w:rsidR="005A008B" w:rsidRPr="00D90C15" w:rsidRDefault="005A008B" w:rsidP="00926C26">
      <w:pPr>
        <w:pStyle w:val="Heading2"/>
      </w:pPr>
      <w:bookmarkStart w:id="59" w:name="_Toc221113825"/>
      <w:r w:rsidRPr="00D90C15">
        <w:t>Competitive Neutrality Policy</w:t>
      </w:r>
      <w:bookmarkEnd w:id="59"/>
    </w:p>
    <w:p w14:paraId="3D7BC0D9" w14:textId="77777777" w:rsidR="005A008B" w:rsidRPr="00D90C15" w:rsidRDefault="005A008B" w:rsidP="00234617">
      <w:r w:rsidRPr="00D90C15">
        <w:t>Competitive neutrality requires government businesses to ensure that where services compete, or potentially compete, with the private sector, any net advantage arising from government ownership is accounted for if it is not in the public interest.</w:t>
      </w:r>
    </w:p>
    <w:p w14:paraId="4FA22796" w14:textId="77777777" w:rsidR="005A008B" w:rsidRPr="00D90C15" w:rsidRDefault="005A008B" w:rsidP="00234617">
      <w:r w:rsidRPr="00D90C15">
        <w:t xml:space="preserve">Government businesses are required to set a competitively neutral price, which accounts for any net advantage that comes from public ownership. Competitive neutrality policy supports fair competition between public and private businesses and provides government businesses with a tool to enhance decisions on </w:t>
      </w:r>
      <w:r w:rsidRPr="00D90C15">
        <w:lastRenderedPageBreak/>
        <w:t>resource allocation. This policy does not override other policy objectives of government and focuses on efficiency in the provision of service.</w:t>
      </w:r>
    </w:p>
    <w:p w14:paraId="1AD58EC5" w14:textId="77777777" w:rsidR="005A008B" w:rsidRPr="00D90C15" w:rsidRDefault="005A008B" w:rsidP="00926C26">
      <w:pPr>
        <w:pStyle w:val="Heading2"/>
      </w:pPr>
      <w:bookmarkStart w:id="60" w:name="_Toc221113826"/>
      <w:r w:rsidRPr="00D90C15">
        <w:t>Details of Consultancy Engagements Greater Than $10,000</w:t>
      </w:r>
      <w:bookmarkEnd w:id="60"/>
    </w:p>
    <w:p w14:paraId="0DD2D6EA" w14:textId="77777777" w:rsidR="005A008B" w:rsidRDefault="005A008B" w:rsidP="00234617">
      <w:r w:rsidRPr="00D90C15">
        <w:t>In 2024–25, there was one consultancy where the total fees payable were $10,000 or greater. The total expenditure incurred during 2024–25 in relation to that consultancy was $23,222 (excluding GST). The details of that consultancy are in Table 1.</w:t>
      </w:r>
    </w:p>
    <w:p w14:paraId="6857E9D6" w14:textId="77777777" w:rsidR="00440E4C" w:rsidRDefault="00440E4C" w:rsidP="00440E4C">
      <w:pPr>
        <w:pStyle w:val="Caption"/>
      </w:pPr>
      <w:r>
        <w:t>Table 1: Consultancy engagements greater than $10,000</w:t>
      </w:r>
    </w:p>
    <w:tbl>
      <w:tblPr>
        <w:tblStyle w:val="Table"/>
        <w:tblW w:w="5000" w:type="pct"/>
        <w:tblLook w:val="0020" w:firstRow="1" w:lastRow="0" w:firstColumn="0" w:lastColumn="0" w:noHBand="0" w:noVBand="0"/>
      </w:tblPr>
      <w:tblGrid>
        <w:gridCol w:w="2856"/>
        <w:gridCol w:w="2047"/>
        <w:gridCol w:w="2149"/>
        <w:gridCol w:w="1964"/>
      </w:tblGrid>
      <w:tr w:rsidR="00440E4C" w14:paraId="6B24BDFF" w14:textId="77777777" w:rsidTr="0046794E">
        <w:trPr>
          <w:trHeight w:val="60"/>
          <w:tblHeader/>
        </w:trPr>
        <w:tc>
          <w:tcPr>
            <w:tcW w:w="1584" w:type="pct"/>
          </w:tcPr>
          <w:p w14:paraId="0FB2A15E" w14:textId="77777777" w:rsidR="00440E4C" w:rsidRDefault="00440E4C" w:rsidP="00CA36E9">
            <w:pPr>
              <w:pStyle w:val="TableHeading"/>
            </w:pPr>
            <w:r>
              <w:t>Consultant</w:t>
            </w:r>
          </w:p>
        </w:tc>
        <w:tc>
          <w:tcPr>
            <w:tcW w:w="1135" w:type="pct"/>
          </w:tcPr>
          <w:p w14:paraId="52E558D5" w14:textId="77777777" w:rsidR="00440E4C" w:rsidRDefault="00440E4C" w:rsidP="00CA36E9">
            <w:pPr>
              <w:pStyle w:val="TableHeading"/>
            </w:pPr>
            <w:r>
              <w:t>Purpose of consultant</w:t>
            </w:r>
          </w:p>
        </w:tc>
        <w:tc>
          <w:tcPr>
            <w:tcW w:w="1192" w:type="pct"/>
          </w:tcPr>
          <w:p w14:paraId="438DBA5F" w14:textId="77777777" w:rsidR="00440E4C" w:rsidRDefault="00440E4C" w:rsidP="007B5725">
            <w:pPr>
              <w:pStyle w:val="TableHeading"/>
            </w:pPr>
            <w:r>
              <w:t>Approved expenditure</w:t>
            </w:r>
          </w:p>
        </w:tc>
        <w:tc>
          <w:tcPr>
            <w:tcW w:w="1089" w:type="pct"/>
          </w:tcPr>
          <w:p w14:paraId="2F33A3EE" w14:textId="77777777" w:rsidR="00440E4C" w:rsidRDefault="00440E4C" w:rsidP="007B5725">
            <w:pPr>
              <w:pStyle w:val="TableHeading"/>
            </w:pPr>
            <w:r>
              <w:t>Actual expenditure</w:t>
            </w:r>
          </w:p>
        </w:tc>
      </w:tr>
      <w:tr w:rsidR="00440E4C" w14:paraId="06805A39" w14:textId="77777777" w:rsidTr="0046794E">
        <w:trPr>
          <w:trHeight w:val="60"/>
        </w:trPr>
        <w:tc>
          <w:tcPr>
            <w:tcW w:w="1584" w:type="pct"/>
          </w:tcPr>
          <w:p w14:paraId="7B99C5FC" w14:textId="77777777" w:rsidR="00440E4C" w:rsidRDefault="00440E4C" w:rsidP="00E82D64">
            <w:pPr>
              <w:pStyle w:val="TableBody"/>
            </w:pPr>
            <w:r>
              <w:t>Strathmore Accounting &amp; Audit Services</w:t>
            </w:r>
          </w:p>
        </w:tc>
        <w:tc>
          <w:tcPr>
            <w:tcW w:w="1135" w:type="pct"/>
          </w:tcPr>
          <w:p w14:paraId="554D598B" w14:textId="77777777" w:rsidR="00440E4C" w:rsidRDefault="00440E4C" w:rsidP="00E82D64">
            <w:pPr>
              <w:pStyle w:val="TableBody"/>
            </w:pPr>
            <w:r>
              <w:t>Perform role of CFAO</w:t>
            </w:r>
          </w:p>
        </w:tc>
        <w:tc>
          <w:tcPr>
            <w:tcW w:w="1192" w:type="pct"/>
          </w:tcPr>
          <w:p w14:paraId="13711339" w14:textId="77777777" w:rsidR="00440E4C" w:rsidRDefault="00440E4C" w:rsidP="00CC3F1F">
            <w:pPr>
              <w:pStyle w:val="TableBody"/>
            </w:pPr>
            <w:r>
              <w:t>$23,000</w:t>
            </w:r>
          </w:p>
        </w:tc>
        <w:tc>
          <w:tcPr>
            <w:tcW w:w="1089" w:type="pct"/>
          </w:tcPr>
          <w:p w14:paraId="73FB307E" w14:textId="77777777" w:rsidR="00440E4C" w:rsidRDefault="00440E4C" w:rsidP="00CC3F1F">
            <w:pPr>
              <w:pStyle w:val="TableBody"/>
            </w:pPr>
            <w:r>
              <w:t xml:space="preserve">$23,222 </w:t>
            </w:r>
          </w:p>
        </w:tc>
      </w:tr>
    </w:tbl>
    <w:p w14:paraId="6C8B7D16" w14:textId="77777777" w:rsidR="005A008B" w:rsidRPr="00D90C15" w:rsidRDefault="005A008B" w:rsidP="00926C26">
      <w:pPr>
        <w:pStyle w:val="Heading2"/>
      </w:pPr>
      <w:bookmarkStart w:id="61" w:name="_Toc221113827"/>
      <w:r w:rsidRPr="00D90C15">
        <w:t>Details of Consultancy Engagements Under $10,000</w:t>
      </w:r>
      <w:bookmarkEnd w:id="61"/>
      <w:r w:rsidRPr="00D90C15">
        <w:t xml:space="preserve"> </w:t>
      </w:r>
    </w:p>
    <w:p w14:paraId="3E4AAA08" w14:textId="77777777" w:rsidR="005A008B" w:rsidRDefault="005A008B" w:rsidP="00234617">
      <w:r w:rsidRPr="00D90C15">
        <w:t>In 2024–25, there was one consultancy where the total fees payable were less than $10,000. The total expenditure incurred during 2024–25 in relation to that consultancy was $9,200 (excluding GST). The details of that consultancy are in Table 2.</w:t>
      </w:r>
    </w:p>
    <w:p w14:paraId="70D6A674" w14:textId="77777777" w:rsidR="003E0E21" w:rsidRDefault="003E0E21" w:rsidP="00DA20CC">
      <w:pPr>
        <w:pStyle w:val="Caption"/>
      </w:pPr>
      <w:r>
        <w:t>Table 2: Consultancy engagements under $10,000</w:t>
      </w:r>
    </w:p>
    <w:tbl>
      <w:tblPr>
        <w:tblStyle w:val="Table"/>
        <w:tblW w:w="5000" w:type="pct"/>
        <w:tblLook w:val="0020" w:firstRow="1" w:lastRow="0" w:firstColumn="0" w:lastColumn="0" w:noHBand="0" w:noVBand="0"/>
      </w:tblPr>
      <w:tblGrid>
        <w:gridCol w:w="2254"/>
        <w:gridCol w:w="2254"/>
        <w:gridCol w:w="2254"/>
        <w:gridCol w:w="2254"/>
      </w:tblGrid>
      <w:tr w:rsidR="003E0E21" w14:paraId="64E3716D" w14:textId="77777777" w:rsidTr="0046794E">
        <w:trPr>
          <w:trHeight w:val="60"/>
          <w:tblHeader/>
        </w:trPr>
        <w:tc>
          <w:tcPr>
            <w:tcW w:w="1250" w:type="pct"/>
          </w:tcPr>
          <w:p w14:paraId="75BCA89F" w14:textId="77777777" w:rsidR="003E0E21" w:rsidRDefault="003E0E21" w:rsidP="00B8151B">
            <w:pPr>
              <w:pStyle w:val="TableHeading"/>
            </w:pPr>
            <w:r>
              <w:t>Consultant</w:t>
            </w:r>
          </w:p>
        </w:tc>
        <w:tc>
          <w:tcPr>
            <w:tcW w:w="1250" w:type="pct"/>
          </w:tcPr>
          <w:p w14:paraId="619DDEF6" w14:textId="77777777" w:rsidR="003E0E21" w:rsidRDefault="003E0E21" w:rsidP="00B8151B">
            <w:pPr>
              <w:pStyle w:val="TableHeading"/>
            </w:pPr>
            <w:r>
              <w:t>Purpose of consultant</w:t>
            </w:r>
          </w:p>
        </w:tc>
        <w:tc>
          <w:tcPr>
            <w:tcW w:w="1250" w:type="pct"/>
          </w:tcPr>
          <w:p w14:paraId="007F5F4F" w14:textId="77777777" w:rsidR="003E0E21" w:rsidRDefault="003E0E21" w:rsidP="007B5725">
            <w:pPr>
              <w:pStyle w:val="TableHeading"/>
            </w:pPr>
            <w:r>
              <w:t>Approved expenditure</w:t>
            </w:r>
          </w:p>
        </w:tc>
        <w:tc>
          <w:tcPr>
            <w:tcW w:w="1250" w:type="pct"/>
          </w:tcPr>
          <w:p w14:paraId="3178084E" w14:textId="77777777" w:rsidR="003E0E21" w:rsidRDefault="003E0E21" w:rsidP="007B5725">
            <w:pPr>
              <w:pStyle w:val="TableHeading"/>
            </w:pPr>
            <w:r>
              <w:t>Actual expenditure</w:t>
            </w:r>
          </w:p>
        </w:tc>
      </w:tr>
      <w:tr w:rsidR="003E0E21" w14:paraId="372812A4" w14:textId="77777777" w:rsidTr="0046794E">
        <w:trPr>
          <w:trHeight w:val="390"/>
        </w:trPr>
        <w:tc>
          <w:tcPr>
            <w:tcW w:w="1250" w:type="pct"/>
          </w:tcPr>
          <w:p w14:paraId="048346D1" w14:textId="77777777" w:rsidR="003E0E21" w:rsidRDefault="003E0E21" w:rsidP="004436DE">
            <w:pPr>
              <w:pStyle w:val="TableBody"/>
            </w:pPr>
            <w:r>
              <w:t>Chris Gill</w:t>
            </w:r>
          </w:p>
        </w:tc>
        <w:tc>
          <w:tcPr>
            <w:tcW w:w="1250" w:type="pct"/>
          </w:tcPr>
          <w:p w14:paraId="3B408469" w14:textId="77777777" w:rsidR="003E0E21" w:rsidRDefault="003E0E21" w:rsidP="004436DE">
            <w:pPr>
              <w:pStyle w:val="TableBody"/>
            </w:pPr>
            <w:r>
              <w:t xml:space="preserve">Deliver You </w:t>
            </w:r>
            <w:proofErr w:type="gramStart"/>
            <w:r>
              <w:t>Be</w:t>
            </w:r>
            <w:proofErr w:type="gramEnd"/>
            <w:r>
              <w:t xml:space="preserve"> the Judge sessions</w:t>
            </w:r>
          </w:p>
        </w:tc>
        <w:tc>
          <w:tcPr>
            <w:tcW w:w="1250" w:type="pct"/>
          </w:tcPr>
          <w:p w14:paraId="35248ABC" w14:textId="77777777" w:rsidR="003E0E21" w:rsidRDefault="003E0E21" w:rsidP="00CC3F1F">
            <w:pPr>
              <w:pStyle w:val="TableBody"/>
            </w:pPr>
            <w:r>
              <w:t>$9,200</w:t>
            </w:r>
          </w:p>
        </w:tc>
        <w:tc>
          <w:tcPr>
            <w:tcW w:w="1250" w:type="pct"/>
          </w:tcPr>
          <w:p w14:paraId="55EB18ED" w14:textId="77777777" w:rsidR="003E0E21" w:rsidRDefault="003E0E21" w:rsidP="00CC3F1F">
            <w:pPr>
              <w:pStyle w:val="TableBody"/>
            </w:pPr>
            <w:r>
              <w:t>$9,200</w:t>
            </w:r>
          </w:p>
        </w:tc>
      </w:tr>
    </w:tbl>
    <w:p w14:paraId="5169C441" w14:textId="77777777" w:rsidR="005A008B" w:rsidRPr="00D90C15" w:rsidRDefault="005A008B" w:rsidP="00926C26">
      <w:pPr>
        <w:pStyle w:val="Heading2"/>
      </w:pPr>
      <w:bookmarkStart w:id="62" w:name="_Toc221113828"/>
      <w:r w:rsidRPr="00D90C15">
        <w:t>Details of Government Advertising Expenditure</w:t>
      </w:r>
      <w:bookmarkEnd w:id="62"/>
    </w:p>
    <w:p w14:paraId="619AD92A" w14:textId="77777777" w:rsidR="005A008B" w:rsidRPr="00D90C15" w:rsidRDefault="005A008B" w:rsidP="00234617">
      <w:r w:rsidRPr="00D90C15">
        <w:t>For the 2024–25 reporting period, the Council did not engage in any disclosable government advertising campaigns.</w:t>
      </w:r>
    </w:p>
    <w:p w14:paraId="0C89FB26" w14:textId="77777777" w:rsidR="005A008B" w:rsidRPr="00D90C15" w:rsidRDefault="005A008B" w:rsidP="00926C26">
      <w:pPr>
        <w:pStyle w:val="Heading2"/>
      </w:pPr>
      <w:bookmarkStart w:id="63" w:name="_Toc221113829"/>
      <w:r w:rsidRPr="00D90C15">
        <w:t>Disclosure of Major Contracts</w:t>
      </w:r>
      <w:bookmarkEnd w:id="63"/>
    </w:p>
    <w:p w14:paraId="2474A0F2" w14:textId="77777777" w:rsidR="005A008B" w:rsidRPr="00D90C15" w:rsidRDefault="005A008B" w:rsidP="00234617">
      <w:r w:rsidRPr="00D90C15">
        <w:t xml:space="preserve">For the 2024–25 reporting period, the Council did not </w:t>
      </w:r>
      <w:proofErr w:type="gramStart"/>
      <w:r w:rsidRPr="00D90C15">
        <w:t>enter into</w:t>
      </w:r>
      <w:proofErr w:type="gramEnd"/>
      <w:r w:rsidRPr="00D90C15">
        <w:t xml:space="preserve"> any disclosable major contracts. </w:t>
      </w:r>
    </w:p>
    <w:p w14:paraId="294F29F9" w14:textId="77777777" w:rsidR="005A008B" w:rsidRPr="00D90C15" w:rsidRDefault="005A008B" w:rsidP="00926C26">
      <w:pPr>
        <w:pStyle w:val="Heading2"/>
      </w:pPr>
      <w:bookmarkStart w:id="64" w:name="_Toc221113830"/>
      <w:r w:rsidRPr="00D90C15">
        <w:lastRenderedPageBreak/>
        <w:t>Disclosure of Asset Maturity Assessment</w:t>
      </w:r>
      <w:bookmarkEnd w:id="64"/>
    </w:p>
    <w:p w14:paraId="5D0A08ED" w14:textId="77777777" w:rsidR="005A008B" w:rsidRPr="00D90C15" w:rsidRDefault="005A008B" w:rsidP="00234617">
      <w:r w:rsidRPr="00D90C15">
        <w:t>The Council does not hold any assets subject to the requirements of the Asset Management Accountability Framework (AMAF).</w:t>
      </w:r>
    </w:p>
    <w:p w14:paraId="65055346" w14:textId="77777777" w:rsidR="005A008B" w:rsidRPr="00D90C15" w:rsidRDefault="005A008B" w:rsidP="00926C26">
      <w:pPr>
        <w:pStyle w:val="Heading2"/>
      </w:pPr>
      <w:bookmarkStart w:id="65" w:name="_Toc221113831"/>
      <w:r w:rsidRPr="00D90C15">
        <w:t>Summary of Environmental Performance</w:t>
      </w:r>
      <w:bookmarkEnd w:id="65"/>
    </w:p>
    <w:p w14:paraId="185882D8" w14:textId="77777777" w:rsidR="005A008B" w:rsidRPr="00D90C15" w:rsidRDefault="005A008B" w:rsidP="00234617">
      <w:r w:rsidRPr="00D90C15">
        <w:t xml:space="preserve">The Council is committed to environmental sustainability in its operations. The Council </w:t>
      </w:r>
      <w:r w:rsidRPr="009A485A">
        <w:t xml:space="preserve">supports the Victorian public sector in adopting </w:t>
      </w:r>
      <w:r w:rsidRPr="00D90C15">
        <w:t>new technology that lowers emissions and increases environmental sustainability. The Council makes use of Victorian Law Reform Commission (VLRC) offices and facilities to perform its functions, and any reporting requirements of the office are met by VLRC.</w:t>
      </w:r>
    </w:p>
    <w:p w14:paraId="16A046DA" w14:textId="77777777" w:rsidR="005A008B" w:rsidRPr="00D90C15" w:rsidRDefault="005A008B" w:rsidP="00926C26">
      <w:pPr>
        <w:pStyle w:val="Heading2"/>
      </w:pPr>
      <w:bookmarkStart w:id="66" w:name="_Toc221113832"/>
      <w:r w:rsidRPr="00D90C15">
        <w:t>Occupational Health and Safety</w:t>
      </w:r>
      <w:bookmarkEnd w:id="66"/>
    </w:p>
    <w:p w14:paraId="1DCADD62" w14:textId="77777777" w:rsidR="005A008B" w:rsidRPr="00D90C15" w:rsidRDefault="005A008B" w:rsidP="00234617">
      <w:r w:rsidRPr="00D90C15">
        <w:t xml:space="preserve">The Council’s occupational health and safety (OHS) strategy is to ensure all staff remain safe and healthy at work. </w:t>
      </w:r>
    </w:p>
    <w:p w14:paraId="0A9BB752" w14:textId="77777777" w:rsidR="005A008B" w:rsidRPr="004F3C92" w:rsidRDefault="005A008B" w:rsidP="00234617">
      <w:r w:rsidRPr="00D90C15">
        <w:t xml:space="preserve">During the 2024–25 financial year, the Council continued its health and safety initiatives by conducting an annual office walkaround to identify and respond to any OHS risks, by </w:t>
      </w:r>
      <w:r w:rsidRPr="00774C1D">
        <w:t xml:space="preserve">offering annual influenza vaccinations to staff, </w:t>
      </w:r>
      <w:r w:rsidRPr="004F3C92">
        <w:t xml:space="preserve">and by ensuring all staff have access to standing </w:t>
      </w:r>
      <w:r w:rsidRPr="00D90C15">
        <w:t xml:space="preserve">desks and ergonomic equipment, both at the </w:t>
      </w:r>
      <w:r w:rsidRPr="004F3C92">
        <w:t xml:space="preserve">Council’s offices and when working from home. </w:t>
      </w:r>
    </w:p>
    <w:p w14:paraId="12D4798B" w14:textId="77777777" w:rsidR="005A008B" w:rsidRPr="00D90C15" w:rsidRDefault="005A008B" w:rsidP="00234617">
      <w:r w:rsidRPr="00D90C15">
        <w:t>To ensure preparedness in case of emergencies, the Council has two designated fire wardens who undergo regular training throughout the year.</w:t>
      </w:r>
    </w:p>
    <w:p w14:paraId="7C47782C" w14:textId="77777777" w:rsidR="005A008B" w:rsidRPr="00D90C15" w:rsidRDefault="005A008B" w:rsidP="00234617">
      <w:r w:rsidRPr="00D90C15">
        <w:t>The Council also has a dedicated mental health first aid officer.</w:t>
      </w:r>
    </w:p>
    <w:p w14:paraId="5CDA3668" w14:textId="77777777" w:rsidR="005A008B" w:rsidRPr="00D90C15" w:rsidRDefault="005A008B" w:rsidP="00234617">
      <w:r w:rsidRPr="00D90C15">
        <w:t xml:space="preserve">There were no reported OHS incidents in the 2024–25 period, and no </w:t>
      </w:r>
      <w:proofErr w:type="spellStart"/>
      <w:r w:rsidRPr="00D90C15">
        <w:t>WorkCover</w:t>
      </w:r>
      <w:proofErr w:type="spellEnd"/>
      <w:r w:rsidRPr="00D90C15">
        <w:t xml:space="preserve"> claims were lodged within that timeframe.</w:t>
      </w:r>
    </w:p>
    <w:p w14:paraId="3A660887" w14:textId="77777777" w:rsidR="005A008B" w:rsidRPr="00D90C15" w:rsidRDefault="005A008B" w:rsidP="00926C26">
      <w:pPr>
        <w:pStyle w:val="Heading2"/>
      </w:pPr>
      <w:bookmarkStart w:id="67" w:name="_Toc221113833"/>
      <w:r w:rsidRPr="00D90C15">
        <w:t>Freedom of Information</w:t>
      </w:r>
      <w:bookmarkEnd w:id="67"/>
    </w:p>
    <w:p w14:paraId="7761E73A" w14:textId="77777777" w:rsidR="005A008B" w:rsidRPr="00D90C15" w:rsidRDefault="005A008B" w:rsidP="00234617">
      <w:r w:rsidRPr="00D90C15">
        <w:t xml:space="preserve">The </w:t>
      </w:r>
      <w:r w:rsidRPr="004A331A">
        <w:rPr>
          <w:i/>
          <w:iCs/>
        </w:rPr>
        <w:t>Freedom of Information Act 1982</w:t>
      </w:r>
      <w:r w:rsidRPr="00D90C15">
        <w:t xml:space="preserve"> (the Act) allows the public a right of access to documents held by the Department. For the year ending 30 June 2025, the Council received no requests for information under this Act.</w:t>
      </w:r>
    </w:p>
    <w:p w14:paraId="01F08127" w14:textId="77777777" w:rsidR="005A008B" w:rsidRPr="00D90C15" w:rsidRDefault="005A008B" w:rsidP="007977AB">
      <w:pPr>
        <w:pStyle w:val="Heading3"/>
      </w:pPr>
      <w:bookmarkStart w:id="68" w:name="_Toc221113834"/>
      <w:r w:rsidRPr="00D90C15">
        <w:t>Making an FOI Request</w:t>
      </w:r>
      <w:bookmarkEnd w:id="68"/>
    </w:p>
    <w:p w14:paraId="029769FF" w14:textId="77777777" w:rsidR="005A008B" w:rsidRPr="00D90C15" w:rsidRDefault="005A008B" w:rsidP="00234617">
      <w:r w:rsidRPr="00D90C15">
        <w:t xml:space="preserve">FOI requests can be lodged online at www.justice.vic.gov.au/freedom-of-information-online-form or by using the </w:t>
      </w:r>
      <w:r w:rsidRPr="006512A5">
        <w:rPr>
          <w:rStyle w:val="Bold"/>
        </w:rPr>
        <w:t>form</w:t>
      </w:r>
      <w:r w:rsidRPr="00D90C15">
        <w:t xml:space="preserve"> on the Office of the Victorian </w:t>
      </w:r>
      <w:r w:rsidRPr="00D90C15">
        <w:lastRenderedPageBreak/>
        <w:t xml:space="preserve">Information Commissioner’s website. An application fee of $33.60 applies. Access to documents can also be obtained through a written request to the Council’s Freedom of Information Manager. When making an FOI request, applicants should ensure requests are in writing and should clearly identify what types of material/documents are being sought. Requests for documents in the possession of the Council should be addressed to contact@sentencingcouncil.vic.gov.au. </w:t>
      </w:r>
    </w:p>
    <w:p w14:paraId="05CA114B" w14:textId="77777777" w:rsidR="005A008B" w:rsidRPr="00D90C15" w:rsidRDefault="005A008B" w:rsidP="00926C26">
      <w:pPr>
        <w:pStyle w:val="Heading2"/>
      </w:pPr>
      <w:bookmarkStart w:id="69" w:name="_Toc221113835"/>
      <w:r w:rsidRPr="00D90C15">
        <w:t>Employment and Conduct Principles</w:t>
      </w:r>
      <w:bookmarkEnd w:id="69"/>
    </w:p>
    <w:p w14:paraId="34061075" w14:textId="77777777" w:rsidR="005A008B" w:rsidRPr="004A331A" w:rsidRDefault="005A008B" w:rsidP="00234617">
      <w:pPr>
        <w:rPr>
          <w:i/>
          <w:iCs/>
        </w:rPr>
      </w:pPr>
      <w:r w:rsidRPr="00D90C15">
        <w:t xml:space="preserve">The Council is committed to applying merit and equity principles when appointing staff. The selection processes ensure applicants are assessed and evaluated fairly and equitably </w:t>
      </w:r>
      <w:proofErr w:type="gramStart"/>
      <w:r w:rsidRPr="00D90C15">
        <w:t>on the basis of</w:t>
      </w:r>
      <w:proofErr w:type="gramEnd"/>
      <w:r w:rsidRPr="00D90C15">
        <w:t xml:space="preserve"> the key selection criteria and other accountabilities without discrimination. Employees have been correctly classified in workforce data collections.</w:t>
      </w:r>
      <w:r w:rsidRPr="004A331A">
        <w:rPr>
          <w:i/>
          <w:iCs/>
        </w:rPr>
        <w:t xml:space="preserve"> </w:t>
      </w:r>
    </w:p>
    <w:p w14:paraId="67B21CC7" w14:textId="77777777" w:rsidR="005A008B" w:rsidRPr="00D90C15" w:rsidRDefault="005A008B" w:rsidP="00926C26">
      <w:pPr>
        <w:pStyle w:val="Heading2"/>
      </w:pPr>
      <w:bookmarkStart w:id="70" w:name="_Toc221113836"/>
      <w:r w:rsidRPr="00D90C15">
        <w:t>Information and Communication Technology Expenditure</w:t>
      </w:r>
      <w:bookmarkEnd w:id="70"/>
    </w:p>
    <w:p w14:paraId="3706DADE" w14:textId="77777777" w:rsidR="005A008B" w:rsidRDefault="005A008B" w:rsidP="00234617">
      <w:r w:rsidRPr="00D90C15">
        <w:t>In 2024–25, the Council had a total information and communication (ICT) expenditure of $23,978 (Table 3).</w:t>
      </w:r>
    </w:p>
    <w:p w14:paraId="00154AC5" w14:textId="77777777" w:rsidR="00EC04C6" w:rsidRDefault="00EC04C6" w:rsidP="00EC04C6">
      <w:pPr>
        <w:pStyle w:val="Caption"/>
      </w:pPr>
      <w:r>
        <w:t>Table 3: ITC expenditure</w:t>
      </w:r>
    </w:p>
    <w:tbl>
      <w:tblPr>
        <w:tblStyle w:val="Table"/>
        <w:tblW w:w="5000" w:type="pct"/>
        <w:tblLook w:val="0020" w:firstRow="1" w:lastRow="0" w:firstColumn="0" w:lastColumn="0" w:noHBand="0" w:noVBand="0"/>
      </w:tblPr>
      <w:tblGrid>
        <w:gridCol w:w="3113"/>
        <w:gridCol w:w="3440"/>
        <w:gridCol w:w="2463"/>
      </w:tblGrid>
      <w:tr w:rsidR="00EC04C6" w14:paraId="19739103" w14:textId="77777777" w:rsidTr="0046794E">
        <w:trPr>
          <w:trHeight w:val="60"/>
        </w:trPr>
        <w:tc>
          <w:tcPr>
            <w:tcW w:w="1726" w:type="pct"/>
          </w:tcPr>
          <w:p w14:paraId="4BE20E61" w14:textId="77777777" w:rsidR="00EC04C6" w:rsidRPr="007264F4" w:rsidRDefault="00EC04C6" w:rsidP="007264F4">
            <w:pPr>
              <w:pStyle w:val="TableHeading"/>
            </w:pPr>
            <w:r w:rsidRPr="007264F4">
              <w:t>Business as usual ICT expenditure</w:t>
            </w:r>
          </w:p>
        </w:tc>
        <w:tc>
          <w:tcPr>
            <w:tcW w:w="1907" w:type="pct"/>
          </w:tcPr>
          <w:p w14:paraId="3A4E7C87" w14:textId="77777777" w:rsidR="00EC04C6" w:rsidRPr="007264F4" w:rsidRDefault="00EC04C6" w:rsidP="007264F4">
            <w:pPr>
              <w:pStyle w:val="TableHeading"/>
            </w:pPr>
            <w:r w:rsidRPr="007264F4">
              <w:t>Non-business as usual ICT expenditure</w:t>
            </w:r>
          </w:p>
        </w:tc>
        <w:tc>
          <w:tcPr>
            <w:tcW w:w="1366" w:type="pct"/>
          </w:tcPr>
          <w:p w14:paraId="700C0D9F" w14:textId="77777777" w:rsidR="00EC04C6" w:rsidRPr="007264F4" w:rsidRDefault="00EC04C6" w:rsidP="007264F4">
            <w:pPr>
              <w:pStyle w:val="TableHeading"/>
            </w:pPr>
            <w:r w:rsidRPr="007264F4">
              <w:t>Total capital expenditure</w:t>
            </w:r>
          </w:p>
        </w:tc>
      </w:tr>
      <w:tr w:rsidR="00EC04C6" w14:paraId="10FB8EF2" w14:textId="77777777" w:rsidTr="0046794E">
        <w:trPr>
          <w:trHeight w:val="60"/>
        </w:trPr>
        <w:tc>
          <w:tcPr>
            <w:tcW w:w="1726" w:type="pct"/>
          </w:tcPr>
          <w:p w14:paraId="018EEA7F" w14:textId="77777777" w:rsidR="00EC04C6" w:rsidRDefault="00EC04C6" w:rsidP="004F187B">
            <w:pPr>
              <w:pStyle w:val="TableBody"/>
            </w:pPr>
            <w:r>
              <w:t>$23,978</w:t>
            </w:r>
          </w:p>
        </w:tc>
        <w:tc>
          <w:tcPr>
            <w:tcW w:w="1907" w:type="pct"/>
          </w:tcPr>
          <w:p w14:paraId="62C6CBC6" w14:textId="77777777" w:rsidR="00EC04C6" w:rsidRDefault="00EC04C6" w:rsidP="004F187B">
            <w:pPr>
              <w:pStyle w:val="TableBody"/>
            </w:pPr>
            <w:r>
              <w:t>$0</w:t>
            </w:r>
          </w:p>
        </w:tc>
        <w:tc>
          <w:tcPr>
            <w:tcW w:w="1366" w:type="pct"/>
          </w:tcPr>
          <w:p w14:paraId="7F844943" w14:textId="77777777" w:rsidR="00EC04C6" w:rsidRDefault="00EC04C6" w:rsidP="004F187B">
            <w:pPr>
              <w:pStyle w:val="TableBody"/>
            </w:pPr>
            <w:r>
              <w:t>$0</w:t>
            </w:r>
          </w:p>
        </w:tc>
      </w:tr>
    </w:tbl>
    <w:p w14:paraId="1D074D45" w14:textId="77777777" w:rsidR="005A008B" w:rsidRPr="00D90C15" w:rsidRDefault="005A008B" w:rsidP="00926C26">
      <w:pPr>
        <w:pStyle w:val="Heading2"/>
      </w:pPr>
      <w:bookmarkStart w:id="71" w:name="_Toc221113837"/>
      <w:r w:rsidRPr="00D90C15">
        <w:t>Workforce Data</w:t>
      </w:r>
      <w:bookmarkEnd w:id="71"/>
    </w:p>
    <w:p w14:paraId="3C2C02A5" w14:textId="77777777" w:rsidR="005A008B" w:rsidRPr="00D90C15" w:rsidRDefault="005A008B" w:rsidP="00234617">
      <w:r w:rsidRPr="00D90C15">
        <w:t>The Council implements the directions of the Victorian Public Sector Commission with respect to upholding public sector conduct, managing and valuing diversity, managing underperformance, reviewing personal grievances and selecting on merit.</w:t>
      </w:r>
    </w:p>
    <w:p w14:paraId="7F6E3EB7" w14:textId="77777777" w:rsidR="005A008B" w:rsidRDefault="005A008B" w:rsidP="00234617">
      <w:r w:rsidRPr="00D90C15">
        <w:t>The Council, through the Department of Justice and Community Safety, has a suite of detailed employment policies, including policies with respect to grievance resolution, underperformance, recruitment, redeployment and diversity.</w:t>
      </w:r>
    </w:p>
    <w:p w14:paraId="4368FD53" w14:textId="77777777" w:rsidR="005A008B" w:rsidRPr="00D90C15" w:rsidRDefault="005A008B" w:rsidP="00926C26">
      <w:pPr>
        <w:pStyle w:val="Heading2"/>
      </w:pPr>
      <w:bookmarkStart w:id="72" w:name="_Toc221113838"/>
      <w:r w:rsidRPr="00D90C15">
        <w:lastRenderedPageBreak/>
        <w:t>Comparative Workforce Data</w:t>
      </w:r>
      <w:bookmarkEnd w:id="72"/>
    </w:p>
    <w:p w14:paraId="2DCB22F5" w14:textId="77777777" w:rsidR="005A008B" w:rsidRPr="00D90C15" w:rsidRDefault="005A008B" w:rsidP="00234617">
      <w:r w:rsidRPr="00D90C15">
        <w:t xml:space="preserve">The following table discloses the head count and full-time staff equivalent (FTE) of all active public service employees of the Sentencing Advisory Council, employed in the last full pay period in June of the current reporting period, and in the last full pay period in June (2025) of the previous reporting period (2024). </w:t>
      </w:r>
    </w:p>
    <w:p w14:paraId="6508E79E" w14:textId="77777777" w:rsidR="005A008B" w:rsidRPr="00D90C15" w:rsidRDefault="005A008B" w:rsidP="00D3251B">
      <w:pPr>
        <w:pStyle w:val="Caption"/>
      </w:pPr>
      <w:r w:rsidRPr="00D90C15">
        <w:t xml:space="preserve">Table 4: Details of employment levels as </w:t>
      </w:r>
      <w:proofErr w:type="gramStart"/>
      <w:r w:rsidRPr="00D90C15">
        <w:t>at</w:t>
      </w:r>
      <w:proofErr w:type="gramEnd"/>
      <w:r w:rsidRPr="00D90C15">
        <w:t xml:space="preserve"> 30 June 2024 and 30 June 2025</w:t>
      </w:r>
    </w:p>
    <w:tbl>
      <w:tblPr>
        <w:tblStyle w:val="Table"/>
        <w:tblW w:w="5009" w:type="pct"/>
        <w:tblLook w:val="0020" w:firstRow="1" w:lastRow="0" w:firstColumn="0" w:lastColumn="0" w:noHBand="0" w:noVBand="0"/>
      </w:tblPr>
      <w:tblGrid>
        <w:gridCol w:w="1421"/>
        <w:gridCol w:w="1614"/>
        <w:gridCol w:w="715"/>
        <w:gridCol w:w="1614"/>
        <w:gridCol w:w="1614"/>
        <w:gridCol w:w="715"/>
        <w:gridCol w:w="1614"/>
        <w:gridCol w:w="620"/>
      </w:tblGrid>
      <w:tr w:rsidR="0017665F" w:rsidRPr="00D90C15" w14:paraId="1A45E7B4" w14:textId="77777777" w:rsidTr="0046794E">
        <w:trPr>
          <w:trHeight w:val="60"/>
          <w:tblHeader/>
        </w:trPr>
        <w:tc>
          <w:tcPr>
            <w:tcW w:w="712" w:type="pct"/>
          </w:tcPr>
          <w:p w14:paraId="21AA97B4" w14:textId="77777777" w:rsidR="005A008B" w:rsidRPr="00D90C15" w:rsidRDefault="005A008B" w:rsidP="007205A1">
            <w:pPr>
              <w:pStyle w:val="TableHeading"/>
            </w:pPr>
          </w:p>
        </w:tc>
        <w:tc>
          <w:tcPr>
            <w:tcW w:w="816" w:type="pct"/>
          </w:tcPr>
          <w:p w14:paraId="288A9F2C" w14:textId="77777777" w:rsidR="005A008B" w:rsidRPr="00D90C15" w:rsidRDefault="005A008B" w:rsidP="007205A1">
            <w:pPr>
              <w:pStyle w:val="TableHeading"/>
            </w:pPr>
            <w:r w:rsidRPr="00D90C15">
              <w:t xml:space="preserve">All employees </w:t>
            </w:r>
            <w:proofErr w:type="gramStart"/>
            <w:r w:rsidRPr="00D90C15">
              <w:t>number</w:t>
            </w:r>
            <w:proofErr w:type="gramEnd"/>
            <w:r w:rsidRPr="00D90C15">
              <w:t xml:space="preserve"> (headcount)</w:t>
            </w:r>
          </w:p>
        </w:tc>
        <w:tc>
          <w:tcPr>
            <w:tcW w:w="365" w:type="pct"/>
          </w:tcPr>
          <w:p w14:paraId="69091919" w14:textId="77777777" w:rsidR="005A008B" w:rsidRPr="00D90C15" w:rsidRDefault="005A008B" w:rsidP="007205A1">
            <w:pPr>
              <w:pStyle w:val="TableHeading"/>
            </w:pPr>
            <w:r w:rsidRPr="00D90C15">
              <w:t>FTE</w:t>
            </w:r>
          </w:p>
        </w:tc>
        <w:tc>
          <w:tcPr>
            <w:tcW w:w="808" w:type="pct"/>
          </w:tcPr>
          <w:p w14:paraId="1D14C42D" w14:textId="77777777" w:rsidR="005A008B" w:rsidRPr="00D90C15" w:rsidRDefault="005A008B" w:rsidP="007205A1">
            <w:pPr>
              <w:pStyle w:val="TableHeading"/>
            </w:pPr>
            <w:r w:rsidRPr="00D90C15">
              <w:t>Ongoing full-time (headcount)</w:t>
            </w:r>
          </w:p>
        </w:tc>
        <w:tc>
          <w:tcPr>
            <w:tcW w:w="808" w:type="pct"/>
          </w:tcPr>
          <w:p w14:paraId="40B6C1FF" w14:textId="77777777" w:rsidR="005A008B" w:rsidRPr="00D90C15" w:rsidRDefault="005A008B" w:rsidP="007205A1">
            <w:pPr>
              <w:pStyle w:val="TableHeading"/>
            </w:pPr>
            <w:r w:rsidRPr="00D90C15">
              <w:t>Ongoing part-time (headcount)</w:t>
            </w:r>
          </w:p>
        </w:tc>
        <w:tc>
          <w:tcPr>
            <w:tcW w:w="365" w:type="pct"/>
          </w:tcPr>
          <w:p w14:paraId="3E3D30B3" w14:textId="77777777" w:rsidR="005A008B" w:rsidRPr="00D90C15" w:rsidRDefault="005A008B" w:rsidP="007205A1">
            <w:pPr>
              <w:pStyle w:val="TableHeading"/>
            </w:pPr>
            <w:r w:rsidRPr="00D90C15">
              <w:t>FTE</w:t>
            </w:r>
          </w:p>
        </w:tc>
        <w:tc>
          <w:tcPr>
            <w:tcW w:w="808" w:type="pct"/>
          </w:tcPr>
          <w:p w14:paraId="4C820D6E" w14:textId="77777777" w:rsidR="005A008B" w:rsidRPr="00D90C15" w:rsidRDefault="005A008B" w:rsidP="007205A1">
            <w:pPr>
              <w:pStyle w:val="TableHeading"/>
            </w:pPr>
            <w:r w:rsidRPr="00D90C15">
              <w:t>Fixed term and casual number (headcount)</w:t>
            </w:r>
          </w:p>
        </w:tc>
        <w:tc>
          <w:tcPr>
            <w:tcW w:w="318" w:type="pct"/>
          </w:tcPr>
          <w:p w14:paraId="344A1CF6" w14:textId="77777777" w:rsidR="005A008B" w:rsidRPr="00D90C15" w:rsidRDefault="005A008B" w:rsidP="007205A1">
            <w:pPr>
              <w:pStyle w:val="TableHeading"/>
            </w:pPr>
            <w:r w:rsidRPr="00D90C15">
              <w:t>FTE</w:t>
            </w:r>
          </w:p>
        </w:tc>
      </w:tr>
      <w:tr w:rsidR="00586E60" w:rsidRPr="00D90C15" w14:paraId="4734C178" w14:textId="77777777" w:rsidTr="0046794E">
        <w:trPr>
          <w:trHeight w:val="377"/>
        </w:trPr>
        <w:tc>
          <w:tcPr>
            <w:tcW w:w="712" w:type="pct"/>
          </w:tcPr>
          <w:p w14:paraId="0C83933D" w14:textId="73640E8E" w:rsidR="00586E60" w:rsidRPr="006512A5" w:rsidRDefault="00586E60" w:rsidP="00E82D64">
            <w:pPr>
              <w:pStyle w:val="TableBody"/>
              <w:rPr>
                <w:rStyle w:val="Bold"/>
              </w:rPr>
            </w:pPr>
            <w:r w:rsidRPr="006512A5">
              <w:rPr>
                <w:rStyle w:val="Bold"/>
              </w:rPr>
              <w:t>June 2024</w:t>
            </w:r>
          </w:p>
        </w:tc>
        <w:tc>
          <w:tcPr>
            <w:tcW w:w="816" w:type="pct"/>
          </w:tcPr>
          <w:p w14:paraId="2EB43CFD" w14:textId="77777777" w:rsidR="00586E60" w:rsidRPr="00D90C15" w:rsidRDefault="00586E60" w:rsidP="00CC3F1F">
            <w:pPr>
              <w:pStyle w:val="TableBody"/>
            </w:pPr>
          </w:p>
        </w:tc>
        <w:tc>
          <w:tcPr>
            <w:tcW w:w="365" w:type="pct"/>
          </w:tcPr>
          <w:p w14:paraId="539487BB" w14:textId="77777777" w:rsidR="00586E60" w:rsidRPr="00D90C15" w:rsidRDefault="00586E60" w:rsidP="00CC3F1F">
            <w:pPr>
              <w:pStyle w:val="TableBody"/>
            </w:pPr>
          </w:p>
        </w:tc>
        <w:tc>
          <w:tcPr>
            <w:tcW w:w="808" w:type="pct"/>
          </w:tcPr>
          <w:p w14:paraId="0427F844" w14:textId="77777777" w:rsidR="00586E60" w:rsidRPr="00D90C15" w:rsidRDefault="00586E60" w:rsidP="00CC3F1F">
            <w:pPr>
              <w:pStyle w:val="TableBody"/>
            </w:pPr>
          </w:p>
        </w:tc>
        <w:tc>
          <w:tcPr>
            <w:tcW w:w="808" w:type="pct"/>
          </w:tcPr>
          <w:p w14:paraId="0C6BE854" w14:textId="77777777" w:rsidR="00586E60" w:rsidRPr="00D90C15" w:rsidRDefault="00586E60" w:rsidP="00CC3F1F">
            <w:pPr>
              <w:pStyle w:val="TableBody"/>
            </w:pPr>
          </w:p>
        </w:tc>
        <w:tc>
          <w:tcPr>
            <w:tcW w:w="365" w:type="pct"/>
          </w:tcPr>
          <w:p w14:paraId="22BC84A8" w14:textId="77777777" w:rsidR="00586E60" w:rsidRPr="00D90C15" w:rsidRDefault="00586E60" w:rsidP="00CC3F1F">
            <w:pPr>
              <w:pStyle w:val="TableBody"/>
            </w:pPr>
          </w:p>
        </w:tc>
        <w:tc>
          <w:tcPr>
            <w:tcW w:w="808" w:type="pct"/>
          </w:tcPr>
          <w:p w14:paraId="3539E5F7" w14:textId="77777777" w:rsidR="00586E60" w:rsidRPr="00D90C15" w:rsidRDefault="00586E60" w:rsidP="00CC3F1F">
            <w:pPr>
              <w:pStyle w:val="TableBody"/>
            </w:pPr>
          </w:p>
        </w:tc>
        <w:tc>
          <w:tcPr>
            <w:tcW w:w="318" w:type="pct"/>
          </w:tcPr>
          <w:p w14:paraId="093812C5" w14:textId="77777777" w:rsidR="00586E60" w:rsidRPr="00D90C15" w:rsidRDefault="00586E60" w:rsidP="00CC3F1F">
            <w:pPr>
              <w:pStyle w:val="TableBody"/>
            </w:pPr>
          </w:p>
        </w:tc>
      </w:tr>
      <w:tr w:rsidR="0017665F" w:rsidRPr="00D90C15" w14:paraId="751B1833" w14:textId="77777777" w:rsidTr="0046794E">
        <w:trPr>
          <w:trHeight w:val="377"/>
        </w:trPr>
        <w:tc>
          <w:tcPr>
            <w:tcW w:w="712" w:type="pct"/>
          </w:tcPr>
          <w:p w14:paraId="799DDFCC" w14:textId="77777777" w:rsidR="005A008B" w:rsidRPr="006512A5" w:rsidRDefault="005A008B" w:rsidP="00E82D64">
            <w:pPr>
              <w:pStyle w:val="TableBody"/>
              <w:rPr>
                <w:rStyle w:val="Bold"/>
              </w:rPr>
            </w:pPr>
            <w:r w:rsidRPr="006512A5">
              <w:rPr>
                <w:rStyle w:val="Bold"/>
              </w:rPr>
              <w:t>Gender</w:t>
            </w:r>
          </w:p>
        </w:tc>
        <w:tc>
          <w:tcPr>
            <w:tcW w:w="816" w:type="pct"/>
          </w:tcPr>
          <w:p w14:paraId="389F9A1C" w14:textId="77777777" w:rsidR="005A008B" w:rsidRPr="00D90C15" w:rsidRDefault="005A008B" w:rsidP="00CC3F1F">
            <w:pPr>
              <w:pStyle w:val="TableBody"/>
            </w:pPr>
            <w:r w:rsidRPr="00D90C15">
              <w:t xml:space="preserve"> </w:t>
            </w:r>
          </w:p>
        </w:tc>
        <w:tc>
          <w:tcPr>
            <w:tcW w:w="365" w:type="pct"/>
          </w:tcPr>
          <w:p w14:paraId="5DE7E788" w14:textId="77777777" w:rsidR="005A008B" w:rsidRPr="00D90C15" w:rsidRDefault="005A008B" w:rsidP="00CC3F1F">
            <w:pPr>
              <w:pStyle w:val="TableBody"/>
            </w:pPr>
            <w:r w:rsidRPr="00D90C15">
              <w:t xml:space="preserve"> </w:t>
            </w:r>
          </w:p>
        </w:tc>
        <w:tc>
          <w:tcPr>
            <w:tcW w:w="808" w:type="pct"/>
          </w:tcPr>
          <w:p w14:paraId="24AA3190" w14:textId="77777777" w:rsidR="005A008B" w:rsidRPr="00D90C15" w:rsidRDefault="005A008B" w:rsidP="00CC3F1F">
            <w:pPr>
              <w:pStyle w:val="TableBody"/>
            </w:pPr>
            <w:r w:rsidRPr="00D90C15">
              <w:t xml:space="preserve"> </w:t>
            </w:r>
          </w:p>
        </w:tc>
        <w:tc>
          <w:tcPr>
            <w:tcW w:w="808" w:type="pct"/>
          </w:tcPr>
          <w:p w14:paraId="303C1D08" w14:textId="77777777" w:rsidR="005A008B" w:rsidRPr="00D90C15" w:rsidRDefault="005A008B" w:rsidP="00CC3F1F">
            <w:pPr>
              <w:pStyle w:val="TableBody"/>
            </w:pPr>
            <w:r w:rsidRPr="00D90C15">
              <w:t xml:space="preserve"> </w:t>
            </w:r>
          </w:p>
        </w:tc>
        <w:tc>
          <w:tcPr>
            <w:tcW w:w="365" w:type="pct"/>
          </w:tcPr>
          <w:p w14:paraId="0D328CD5" w14:textId="77777777" w:rsidR="005A008B" w:rsidRPr="00D90C15" w:rsidRDefault="005A008B" w:rsidP="00CC3F1F">
            <w:pPr>
              <w:pStyle w:val="TableBody"/>
            </w:pPr>
            <w:r w:rsidRPr="00D90C15">
              <w:t xml:space="preserve"> </w:t>
            </w:r>
          </w:p>
        </w:tc>
        <w:tc>
          <w:tcPr>
            <w:tcW w:w="808" w:type="pct"/>
          </w:tcPr>
          <w:p w14:paraId="67518172" w14:textId="77777777" w:rsidR="005A008B" w:rsidRPr="00D90C15" w:rsidRDefault="005A008B" w:rsidP="00CC3F1F">
            <w:pPr>
              <w:pStyle w:val="TableBody"/>
            </w:pPr>
            <w:r w:rsidRPr="00D90C15">
              <w:t xml:space="preserve"> </w:t>
            </w:r>
          </w:p>
        </w:tc>
        <w:tc>
          <w:tcPr>
            <w:tcW w:w="318" w:type="pct"/>
          </w:tcPr>
          <w:p w14:paraId="3CDFE9DA" w14:textId="77777777" w:rsidR="005A008B" w:rsidRPr="00D90C15" w:rsidRDefault="005A008B" w:rsidP="00CC3F1F">
            <w:pPr>
              <w:pStyle w:val="TableBody"/>
            </w:pPr>
            <w:r w:rsidRPr="00D90C15">
              <w:t xml:space="preserve"> </w:t>
            </w:r>
          </w:p>
        </w:tc>
      </w:tr>
      <w:tr w:rsidR="0017665F" w:rsidRPr="00D90C15" w14:paraId="7D2219EB" w14:textId="77777777" w:rsidTr="0046794E">
        <w:trPr>
          <w:trHeight w:val="60"/>
        </w:trPr>
        <w:tc>
          <w:tcPr>
            <w:tcW w:w="712" w:type="pct"/>
          </w:tcPr>
          <w:p w14:paraId="2B7C4BB9" w14:textId="77777777" w:rsidR="005A008B" w:rsidRPr="00D90C15" w:rsidRDefault="005A008B" w:rsidP="00E82D64">
            <w:pPr>
              <w:pStyle w:val="TableBody"/>
            </w:pPr>
            <w:r w:rsidRPr="00D90C15">
              <w:t xml:space="preserve">Male </w:t>
            </w:r>
          </w:p>
        </w:tc>
        <w:tc>
          <w:tcPr>
            <w:tcW w:w="816" w:type="pct"/>
          </w:tcPr>
          <w:p w14:paraId="5A71C0F6" w14:textId="77777777" w:rsidR="005A008B" w:rsidRPr="00D90C15" w:rsidRDefault="005A008B" w:rsidP="00CC3F1F">
            <w:pPr>
              <w:pStyle w:val="TableBody"/>
            </w:pPr>
            <w:r w:rsidRPr="00D90C15">
              <w:t>5</w:t>
            </w:r>
          </w:p>
        </w:tc>
        <w:tc>
          <w:tcPr>
            <w:tcW w:w="365" w:type="pct"/>
          </w:tcPr>
          <w:p w14:paraId="59048584" w14:textId="77777777" w:rsidR="005A008B" w:rsidRPr="00D90C15" w:rsidRDefault="005A008B" w:rsidP="00CC3F1F">
            <w:pPr>
              <w:pStyle w:val="TableBody"/>
            </w:pPr>
            <w:r w:rsidRPr="00D90C15">
              <w:t xml:space="preserve"> </w:t>
            </w:r>
          </w:p>
        </w:tc>
        <w:tc>
          <w:tcPr>
            <w:tcW w:w="808" w:type="pct"/>
          </w:tcPr>
          <w:p w14:paraId="1D83053A" w14:textId="77777777" w:rsidR="005A008B" w:rsidRPr="00D90C15" w:rsidRDefault="005A008B" w:rsidP="00CC3F1F">
            <w:pPr>
              <w:pStyle w:val="TableBody"/>
            </w:pPr>
            <w:r w:rsidRPr="00D90C15">
              <w:t>4</w:t>
            </w:r>
          </w:p>
        </w:tc>
        <w:tc>
          <w:tcPr>
            <w:tcW w:w="808" w:type="pct"/>
          </w:tcPr>
          <w:p w14:paraId="466C479B" w14:textId="77777777" w:rsidR="005A008B" w:rsidRPr="00D90C15" w:rsidRDefault="005A008B" w:rsidP="00CC3F1F">
            <w:pPr>
              <w:pStyle w:val="TableBody"/>
            </w:pPr>
            <w:r w:rsidRPr="00D90C15">
              <w:t>1</w:t>
            </w:r>
          </w:p>
        </w:tc>
        <w:tc>
          <w:tcPr>
            <w:tcW w:w="365" w:type="pct"/>
          </w:tcPr>
          <w:p w14:paraId="4303CE5D" w14:textId="77777777" w:rsidR="005A008B" w:rsidRPr="00D90C15" w:rsidRDefault="005A008B" w:rsidP="00CC3F1F">
            <w:pPr>
              <w:pStyle w:val="TableBody"/>
            </w:pPr>
            <w:r w:rsidRPr="00D90C15">
              <w:t xml:space="preserve"> </w:t>
            </w:r>
          </w:p>
        </w:tc>
        <w:tc>
          <w:tcPr>
            <w:tcW w:w="808" w:type="pct"/>
          </w:tcPr>
          <w:p w14:paraId="0410A373" w14:textId="77777777" w:rsidR="005A008B" w:rsidRPr="00D90C15" w:rsidRDefault="005A008B" w:rsidP="00CC3F1F">
            <w:pPr>
              <w:pStyle w:val="TableBody"/>
            </w:pPr>
            <w:r w:rsidRPr="00D90C15">
              <w:t xml:space="preserve"> </w:t>
            </w:r>
          </w:p>
        </w:tc>
        <w:tc>
          <w:tcPr>
            <w:tcW w:w="318" w:type="pct"/>
          </w:tcPr>
          <w:p w14:paraId="0D5B2834" w14:textId="77777777" w:rsidR="005A008B" w:rsidRPr="00D90C15" w:rsidRDefault="005A008B" w:rsidP="00CC3F1F">
            <w:pPr>
              <w:pStyle w:val="TableBody"/>
            </w:pPr>
            <w:r w:rsidRPr="00D90C15">
              <w:t xml:space="preserve"> </w:t>
            </w:r>
          </w:p>
        </w:tc>
      </w:tr>
      <w:tr w:rsidR="0017665F" w:rsidRPr="00D90C15" w14:paraId="50346594" w14:textId="77777777" w:rsidTr="0046794E">
        <w:trPr>
          <w:trHeight w:val="60"/>
        </w:trPr>
        <w:tc>
          <w:tcPr>
            <w:tcW w:w="712" w:type="pct"/>
          </w:tcPr>
          <w:p w14:paraId="20495412" w14:textId="77777777" w:rsidR="005A008B" w:rsidRPr="00D90C15" w:rsidRDefault="005A008B" w:rsidP="00E82D64">
            <w:pPr>
              <w:pStyle w:val="TableBody"/>
            </w:pPr>
            <w:r w:rsidRPr="00D90C15">
              <w:t>Female</w:t>
            </w:r>
          </w:p>
        </w:tc>
        <w:tc>
          <w:tcPr>
            <w:tcW w:w="816" w:type="pct"/>
          </w:tcPr>
          <w:p w14:paraId="382AE838" w14:textId="77777777" w:rsidR="005A008B" w:rsidRPr="00D90C15" w:rsidRDefault="005A008B" w:rsidP="00CC3F1F">
            <w:pPr>
              <w:pStyle w:val="TableBody"/>
            </w:pPr>
            <w:r w:rsidRPr="00D90C15">
              <w:t>5</w:t>
            </w:r>
          </w:p>
        </w:tc>
        <w:tc>
          <w:tcPr>
            <w:tcW w:w="365" w:type="pct"/>
          </w:tcPr>
          <w:p w14:paraId="611B703A" w14:textId="77777777" w:rsidR="005A008B" w:rsidRPr="00D90C15" w:rsidRDefault="005A008B" w:rsidP="00CC3F1F">
            <w:pPr>
              <w:pStyle w:val="TableBody"/>
            </w:pPr>
            <w:r w:rsidRPr="00D90C15">
              <w:t xml:space="preserve"> </w:t>
            </w:r>
          </w:p>
        </w:tc>
        <w:tc>
          <w:tcPr>
            <w:tcW w:w="808" w:type="pct"/>
          </w:tcPr>
          <w:p w14:paraId="74AD50A3" w14:textId="77777777" w:rsidR="005A008B" w:rsidRPr="00D90C15" w:rsidRDefault="005A008B" w:rsidP="00CC3F1F">
            <w:pPr>
              <w:pStyle w:val="TableBody"/>
            </w:pPr>
            <w:r w:rsidRPr="00D90C15">
              <w:t>4</w:t>
            </w:r>
          </w:p>
        </w:tc>
        <w:tc>
          <w:tcPr>
            <w:tcW w:w="808" w:type="pct"/>
          </w:tcPr>
          <w:p w14:paraId="37FB68D0" w14:textId="77777777" w:rsidR="005A008B" w:rsidRPr="00D90C15" w:rsidRDefault="005A008B" w:rsidP="00CC3F1F">
            <w:pPr>
              <w:pStyle w:val="TableBody"/>
            </w:pPr>
            <w:r w:rsidRPr="00D90C15">
              <w:t>1</w:t>
            </w:r>
          </w:p>
        </w:tc>
        <w:tc>
          <w:tcPr>
            <w:tcW w:w="365" w:type="pct"/>
          </w:tcPr>
          <w:p w14:paraId="42F0C71C" w14:textId="77777777" w:rsidR="005A008B" w:rsidRPr="00D90C15" w:rsidRDefault="005A008B" w:rsidP="00CC3F1F">
            <w:pPr>
              <w:pStyle w:val="TableBody"/>
            </w:pPr>
            <w:r w:rsidRPr="00D90C15">
              <w:t xml:space="preserve"> </w:t>
            </w:r>
          </w:p>
        </w:tc>
        <w:tc>
          <w:tcPr>
            <w:tcW w:w="808" w:type="pct"/>
          </w:tcPr>
          <w:p w14:paraId="2A1344F4" w14:textId="77777777" w:rsidR="005A008B" w:rsidRPr="00D90C15" w:rsidRDefault="005A008B" w:rsidP="00CC3F1F">
            <w:pPr>
              <w:pStyle w:val="TableBody"/>
            </w:pPr>
            <w:r w:rsidRPr="00D90C15">
              <w:t xml:space="preserve"> </w:t>
            </w:r>
          </w:p>
        </w:tc>
        <w:tc>
          <w:tcPr>
            <w:tcW w:w="318" w:type="pct"/>
          </w:tcPr>
          <w:p w14:paraId="40491EEE" w14:textId="77777777" w:rsidR="005A008B" w:rsidRPr="00D90C15" w:rsidRDefault="005A008B" w:rsidP="00CC3F1F">
            <w:pPr>
              <w:pStyle w:val="TableBody"/>
            </w:pPr>
            <w:r w:rsidRPr="00D90C15">
              <w:t xml:space="preserve"> </w:t>
            </w:r>
          </w:p>
        </w:tc>
      </w:tr>
      <w:tr w:rsidR="0017665F" w:rsidRPr="00D90C15" w14:paraId="13CBA253" w14:textId="77777777" w:rsidTr="0046794E">
        <w:trPr>
          <w:trHeight w:val="60"/>
        </w:trPr>
        <w:tc>
          <w:tcPr>
            <w:tcW w:w="712" w:type="pct"/>
          </w:tcPr>
          <w:p w14:paraId="0529C5CC" w14:textId="77777777" w:rsidR="005A008B" w:rsidRPr="00D90C15" w:rsidRDefault="005A008B" w:rsidP="00E82D64">
            <w:pPr>
              <w:pStyle w:val="TableBody"/>
            </w:pPr>
            <w:r w:rsidRPr="00D90C15">
              <w:t>Self-described</w:t>
            </w:r>
          </w:p>
        </w:tc>
        <w:tc>
          <w:tcPr>
            <w:tcW w:w="816" w:type="pct"/>
          </w:tcPr>
          <w:p w14:paraId="2E95CD38" w14:textId="77777777" w:rsidR="005A008B" w:rsidRPr="00D90C15" w:rsidRDefault="005A008B" w:rsidP="00CC3F1F">
            <w:pPr>
              <w:pStyle w:val="TableBody"/>
            </w:pPr>
            <w:r w:rsidRPr="00D90C15">
              <w:t>n</w:t>
            </w:r>
          </w:p>
        </w:tc>
        <w:tc>
          <w:tcPr>
            <w:tcW w:w="365" w:type="pct"/>
          </w:tcPr>
          <w:p w14:paraId="43EEBA54" w14:textId="77777777" w:rsidR="005A008B" w:rsidRPr="00D90C15" w:rsidRDefault="005A008B" w:rsidP="00CC3F1F">
            <w:pPr>
              <w:pStyle w:val="TableBody"/>
            </w:pPr>
            <w:r w:rsidRPr="00D90C15">
              <w:t>n</w:t>
            </w:r>
          </w:p>
        </w:tc>
        <w:tc>
          <w:tcPr>
            <w:tcW w:w="808" w:type="pct"/>
          </w:tcPr>
          <w:p w14:paraId="386F1251" w14:textId="77777777" w:rsidR="005A008B" w:rsidRPr="00D90C15" w:rsidRDefault="005A008B" w:rsidP="00CC3F1F">
            <w:pPr>
              <w:pStyle w:val="TableBody"/>
            </w:pPr>
            <w:r w:rsidRPr="00D90C15">
              <w:t>n</w:t>
            </w:r>
          </w:p>
        </w:tc>
        <w:tc>
          <w:tcPr>
            <w:tcW w:w="808" w:type="pct"/>
          </w:tcPr>
          <w:p w14:paraId="181E7330" w14:textId="77777777" w:rsidR="005A008B" w:rsidRPr="00D90C15" w:rsidRDefault="005A008B" w:rsidP="00CC3F1F">
            <w:pPr>
              <w:pStyle w:val="TableBody"/>
            </w:pPr>
            <w:r w:rsidRPr="00D90C15">
              <w:t>n</w:t>
            </w:r>
          </w:p>
        </w:tc>
        <w:tc>
          <w:tcPr>
            <w:tcW w:w="365" w:type="pct"/>
          </w:tcPr>
          <w:p w14:paraId="6335B008" w14:textId="77777777" w:rsidR="005A008B" w:rsidRPr="00D90C15" w:rsidRDefault="005A008B" w:rsidP="00CC3F1F">
            <w:pPr>
              <w:pStyle w:val="TableBody"/>
            </w:pPr>
            <w:r w:rsidRPr="00D90C15">
              <w:t>n</w:t>
            </w:r>
          </w:p>
        </w:tc>
        <w:tc>
          <w:tcPr>
            <w:tcW w:w="808" w:type="pct"/>
          </w:tcPr>
          <w:p w14:paraId="1DAF1A92" w14:textId="77777777" w:rsidR="005A008B" w:rsidRPr="00D90C15" w:rsidRDefault="005A008B" w:rsidP="00CC3F1F">
            <w:pPr>
              <w:pStyle w:val="TableBody"/>
            </w:pPr>
            <w:r w:rsidRPr="00D90C15">
              <w:t>n</w:t>
            </w:r>
          </w:p>
        </w:tc>
        <w:tc>
          <w:tcPr>
            <w:tcW w:w="318" w:type="pct"/>
          </w:tcPr>
          <w:p w14:paraId="619B0996" w14:textId="77777777" w:rsidR="005A008B" w:rsidRPr="00D90C15" w:rsidRDefault="005A008B" w:rsidP="00CC3F1F">
            <w:pPr>
              <w:pStyle w:val="TableBody"/>
            </w:pPr>
            <w:r w:rsidRPr="00D90C15">
              <w:t>n</w:t>
            </w:r>
          </w:p>
        </w:tc>
      </w:tr>
      <w:tr w:rsidR="0017665F" w:rsidRPr="00D90C15" w14:paraId="7C47EE1E" w14:textId="77777777" w:rsidTr="0046794E">
        <w:trPr>
          <w:trHeight w:val="60"/>
        </w:trPr>
        <w:tc>
          <w:tcPr>
            <w:tcW w:w="712" w:type="pct"/>
          </w:tcPr>
          <w:p w14:paraId="061F1409" w14:textId="77777777" w:rsidR="005A008B" w:rsidRPr="006512A5" w:rsidRDefault="005A008B" w:rsidP="00E82D64">
            <w:pPr>
              <w:pStyle w:val="TableBody"/>
              <w:rPr>
                <w:rStyle w:val="Bold"/>
              </w:rPr>
            </w:pPr>
            <w:r w:rsidRPr="006512A5">
              <w:rPr>
                <w:rStyle w:val="Bold"/>
              </w:rPr>
              <w:t>VPS 1–6 grades</w:t>
            </w:r>
          </w:p>
        </w:tc>
        <w:tc>
          <w:tcPr>
            <w:tcW w:w="816" w:type="pct"/>
          </w:tcPr>
          <w:p w14:paraId="7150547D" w14:textId="77777777" w:rsidR="005A008B" w:rsidRPr="00D90C15" w:rsidRDefault="005A008B" w:rsidP="00CC3F1F">
            <w:pPr>
              <w:pStyle w:val="TableBody"/>
            </w:pPr>
            <w:r w:rsidRPr="00D90C15">
              <w:t xml:space="preserve"> </w:t>
            </w:r>
          </w:p>
        </w:tc>
        <w:tc>
          <w:tcPr>
            <w:tcW w:w="365" w:type="pct"/>
          </w:tcPr>
          <w:p w14:paraId="31C63A98" w14:textId="77777777" w:rsidR="005A008B" w:rsidRPr="00D90C15" w:rsidRDefault="005A008B" w:rsidP="00CC3F1F">
            <w:pPr>
              <w:pStyle w:val="TableBody"/>
            </w:pPr>
            <w:r w:rsidRPr="00D90C15">
              <w:t xml:space="preserve"> </w:t>
            </w:r>
          </w:p>
        </w:tc>
        <w:tc>
          <w:tcPr>
            <w:tcW w:w="808" w:type="pct"/>
          </w:tcPr>
          <w:p w14:paraId="1CC2A460" w14:textId="77777777" w:rsidR="005A008B" w:rsidRPr="00D90C15" w:rsidRDefault="005A008B" w:rsidP="00CC3F1F">
            <w:pPr>
              <w:pStyle w:val="TableBody"/>
            </w:pPr>
            <w:r w:rsidRPr="00D90C15">
              <w:t xml:space="preserve"> </w:t>
            </w:r>
          </w:p>
        </w:tc>
        <w:tc>
          <w:tcPr>
            <w:tcW w:w="808" w:type="pct"/>
          </w:tcPr>
          <w:p w14:paraId="7228B177" w14:textId="77777777" w:rsidR="005A008B" w:rsidRPr="00D90C15" w:rsidRDefault="005A008B" w:rsidP="00CC3F1F">
            <w:pPr>
              <w:pStyle w:val="TableBody"/>
            </w:pPr>
            <w:r w:rsidRPr="00D90C15">
              <w:t xml:space="preserve"> </w:t>
            </w:r>
          </w:p>
        </w:tc>
        <w:tc>
          <w:tcPr>
            <w:tcW w:w="365" w:type="pct"/>
          </w:tcPr>
          <w:p w14:paraId="1E2D2415" w14:textId="77777777" w:rsidR="005A008B" w:rsidRPr="00D90C15" w:rsidRDefault="005A008B" w:rsidP="00CC3F1F">
            <w:pPr>
              <w:pStyle w:val="TableBody"/>
            </w:pPr>
            <w:r w:rsidRPr="00D90C15">
              <w:t xml:space="preserve"> </w:t>
            </w:r>
          </w:p>
        </w:tc>
        <w:tc>
          <w:tcPr>
            <w:tcW w:w="808" w:type="pct"/>
          </w:tcPr>
          <w:p w14:paraId="44CE0B3A" w14:textId="77777777" w:rsidR="005A008B" w:rsidRPr="00D90C15" w:rsidRDefault="005A008B" w:rsidP="00CC3F1F">
            <w:pPr>
              <w:pStyle w:val="TableBody"/>
            </w:pPr>
            <w:r w:rsidRPr="00D90C15">
              <w:t xml:space="preserve"> </w:t>
            </w:r>
          </w:p>
        </w:tc>
        <w:tc>
          <w:tcPr>
            <w:tcW w:w="318" w:type="pct"/>
          </w:tcPr>
          <w:p w14:paraId="2F91827E" w14:textId="77777777" w:rsidR="005A008B" w:rsidRPr="00D90C15" w:rsidRDefault="005A008B" w:rsidP="00CC3F1F">
            <w:pPr>
              <w:pStyle w:val="TableBody"/>
            </w:pPr>
            <w:r w:rsidRPr="00D90C15">
              <w:t xml:space="preserve"> </w:t>
            </w:r>
          </w:p>
        </w:tc>
      </w:tr>
      <w:tr w:rsidR="0017665F" w:rsidRPr="00D90C15" w14:paraId="6C324367" w14:textId="77777777" w:rsidTr="0046794E">
        <w:trPr>
          <w:trHeight w:val="60"/>
        </w:trPr>
        <w:tc>
          <w:tcPr>
            <w:tcW w:w="712" w:type="pct"/>
          </w:tcPr>
          <w:p w14:paraId="6E86E6A3" w14:textId="77777777" w:rsidR="005A008B" w:rsidRPr="00D90C15" w:rsidRDefault="005A008B" w:rsidP="00E82D64">
            <w:pPr>
              <w:pStyle w:val="TableBody"/>
            </w:pPr>
            <w:r w:rsidRPr="00D90C15">
              <w:t>VPS 1</w:t>
            </w:r>
          </w:p>
        </w:tc>
        <w:tc>
          <w:tcPr>
            <w:tcW w:w="816" w:type="pct"/>
          </w:tcPr>
          <w:p w14:paraId="484AF13A" w14:textId="77777777" w:rsidR="005A008B" w:rsidRPr="00D90C15" w:rsidRDefault="005A008B" w:rsidP="00CC3F1F">
            <w:pPr>
              <w:pStyle w:val="TableBody"/>
            </w:pPr>
            <w:r w:rsidRPr="00D90C15">
              <w:t xml:space="preserve"> </w:t>
            </w:r>
          </w:p>
        </w:tc>
        <w:tc>
          <w:tcPr>
            <w:tcW w:w="365" w:type="pct"/>
          </w:tcPr>
          <w:p w14:paraId="7E151B34" w14:textId="77777777" w:rsidR="005A008B" w:rsidRPr="00D90C15" w:rsidRDefault="005A008B" w:rsidP="00CC3F1F">
            <w:pPr>
              <w:pStyle w:val="TableBody"/>
            </w:pPr>
            <w:r w:rsidRPr="00D90C15">
              <w:t xml:space="preserve"> </w:t>
            </w:r>
          </w:p>
        </w:tc>
        <w:tc>
          <w:tcPr>
            <w:tcW w:w="808" w:type="pct"/>
          </w:tcPr>
          <w:p w14:paraId="0AC191A1" w14:textId="77777777" w:rsidR="005A008B" w:rsidRPr="00D90C15" w:rsidRDefault="005A008B" w:rsidP="00CC3F1F">
            <w:pPr>
              <w:pStyle w:val="TableBody"/>
            </w:pPr>
            <w:r w:rsidRPr="00D90C15">
              <w:t xml:space="preserve"> </w:t>
            </w:r>
          </w:p>
        </w:tc>
        <w:tc>
          <w:tcPr>
            <w:tcW w:w="808" w:type="pct"/>
          </w:tcPr>
          <w:p w14:paraId="3EFC8B28" w14:textId="77777777" w:rsidR="005A008B" w:rsidRPr="00D90C15" w:rsidRDefault="005A008B" w:rsidP="00CC3F1F">
            <w:pPr>
              <w:pStyle w:val="TableBody"/>
            </w:pPr>
            <w:r w:rsidRPr="00D90C15">
              <w:t xml:space="preserve"> </w:t>
            </w:r>
          </w:p>
        </w:tc>
        <w:tc>
          <w:tcPr>
            <w:tcW w:w="365" w:type="pct"/>
          </w:tcPr>
          <w:p w14:paraId="797343D0" w14:textId="77777777" w:rsidR="005A008B" w:rsidRPr="00D90C15" w:rsidRDefault="005A008B" w:rsidP="00CC3F1F">
            <w:pPr>
              <w:pStyle w:val="TableBody"/>
            </w:pPr>
            <w:r w:rsidRPr="00D90C15">
              <w:t xml:space="preserve"> </w:t>
            </w:r>
          </w:p>
        </w:tc>
        <w:tc>
          <w:tcPr>
            <w:tcW w:w="808" w:type="pct"/>
          </w:tcPr>
          <w:p w14:paraId="55FD6AF0" w14:textId="77777777" w:rsidR="005A008B" w:rsidRPr="00D90C15" w:rsidRDefault="005A008B" w:rsidP="00CC3F1F">
            <w:pPr>
              <w:pStyle w:val="TableBody"/>
            </w:pPr>
            <w:r w:rsidRPr="00D90C15">
              <w:t xml:space="preserve"> </w:t>
            </w:r>
          </w:p>
        </w:tc>
        <w:tc>
          <w:tcPr>
            <w:tcW w:w="318" w:type="pct"/>
          </w:tcPr>
          <w:p w14:paraId="75FC5413" w14:textId="77777777" w:rsidR="005A008B" w:rsidRPr="00D90C15" w:rsidRDefault="005A008B" w:rsidP="00CC3F1F">
            <w:pPr>
              <w:pStyle w:val="TableBody"/>
            </w:pPr>
            <w:r w:rsidRPr="00D90C15">
              <w:t xml:space="preserve"> </w:t>
            </w:r>
          </w:p>
        </w:tc>
      </w:tr>
      <w:tr w:rsidR="0017665F" w:rsidRPr="00D90C15" w14:paraId="00F788B9" w14:textId="77777777" w:rsidTr="0046794E">
        <w:trPr>
          <w:trHeight w:val="60"/>
        </w:trPr>
        <w:tc>
          <w:tcPr>
            <w:tcW w:w="712" w:type="pct"/>
          </w:tcPr>
          <w:p w14:paraId="5F50B2D6" w14:textId="77777777" w:rsidR="005A008B" w:rsidRPr="00D90C15" w:rsidRDefault="005A008B" w:rsidP="00E82D64">
            <w:pPr>
              <w:pStyle w:val="TableBody"/>
            </w:pPr>
            <w:r w:rsidRPr="00D90C15">
              <w:t>VPS 2</w:t>
            </w:r>
          </w:p>
        </w:tc>
        <w:tc>
          <w:tcPr>
            <w:tcW w:w="816" w:type="pct"/>
          </w:tcPr>
          <w:p w14:paraId="35E9B5A7" w14:textId="77777777" w:rsidR="005A008B" w:rsidRPr="00D90C15" w:rsidRDefault="005A008B" w:rsidP="00CC3F1F">
            <w:pPr>
              <w:pStyle w:val="TableBody"/>
            </w:pPr>
            <w:r w:rsidRPr="00D90C15">
              <w:t xml:space="preserve"> </w:t>
            </w:r>
          </w:p>
        </w:tc>
        <w:tc>
          <w:tcPr>
            <w:tcW w:w="365" w:type="pct"/>
          </w:tcPr>
          <w:p w14:paraId="61EA8F73" w14:textId="77777777" w:rsidR="005A008B" w:rsidRPr="00D90C15" w:rsidRDefault="005A008B" w:rsidP="00CC3F1F">
            <w:pPr>
              <w:pStyle w:val="TableBody"/>
            </w:pPr>
            <w:r w:rsidRPr="00D90C15">
              <w:t xml:space="preserve"> </w:t>
            </w:r>
          </w:p>
        </w:tc>
        <w:tc>
          <w:tcPr>
            <w:tcW w:w="808" w:type="pct"/>
          </w:tcPr>
          <w:p w14:paraId="7E8E0910" w14:textId="77777777" w:rsidR="005A008B" w:rsidRPr="00D90C15" w:rsidRDefault="005A008B" w:rsidP="00CC3F1F">
            <w:pPr>
              <w:pStyle w:val="TableBody"/>
            </w:pPr>
            <w:r w:rsidRPr="00D90C15">
              <w:t xml:space="preserve"> </w:t>
            </w:r>
          </w:p>
        </w:tc>
        <w:tc>
          <w:tcPr>
            <w:tcW w:w="808" w:type="pct"/>
          </w:tcPr>
          <w:p w14:paraId="29FEA64C" w14:textId="77777777" w:rsidR="005A008B" w:rsidRPr="00D90C15" w:rsidRDefault="005A008B" w:rsidP="00CC3F1F">
            <w:pPr>
              <w:pStyle w:val="TableBody"/>
            </w:pPr>
            <w:r w:rsidRPr="00D90C15">
              <w:t xml:space="preserve"> </w:t>
            </w:r>
          </w:p>
        </w:tc>
        <w:tc>
          <w:tcPr>
            <w:tcW w:w="365" w:type="pct"/>
          </w:tcPr>
          <w:p w14:paraId="293E7246" w14:textId="77777777" w:rsidR="005A008B" w:rsidRPr="00D90C15" w:rsidRDefault="005A008B" w:rsidP="00CC3F1F">
            <w:pPr>
              <w:pStyle w:val="TableBody"/>
            </w:pPr>
            <w:r w:rsidRPr="00D90C15">
              <w:t xml:space="preserve"> </w:t>
            </w:r>
          </w:p>
        </w:tc>
        <w:tc>
          <w:tcPr>
            <w:tcW w:w="808" w:type="pct"/>
          </w:tcPr>
          <w:p w14:paraId="5BB2B7E7" w14:textId="77777777" w:rsidR="005A008B" w:rsidRPr="00D90C15" w:rsidRDefault="005A008B" w:rsidP="00CC3F1F">
            <w:pPr>
              <w:pStyle w:val="TableBody"/>
            </w:pPr>
            <w:r w:rsidRPr="00D90C15">
              <w:t xml:space="preserve"> </w:t>
            </w:r>
          </w:p>
        </w:tc>
        <w:tc>
          <w:tcPr>
            <w:tcW w:w="318" w:type="pct"/>
          </w:tcPr>
          <w:p w14:paraId="7245F5E7" w14:textId="77777777" w:rsidR="005A008B" w:rsidRPr="00D90C15" w:rsidRDefault="005A008B" w:rsidP="00CC3F1F">
            <w:pPr>
              <w:pStyle w:val="TableBody"/>
            </w:pPr>
            <w:r w:rsidRPr="00D90C15">
              <w:t xml:space="preserve"> </w:t>
            </w:r>
          </w:p>
        </w:tc>
      </w:tr>
      <w:tr w:rsidR="0017665F" w:rsidRPr="00D90C15" w14:paraId="19EEF88D" w14:textId="77777777" w:rsidTr="0046794E">
        <w:trPr>
          <w:trHeight w:val="60"/>
        </w:trPr>
        <w:tc>
          <w:tcPr>
            <w:tcW w:w="712" w:type="pct"/>
          </w:tcPr>
          <w:p w14:paraId="3344C09A" w14:textId="77777777" w:rsidR="005A008B" w:rsidRPr="00D90C15" w:rsidRDefault="005A008B" w:rsidP="00E82D64">
            <w:pPr>
              <w:pStyle w:val="TableBody"/>
            </w:pPr>
            <w:r w:rsidRPr="00D90C15">
              <w:t>VPS 3</w:t>
            </w:r>
          </w:p>
        </w:tc>
        <w:tc>
          <w:tcPr>
            <w:tcW w:w="816" w:type="pct"/>
          </w:tcPr>
          <w:p w14:paraId="6F9DB1E7" w14:textId="77777777" w:rsidR="005A008B" w:rsidRPr="00D90C15" w:rsidRDefault="005A008B" w:rsidP="00CC3F1F">
            <w:pPr>
              <w:pStyle w:val="TableBody"/>
            </w:pPr>
            <w:r w:rsidRPr="00D90C15">
              <w:t>1</w:t>
            </w:r>
          </w:p>
        </w:tc>
        <w:tc>
          <w:tcPr>
            <w:tcW w:w="365" w:type="pct"/>
          </w:tcPr>
          <w:p w14:paraId="0FBEEE15" w14:textId="77777777" w:rsidR="005A008B" w:rsidRPr="00D90C15" w:rsidRDefault="005A008B" w:rsidP="00CC3F1F">
            <w:pPr>
              <w:pStyle w:val="TableBody"/>
            </w:pPr>
            <w:r w:rsidRPr="00D90C15">
              <w:t>1</w:t>
            </w:r>
          </w:p>
        </w:tc>
        <w:tc>
          <w:tcPr>
            <w:tcW w:w="808" w:type="pct"/>
          </w:tcPr>
          <w:p w14:paraId="2AC060F0" w14:textId="77777777" w:rsidR="005A008B" w:rsidRPr="00D90C15" w:rsidRDefault="005A008B" w:rsidP="00CC3F1F">
            <w:pPr>
              <w:pStyle w:val="TableBody"/>
            </w:pPr>
            <w:r w:rsidRPr="00D90C15">
              <w:t>1</w:t>
            </w:r>
          </w:p>
        </w:tc>
        <w:tc>
          <w:tcPr>
            <w:tcW w:w="808" w:type="pct"/>
          </w:tcPr>
          <w:p w14:paraId="3153B1B4" w14:textId="77777777" w:rsidR="005A008B" w:rsidRPr="00D90C15" w:rsidRDefault="005A008B" w:rsidP="00CC3F1F">
            <w:pPr>
              <w:pStyle w:val="TableBody"/>
            </w:pPr>
            <w:r w:rsidRPr="00D90C15">
              <w:t xml:space="preserve"> </w:t>
            </w:r>
          </w:p>
        </w:tc>
        <w:tc>
          <w:tcPr>
            <w:tcW w:w="365" w:type="pct"/>
          </w:tcPr>
          <w:p w14:paraId="72D50A0C" w14:textId="77777777" w:rsidR="005A008B" w:rsidRPr="00D90C15" w:rsidRDefault="005A008B" w:rsidP="00CC3F1F">
            <w:pPr>
              <w:pStyle w:val="TableBody"/>
            </w:pPr>
            <w:r w:rsidRPr="00D90C15">
              <w:t>1</w:t>
            </w:r>
          </w:p>
        </w:tc>
        <w:tc>
          <w:tcPr>
            <w:tcW w:w="808" w:type="pct"/>
          </w:tcPr>
          <w:p w14:paraId="71EF6F62" w14:textId="77777777" w:rsidR="005A008B" w:rsidRPr="00D90C15" w:rsidRDefault="005A008B" w:rsidP="00CC3F1F">
            <w:pPr>
              <w:pStyle w:val="TableBody"/>
            </w:pPr>
            <w:r w:rsidRPr="00D90C15">
              <w:t xml:space="preserve"> </w:t>
            </w:r>
          </w:p>
        </w:tc>
        <w:tc>
          <w:tcPr>
            <w:tcW w:w="318" w:type="pct"/>
          </w:tcPr>
          <w:p w14:paraId="0990FAB7" w14:textId="77777777" w:rsidR="005A008B" w:rsidRPr="00D90C15" w:rsidRDefault="005A008B" w:rsidP="00CC3F1F">
            <w:pPr>
              <w:pStyle w:val="TableBody"/>
            </w:pPr>
            <w:r w:rsidRPr="00D90C15">
              <w:t xml:space="preserve"> </w:t>
            </w:r>
          </w:p>
        </w:tc>
      </w:tr>
      <w:tr w:rsidR="0017665F" w:rsidRPr="00D90C15" w14:paraId="705DFB4B" w14:textId="77777777" w:rsidTr="0046794E">
        <w:trPr>
          <w:trHeight w:val="60"/>
        </w:trPr>
        <w:tc>
          <w:tcPr>
            <w:tcW w:w="712" w:type="pct"/>
          </w:tcPr>
          <w:p w14:paraId="7FC20A4B" w14:textId="77777777" w:rsidR="005A008B" w:rsidRPr="00D90C15" w:rsidRDefault="005A008B" w:rsidP="00E82D64">
            <w:pPr>
              <w:pStyle w:val="TableBody"/>
            </w:pPr>
            <w:r w:rsidRPr="00D90C15">
              <w:t>VPS 4</w:t>
            </w:r>
          </w:p>
        </w:tc>
        <w:tc>
          <w:tcPr>
            <w:tcW w:w="816" w:type="pct"/>
          </w:tcPr>
          <w:p w14:paraId="5211CD9D" w14:textId="77777777" w:rsidR="005A008B" w:rsidRPr="00D90C15" w:rsidRDefault="005A008B" w:rsidP="00CC3F1F">
            <w:pPr>
              <w:pStyle w:val="TableBody"/>
            </w:pPr>
            <w:r w:rsidRPr="00D90C15">
              <w:t>1</w:t>
            </w:r>
          </w:p>
        </w:tc>
        <w:tc>
          <w:tcPr>
            <w:tcW w:w="365" w:type="pct"/>
          </w:tcPr>
          <w:p w14:paraId="1009EF4F" w14:textId="77777777" w:rsidR="005A008B" w:rsidRPr="00D90C15" w:rsidRDefault="005A008B" w:rsidP="00CC3F1F">
            <w:pPr>
              <w:pStyle w:val="TableBody"/>
            </w:pPr>
            <w:r w:rsidRPr="00D90C15">
              <w:t>1</w:t>
            </w:r>
          </w:p>
        </w:tc>
        <w:tc>
          <w:tcPr>
            <w:tcW w:w="808" w:type="pct"/>
          </w:tcPr>
          <w:p w14:paraId="682E530F" w14:textId="77777777" w:rsidR="005A008B" w:rsidRPr="00D90C15" w:rsidRDefault="005A008B" w:rsidP="00CC3F1F">
            <w:pPr>
              <w:pStyle w:val="TableBody"/>
            </w:pPr>
            <w:r w:rsidRPr="00D90C15">
              <w:t>1</w:t>
            </w:r>
          </w:p>
        </w:tc>
        <w:tc>
          <w:tcPr>
            <w:tcW w:w="808" w:type="pct"/>
          </w:tcPr>
          <w:p w14:paraId="54354A7A" w14:textId="77777777" w:rsidR="005A008B" w:rsidRPr="00D90C15" w:rsidRDefault="005A008B" w:rsidP="00CC3F1F">
            <w:pPr>
              <w:pStyle w:val="TableBody"/>
            </w:pPr>
            <w:r w:rsidRPr="00D90C15">
              <w:t xml:space="preserve"> </w:t>
            </w:r>
          </w:p>
        </w:tc>
        <w:tc>
          <w:tcPr>
            <w:tcW w:w="365" w:type="pct"/>
          </w:tcPr>
          <w:p w14:paraId="1B7716F8" w14:textId="77777777" w:rsidR="005A008B" w:rsidRPr="00D90C15" w:rsidRDefault="005A008B" w:rsidP="00CC3F1F">
            <w:pPr>
              <w:pStyle w:val="TableBody"/>
            </w:pPr>
            <w:r w:rsidRPr="00D90C15">
              <w:t>1</w:t>
            </w:r>
          </w:p>
        </w:tc>
        <w:tc>
          <w:tcPr>
            <w:tcW w:w="808" w:type="pct"/>
          </w:tcPr>
          <w:p w14:paraId="42B8EA1B" w14:textId="77777777" w:rsidR="005A008B" w:rsidRPr="00D90C15" w:rsidRDefault="005A008B" w:rsidP="00CC3F1F">
            <w:pPr>
              <w:pStyle w:val="TableBody"/>
            </w:pPr>
            <w:r w:rsidRPr="00D90C15">
              <w:t xml:space="preserve"> </w:t>
            </w:r>
          </w:p>
        </w:tc>
        <w:tc>
          <w:tcPr>
            <w:tcW w:w="318" w:type="pct"/>
          </w:tcPr>
          <w:p w14:paraId="4AF9E89F" w14:textId="77777777" w:rsidR="005A008B" w:rsidRPr="00D90C15" w:rsidRDefault="005A008B" w:rsidP="00CC3F1F">
            <w:pPr>
              <w:pStyle w:val="TableBody"/>
            </w:pPr>
            <w:r w:rsidRPr="00D90C15">
              <w:t xml:space="preserve"> </w:t>
            </w:r>
          </w:p>
        </w:tc>
      </w:tr>
      <w:tr w:rsidR="0017665F" w:rsidRPr="00D90C15" w14:paraId="0A9728BE" w14:textId="77777777" w:rsidTr="0046794E">
        <w:trPr>
          <w:trHeight w:val="60"/>
        </w:trPr>
        <w:tc>
          <w:tcPr>
            <w:tcW w:w="712" w:type="pct"/>
          </w:tcPr>
          <w:p w14:paraId="607E5CC9" w14:textId="77777777" w:rsidR="005A008B" w:rsidRPr="00D90C15" w:rsidRDefault="005A008B" w:rsidP="00E82D64">
            <w:pPr>
              <w:pStyle w:val="TableBody"/>
            </w:pPr>
            <w:r w:rsidRPr="00D90C15">
              <w:t>VPS 5</w:t>
            </w:r>
          </w:p>
        </w:tc>
        <w:tc>
          <w:tcPr>
            <w:tcW w:w="816" w:type="pct"/>
          </w:tcPr>
          <w:p w14:paraId="6ABA84A0" w14:textId="77777777" w:rsidR="005A008B" w:rsidRPr="00D90C15" w:rsidRDefault="005A008B" w:rsidP="00CC3F1F">
            <w:pPr>
              <w:pStyle w:val="TableBody"/>
            </w:pPr>
            <w:r w:rsidRPr="00D90C15">
              <w:t>5</w:t>
            </w:r>
          </w:p>
        </w:tc>
        <w:tc>
          <w:tcPr>
            <w:tcW w:w="365" w:type="pct"/>
          </w:tcPr>
          <w:p w14:paraId="107EE6C3" w14:textId="77777777" w:rsidR="005A008B" w:rsidRPr="00D90C15" w:rsidRDefault="005A008B" w:rsidP="00CC3F1F">
            <w:pPr>
              <w:pStyle w:val="TableBody"/>
            </w:pPr>
            <w:r w:rsidRPr="00D90C15">
              <w:t>4.8</w:t>
            </w:r>
          </w:p>
        </w:tc>
        <w:tc>
          <w:tcPr>
            <w:tcW w:w="808" w:type="pct"/>
          </w:tcPr>
          <w:p w14:paraId="6F678B3F" w14:textId="77777777" w:rsidR="005A008B" w:rsidRPr="00D90C15" w:rsidRDefault="005A008B" w:rsidP="00CC3F1F">
            <w:pPr>
              <w:pStyle w:val="TableBody"/>
            </w:pPr>
            <w:r w:rsidRPr="00D90C15">
              <w:t>4</w:t>
            </w:r>
          </w:p>
        </w:tc>
        <w:tc>
          <w:tcPr>
            <w:tcW w:w="808" w:type="pct"/>
          </w:tcPr>
          <w:p w14:paraId="7255E9DE" w14:textId="77777777" w:rsidR="005A008B" w:rsidRPr="00D90C15" w:rsidRDefault="005A008B" w:rsidP="00CC3F1F">
            <w:pPr>
              <w:pStyle w:val="TableBody"/>
            </w:pPr>
            <w:r w:rsidRPr="00D90C15">
              <w:t>1</w:t>
            </w:r>
          </w:p>
        </w:tc>
        <w:tc>
          <w:tcPr>
            <w:tcW w:w="365" w:type="pct"/>
          </w:tcPr>
          <w:p w14:paraId="64F9DEC2" w14:textId="77777777" w:rsidR="005A008B" w:rsidRPr="00D90C15" w:rsidRDefault="005A008B" w:rsidP="00CC3F1F">
            <w:pPr>
              <w:pStyle w:val="TableBody"/>
            </w:pPr>
            <w:r w:rsidRPr="00D90C15">
              <w:t>4.8</w:t>
            </w:r>
          </w:p>
        </w:tc>
        <w:tc>
          <w:tcPr>
            <w:tcW w:w="808" w:type="pct"/>
          </w:tcPr>
          <w:p w14:paraId="60E3B515" w14:textId="77777777" w:rsidR="005A008B" w:rsidRPr="00D90C15" w:rsidRDefault="005A008B" w:rsidP="00CC3F1F">
            <w:pPr>
              <w:pStyle w:val="TableBody"/>
            </w:pPr>
            <w:r w:rsidRPr="00D90C15">
              <w:t xml:space="preserve"> </w:t>
            </w:r>
          </w:p>
        </w:tc>
        <w:tc>
          <w:tcPr>
            <w:tcW w:w="318" w:type="pct"/>
          </w:tcPr>
          <w:p w14:paraId="1AA6C318" w14:textId="77777777" w:rsidR="005A008B" w:rsidRPr="00D90C15" w:rsidRDefault="005A008B" w:rsidP="00CC3F1F">
            <w:pPr>
              <w:pStyle w:val="TableBody"/>
            </w:pPr>
            <w:r w:rsidRPr="00D90C15">
              <w:t xml:space="preserve"> </w:t>
            </w:r>
          </w:p>
        </w:tc>
      </w:tr>
      <w:tr w:rsidR="0017665F" w:rsidRPr="00D90C15" w14:paraId="05A026A5" w14:textId="77777777" w:rsidTr="0046794E">
        <w:trPr>
          <w:trHeight w:val="60"/>
        </w:trPr>
        <w:tc>
          <w:tcPr>
            <w:tcW w:w="712" w:type="pct"/>
          </w:tcPr>
          <w:p w14:paraId="6402BD44" w14:textId="77777777" w:rsidR="005A008B" w:rsidRPr="00D90C15" w:rsidRDefault="005A008B" w:rsidP="00E82D64">
            <w:pPr>
              <w:pStyle w:val="TableBody"/>
            </w:pPr>
            <w:r w:rsidRPr="00D90C15">
              <w:t>VPS 6</w:t>
            </w:r>
          </w:p>
        </w:tc>
        <w:tc>
          <w:tcPr>
            <w:tcW w:w="816" w:type="pct"/>
          </w:tcPr>
          <w:p w14:paraId="5823B50A" w14:textId="77777777" w:rsidR="005A008B" w:rsidRPr="00D90C15" w:rsidRDefault="005A008B" w:rsidP="00CC3F1F">
            <w:pPr>
              <w:pStyle w:val="TableBody"/>
            </w:pPr>
            <w:r w:rsidRPr="00D90C15">
              <w:t>2</w:t>
            </w:r>
          </w:p>
        </w:tc>
        <w:tc>
          <w:tcPr>
            <w:tcW w:w="365" w:type="pct"/>
          </w:tcPr>
          <w:p w14:paraId="6CE52A94" w14:textId="77777777" w:rsidR="005A008B" w:rsidRPr="00D90C15" w:rsidRDefault="005A008B" w:rsidP="00CC3F1F">
            <w:pPr>
              <w:pStyle w:val="TableBody"/>
            </w:pPr>
            <w:r w:rsidRPr="00D90C15">
              <w:t>1.6</w:t>
            </w:r>
          </w:p>
        </w:tc>
        <w:tc>
          <w:tcPr>
            <w:tcW w:w="808" w:type="pct"/>
          </w:tcPr>
          <w:p w14:paraId="2E9F69D3" w14:textId="77777777" w:rsidR="005A008B" w:rsidRPr="00D90C15" w:rsidRDefault="005A008B" w:rsidP="00CC3F1F">
            <w:pPr>
              <w:pStyle w:val="TableBody"/>
            </w:pPr>
            <w:r w:rsidRPr="00D90C15">
              <w:t>1</w:t>
            </w:r>
          </w:p>
        </w:tc>
        <w:tc>
          <w:tcPr>
            <w:tcW w:w="808" w:type="pct"/>
          </w:tcPr>
          <w:p w14:paraId="34AB9972" w14:textId="77777777" w:rsidR="005A008B" w:rsidRPr="00D90C15" w:rsidRDefault="005A008B" w:rsidP="00CC3F1F">
            <w:pPr>
              <w:pStyle w:val="TableBody"/>
            </w:pPr>
            <w:r w:rsidRPr="00D90C15">
              <w:t>1</w:t>
            </w:r>
          </w:p>
        </w:tc>
        <w:tc>
          <w:tcPr>
            <w:tcW w:w="365" w:type="pct"/>
          </w:tcPr>
          <w:p w14:paraId="362A836E" w14:textId="77777777" w:rsidR="005A008B" w:rsidRPr="00D90C15" w:rsidRDefault="005A008B" w:rsidP="00CC3F1F">
            <w:pPr>
              <w:pStyle w:val="TableBody"/>
            </w:pPr>
            <w:r w:rsidRPr="00D90C15">
              <w:t>1.6</w:t>
            </w:r>
          </w:p>
        </w:tc>
        <w:tc>
          <w:tcPr>
            <w:tcW w:w="808" w:type="pct"/>
          </w:tcPr>
          <w:p w14:paraId="1800E4B6" w14:textId="77777777" w:rsidR="005A008B" w:rsidRPr="00D90C15" w:rsidRDefault="005A008B" w:rsidP="00CC3F1F">
            <w:pPr>
              <w:pStyle w:val="TableBody"/>
            </w:pPr>
            <w:r w:rsidRPr="00D90C15">
              <w:t xml:space="preserve"> </w:t>
            </w:r>
          </w:p>
        </w:tc>
        <w:tc>
          <w:tcPr>
            <w:tcW w:w="318" w:type="pct"/>
          </w:tcPr>
          <w:p w14:paraId="7552D41C" w14:textId="77777777" w:rsidR="005A008B" w:rsidRPr="00D90C15" w:rsidRDefault="005A008B" w:rsidP="00CC3F1F">
            <w:pPr>
              <w:pStyle w:val="TableBody"/>
            </w:pPr>
            <w:r w:rsidRPr="00D90C15">
              <w:t xml:space="preserve"> </w:t>
            </w:r>
          </w:p>
        </w:tc>
      </w:tr>
      <w:tr w:rsidR="0017665F" w:rsidRPr="00D90C15" w14:paraId="39D3EB62" w14:textId="77777777" w:rsidTr="0046794E">
        <w:trPr>
          <w:trHeight w:val="60"/>
        </w:trPr>
        <w:tc>
          <w:tcPr>
            <w:tcW w:w="712" w:type="pct"/>
          </w:tcPr>
          <w:p w14:paraId="6BF72DC7" w14:textId="77777777" w:rsidR="005A008B" w:rsidRPr="00D90C15" w:rsidRDefault="005A008B" w:rsidP="00E82D64">
            <w:pPr>
              <w:pStyle w:val="TableBody"/>
            </w:pPr>
            <w:r w:rsidRPr="00D90C15">
              <w:t>Executive</w:t>
            </w:r>
          </w:p>
        </w:tc>
        <w:tc>
          <w:tcPr>
            <w:tcW w:w="816" w:type="pct"/>
          </w:tcPr>
          <w:p w14:paraId="04A42116" w14:textId="77777777" w:rsidR="005A008B" w:rsidRPr="00D90C15" w:rsidRDefault="005A008B" w:rsidP="00CC3F1F">
            <w:pPr>
              <w:pStyle w:val="TableBody"/>
            </w:pPr>
            <w:r w:rsidRPr="00D90C15">
              <w:t>1</w:t>
            </w:r>
          </w:p>
        </w:tc>
        <w:tc>
          <w:tcPr>
            <w:tcW w:w="365" w:type="pct"/>
          </w:tcPr>
          <w:p w14:paraId="2795EAC9" w14:textId="77777777" w:rsidR="005A008B" w:rsidRPr="00D90C15" w:rsidRDefault="005A008B" w:rsidP="00CC3F1F">
            <w:pPr>
              <w:pStyle w:val="TableBody"/>
            </w:pPr>
            <w:r w:rsidRPr="00D90C15">
              <w:t>1</w:t>
            </w:r>
          </w:p>
        </w:tc>
        <w:tc>
          <w:tcPr>
            <w:tcW w:w="808" w:type="pct"/>
          </w:tcPr>
          <w:p w14:paraId="3D5CF7C9" w14:textId="77777777" w:rsidR="005A008B" w:rsidRPr="00D90C15" w:rsidRDefault="005A008B" w:rsidP="00CC3F1F">
            <w:pPr>
              <w:pStyle w:val="TableBody"/>
            </w:pPr>
            <w:r w:rsidRPr="00D90C15">
              <w:t>1</w:t>
            </w:r>
          </w:p>
        </w:tc>
        <w:tc>
          <w:tcPr>
            <w:tcW w:w="808" w:type="pct"/>
          </w:tcPr>
          <w:p w14:paraId="329AC0E6" w14:textId="77777777" w:rsidR="005A008B" w:rsidRPr="00D90C15" w:rsidRDefault="005A008B" w:rsidP="00CC3F1F">
            <w:pPr>
              <w:pStyle w:val="TableBody"/>
            </w:pPr>
            <w:r w:rsidRPr="00D90C15">
              <w:t xml:space="preserve"> </w:t>
            </w:r>
          </w:p>
        </w:tc>
        <w:tc>
          <w:tcPr>
            <w:tcW w:w="365" w:type="pct"/>
          </w:tcPr>
          <w:p w14:paraId="75E6FA17" w14:textId="77777777" w:rsidR="005A008B" w:rsidRPr="00D90C15" w:rsidRDefault="005A008B" w:rsidP="00CC3F1F">
            <w:pPr>
              <w:pStyle w:val="TableBody"/>
            </w:pPr>
            <w:r w:rsidRPr="00D90C15">
              <w:t>1</w:t>
            </w:r>
          </w:p>
        </w:tc>
        <w:tc>
          <w:tcPr>
            <w:tcW w:w="808" w:type="pct"/>
          </w:tcPr>
          <w:p w14:paraId="39152996" w14:textId="77777777" w:rsidR="005A008B" w:rsidRPr="00D90C15" w:rsidRDefault="005A008B" w:rsidP="00CC3F1F">
            <w:pPr>
              <w:pStyle w:val="TableBody"/>
            </w:pPr>
            <w:r w:rsidRPr="00D90C15">
              <w:t xml:space="preserve"> </w:t>
            </w:r>
          </w:p>
        </w:tc>
        <w:tc>
          <w:tcPr>
            <w:tcW w:w="318" w:type="pct"/>
          </w:tcPr>
          <w:p w14:paraId="7BE92240" w14:textId="77777777" w:rsidR="005A008B" w:rsidRPr="00D90C15" w:rsidRDefault="005A008B" w:rsidP="00CC3F1F">
            <w:pPr>
              <w:pStyle w:val="TableBody"/>
            </w:pPr>
            <w:r w:rsidRPr="00D90C15">
              <w:t xml:space="preserve"> </w:t>
            </w:r>
          </w:p>
        </w:tc>
      </w:tr>
      <w:tr w:rsidR="0017665F" w:rsidRPr="00D90C15" w14:paraId="65223367" w14:textId="77777777" w:rsidTr="0046794E">
        <w:trPr>
          <w:trHeight w:val="60"/>
        </w:trPr>
        <w:tc>
          <w:tcPr>
            <w:tcW w:w="712" w:type="pct"/>
          </w:tcPr>
          <w:p w14:paraId="11F9EB71" w14:textId="77777777" w:rsidR="005A008B" w:rsidRPr="006512A5" w:rsidRDefault="005A008B" w:rsidP="00E82D64">
            <w:pPr>
              <w:pStyle w:val="TableBody"/>
              <w:rPr>
                <w:rStyle w:val="Bold"/>
              </w:rPr>
            </w:pPr>
            <w:r w:rsidRPr="006512A5">
              <w:rPr>
                <w:rStyle w:val="Bold"/>
              </w:rPr>
              <w:t>Total employees</w:t>
            </w:r>
          </w:p>
        </w:tc>
        <w:tc>
          <w:tcPr>
            <w:tcW w:w="816" w:type="pct"/>
          </w:tcPr>
          <w:p w14:paraId="3BCA038D" w14:textId="77777777" w:rsidR="005A008B" w:rsidRPr="006512A5" w:rsidRDefault="005A008B" w:rsidP="00CC3F1F">
            <w:pPr>
              <w:pStyle w:val="TableBody"/>
              <w:rPr>
                <w:rStyle w:val="Bold"/>
              </w:rPr>
            </w:pPr>
            <w:r w:rsidRPr="006512A5">
              <w:rPr>
                <w:rStyle w:val="Bold"/>
              </w:rPr>
              <w:t>10</w:t>
            </w:r>
          </w:p>
        </w:tc>
        <w:tc>
          <w:tcPr>
            <w:tcW w:w="365" w:type="pct"/>
          </w:tcPr>
          <w:p w14:paraId="4FF70639" w14:textId="77777777" w:rsidR="005A008B" w:rsidRPr="006512A5" w:rsidRDefault="005A008B" w:rsidP="00CC3F1F">
            <w:pPr>
              <w:pStyle w:val="TableBody"/>
              <w:rPr>
                <w:rStyle w:val="Bold"/>
              </w:rPr>
            </w:pPr>
            <w:r w:rsidRPr="006512A5">
              <w:rPr>
                <w:rStyle w:val="Bold"/>
              </w:rPr>
              <w:t>9.4</w:t>
            </w:r>
          </w:p>
        </w:tc>
        <w:tc>
          <w:tcPr>
            <w:tcW w:w="808" w:type="pct"/>
          </w:tcPr>
          <w:p w14:paraId="52B695EB" w14:textId="77777777" w:rsidR="005A008B" w:rsidRPr="006512A5" w:rsidRDefault="005A008B" w:rsidP="00CC3F1F">
            <w:pPr>
              <w:pStyle w:val="TableBody"/>
              <w:rPr>
                <w:rStyle w:val="Bold"/>
              </w:rPr>
            </w:pPr>
            <w:r w:rsidRPr="006512A5">
              <w:rPr>
                <w:rStyle w:val="Bold"/>
              </w:rPr>
              <w:t>8</w:t>
            </w:r>
          </w:p>
        </w:tc>
        <w:tc>
          <w:tcPr>
            <w:tcW w:w="808" w:type="pct"/>
          </w:tcPr>
          <w:p w14:paraId="41A230B6" w14:textId="77777777" w:rsidR="005A008B" w:rsidRPr="006512A5" w:rsidRDefault="005A008B" w:rsidP="00CC3F1F">
            <w:pPr>
              <w:pStyle w:val="TableBody"/>
              <w:rPr>
                <w:rStyle w:val="Bold"/>
              </w:rPr>
            </w:pPr>
            <w:r w:rsidRPr="006512A5">
              <w:rPr>
                <w:rStyle w:val="Bold"/>
              </w:rPr>
              <w:t>2</w:t>
            </w:r>
          </w:p>
        </w:tc>
        <w:tc>
          <w:tcPr>
            <w:tcW w:w="365" w:type="pct"/>
          </w:tcPr>
          <w:p w14:paraId="063395E1" w14:textId="77777777" w:rsidR="005A008B" w:rsidRPr="006512A5" w:rsidRDefault="005A008B" w:rsidP="00CC3F1F">
            <w:pPr>
              <w:pStyle w:val="TableBody"/>
              <w:rPr>
                <w:rStyle w:val="Bold"/>
              </w:rPr>
            </w:pPr>
            <w:r w:rsidRPr="006512A5">
              <w:rPr>
                <w:rStyle w:val="Bold"/>
              </w:rPr>
              <w:t>9.4</w:t>
            </w:r>
          </w:p>
        </w:tc>
        <w:tc>
          <w:tcPr>
            <w:tcW w:w="808" w:type="pct"/>
          </w:tcPr>
          <w:p w14:paraId="04099177" w14:textId="77777777" w:rsidR="005A008B" w:rsidRPr="006512A5" w:rsidRDefault="005A008B" w:rsidP="00CC3F1F">
            <w:pPr>
              <w:pStyle w:val="TableBody"/>
              <w:rPr>
                <w:rStyle w:val="Bold"/>
              </w:rPr>
            </w:pPr>
            <w:r w:rsidRPr="006512A5">
              <w:rPr>
                <w:rStyle w:val="Bold"/>
              </w:rPr>
              <w:t>0</w:t>
            </w:r>
          </w:p>
        </w:tc>
        <w:tc>
          <w:tcPr>
            <w:tcW w:w="318" w:type="pct"/>
          </w:tcPr>
          <w:p w14:paraId="7E1E2299" w14:textId="77777777" w:rsidR="005A008B" w:rsidRPr="006512A5" w:rsidRDefault="005A008B" w:rsidP="00CC3F1F">
            <w:pPr>
              <w:pStyle w:val="TableBody"/>
              <w:rPr>
                <w:rStyle w:val="Bold"/>
              </w:rPr>
            </w:pPr>
            <w:r w:rsidRPr="006512A5">
              <w:rPr>
                <w:rStyle w:val="Bold"/>
              </w:rPr>
              <w:t>0</w:t>
            </w:r>
          </w:p>
        </w:tc>
      </w:tr>
      <w:tr w:rsidR="004C686D" w:rsidRPr="00D90C15" w14:paraId="214D70F3" w14:textId="77777777" w:rsidTr="0046794E">
        <w:trPr>
          <w:trHeight w:val="60"/>
        </w:trPr>
        <w:tc>
          <w:tcPr>
            <w:tcW w:w="712" w:type="pct"/>
          </w:tcPr>
          <w:p w14:paraId="16EFC075" w14:textId="4B0DD15D" w:rsidR="004C686D" w:rsidRPr="006512A5" w:rsidRDefault="004C686D" w:rsidP="00E82D64">
            <w:pPr>
              <w:pStyle w:val="TableBody"/>
              <w:rPr>
                <w:rStyle w:val="Bold"/>
              </w:rPr>
            </w:pPr>
            <w:r w:rsidRPr="006512A5">
              <w:rPr>
                <w:rStyle w:val="Bold"/>
              </w:rPr>
              <w:t>June 2025</w:t>
            </w:r>
          </w:p>
        </w:tc>
        <w:tc>
          <w:tcPr>
            <w:tcW w:w="816" w:type="pct"/>
          </w:tcPr>
          <w:p w14:paraId="06B7098C" w14:textId="77777777" w:rsidR="004C686D" w:rsidRPr="00D90C15" w:rsidRDefault="004C686D" w:rsidP="00CC3F1F">
            <w:pPr>
              <w:pStyle w:val="TableBody"/>
            </w:pPr>
          </w:p>
        </w:tc>
        <w:tc>
          <w:tcPr>
            <w:tcW w:w="365" w:type="pct"/>
          </w:tcPr>
          <w:p w14:paraId="36F5E673" w14:textId="77777777" w:rsidR="004C686D" w:rsidRPr="00D90C15" w:rsidRDefault="004C686D" w:rsidP="00CC3F1F">
            <w:pPr>
              <w:pStyle w:val="TableBody"/>
            </w:pPr>
          </w:p>
        </w:tc>
        <w:tc>
          <w:tcPr>
            <w:tcW w:w="808" w:type="pct"/>
          </w:tcPr>
          <w:p w14:paraId="12969229" w14:textId="77777777" w:rsidR="004C686D" w:rsidRPr="00D90C15" w:rsidRDefault="004C686D" w:rsidP="00CC3F1F">
            <w:pPr>
              <w:pStyle w:val="TableBody"/>
            </w:pPr>
          </w:p>
        </w:tc>
        <w:tc>
          <w:tcPr>
            <w:tcW w:w="808" w:type="pct"/>
          </w:tcPr>
          <w:p w14:paraId="3571F434" w14:textId="77777777" w:rsidR="004C686D" w:rsidRPr="00D90C15" w:rsidRDefault="004C686D" w:rsidP="00CC3F1F">
            <w:pPr>
              <w:pStyle w:val="TableBody"/>
            </w:pPr>
          </w:p>
        </w:tc>
        <w:tc>
          <w:tcPr>
            <w:tcW w:w="365" w:type="pct"/>
          </w:tcPr>
          <w:p w14:paraId="6FB24967" w14:textId="77777777" w:rsidR="004C686D" w:rsidRPr="00D90C15" w:rsidRDefault="004C686D" w:rsidP="00CC3F1F">
            <w:pPr>
              <w:pStyle w:val="TableBody"/>
            </w:pPr>
          </w:p>
        </w:tc>
        <w:tc>
          <w:tcPr>
            <w:tcW w:w="808" w:type="pct"/>
          </w:tcPr>
          <w:p w14:paraId="25B6DE72" w14:textId="77777777" w:rsidR="004C686D" w:rsidRPr="00D90C15" w:rsidRDefault="004C686D" w:rsidP="00CC3F1F">
            <w:pPr>
              <w:pStyle w:val="TableBody"/>
            </w:pPr>
          </w:p>
        </w:tc>
        <w:tc>
          <w:tcPr>
            <w:tcW w:w="318" w:type="pct"/>
          </w:tcPr>
          <w:p w14:paraId="73806FC9" w14:textId="77777777" w:rsidR="004C686D" w:rsidRPr="00D90C15" w:rsidRDefault="004C686D" w:rsidP="00CC3F1F">
            <w:pPr>
              <w:pStyle w:val="TableBody"/>
            </w:pPr>
          </w:p>
        </w:tc>
      </w:tr>
      <w:tr w:rsidR="0017665F" w:rsidRPr="00D90C15" w14:paraId="308B4CB5" w14:textId="77777777" w:rsidTr="0046794E">
        <w:trPr>
          <w:trHeight w:val="60"/>
        </w:trPr>
        <w:tc>
          <w:tcPr>
            <w:tcW w:w="712" w:type="pct"/>
          </w:tcPr>
          <w:p w14:paraId="1BC9DD6B" w14:textId="77777777" w:rsidR="005A008B" w:rsidRPr="006512A5" w:rsidRDefault="005A008B" w:rsidP="00E82D64">
            <w:pPr>
              <w:pStyle w:val="TableBody"/>
              <w:rPr>
                <w:rStyle w:val="Bold"/>
              </w:rPr>
            </w:pPr>
            <w:r w:rsidRPr="006512A5">
              <w:rPr>
                <w:rStyle w:val="Bold"/>
              </w:rPr>
              <w:t>Gender</w:t>
            </w:r>
          </w:p>
        </w:tc>
        <w:tc>
          <w:tcPr>
            <w:tcW w:w="816" w:type="pct"/>
          </w:tcPr>
          <w:p w14:paraId="2A400460" w14:textId="77777777" w:rsidR="005A008B" w:rsidRPr="00D90C15" w:rsidRDefault="005A008B" w:rsidP="00CC3F1F">
            <w:pPr>
              <w:pStyle w:val="TableBody"/>
            </w:pPr>
            <w:r w:rsidRPr="00D90C15">
              <w:t xml:space="preserve"> </w:t>
            </w:r>
          </w:p>
        </w:tc>
        <w:tc>
          <w:tcPr>
            <w:tcW w:w="365" w:type="pct"/>
          </w:tcPr>
          <w:p w14:paraId="74F49AAF" w14:textId="77777777" w:rsidR="005A008B" w:rsidRPr="00D90C15" w:rsidRDefault="005A008B" w:rsidP="00CC3F1F">
            <w:pPr>
              <w:pStyle w:val="TableBody"/>
            </w:pPr>
            <w:r w:rsidRPr="00D90C15">
              <w:t xml:space="preserve"> </w:t>
            </w:r>
          </w:p>
        </w:tc>
        <w:tc>
          <w:tcPr>
            <w:tcW w:w="808" w:type="pct"/>
          </w:tcPr>
          <w:p w14:paraId="66DF142C" w14:textId="77777777" w:rsidR="005A008B" w:rsidRPr="00D90C15" w:rsidRDefault="005A008B" w:rsidP="00CC3F1F">
            <w:pPr>
              <w:pStyle w:val="TableBody"/>
            </w:pPr>
            <w:r w:rsidRPr="00D90C15">
              <w:t xml:space="preserve"> </w:t>
            </w:r>
          </w:p>
        </w:tc>
        <w:tc>
          <w:tcPr>
            <w:tcW w:w="808" w:type="pct"/>
          </w:tcPr>
          <w:p w14:paraId="1715CBB5" w14:textId="77777777" w:rsidR="005A008B" w:rsidRPr="00D90C15" w:rsidRDefault="005A008B" w:rsidP="00CC3F1F">
            <w:pPr>
              <w:pStyle w:val="TableBody"/>
            </w:pPr>
            <w:r w:rsidRPr="00D90C15">
              <w:t xml:space="preserve"> </w:t>
            </w:r>
          </w:p>
        </w:tc>
        <w:tc>
          <w:tcPr>
            <w:tcW w:w="365" w:type="pct"/>
          </w:tcPr>
          <w:p w14:paraId="3A348B90" w14:textId="77777777" w:rsidR="005A008B" w:rsidRPr="00D90C15" w:rsidRDefault="005A008B" w:rsidP="00CC3F1F">
            <w:pPr>
              <w:pStyle w:val="TableBody"/>
            </w:pPr>
            <w:r w:rsidRPr="00D90C15">
              <w:t xml:space="preserve"> </w:t>
            </w:r>
          </w:p>
        </w:tc>
        <w:tc>
          <w:tcPr>
            <w:tcW w:w="808" w:type="pct"/>
          </w:tcPr>
          <w:p w14:paraId="0CDADE9E" w14:textId="77777777" w:rsidR="005A008B" w:rsidRPr="00D90C15" w:rsidRDefault="005A008B" w:rsidP="00CC3F1F">
            <w:pPr>
              <w:pStyle w:val="TableBody"/>
            </w:pPr>
            <w:r w:rsidRPr="00D90C15">
              <w:t xml:space="preserve"> </w:t>
            </w:r>
          </w:p>
        </w:tc>
        <w:tc>
          <w:tcPr>
            <w:tcW w:w="318" w:type="pct"/>
          </w:tcPr>
          <w:p w14:paraId="439B1BEE" w14:textId="77777777" w:rsidR="005A008B" w:rsidRPr="00D90C15" w:rsidRDefault="005A008B" w:rsidP="00CC3F1F">
            <w:pPr>
              <w:pStyle w:val="TableBody"/>
            </w:pPr>
            <w:r w:rsidRPr="00D90C15">
              <w:t xml:space="preserve"> </w:t>
            </w:r>
          </w:p>
        </w:tc>
      </w:tr>
      <w:tr w:rsidR="0017665F" w:rsidRPr="00D90C15" w14:paraId="76340F76" w14:textId="77777777" w:rsidTr="0046794E">
        <w:trPr>
          <w:trHeight w:val="60"/>
        </w:trPr>
        <w:tc>
          <w:tcPr>
            <w:tcW w:w="712" w:type="pct"/>
          </w:tcPr>
          <w:p w14:paraId="6B0A8E06" w14:textId="77777777" w:rsidR="005A008B" w:rsidRPr="00D90C15" w:rsidRDefault="005A008B" w:rsidP="00E82D64">
            <w:pPr>
              <w:pStyle w:val="TableBody"/>
            </w:pPr>
            <w:r w:rsidRPr="00D90C15">
              <w:t xml:space="preserve">Male </w:t>
            </w:r>
          </w:p>
        </w:tc>
        <w:tc>
          <w:tcPr>
            <w:tcW w:w="816" w:type="pct"/>
          </w:tcPr>
          <w:p w14:paraId="0EF766F5" w14:textId="77777777" w:rsidR="005A008B" w:rsidRPr="00D90C15" w:rsidRDefault="005A008B" w:rsidP="00CC3F1F">
            <w:pPr>
              <w:pStyle w:val="TableBody"/>
            </w:pPr>
            <w:r w:rsidRPr="00D90C15">
              <w:t>5</w:t>
            </w:r>
          </w:p>
        </w:tc>
        <w:tc>
          <w:tcPr>
            <w:tcW w:w="365" w:type="pct"/>
          </w:tcPr>
          <w:p w14:paraId="44357256" w14:textId="77777777" w:rsidR="005A008B" w:rsidRPr="00D90C15" w:rsidRDefault="005A008B" w:rsidP="00CC3F1F">
            <w:pPr>
              <w:pStyle w:val="TableBody"/>
            </w:pPr>
            <w:r w:rsidRPr="00D90C15">
              <w:t xml:space="preserve"> </w:t>
            </w:r>
          </w:p>
        </w:tc>
        <w:tc>
          <w:tcPr>
            <w:tcW w:w="808" w:type="pct"/>
          </w:tcPr>
          <w:p w14:paraId="517022F6" w14:textId="77777777" w:rsidR="005A008B" w:rsidRPr="00D90C15" w:rsidRDefault="005A008B" w:rsidP="00CC3F1F">
            <w:pPr>
              <w:pStyle w:val="TableBody"/>
            </w:pPr>
            <w:r w:rsidRPr="00D90C15">
              <w:t>4</w:t>
            </w:r>
          </w:p>
        </w:tc>
        <w:tc>
          <w:tcPr>
            <w:tcW w:w="808" w:type="pct"/>
          </w:tcPr>
          <w:p w14:paraId="55FA096A" w14:textId="77777777" w:rsidR="005A008B" w:rsidRPr="00D90C15" w:rsidRDefault="005A008B" w:rsidP="00CC3F1F">
            <w:pPr>
              <w:pStyle w:val="TableBody"/>
            </w:pPr>
            <w:r w:rsidRPr="00D90C15">
              <w:t>1</w:t>
            </w:r>
          </w:p>
        </w:tc>
        <w:tc>
          <w:tcPr>
            <w:tcW w:w="365" w:type="pct"/>
          </w:tcPr>
          <w:p w14:paraId="7447FD5F" w14:textId="77777777" w:rsidR="005A008B" w:rsidRPr="00D90C15" w:rsidRDefault="005A008B" w:rsidP="00CC3F1F">
            <w:pPr>
              <w:pStyle w:val="TableBody"/>
            </w:pPr>
            <w:r w:rsidRPr="00D90C15">
              <w:t xml:space="preserve"> </w:t>
            </w:r>
          </w:p>
        </w:tc>
        <w:tc>
          <w:tcPr>
            <w:tcW w:w="808" w:type="pct"/>
          </w:tcPr>
          <w:p w14:paraId="08D02BDD" w14:textId="77777777" w:rsidR="005A008B" w:rsidRPr="00D90C15" w:rsidRDefault="005A008B" w:rsidP="00CC3F1F">
            <w:pPr>
              <w:pStyle w:val="TableBody"/>
            </w:pPr>
            <w:r w:rsidRPr="00D90C15">
              <w:t xml:space="preserve"> </w:t>
            </w:r>
          </w:p>
        </w:tc>
        <w:tc>
          <w:tcPr>
            <w:tcW w:w="318" w:type="pct"/>
          </w:tcPr>
          <w:p w14:paraId="352F64A0" w14:textId="77777777" w:rsidR="005A008B" w:rsidRPr="00D90C15" w:rsidRDefault="005A008B" w:rsidP="00CC3F1F">
            <w:pPr>
              <w:pStyle w:val="TableBody"/>
            </w:pPr>
            <w:r w:rsidRPr="00D90C15">
              <w:t xml:space="preserve"> </w:t>
            </w:r>
          </w:p>
        </w:tc>
      </w:tr>
      <w:tr w:rsidR="0017665F" w:rsidRPr="00D90C15" w14:paraId="1EB9FBDB" w14:textId="77777777" w:rsidTr="0046794E">
        <w:trPr>
          <w:trHeight w:val="60"/>
        </w:trPr>
        <w:tc>
          <w:tcPr>
            <w:tcW w:w="712" w:type="pct"/>
          </w:tcPr>
          <w:p w14:paraId="46420AB1" w14:textId="77777777" w:rsidR="005A008B" w:rsidRPr="00D90C15" w:rsidRDefault="005A008B" w:rsidP="00E82D64">
            <w:pPr>
              <w:pStyle w:val="TableBody"/>
            </w:pPr>
            <w:r w:rsidRPr="00D90C15">
              <w:t>Female</w:t>
            </w:r>
          </w:p>
        </w:tc>
        <w:tc>
          <w:tcPr>
            <w:tcW w:w="816" w:type="pct"/>
          </w:tcPr>
          <w:p w14:paraId="6EA106A2" w14:textId="77777777" w:rsidR="005A008B" w:rsidRPr="00D90C15" w:rsidRDefault="005A008B" w:rsidP="00CC3F1F">
            <w:pPr>
              <w:pStyle w:val="TableBody"/>
            </w:pPr>
            <w:r w:rsidRPr="00D90C15">
              <w:t>6</w:t>
            </w:r>
          </w:p>
        </w:tc>
        <w:tc>
          <w:tcPr>
            <w:tcW w:w="365" w:type="pct"/>
          </w:tcPr>
          <w:p w14:paraId="328868FE" w14:textId="77777777" w:rsidR="005A008B" w:rsidRPr="00D90C15" w:rsidRDefault="005A008B" w:rsidP="00CC3F1F">
            <w:pPr>
              <w:pStyle w:val="TableBody"/>
            </w:pPr>
            <w:r w:rsidRPr="00D90C15">
              <w:t xml:space="preserve"> </w:t>
            </w:r>
          </w:p>
        </w:tc>
        <w:tc>
          <w:tcPr>
            <w:tcW w:w="808" w:type="pct"/>
          </w:tcPr>
          <w:p w14:paraId="3630A0BB" w14:textId="77777777" w:rsidR="005A008B" w:rsidRPr="00D90C15" w:rsidRDefault="005A008B" w:rsidP="00CC3F1F">
            <w:pPr>
              <w:pStyle w:val="TableBody"/>
            </w:pPr>
            <w:r w:rsidRPr="00D90C15">
              <w:t>5</w:t>
            </w:r>
          </w:p>
        </w:tc>
        <w:tc>
          <w:tcPr>
            <w:tcW w:w="808" w:type="pct"/>
          </w:tcPr>
          <w:p w14:paraId="0292F237" w14:textId="77777777" w:rsidR="005A008B" w:rsidRPr="00D90C15" w:rsidRDefault="005A008B" w:rsidP="00CC3F1F">
            <w:pPr>
              <w:pStyle w:val="TableBody"/>
            </w:pPr>
            <w:r w:rsidRPr="00D90C15">
              <w:t>1</w:t>
            </w:r>
          </w:p>
        </w:tc>
        <w:tc>
          <w:tcPr>
            <w:tcW w:w="365" w:type="pct"/>
          </w:tcPr>
          <w:p w14:paraId="5A62D802" w14:textId="77777777" w:rsidR="005A008B" w:rsidRPr="00D90C15" w:rsidRDefault="005A008B" w:rsidP="00CC3F1F">
            <w:pPr>
              <w:pStyle w:val="TableBody"/>
            </w:pPr>
            <w:r w:rsidRPr="00D90C15">
              <w:t xml:space="preserve"> </w:t>
            </w:r>
          </w:p>
        </w:tc>
        <w:tc>
          <w:tcPr>
            <w:tcW w:w="808" w:type="pct"/>
          </w:tcPr>
          <w:p w14:paraId="1D05AF21" w14:textId="77777777" w:rsidR="005A008B" w:rsidRPr="00D90C15" w:rsidRDefault="005A008B" w:rsidP="00CC3F1F">
            <w:pPr>
              <w:pStyle w:val="TableBody"/>
            </w:pPr>
            <w:r w:rsidRPr="00D90C15">
              <w:t xml:space="preserve"> </w:t>
            </w:r>
          </w:p>
        </w:tc>
        <w:tc>
          <w:tcPr>
            <w:tcW w:w="318" w:type="pct"/>
          </w:tcPr>
          <w:p w14:paraId="7E1C4CC4" w14:textId="77777777" w:rsidR="005A008B" w:rsidRPr="00D90C15" w:rsidRDefault="005A008B" w:rsidP="00CC3F1F">
            <w:pPr>
              <w:pStyle w:val="TableBody"/>
            </w:pPr>
            <w:r w:rsidRPr="00D90C15">
              <w:t xml:space="preserve"> </w:t>
            </w:r>
          </w:p>
        </w:tc>
      </w:tr>
      <w:tr w:rsidR="0017665F" w:rsidRPr="00D90C15" w14:paraId="5795CA03" w14:textId="77777777" w:rsidTr="0046794E">
        <w:trPr>
          <w:trHeight w:val="60"/>
        </w:trPr>
        <w:tc>
          <w:tcPr>
            <w:tcW w:w="712" w:type="pct"/>
          </w:tcPr>
          <w:p w14:paraId="5FFFD5C0" w14:textId="77777777" w:rsidR="005A008B" w:rsidRPr="00D90C15" w:rsidRDefault="005A008B" w:rsidP="00E82D64">
            <w:pPr>
              <w:pStyle w:val="TableBody"/>
            </w:pPr>
            <w:r w:rsidRPr="00D90C15">
              <w:t>Self-described</w:t>
            </w:r>
          </w:p>
        </w:tc>
        <w:tc>
          <w:tcPr>
            <w:tcW w:w="816" w:type="pct"/>
          </w:tcPr>
          <w:p w14:paraId="74B814BE" w14:textId="77777777" w:rsidR="005A008B" w:rsidRPr="00D90C15" w:rsidRDefault="005A008B" w:rsidP="00CC3F1F">
            <w:pPr>
              <w:pStyle w:val="TableBody"/>
            </w:pPr>
            <w:r w:rsidRPr="00D90C15">
              <w:t>n</w:t>
            </w:r>
          </w:p>
        </w:tc>
        <w:tc>
          <w:tcPr>
            <w:tcW w:w="365" w:type="pct"/>
          </w:tcPr>
          <w:p w14:paraId="5500AFBD" w14:textId="77777777" w:rsidR="005A008B" w:rsidRPr="00D90C15" w:rsidRDefault="005A008B" w:rsidP="00CC3F1F">
            <w:pPr>
              <w:pStyle w:val="TableBody"/>
            </w:pPr>
            <w:r w:rsidRPr="00D90C15">
              <w:t>n</w:t>
            </w:r>
          </w:p>
        </w:tc>
        <w:tc>
          <w:tcPr>
            <w:tcW w:w="808" w:type="pct"/>
          </w:tcPr>
          <w:p w14:paraId="1662C319" w14:textId="77777777" w:rsidR="005A008B" w:rsidRPr="00D90C15" w:rsidRDefault="005A008B" w:rsidP="00CC3F1F">
            <w:pPr>
              <w:pStyle w:val="TableBody"/>
            </w:pPr>
            <w:r w:rsidRPr="00D90C15">
              <w:t>n</w:t>
            </w:r>
          </w:p>
        </w:tc>
        <w:tc>
          <w:tcPr>
            <w:tcW w:w="808" w:type="pct"/>
          </w:tcPr>
          <w:p w14:paraId="65E35CF6" w14:textId="77777777" w:rsidR="005A008B" w:rsidRPr="00D90C15" w:rsidRDefault="005A008B" w:rsidP="00CC3F1F">
            <w:pPr>
              <w:pStyle w:val="TableBody"/>
            </w:pPr>
            <w:r w:rsidRPr="00D90C15">
              <w:t>n</w:t>
            </w:r>
          </w:p>
        </w:tc>
        <w:tc>
          <w:tcPr>
            <w:tcW w:w="365" w:type="pct"/>
          </w:tcPr>
          <w:p w14:paraId="5E724320" w14:textId="77777777" w:rsidR="005A008B" w:rsidRPr="00D90C15" w:rsidRDefault="005A008B" w:rsidP="00CC3F1F">
            <w:pPr>
              <w:pStyle w:val="TableBody"/>
            </w:pPr>
            <w:r w:rsidRPr="00D90C15">
              <w:t>n</w:t>
            </w:r>
          </w:p>
        </w:tc>
        <w:tc>
          <w:tcPr>
            <w:tcW w:w="808" w:type="pct"/>
          </w:tcPr>
          <w:p w14:paraId="608602D5" w14:textId="77777777" w:rsidR="005A008B" w:rsidRPr="00D90C15" w:rsidRDefault="005A008B" w:rsidP="00CC3F1F">
            <w:pPr>
              <w:pStyle w:val="TableBody"/>
            </w:pPr>
            <w:r w:rsidRPr="00D90C15">
              <w:t>n</w:t>
            </w:r>
          </w:p>
        </w:tc>
        <w:tc>
          <w:tcPr>
            <w:tcW w:w="318" w:type="pct"/>
          </w:tcPr>
          <w:p w14:paraId="102787EA" w14:textId="77777777" w:rsidR="005A008B" w:rsidRPr="00D90C15" w:rsidRDefault="005A008B" w:rsidP="00CC3F1F">
            <w:pPr>
              <w:pStyle w:val="TableBody"/>
            </w:pPr>
            <w:r w:rsidRPr="00D90C15">
              <w:t>n</w:t>
            </w:r>
          </w:p>
        </w:tc>
      </w:tr>
      <w:tr w:rsidR="0017665F" w:rsidRPr="00D90C15" w14:paraId="1E240FCC" w14:textId="77777777" w:rsidTr="0046794E">
        <w:trPr>
          <w:trHeight w:val="60"/>
        </w:trPr>
        <w:tc>
          <w:tcPr>
            <w:tcW w:w="712" w:type="pct"/>
          </w:tcPr>
          <w:p w14:paraId="2873C329" w14:textId="77777777" w:rsidR="005A008B" w:rsidRPr="006512A5" w:rsidRDefault="005A008B" w:rsidP="00E82D64">
            <w:pPr>
              <w:pStyle w:val="TableBody"/>
              <w:rPr>
                <w:rStyle w:val="Bold"/>
              </w:rPr>
            </w:pPr>
            <w:r w:rsidRPr="006512A5">
              <w:rPr>
                <w:rStyle w:val="Bold"/>
              </w:rPr>
              <w:t>VPS 1–6 grades</w:t>
            </w:r>
          </w:p>
        </w:tc>
        <w:tc>
          <w:tcPr>
            <w:tcW w:w="816" w:type="pct"/>
          </w:tcPr>
          <w:p w14:paraId="7C12CF36" w14:textId="77777777" w:rsidR="005A008B" w:rsidRPr="00D90C15" w:rsidRDefault="005A008B" w:rsidP="00CC3F1F">
            <w:pPr>
              <w:pStyle w:val="TableBody"/>
            </w:pPr>
            <w:r w:rsidRPr="00D90C15">
              <w:t xml:space="preserve"> </w:t>
            </w:r>
          </w:p>
        </w:tc>
        <w:tc>
          <w:tcPr>
            <w:tcW w:w="365" w:type="pct"/>
          </w:tcPr>
          <w:p w14:paraId="78A44A38" w14:textId="77777777" w:rsidR="005A008B" w:rsidRPr="00D90C15" w:rsidRDefault="005A008B" w:rsidP="00CC3F1F">
            <w:pPr>
              <w:pStyle w:val="TableBody"/>
            </w:pPr>
            <w:r w:rsidRPr="00D90C15">
              <w:t xml:space="preserve"> </w:t>
            </w:r>
          </w:p>
        </w:tc>
        <w:tc>
          <w:tcPr>
            <w:tcW w:w="808" w:type="pct"/>
          </w:tcPr>
          <w:p w14:paraId="51C02D12" w14:textId="77777777" w:rsidR="005A008B" w:rsidRPr="00D90C15" w:rsidRDefault="005A008B" w:rsidP="00CC3F1F">
            <w:pPr>
              <w:pStyle w:val="TableBody"/>
            </w:pPr>
            <w:r w:rsidRPr="00D90C15">
              <w:t xml:space="preserve"> </w:t>
            </w:r>
          </w:p>
        </w:tc>
        <w:tc>
          <w:tcPr>
            <w:tcW w:w="808" w:type="pct"/>
          </w:tcPr>
          <w:p w14:paraId="548DE693" w14:textId="77777777" w:rsidR="005A008B" w:rsidRPr="00D90C15" w:rsidRDefault="005A008B" w:rsidP="00CC3F1F">
            <w:pPr>
              <w:pStyle w:val="TableBody"/>
            </w:pPr>
            <w:r w:rsidRPr="00D90C15">
              <w:t xml:space="preserve"> </w:t>
            </w:r>
          </w:p>
        </w:tc>
        <w:tc>
          <w:tcPr>
            <w:tcW w:w="365" w:type="pct"/>
          </w:tcPr>
          <w:p w14:paraId="62D389D7" w14:textId="77777777" w:rsidR="005A008B" w:rsidRPr="00D90C15" w:rsidRDefault="005A008B" w:rsidP="00CC3F1F">
            <w:pPr>
              <w:pStyle w:val="TableBody"/>
            </w:pPr>
            <w:r w:rsidRPr="00D90C15">
              <w:t xml:space="preserve"> </w:t>
            </w:r>
          </w:p>
        </w:tc>
        <w:tc>
          <w:tcPr>
            <w:tcW w:w="808" w:type="pct"/>
          </w:tcPr>
          <w:p w14:paraId="685BE148" w14:textId="77777777" w:rsidR="005A008B" w:rsidRPr="00D90C15" w:rsidRDefault="005A008B" w:rsidP="00CC3F1F">
            <w:pPr>
              <w:pStyle w:val="TableBody"/>
            </w:pPr>
            <w:r w:rsidRPr="00D90C15">
              <w:t xml:space="preserve"> </w:t>
            </w:r>
          </w:p>
        </w:tc>
        <w:tc>
          <w:tcPr>
            <w:tcW w:w="318" w:type="pct"/>
          </w:tcPr>
          <w:p w14:paraId="27DE81BE" w14:textId="77777777" w:rsidR="005A008B" w:rsidRPr="00D90C15" w:rsidRDefault="005A008B" w:rsidP="00CC3F1F">
            <w:pPr>
              <w:pStyle w:val="TableBody"/>
            </w:pPr>
            <w:r w:rsidRPr="00D90C15">
              <w:t xml:space="preserve"> </w:t>
            </w:r>
          </w:p>
        </w:tc>
      </w:tr>
      <w:tr w:rsidR="0017665F" w:rsidRPr="00D90C15" w14:paraId="7B27BB42" w14:textId="77777777" w:rsidTr="0046794E">
        <w:trPr>
          <w:trHeight w:val="60"/>
        </w:trPr>
        <w:tc>
          <w:tcPr>
            <w:tcW w:w="712" w:type="pct"/>
          </w:tcPr>
          <w:p w14:paraId="687EBA4E" w14:textId="77777777" w:rsidR="005A008B" w:rsidRPr="00D90C15" w:rsidRDefault="005A008B" w:rsidP="00E82D64">
            <w:pPr>
              <w:pStyle w:val="TableBody"/>
            </w:pPr>
            <w:r w:rsidRPr="00D90C15">
              <w:t>VPS 1</w:t>
            </w:r>
          </w:p>
        </w:tc>
        <w:tc>
          <w:tcPr>
            <w:tcW w:w="816" w:type="pct"/>
          </w:tcPr>
          <w:p w14:paraId="60BE4130" w14:textId="77777777" w:rsidR="005A008B" w:rsidRPr="00D90C15" w:rsidRDefault="005A008B" w:rsidP="00CC3F1F">
            <w:pPr>
              <w:pStyle w:val="TableBody"/>
            </w:pPr>
            <w:r w:rsidRPr="00D90C15">
              <w:t xml:space="preserve"> </w:t>
            </w:r>
          </w:p>
        </w:tc>
        <w:tc>
          <w:tcPr>
            <w:tcW w:w="365" w:type="pct"/>
          </w:tcPr>
          <w:p w14:paraId="7DD7BC21" w14:textId="77777777" w:rsidR="005A008B" w:rsidRPr="00D90C15" w:rsidRDefault="005A008B" w:rsidP="00CC3F1F">
            <w:pPr>
              <w:pStyle w:val="TableBody"/>
            </w:pPr>
            <w:r w:rsidRPr="00D90C15">
              <w:t xml:space="preserve"> </w:t>
            </w:r>
          </w:p>
        </w:tc>
        <w:tc>
          <w:tcPr>
            <w:tcW w:w="808" w:type="pct"/>
          </w:tcPr>
          <w:p w14:paraId="58593B31" w14:textId="77777777" w:rsidR="005A008B" w:rsidRPr="00D90C15" w:rsidRDefault="005A008B" w:rsidP="00CC3F1F">
            <w:pPr>
              <w:pStyle w:val="TableBody"/>
            </w:pPr>
            <w:r w:rsidRPr="00D90C15">
              <w:t xml:space="preserve"> </w:t>
            </w:r>
          </w:p>
        </w:tc>
        <w:tc>
          <w:tcPr>
            <w:tcW w:w="808" w:type="pct"/>
          </w:tcPr>
          <w:p w14:paraId="7240B4B8" w14:textId="77777777" w:rsidR="005A008B" w:rsidRPr="00D90C15" w:rsidRDefault="005A008B" w:rsidP="00CC3F1F">
            <w:pPr>
              <w:pStyle w:val="TableBody"/>
            </w:pPr>
            <w:r w:rsidRPr="00D90C15">
              <w:t xml:space="preserve"> </w:t>
            </w:r>
          </w:p>
        </w:tc>
        <w:tc>
          <w:tcPr>
            <w:tcW w:w="365" w:type="pct"/>
          </w:tcPr>
          <w:p w14:paraId="3761E297" w14:textId="77777777" w:rsidR="005A008B" w:rsidRPr="00D90C15" w:rsidRDefault="005A008B" w:rsidP="00CC3F1F">
            <w:pPr>
              <w:pStyle w:val="TableBody"/>
            </w:pPr>
            <w:r w:rsidRPr="00D90C15">
              <w:t xml:space="preserve"> </w:t>
            </w:r>
          </w:p>
        </w:tc>
        <w:tc>
          <w:tcPr>
            <w:tcW w:w="808" w:type="pct"/>
          </w:tcPr>
          <w:p w14:paraId="413E9C7D" w14:textId="77777777" w:rsidR="005A008B" w:rsidRPr="00D90C15" w:rsidRDefault="005A008B" w:rsidP="00CC3F1F">
            <w:pPr>
              <w:pStyle w:val="TableBody"/>
            </w:pPr>
            <w:r w:rsidRPr="00D90C15">
              <w:t xml:space="preserve"> </w:t>
            </w:r>
          </w:p>
        </w:tc>
        <w:tc>
          <w:tcPr>
            <w:tcW w:w="318" w:type="pct"/>
          </w:tcPr>
          <w:p w14:paraId="1A0634E3" w14:textId="77777777" w:rsidR="005A008B" w:rsidRPr="00D90C15" w:rsidRDefault="005A008B" w:rsidP="00CC3F1F">
            <w:pPr>
              <w:pStyle w:val="TableBody"/>
            </w:pPr>
            <w:r w:rsidRPr="00D90C15">
              <w:t xml:space="preserve"> </w:t>
            </w:r>
          </w:p>
        </w:tc>
      </w:tr>
      <w:tr w:rsidR="0017665F" w:rsidRPr="00D90C15" w14:paraId="330B7013" w14:textId="77777777" w:rsidTr="0046794E">
        <w:trPr>
          <w:trHeight w:val="60"/>
        </w:trPr>
        <w:tc>
          <w:tcPr>
            <w:tcW w:w="712" w:type="pct"/>
          </w:tcPr>
          <w:p w14:paraId="3E47C82A" w14:textId="77777777" w:rsidR="005A008B" w:rsidRPr="00D90C15" w:rsidRDefault="005A008B" w:rsidP="00E82D64">
            <w:pPr>
              <w:pStyle w:val="TableBody"/>
            </w:pPr>
            <w:r w:rsidRPr="00D90C15">
              <w:t>VPS 2</w:t>
            </w:r>
          </w:p>
        </w:tc>
        <w:tc>
          <w:tcPr>
            <w:tcW w:w="816" w:type="pct"/>
          </w:tcPr>
          <w:p w14:paraId="62D6D064" w14:textId="77777777" w:rsidR="005A008B" w:rsidRPr="00D90C15" w:rsidRDefault="005A008B" w:rsidP="00CC3F1F">
            <w:pPr>
              <w:pStyle w:val="TableBody"/>
            </w:pPr>
            <w:r w:rsidRPr="00D90C15">
              <w:t xml:space="preserve"> </w:t>
            </w:r>
          </w:p>
        </w:tc>
        <w:tc>
          <w:tcPr>
            <w:tcW w:w="365" w:type="pct"/>
          </w:tcPr>
          <w:p w14:paraId="66058410" w14:textId="77777777" w:rsidR="005A008B" w:rsidRPr="00D90C15" w:rsidRDefault="005A008B" w:rsidP="00CC3F1F">
            <w:pPr>
              <w:pStyle w:val="TableBody"/>
            </w:pPr>
            <w:r w:rsidRPr="00D90C15">
              <w:t xml:space="preserve"> </w:t>
            </w:r>
          </w:p>
        </w:tc>
        <w:tc>
          <w:tcPr>
            <w:tcW w:w="808" w:type="pct"/>
          </w:tcPr>
          <w:p w14:paraId="7CA83DB0" w14:textId="77777777" w:rsidR="005A008B" w:rsidRPr="00D90C15" w:rsidRDefault="005A008B" w:rsidP="00CC3F1F">
            <w:pPr>
              <w:pStyle w:val="TableBody"/>
            </w:pPr>
            <w:r w:rsidRPr="00D90C15">
              <w:t xml:space="preserve"> </w:t>
            </w:r>
          </w:p>
        </w:tc>
        <w:tc>
          <w:tcPr>
            <w:tcW w:w="808" w:type="pct"/>
          </w:tcPr>
          <w:p w14:paraId="5D538E02" w14:textId="77777777" w:rsidR="005A008B" w:rsidRPr="00D90C15" w:rsidRDefault="005A008B" w:rsidP="00CC3F1F">
            <w:pPr>
              <w:pStyle w:val="TableBody"/>
            </w:pPr>
            <w:r w:rsidRPr="00D90C15">
              <w:t xml:space="preserve"> </w:t>
            </w:r>
          </w:p>
        </w:tc>
        <w:tc>
          <w:tcPr>
            <w:tcW w:w="365" w:type="pct"/>
          </w:tcPr>
          <w:p w14:paraId="697BD357" w14:textId="77777777" w:rsidR="005A008B" w:rsidRPr="00D90C15" w:rsidRDefault="005A008B" w:rsidP="00CC3F1F">
            <w:pPr>
              <w:pStyle w:val="TableBody"/>
            </w:pPr>
            <w:r w:rsidRPr="00D90C15">
              <w:t xml:space="preserve"> </w:t>
            </w:r>
          </w:p>
        </w:tc>
        <w:tc>
          <w:tcPr>
            <w:tcW w:w="808" w:type="pct"/>
          </w:tcPr>
          <w:p w14:paraId="4E67B108" w14:textId="77777777" w:rsidR="005A008B" w:rsidRPr="00D90C15" w:rsidRDefault="005A008B" w:rsidP="00CC3F1F">
            <w:pPr>
              <w:pStyle w:val="TableBody"/>
            </w:pPr>
            <w:r w:rsidRPr="00D90C15">
              <w:t xml:space="preserve"> </w:t>
            </w:r>
          </w:p>
        </w:tc>
        <w:tc>
          <w:tcPr>
            <w:tcW w:w="318" w:type="pct"/>
          </w:tcPr>
          <w:p w14:paraId="7AFF667B" w14:textId="77777777" w:rsidR="005A008B" w:rsidRPr="00D90C15" w:rsidRDefault="005A008B" w:rsidP="00CC3F1F">
            <w:pPr>
              <w:pStyle w:val="TableBody"/>
            </w:pPr>
            <w:r w:rsidRPr="00D90C15">
              <w:t xml:space="preserve"> </w:t>
            </w:r>
          </w:p>
        </w:tc>
      </w:tr>
      <w:tr w:rsidR="0017665F" w:rsidRPr="00D90C15" w14:paraId="0C108239" w14:textId="77777777" w:rsidTr="0046794E">
        <w:trPr>
          <w:trHeight w:val="60"/>
        </w:trPr>
        <w:tc>
          <w:tcPr>
            <w:tcW w:w="712" w:type="pct"/>
          </w:tcPr>
          <w:p w14:paraId="58D75840" w14:textId="77777777" w:rsidR="005A008B" w:rsidRPr="00D90C15" w:rsidRDefault="005A008B" w:rsidP="00E82D64">
            <w:pPr>
              <w:pStyle w:val="TableBody"/>
            </w:pPr>
            <w:r w:rsidRPr="00D90C15">
              <w:t>VPS 3</w:t>
            </w:r>
          </w:p>
        </w:tc>
        <w:tc>
          <w:tcPr>
            <w:tcW w:w="816" w:type="pct"/>
          </w:tcPr>
          <w:p w14:paraId="586176CD" w14:textId="77777777" w:rsidR="005A008B" w:rsidRPr="00D90C15" w:rsidRDefault="005A008B" w:rsidP="00CC3F1F">
            <w:pPr>
              <w:pStyle w:val="TableBody"/>
            </w:pPr>
            <w:r w:rsidRPr="00D90C15">
              <w:t>1</w:t>
            </w:r>
          </w:p>
        </w:tc>
        <w:tc>
          <w:tcPr>
            <w:tcW w:w="365" w:type="pct"/>
          </w:tcPr>
          <w:p w14:paraId="2E17715D" w14:textId="77777777" w:rsidR="005A008B" w:rsidRPr="00D90C15" w:rsidRDefault="005A008B" w:rsidP="00CC3F1F">
            <w:pPr>
              <w:pStyle w:val="TableBody"/>
            </w:pPr>
            <w:r w:rsidRPr="00D90C15">
              <w:t>1</w:t>
            </w:r>
          </w:p>
        </w:tc>
        <w:tc>
          <w:tcPr>
            <w:tcW w:w="808" w:type="pct"/>
          </w:tcPr>
          <w:p w14:paraId="5464BCEC" w14:textId="77777777" w:rsidR="005A008B" w:rsidRPr="00D90C15" w:rsidRDefault="005A008B" w:rsidP="00CC3F1F">
            <w:pPr>
              <w:pStyle w:val="TableBody"/>
            </w:pPr>
            <w:r w:rsidRPr="00D90C15">
              <w:t>1</w:t>
            </w:r>
          </w:p>
        </w:tc>
        <w:tc>
          <w:tcPr>
            <w:tcW w:w="808" w:type="pct"/>
          </w:tcPr>
          <w:p w14:paraId="37B09628" w14:textId="77777777" w:rsidR="005A008B" w:rsidRPr="00D90C15" w:rsidRDefault="005A008B" w:rsidP="00CC3F1F">
            <w:pPr>
              <w:pStyle w:val="TableBody"/>
            </w:pPr>
            <w:r w:rsidRPr="00D90C15">
              <w:t xml:space="preserve"> </w:t>
            </w:r>
          </w:p>
        </w:tc>
        <w:tc>
          <w:tcPr>
            <w:tcW w:w="365" w:type="pct"/>
          </w:tcPr>
          <w:p w14:paraId="0C7D5001" w14:textId="77777777" w:rsidR="005A008B" w:rsidRPr="00D90C15" w:rsidRDefault="005A008B" w:rsidP="00CC3F1F">
            <w:pPr>
              <w:pStyle w:val="TableBody"/>
            </w:pPr>
            <w:r w:rsidRPr="00D90C15">
              <w:t>1</w:t>
            </w:r>
          </w:p>
        </w:tc>
        <w:tc>
          <w:tcPr>
            <w:tcW w:w="808" w:type="pct"/>
          </w:tcPr>
          <w:p w14:paraId="3E72F72D" w14:textId="77777777" w:rsidR="005A008B" w:rsidRPr="00D90C15" w:rsidRDefault="005A008B" w:rsidP="00CC3F1F">
            <w:pPr>
              <w:pStyle w:val="TableBody"/>
            </w:pPr>
            <w:r w:rsidRPr="00D90C15">
              <w:t xml:space="preserve"> </w:t>
            </w:r>
          </w:p>
        </w:tc>
        <w:tc>
          <w:tcPr>
            <w:tcW w:w="318" w:type="pct"/>
          </w:tcPr>
          <w:p w14:paraId="5B8157C2" w14:textId="77777777" w:rsidR="005A008B" w:rsidRPr="00D90C15" w:rsidRDefault="005A008B" w:rsidP="00CC3F1F">
            <w:pPr>
              <w:pStyle w:val="TableBody"/>
            </w:pPr>
            <w:r w:rsidRPr="00D90C15">
              <w:t xml:space="preserve"> </w:t>
            </w:r>
          </w:p>
        </w:tc>
      </w:tr>
      <w:tr w:rsidR="0017665F" w:rsidRPr="00D90C15" w14:paraId="2D78CEED" w14:textId="77777777" w:rsidTr="0046794E">
        <w:trPr>
          <w:trHeight w:val="60"/>
        </w:trPr>
        <w:tc>
          <w:tcPr>
            <w:tcW w:w="712" w:type="pct"/>
          </w:tcPr>
          <w:p w14:paraId="706088E4" w14:textId="77777777" w:rsidR="005A008B" w:rsidRPr="00D90C15" w:rsidRDefault="005A008B" w:rsidP="00E82D64">
            <w:pPr>
              <w:pStyle w:val="TableBody"/>
            </w:pPr>
            <w:r w:rsidRPr="00D90C15">
              <w:t>VPS 4</w:t>
            </w:r>
          </w:p>
        </w:tc>
        <w:tc>
          <w:tcPr>
            <w:tcW w:w="816" w:type="pct"/>
          </w:tcPr>
          <w:p w14:paraId="427077E8" w14:textId="77777777" w:rsidR="005A008B" w:rsidRPr="00D90C15" w:rsidRDefault="005A008B" w:rsidP="00CC3F1F">
            <w:pPr>
              <w:pStyle w:val="TableBody"/>
            </w:pPr>
            <w:r w:rsidRPr="00D90C15">
              <w:t>1</w:t>
            </w:r>
          </w:p>
        </w:tc>
        <w:tc>
          <w:tcPr>
            <w:tcW w:w="365" w:type="pct"/>
          </w:tcPr>
          <w:p w14:paraId="6FB4DA77" w14:textId="77777777" w:rsidR="005A008B" w:rsidRPr="00D90C15" w:rsidRDefault="005A008B" w:rsidP="00CC3F1F">
            <w:pPr>
              <w:pStyle w:val="TableBody"/>
            </w:pPr>
            <w:r w:rsidRPr="00D90C15">
              <w:t>1</w:t>
            </w:r>
          </w:p>
        </w:tc>
        <w:tc>
          <w:tcPr>
            <w:tcW w:w="808" w:type="pct"/>
          </w:tcPr>
          <w:p w14:paraId="082E099C" w14:textId="77777777" w:rsidR="005A008B" w:rsidRPr="00D90C15" w:rsidRDefault="005A008B" w:rsidP="00CC3F1F">
            <w:pPr>
              <w:pStyle w:val="TableBody"/>
            </w:pPr>
            <w:r w:rsidRPr="00D90C15">
              <w:t>1</w:t>
            </w:r>
          </w:p>
        </w:tc>
        <w:tc>
          <w:tcPr>
            <w:tcW w:w="808" w:type="pct"/>
          </w:tcPr>
          <w:p w14:paraId="69335B3E" w14:textId="77777777" w:rsidR="005A008B" w:rsidRPr="00D90C15" w:rsidRDefault="005A008B" w:rsidP="00CC3F1F">
            <w:pPr>
              <w:pStyle w:val="TableBody"/>
            </w:pPr>
            <w:r w:rsidRPr="00D90C15">
              <w:t xml:space="preserve"> </w:t>
            </w:r>
          </w:p>
        </w:tc>
        <w:tc>
          <w:tcPr>
            <w:tcW w:w="365" w:type="pct"/>
          </w:tcPr>
          <w:p w14:paraId="724054DA" w14:textId="77777777" w:rsidR="005A008B" w:rsidRPr="00D90C15" w:rsidRDefault="005A008B" w:rsidP="00CC3F1F">
            <w:pPr>
              <w:pStyle w:val="TableBody"/>
            </w:pPr>
            <w:r w:rsidRPr="00D90C15">
              <w:t>1</w:t>
            </w:r>
          </w:p>
        </w:tc>
        <w:tc>
          <w:tcPr>
            <w:tcW w:w="808" w:type="pct"/>
          </w:tcPr>
          <w:p w14:paraId="29042EA6" w14:textId="77777777" w:rsidR="005A008B" w:rsidRPr="00D90C15" w:rsidRDefault="005A008B" w:rsidP="00CC3F1F">
            <w:pPr>
              <w:pStyle w:val="TableBody"/>
            </w:pPr>
            <w:r w:rsidRPr="00D90C15">
              <w:t xml:space="preserve"> </w:t>
            </w:r>
          </w:p>
        </w:tc>
        <w:tc>
          <w:tcPr>
            <w:tcW w:w="318" w:type="pct"/>
          </w:tcPr>
          <w:p w14:paraId="207E6F19" w14:textId="77777777" w:rsidR="005A008B" w:rsidRPr="00D90C15" w:rsidRDefault="005A008B" w:rsidP="00CC3F1F">
            <w:pPr>
              <w:pStyle w:val="TableBody"/>
            </w:pPr>
            <w:r w:rsidRPr="00D90C15">
              <w:t xml:space="preserve"> </w:t>
            </w:r>
          </w:p>
        </w:tc>
      </w:tr>
      <w:tr w:rsidR="0017665F" w:rsidRPr="00D90C15" w14:paraId="1C6D9ADF" w14:textId="77777777" w:rsidTr="0046794E">
        <w:trPr>
          <w:trHeight w:val="60"/>
        </w:trPr>
        <w:tc>
          <w:tcPr>
            <w:tcW w:w="712" w:type="pct"/>
          </w:tcPr>
          <w:p w14:paraId="0EA72075" w14:textId="77777777" w:rsidR="005A008B" w:rsidRPr="00D90C15" w:rsidRDefault="005A008B" w:rsidP="00E82D64">
            <w:pPr>
              <w:pStyle w:val="TableBody"/>
            </w:pPr>
            <w:r w:rsidRPr="00D90C15">
              <w:t>VPS 5</w:t>
            </w:r>
          </w:p>
        </w:tc>
        <w:tc>
          <w:tcPr>
            <w:tcW w:w="816" w:type="pct"/>
          </w:tcPr>
          <w:p w14:paraId="3C94F17C" w14:textId="77777777" w:rsidR="005A008B" w:rsidRPr="00D90C15" w:rsidRDefault="005A008B" w:rsidP="00CC3F1F">
            <w:pPr>
              <w:pStyle w:val="TableBody"/>
            </w:pPr>
            <w:r w:rsidRPr="00D90C15">
              <w:t>6</w:t>
            </w:r>
          </w:p>
        </w:tc>
        <w:tc>
          <w:tcPr>
            <w:tcW w:w="365" w:type="pct"/>
          </w:tcPr>
          <w:p w14:paraId="3900F8BD" w14:textId="77777777" w:rsidR="005A008B" w:rsidRPr="00D90C15" w:rsidRDefault="005A008B" w:rsidP="00CC3F1F">
            <w:pPr>
              <w:pStyle w:val="TableBody"/>
            </w:pPr>
            <w:r w:rsidRPr="00D90C15">
              <w:t>5.8</w:t>
            </w:r>
          </w:p>
        </w:tc>
        <w:tc>
          <w:tcPr>
            <w:tcW w:w="808" w:type="pct"/>
          </w:tcPr>
          <w:p w14:paraId="75534A91" w14:textId="77777777" w:rsidR="005A008B" w:rsidRPr="00D90C15" w:rsidRDefault="005A008B" w:rsidP="00CC3F1F">
            <w:pPr>
              <w:pStyle w:val="TableBody"/>
            </w:pPr>
            <w:r w:rsidRPr="00D90C15">
              <w:t>5</w:t>
            </w:r>
          </w:p>
        </w:tc>
        <w:tc>
          <w:tcPr>
            <w:tcW w:w="808" w:type="pct"/>
          </w:tcPr>
          <w:p w14:paraId="176089B3" w14:textId="77777777" w:rsidR="005A008B" w:rsidRPr="00D90C15" w:rsidRDefault="005A008B" w:rsidP="00CC3F1F">
            <w:pPr>
              <w:pStyle w:val="TableBody"/>
            </w:pPr>
            <w:r w:rsidRPr="00D90C15">
              <w:t>1</w:t>
            </w:r>
          </w:p>
        </w:tc>
        <w:tc>
          <w:tcPr>
            <w:tcW w:w="365" w:type="pct"/>
          </w:tcPr>
          <w:p w14:paraId="6D8F5697" w14:textId="77777777" w:rsidR="005A008B" w:rsidRPr="00D90C15" w:rsidRDefault="005A008B" w:rsidP="00CC3F1F">
            <w:pPr>
              <w:pStyle w:val="TableBody"/>
            </w:pPr>
            <w:r w:rsidRPr="00D90C15">
              <w:t>5.8</w:t>
            </w:r>
          </w:p>
        </w:tc>
        <w:tc>
          <w:tcPr>
            <w:tcW w:w="808" w:type="pct"/>
          </w:tcPr>
          <w:p w14:paraId="2EF9D265" w14:textId="77777777" w:rsidR="005A008B" w:rsidRPr="00D90C15" w:rsidRDefault="005A008B" w:rsidP="00CC3F1F">
            <w:pPr>
              <w:pStyle w:val="TableBody"/>
            </w:pPr>
            <w:r w:rsidRPr="00D90C15">
              <w:t xml:space="preserve"> </w:t>
            </w:r>
          </w:p>
        </w:tc>
        <w:tc>
          <w:tcPr>
            <w:tcW w:w="318" w:type="pct"/>
          </w:tcPr>
          <w:p w14:paraId="41094A21" w14:textId="77777777" w:rsidR="005A008B" w:rsidRPr="00D90C15" w:rsidRDefault="005A008B" w:rsidP="00CC3F1F">
            <w:pPr>
              <w:pStyle w:val="TableBody"/>
            </w:pPr>
            <w:r w:rsidRPr="00D90C15">
              <w:t xml:space="preserve"> </w:t>
            </w:r>
          </w:p>
        </w:tc>
      </w:tr>
      <w:tr w:rsidR="0017665F" w:rsidRPr="00D90C15" w14:paraId="18C3E43A" w14:textId="77777777" w:rsidTr="0046794E">
        <w:trPr>
          <w:trHeight w:val="60"/>
        </w:trPr>
        <w:tc>
          <w:tcPr>
            <w:tcW w:w="712" w:type="pct"/>
          </w:tcPr>
          <w:p w14:paraId="33DB3068" w14:textId="77777777" w:rsidR="005A008B" w:rsidRPr="00D90C15" w:rsidRDefault="005A008B" w:rsidP="00E82D64">
            <w:pPr>
              <w:pStyle w:val="TableBody"/>
            </w:pPr>
            <w:r w:rsidRPr="00D90C15">
              <w:t>VPS 6</w:t>
            </w:r>
          </w:p>
        </w:tc>
        <w:tc>
          <w:tcPr>
            <w:tcW w:w="816" w:type="pct"/>
          </w:tcPr>
          <w:p w14:paraId="7ADCE5FC" w14:textId="77777777" w:rsidR="005A008B" w:rsidRPr="00D90C15" w:rsidRDefault="005A008B" w:rsidP="00CC3F1F">
            <w:pPr>
              <w:pStyle w:val="TableBody"/>
            </w:pPr>
            <w:r w:rsidRPr="00D90C15">
              <w:t>2</w:t>
            </w:r>
          </w:p>
        </w:tc>
        <w:tc>
          <w:tcPr>
            <w:tcW w:w="365" w:type="pct"/>
          </w:tcPr>
          <w:p w14:paraId="076FFD72" w14:textId="77777777" w:rsidR="005A008B" w:rsidRPr="00D90C15" w:rsidRDefault="005A008B" w:rsidP="00CC3F1F">
            <w:pPr>
              <w:pStyle w:val="TableBody"/>
            </w:pPr>
            <w:r w:rsidRPr="00D90C15">
              <w:t>1.7</w:t>
            </w:r>
          </w:p>
        </w:tc>
        <w:tc>
          <w:tcPr>
            <w:tcW w:w="808" w:type="pct"/>
          </w:tcPr>
          <w:p w14:paraId="6E5AAC7E" w14:textId="77777777" w:rsidR="005A008B" w:rsidRPr="00D90C15" w:rsidRDefault="005A008B" w:rsidP="00CC3F1F">
            <w:pPr>
              <w:pStyle w:val="TableBody"/>
            </w:pPr>
            <w:r w:rsidRPr="00D90C15">
              <w:t>1</w:t>
            </w:r>
          </w:p>
        </w:tc>
        <w:tc>
          <w:tcPr>
            <w:tcW w:w="808" w:type="pct"/>
          </w:tcPr>
          <w:p w14:paraId="279852D0" w14:textId="77777777" w:rsidR="005A008B" w:rsidRPr="00D90C15" w:rsidRDefault="005A008B" w:rsidP="00CC3F1F">
            <w:pPr>
              <w:pStyle w:val="TableBody"/>
            </w:pPr>
            <w:r w:rsidRPr="00D90C15">
              <w:t>1</w:t>
            </w:r>
          </w:p>
        </w:tc>
        <w:tc>
          <w:tcPr>
            <w:tcW w:w="365" w:type="pct"/>
          </w:tcPr>
          <w:p w14:paraId="19ADC4EA" w14:textId="77777777" w:rsidR="005A008B" w:rsidRPr="00D90C15" w:rsidRDefault="005A008B" w:rsidP="00CC3F1F">
            <w:pPr>
              <w:pStyle w:val="TableBody"/>
            </w:pPr>
            <w:r w:rsidRPr="00D90C15">
              <w:t>1.7</w:t>
            </w:r>
          </w:p>
        </w:tc>
        <w:tc>
          <w:tcPr>
            <w:tcW w:w="808" w:type="pct"/>
          </w:tcPr>
          <w:p w14:paraId="3A680632" w14:textId="77777777" w:rsidR="005A008B" w:rsidRPr="00D90C15" w:rsidRDefault="005A008B" w:rsidP="00CC3F1F">
            <w:pPr>
              <w:pStyle w:val="TableBody"/>
            </w:pPr>
            <w:r w:rsidRPr="00D90C15">
              <w:t xml:space="preserve"> </w:t>
            </w:r>
          </w:p>
        </w:tc>
        <w:tc>
          <w:tcPr>
            <w:tcW w:w="318" w:type="pct"/>
          </w:tcPr>
          <w:p w14:paraId="43C2870D" w14:textId="77777777" w:rsidR="005A008B" w:rsidRPr="00D90C15" w:rsidRDefault="005A008B" w:rsidP="00CC3F1F">
            <w:pPr>
              <w:pStyle w:val="TableBody"/>
            </w:pPr>
            <w:r w:rsidRPr="00D90C15">
              <w:t xml:space="preserve"> </w:t>
            </w:r>
          </w:p>
        </w:tc>
      </w:tr>
      <w:tr w:rsidR="0017665F" w:rsidRPr="00D90C15" w14:paraId="1592E61E" w14:textId="77777777" w:rsidTr="0046794E">
        <w:trPr>
          <w:trHeight w:val="60"/>
        </w:trPr>
        <w:tc>
          <w:tcPr>
            <w:tcW w:w="712" w:type="pct"/>
          </w:tcPr>
          <w:p w14:paraId="2E174B21" w14:textId="77777777" w:rsidR="005A008B" w:rsidRPr="00D90C15" w:rsidRDefault="005A008B" w:rsidP="00E82D64">
            <w:pPr>
              <w:pStyle w:val="TableBody"/>
            </w:pPr>
            <w:r w:rsidRPr="00D90C15">
              <w:t>VPS 7</w:t>
            </w:r>
          </w:p>
        </w:tc>
        <w:tc>
          <w:tcPr>
            <w:tcW w:w="816" w:type="pct"/>
          </w:tcPr>
          <w:p w14:paraId="4EAA0475" w14:textId="77777777" w:rsidR="005A008B" w:rsidRPr="00D90C15" w:rsidRDefault="005A008B" w:rsidP="00CC3F1F">
            <w:pPr>
              <w:pStyle w:val="TableBody"/>
            </w:pPr>
            <w:r w:rsidRPr="00D90C15">
              <w:t>1</w:t>
            </w:r>
          </w:p>
        </w:tc>
        <w:tc>
          <w:tcPr>
            <w:tcW w:w="365" w:type="pct"/>
          </w:tcPr>
          <w:p w14:paraId="6B79E3AE" w14:textId="77777777" w:rsidR="005A008B" w:rsidRPr="00D90C15" w:rsidRDefault="005A008B" w:rsidP="00CC3F1F">
            <w:pPr>
              <w:pStyle w:val="TableBody"/>
            </w:pPr>
            <w:r w:rsidRPr="00D90C15">
              <w:t>1</w:t>
            </w:r>
          </w:p>
        </w:tc>
        <w:tc>
          <w:tcPr>
            <w:tcW w:w="808" w:type="pct"/>
          </w:tcPr>
          <w:p w14:paraId="3E20689F" w14:textId="77777777" w:rsidR="005A008B" w:rsidRPr="00D90C15" w:rsidRDefault="005A008B" w:rsidP="00CC3F1F">
            <w:pPr>
              <w:pStyle w:val="TableBody"/>
            </w:pPr>
            <w:r w:rsidRPr="00D90C15">
              <w:t>1</w:t>
            </w:r>
          </w:p>
        </w:tc>
        <w:tc>
          <w:tcPr>
            <w:tcW w:w="808" w:type="pct"/>
          </w:tcPr>
          <w:p w14:paraId="7C5A7081" w14:textId="77777777" w:rsidR="005A008B" w:rsidRPr="00D90C15" w:rsidRDefault="005A008B" w:rsidP="00CC3F1F">
            <w:pPr>
              <w:pStyle w:val="TableBody"/>
            </w:pPr>
            <w:r w:rsidRPr="00D90C15">
              <w:t xml:space="preserve"> </w:t>
            </w:r>
          </w:p>
        </w:tc>
        <w:tc>
          <w:tcPr>
            <w:tcW w:w="365" w:type="pct"/>
          </w:tcPr>
          <w:p w14:paraId="349AEF6A" w14:textId="77777777" w:rsidR="005A008B" w:rsidRPr="00D90C15" w:rsidRDefault="005A008B" w:rsidP="00CC3F1F">
            <w:pPr>
              <w:pStyle w:val="TableBody"/>
            </w:pPr>
            <w:r w:rsidRPr="00D90C15">
              <w:t>1</w:t>
            </w:r>
          </w:p>
        </w:tc>
        <w:tc>
          <w:tcPr>
            <w:tcW w:w="808" w:type="pct"/>
          </w:tcPr>
          <w:p w14:paraId="36DF7460" w14:textId="77777777" w:rsidR="005A008B" w:rsidRPr="00D90C15" w:rsidRDefault="005A008B" w:rsidP="00CC3F1F">
            <w:pPr>
              <w:pStyle w:val="TableBody"/>
            </w:pPr>
            <w:r w:rsidRPr="00D90C15">
              <w:t xml:space="preserve"> </w:t>
            </w:r>
          </w:p>
        </w:tc>
        <w:tc>
          <w:tcPr>
            <w:tcW w:w="318" w:type="pct"/>
          </w:tcPr>
          <w:p w14:paraId="35804990" w14:textId="77777777" w:rsidR="005A008B" w:rsidRPr="00D90C15" w:rsidRDefault="005A008B" w:rsidP="00CC3F1F">
            <w:pPr>
              <w:pStyle w:val="TableBody"/>
            </w:pPr>
            <w:r w:rsidRPr="00D90C15">
              <w:t xml:space="preserve"> </w:t>
            </w:r>
          </w:p>
        </w:tc>
      </w:tr>
      <w:tr w:rsidR="0017665F" w:rsidRPr="00D90C15" w14:paraId="2E2B6238" w14:textId="77777777" w:rsidTr="0046794E">
        <w:trPr>
          <w:trHeight w:val="60"/>
        </w:trPr>
        <w:tc>
          <w:tcPr>
            <w:tcW w:w="712" w:type="pct"/>
          </w:tcPr>
          <w:p w14:paraId="3F92C758" w14:textId="77777777" w:rsidR="005A008B" w:rsidRPr="006512A5" w:rsidRDefault="005A008B" w:rsidP="00E82D64">
            <w:pPr>
              <w:pStyle w:val="TableBody"/>
              <w:rPr>
                <w:rStyle w:val="Bold"/>
              </w:rPr>
            </w:pPr>
            <w:r w:rsidRPr="006512A5">
              <w:rPr>
                <w:rStyle w:val="Bold"/>
              </w:rPr>
              <w:t>Total employees</w:t>
            </w:r>
          </w:p>
        </w:tc>
        <w:tc>
          <w:tcPr>
            <w:tcW w:w="816" w:type="pct"/>
          </w:tcPr>
          <w:p w14:paraId="7CF64884" w14:textId="77777777" w:rsidR="005A008B" w:rsidRPr="006512A5" w:rsidRDefault="005A008B" w:rsidP="00CC3F1F">
            <w:pPr>
              <w:pStyle w:val="TableBody"/>
              <w:rPr>
                <w:rStyle w:val="Bold"/>
              </w:rPr>
            </w:pPr>
            <w:r w:rsidRPr="006512A5">
              <w:rPr>
                <w:rStyle w:val="Bold"/>
              </w:rPr>
              <w:t>11</w:t>
            </w:r>
          </w:p>
        </w:tc>
        <w:tc>
          <w:tcPr>
            <w:tcW w:w="365" w:type="pct"/>
          </w:tcPr>
          <w:p w14:paraId="0F48F015" w14:textId="77777777" w:rsidR="005A008B" w:rsidRPr="006512A5" w:rsidRDefault="005A008B" w:rsidP="00CC3F1F">
            <w:pPr>
              <w:pStyle w:val="TableBody"/>
              <w:rPr>
                <w:rStyle w:val="Bold"/>
              </w:rPr>
            </w:pPr>
            <w:r w:rsidRPr="006512A5">
              <w:rPr>
                <w:rStyle w:val="Bold"/>
              </w:rPr>
              <w:t>10.5</w:t>
            </w:r>
          </w:p>
        </w:tc>
        <w:tc>
          <w:tcPr>
            <w:tcW w:w="808" w:type="pct"/>
          </w:tcPr>
          <w:p w14:paraId="7C2F207B" w14:textId="77777777" w:rsidR="005A008B" w:rsidRPr="006512A5" w:rsidRDefault="005A008B" w:rsidP="00CC3F1F">
            <w:pPr>
              <w:pStyle w:val="TableBody"/>
              <w:rPr>
                <w:rStyle w:val="Bold"/>
              </w:rPr>
            </w:pPr>
            <w:r w:rsidRPr="006512A5">
              <w:rPr>
                <w:rStyle w:val="Bold"/>
              </w:rPr>
              <w:t>9</w:t>
            </w:r>
          </w:p>
        </w:tc>
        <w:tc>
          <w:tcPr>
            <w:tcW w:w="808" w:type="pct"/>
          </w:tcPr>
          <w:p w14:paraId="36FDFA22" w14:textId="77777777" w:rsidR="005A008B" w:rsidRPr="006512A5" w:rsidRDefault="005A008B" w:rsidP="00CC3F1F">
            <w:pPr>
              <w:pStyle w:val="TableBody"/>
              <w:rPr>
                <w:rStyle w:val="Bold"/>
              </w:rPr>
            </w:pPr>
            <w:r w:rsidRPr="006512A5">
              <w:rPr>
                <w:rStyle w:val="Bold"/>
              </w:rPr>
              <w:t>2</w:t>
            </w:r>
          </w:p>
        </w:tc>
        <w:tc>
          <w:tcPr>
            <w:tcW w:w="365" w:type="pct"/>
          </w:tcPr>
          <w:p w14:paraId="4871B01C" w14:textId="77777777" w:rsidR="005A008B" w:rsidRPr="006512A5" w:rsidRDefault="005A008B" w:rsidP="00CC3F1F">
            <w:pPr>
              <w:pStyle w:val="TableBody"/>
              <w:rPr>
                <w:rStyle w:val="Bold"/>
              </w:rPr>
            </w:pPr>
            <w:r w:rsidRPr="006512A5">
              <w:rPr>
                <w:rStyle w:val="Bold"/>
              </w:rPr>
              <w:t>10.5</w:t>
            </w:r>
          </w:p>
        </w:tc>
        <w:tc>
          <w:tcPr>
            <w:tcW w:w="808" w:type="pct"/>
          </w:tcPr>
          <w:p w14:paraId="4C7E0022" w14:textId="77777777" w:rsidR="005A008B" w:rsidRPr="006512A5" w:rsidRDefault="005A008B" w:rsidP="00CC3F1F">
            <w:pPr>
              <w:pStyle w:val="TableBody"/>
              <w:rPr>
                <w:rStyle w:val="Bold"/>
              </w:rPr>
            </w:pPr>
            <w:r w:rsidRPr="006512A5">
              <w:rPr>
                <w:rStyle w:val="Bold"/>
              </w:rPr>
              <w:t>0</w:t>
            </w:r>
          </w:p>
        </w:tc>
        <w:tc>
          <w:tcPr>
            <w:tcW w:w="318" w:type="pct"/>
          </w:tcPr>
          <w:p w14:paraId="18D7E9A7" w14:textId="77777777" w:rsidR="005A008B" w:rsidRPr="006512A5" w:rsidRDefault="005A008B" w:rsidP="00CC3F1F">
            <w:pPr>
              <w:pStyle w:val="TableBody"/>
              <w:rPr>
                <w:rStyle w:val="Bold"/>
              </w:rPr>
            </w:pPr>
            <w:r w:rsidRPr="006512A5">
              <w:rPr>
                <w:rStyle w:val="Bold"/>
              </w:rPr>
              <w:t>0</w:t>
            </w:r>
          </w:p>
        </w:tc>
      </w:tr>
    </w:tbl>
    <w:p w14:paraId="7A028770" w14:textId="77777777" w:rsidR="005A008B" w:rsidRPr="00D90C15" w:rsidRDefault="005A008B" w:rsidP="00926C26">
      <w:pPr>
        <w:pStyle w:val="Heading2"/>
      </w:pPr>
      <w:bookmarkStart w:id="73" w:name="_Toc221113839"/>
      <w:r w:rsidRPr="00D90C15">
        <w:lastRenderedPageBreak/>
        <w:t>Five-Year Financial Summary</w:t>
      </w:r>
      <w:bookmarkEnd w:id="73"/>
    </w:p>
    <w:p w14:paraId="4E12D7A3" w14:textId="77777777" w:rsidR="005A008B" w:rsidRPr="00D90C15" w:rsidRDefault="005A008B" w:rsidP="00B54C95">
      <w:pPr>
        <w:pStyle w:val="Caption"/>
      </w:pPr>
      <w:r w:rsidRPr="00D90C15">
        <w:t>Table 5: Financial results and position, 2020–21 to 2024–25</w:t>
      </w:r>
    </w:p>
    <w:tbl>
      <w:tblPr>
        <w:tblStyle w:val="Table"/>
        <w:tblW w:w="5000" w:type="pct"/>
        <w:tblLook w:val="0020" w:firstRow="1" w:lastRow="0" w:firstColumn="0" w:lastColumn="0" w:noHBand="0" w:noVBand="0"/>
      </w:tblPr>
      <w:tblGrid>
        <w:gridCol w:w="1890"/>
        <w:gridCol w:w="866"/>
        <w:gridCol w:w="1252"/>
        <w:gridCol w:w="1252"/>
        <w:gridCol w:w="1252"/>
        <w:gridCol w:w="1252"/>
        <w:gridCol w:w="1252"/>
      </w:tblGrid>
      <w:tr w:rsidR="005A008B" w:rsidRPr="00D90C15" w14:paraId="44BB9609" w14:textId="77777777" w:rsidTr="0046794E">
        <w:trPr>
          <w:trHeight w:val="60"/>
          <w:tblHeader/>
        </w:trPr>
        <w:tc>
          <w:tcPr>
            <w:tcW w:w="1770" w:type="pct"/>
          </w:tcPr>
          <w:p w14:paraId="43E75D1C" w14:textId="77777777" w:rsidR="005A008B" w:rsidRPr="00D90C15" w:rsidRDefault="005A008B" w:rsidP="004F187B">
            <w:pPr>
              <w:pStyle w:val="NoParagraphStyle"/>
              <w:spacing w:line="240" w:lineRule="auto"/>
              <w:textAlignment w:val="auto"/>
              <w:rPr>
                <w:rFonts w:cs="Times New Roman"/>
                <w:color w:val="auto"/>
                <w:lang w:val="en-AU"/>
              </w:rPr>
            </w:pPr>
          </w:p>
        </w:tc>
        <w:tc>
          <w:tcPr>
            <w:tcW w:w="421" w:type="pct"/>
          </w:tcPr>
          <w:p w14:paraId="1DEBCD4C" w14:textId="77777777" w:rsidR="005A008B" w:rsidRPr="00D90C15" w:rsidRDefault="005A008B" w:rsidP="007B5725">
            <w:pPr>
              <w:pStyle w:val="TableHeading"/>
            </w:pPr>
            <w:r w:rsidRPr="00D90C15">
              <w:t>Notes</w:t>
            </w:r>
          </w:p>
        </w:tc>
        <w:tc>
          <w:tcPr>
            <w:tcW w:w="562" w:type="pct"/>
          </w:tcPr>
          <w:p w14:paraId="7A2F9314" w14:textId="77777777" w:rsidR="005A008B" w:rsidRPr="00D90C15" w:rsidRDefault="005A008B" w:rsidP="007B5725">
            <w:pPr>
              <w:pStyle w:val="TableHeading"/>
            </w:pPr>
            <w:r w:rsidRPr="00D90C15">
              <w:t>2024–25</w:t>
            </w:r>
          </w:p>
        </w:tc>
        <w:tc>
          <w:tcPr>
            <w:tcW w:w="562" w:type="pct"/>
          </w:tcPr>
          <w:p w14:paraId="0E2A687F" w14:textId="77777777" w:rsidR="005A008B" w:rsidRPr="00D90C15" w:rsidRDefault="005A008B" w:rsidP="007B5725">
            <w:pPr>
              <w:pStyle w:val="TableHeading"/>
            </w:pPr>
            <w:r w:rsidRPr="00D90C15">
              <w:t>2023–24</w:t>
            </w:r>
          </w:p>
        </w:tc>
        <w:tc>
          <w:tcPr>
            <w:tcW w:w="562" w:type="pct"/>
          </w:tcPr>
          <w:p w14:paraId="0BF777ED" w14:textId="77777777" w:rsidR="005A008B" w:rsidRPr="00D90C15" w:rsidRDefault="005A008B" w:rsidP="007B5725">
            <w:pPr>
              <w:pStyle w:val="TableHeading"/>
            </w:pPr>
            <w:r w:rsidRPr="00D90C15">
              <w:t>2022–23</w:t>
            </w:r>
          </w:p>
        </w:tc>
        <w:tc>
          <w:tcPr>
            <w:tcW w:w="561" w:type="pct"/>
          </w:tcPr>
          <w:p w14:paraId="2FC083E2" w14:textId="77777777" w:rsidR="005A008B" w:rsidRPr="00D90C15" w:rsidRDefault="005A008B" w:rsidP="007B5725">
            <w:pPr>
              <w:pStyle w:val="TableHeading"/>
            </w:pPr>
            <w:r w:rsidRPr="00D90C15">
              <w:t>2021–22</w:t>
            </w:r>
          </w:p>
        </w:tc>
        <w:tc>
          <w:tcPr>
            <w:tcW w:w="562" w:type="pct"/>
          </w:tcPr>
          <w:p w14:paraId="07904534" w14:textId="77777777" w:rsidR="005A008B" w:rsidRPr="00D90C15" w:rsidRDefault="005A008B" w:rsidP="007B5725">
            <w:pPr>
              <w:pStyle w:val="TableHeading"/>
            </w:pPr>
            <w:r w:rsidRPr="00D90C15">
              <w:t>2020–21</w:t>
            </w:r>
          </w:p>
        </w:tc>
      </w:tr>
      <w:tr w:rsidR="005A008B" w:rsidRPr="00D90C15" w14:paraId="209CB2CF" w14:textId="77777777" w:rsidTr="0046794E">
        <w:trPr>
          <w:trHeight w:val="60"/>
        </w:trPr>
        <w:tc>
          <w:tcPr>
            <w:tcW w:w="1770" w:type="pct"/>
          </w:tcPr>
          <w:p w14:paraId="6B77AF4F" w14:textId="77777777" w:rsidR="005A008B" w:rsidRPr="00E72391" w:rsidRDefault="005A008B" w:rsidP="00E72391">
            <w:pPr>
              <w:pStyle w:val="TableBody"/>
              <w:rPr>
                <w:b/>
                <w:bCs/>
              </w:rPr>
            </w:pPr>
            <w:r w:rsidRPr="00E72391">
              <w:rPr>
                <w:b/>
                <w:bCs/>
              </w:rPr>
              <w:t>Income</w:t>
            </w:r>
          </w:p>
        </w:tc>
        <w:tc>
          <w:tcPr>
            <w:tcW w:w="421" w:type="pct"/>
          </w:tcPr>
          <w:p w14:paraId="698D53F2"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6DDA5AA1"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6CD3CC05"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1446CDA3" w14:textId="77777777" w:rsidR="005A008B" w:rsidRPr="00D90C15" w:rsidRDefault="005A008B" w:rsidP="004F187B">
            <w:pPr>
              <w:pStyle w:val="NoParagraphStyle"/>
              <w:spacing w:line="240" w:lineRule="auto"/>
              <w:textAlignment w:val="auto"/>
              <w:rPr>
                <w:rFonts w:cs="Times New Roman"/>
                <w:color w:val="auto"/>
                <w:lang w:val="en-AU"/>
              </w:rPr>
            </w:pPr>
          </w:p>
        </w:tc>
        <w:tc>
          <w:tcPr>
            <w:tcW w:w="561" w:type="pct"/>
          </w:tcPr>
          <w:p w14:paraId="7B4B9664"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1DD572AA"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4A13AA8A" w14:textId="77777777" w:rsidTr="0046794E">
        <w:trPr>
          <w:trHeight w:val="60"/>
        </w:trPr>
        <w:tc>
          <w:tcPr>
            <w:tcW w:w="1770" w:type="pct"/>
          </w:tcPr>
          <w:p w14:paraId="36847AE1" w14:textId="77777777" w:rsidR="005A008B" w:rsidRPr="00D90C15" w:rsidRDefault="005A008B" w:rsidP="00E82D64">
            <w:pPr>
              <w:pStyle w:val="TableBody"/>
            </w:pPr>
            <w:r w:rsidRPr="00D90C15">
              <w:t>Grants from Department of Justice and Community Safety</w:t>
            </w:r>
          </w:p>
        </w:tc>
        <w:tc>
          <w:tcPr>
            <w:tcW w:w="421" w:type="pct"/>
          </w:tcPr>
          <w:p w14:paraId="136ACEC0" w14:textId="77777777" w:rsidR="005A008B" w:rsidRPr="00D90C15" w:rsidRDefault="005A008B" w:rsidP="00CC3F1F">
            <w:pPr>
              <w:pStyle w:val="TableBody"/>
            </w:pPr>
            <w:r w:rsidRPr="00D90C15">
              <w:t>(a)</w:t>
            </w:r>
          </w:p>
        </w:tc>
        <w:tc>
          <w:tcPr>
            <w:tcW w:w="562" w:type="pct"/>
          </w:tcPr>
          <w:p w14:paraId="038A5A65" w14:textId="77777777" w:rsidR="005A008B" w:rsidRPr="00D90C15" w:rsidRDefault="005A008B" w:rsidP="00CC3F1F">
            <w:pPr>
              <w:pStyle w:val="TableBody"/>
            </w:pPr>
            <w:r w:rsidRPr="00D90C15">
              <w:t xml:space="preserve">1,650,900 </w:t>
            </w:r>
          </w:p>
        </w:tc>
        <w:tc>
          <w:tcPr>
            <w:tcW w:w="562" w:type="pct"/>
          </w:tcPr>
          <w:p w14:paraId="6DBA8278" w14:textId="77777777" w:rsidR="005A008B" w:rsidRPr="00D90C15" w:rsidRDefault="005A008B" w:rsidP="00CC3F1F">
            <w:pPr>
              <w:pStyle w:val="TableBody"/>
            </w:pPr>
            <w:r w:rsidRPr="00D90C15">
              <w:t xml:space="preserve">1,580,000 </w:t>
            </w:r>
          </w:p>
        </w:tc>
        <w:tc>
          <w:tcPr>
            <w:tcW w:w="562" w:type="pct"/>
          </w:tcPr>
          <w:p w14:paraId="272C3520" w14:textId="77777777" w:rsidR="005A008B" w:rsidRPr="00D90C15" w:rsidRDefault="005A008B" w:rsidP="00CC3F1F">
            <w:pPr>
              <w:pStyle w:val="TableBody"/>
            </w:pPr>
            <w:r w:rsidRPr="00D90C15">
              <w:t xml:space="preserve">1,563,600 </w:t>
            </w:r>
          </w:p>
        </w:tc>
        <w:tc>
          <w:tcPr>
            <w:tcW w:w="561" w:type="pct"/>
          </w:tcPr>
          <w:p w14:paraId="65FEC618" w14:textId="77777777" w:rsidR="005A008B" w:rsidRPr="00D90C15" w:rsidRDefault="005A008B" w:rsidP="00CC3F1F">
            <w:pPr>
              <w:pStyle w:val="TableBody"/>
            </w:pPr>
            <w:r w:rsidRPr="00D90C15">
              <w:t xml:space="preserve">1,717,200 </w:t>
            </w:r>
          </w:p>
        </w:tc>
        <w:tc>
          <w:tcPr>
            <w:tcW w:w="562" w:type="pct"/>
          </w:tcPr>
          <w:p w14:paraId="7A026CC5" w14:textId="77777777" w:rsidR="005A008B" w:rsidRPr="00D90C15" w:rsidRDefault="005A008B" w:rsidP="00CC3F1F">
            <w:pPr>
              <w:pStyle w:val="TableBody"/>
            </w:pPr>
            <w:r w:rsidRPr="00D90C15">
              <w:t xml:space="preserve"> 1,956,000 </w:t>
            </w:r>
          </w:p>
        </w:tc>
      </w:tr>
      <w:tr w:rsidR="005A008B" w:rsidRPr="00D90C15" w14:paraId="39A51849" w14:textId="77777777" w:rsidTr="0046794E">
        <w:trPr>
          <w:trHeight w:val="60"/>
        </w:trPr>
        <w:tc>
          <w:tcPr>
            <w:tcW w:w="1770" w:type="pct"/>
          </w:tcPr>
          <w:p w14:paraId="6F825C67" w14:textId="77777777" w:rsidR="005A008B" w:rsidRPr="00D90C15" w:rsidRDefault="005A008B" w:rsidP="00E82D64">
            <w:pPr>
              <w:pStyle w:val="TableBody"/>
            </w:pPr>
            <w:r w:rsidRPr="00D90C15">
              <w:t>Victorian Legal Services Board – Grant</w:t>
            </w:r>
          </w:p>
        </w:tc>
        <w:tc>
          <w:tcPr>
            <w:tcW w:w="421" w:type="pct"/>
          </w:tcPr>
          <w:p w14:paraId="771FC750" w14:textId="77777777" w:rsidR="005A008B" w:rsidRPr="00D90C15" w:rsidRDefault="005A008B" w:rsidP="00CC3F1F">
            <w:pPr>
              <w:pStyle w:val="TableBody"/>
            </w:pPr>
            <w:r w:rsidRPr="00D90C15">
              <w:t>(b)</w:t>
            </w:r>
          </w:p>
        </w:tc>
        <w:tc>
          <w:tcPr>
            <w:tcW w:w="562" w:type="pct"/>
          </w:tcPr>
          <w:p w14:paraId="192E377C" w14:textId="77777777" w:rsidR="005A008B" w:rsidRPr="00D90C15" w:rsidRDefault="005A008B" w:rsidP="00CC3F1F">
            <w:pPr>
              <w:pStyle w:val="TableBody"/>
            </w:pPr>
            <w:r w:rsidRPr="00D90C15">
              <w:t xml:space="preserve">466,200 </w:t>
            </w:r>
          </w:p>
        </w:tc>
        <w:tc>
          <w:tcPr>
            <w:tcW w:w="562" w:type="pct"/>
          </w:tcPr>
          <w:p w14:paraId="1D13476C" w14:textId="77777777" w:rsidR="005A008B" w:rsidRPr="00D90C15" w:rsidRDefault="005A008B" w:rsidP="00CC3F1F">
            <w:pPr>
              <w:pStyle w:val="TableBody"/>
            </w:pPr>
            <w:r w:rsidRPr="00D90C15">
              <w:t xml:space="preserve">800,000 </w:t>
            </w:r>
          </w:p>
        </w:tc>
        <w:tc>
          <w:tcPr>
            <w:tcW w:w="562" w:type="pct"/>
          </w:tcPr>
          <w:p w14:paraId="07A7B6A1" w14:textId="77777777" w:rsidR="005A008B" w:rsidRPr="00D90C15" w:rsidRDefault="005A008B" w:rsidP="00CC3F1F">
            <w:pPr>
              <w:pStyle w:val="TableBody"/>
            </w:pPr>
            <w:r w:rsidRPr="00D90C15">
              <w:t>–</w:t>
            </w:r>
          </w:p>
        </w:tc>
        <w:tc>
          <w:tcPr>
            <w:tcW w:w="561" w:type="pct"/>
          </w:tcPr>
          <w:p w14:paraId="48160166" w14:textId="77777777" w:rsidR="005A008B" w:rsidRPr="00D90C15" w:rsidRDefault="005A008B" w:rsidP="00CC3F1F">
            <w:pPr>
              <w:pStyle w:val="TableBody"/>
            </w:pPr>
            <w:r w:rsidRPr="00D90C15">
              <w:t xml:space="preserve">350,000 </w:t>
            </w:r>
          </w:p>
        </w:tc>
        <w:tc>
          <w:tcPr>
            <w:tcW w:w="562" w:type="pct"/>
          </w:tcPr>
          <w:p w14:paraId="0F4087C4" w14:textId="77777777" w:rsidR="005A008B" w:rsidRPr="00D90C15" w:rsidRDefault="005A008B" w:rsidP="00CC3F1F">
            <w:pPr>
              <w:pStyle w:val="TableBody"/>
            </w:pPr>
            <w:r w:rsidRPr="00D90C15">
              <w:t>–</w:t>
            </w:r>
          </w:p>
        </w:tc>
      </w:tr>
      <w:tr w:rsidR="005A008B" w:rsidRPr="00D90C15" w14:paraId="094D7D49" w14:textId="77777777" w:rsidTr="0046794E">
        <w:trPr>
          <w:trHeight w:val="60"/>
        </w:trPr>
        <w:tc>
          <w:tcPr>
            <w:tcW w:w="1770" w:type="pct"/>
          </w:tcPr>
          <w:p w14:paraId="0DA17733" w14:textId="77777777" w:rsidR="005A008B" w:rsidRPr="00E72391" w:rsidRDefault="005A008B" w:rsidP="00E72391">
            <w:pPr>
              <w:pStyle w:val="TableBody"/>
              <w:rPr>
                <w:b/>
                <w:bCs/>
              </w:rPr>
            </w:pPr>
            <w:r w:rsidRPr="00E72391">
              <w:rPr>
                <w:b/>
                <w:bCs/>
              </w:rPr>
              <w:t>Total Income</w:t>
            </w:r>
          </w:p>
        </w:tc>
        <w:tc>
          <w:tcPr>
            <w:tcW w:w="421" w:type="pct"/>
          </w:tcPr>
          <w:p w14:paraId="0666885E" w14:textId="77777777" w:rsidR="005A008B" w:rsidRPr="00D90C15" w:rsidRDefault="005A008B" w:rsidP="00CC3F1F">
            <w:pPr>
              <w:pStyle w:val="TableBody"/>
            </w:pPr>
            <w:r w:rsidRPr="00D90C15">
              <w:t>(c)</w:t>
            </w:r>
          </w:p>
        </w:tc>
        <w:tc>
          <w:tcPr>
            <w:tcW w:w="562" w:type="pct"/>
          </w:tcPr>
          <w:p w14:paraId="268A3167" w14:textId="77777777" w:rsidR="005A008B" w:rsidRPr="00D90C15" w:rsidRDefault="005A008B" w:rsidP="00CC3F1F">
            <w:pPr>
              <w:pStyle w:val="TableBody"/>
            </w:pPr>
            <w:r w:rsidRPr="00D90C15">
              <w:t xml:space="preserve">2,117,100 </w:t>
            </w:r>
          </w:p>
        </w:tc>
        <w:tc>
          <w:tcPr>
            <w:tcW w:w="562" w:type="pct"/>
          </w:tcPr>
          <w:p w14:paraId="1E95F930" w14:textId="77777777" w:rsidR="005A008B" w:rsidRPr="00D90C15" w:rsidRDefault="005A008B" w:rsidP="00CC3F1F">
            <w:pPr>
              <w:pStyle w:val="TableBody"/>
            </w:pPr>
            <w:r w:rsidRPr="00D90C15">
              <w:t xml:space="preserve">2,380,000 </w:t>
            </w:r>
          </w:p>
        </w:tc>
        <w:tc>
          <w:tcPr>
            <w:tcW w:w="562" w:type="pct"/>
          </w:tcPr>
          <w:p w14:paraId="7A8565D3" w14:textId="77777777" w:rsidR="005A008B" w:rsidRPr="00D90C15" w:rsidRDefault="005A008B" w:rsidP="00CC3F1F">
            <w:pPr>
              <w:pStyle w:val="TableBody"/>
            </w:pPr>
            <w:r w:rsidRPr="00D90C15">
              <w:t xml:space="preserve">1,563,600 </w:t>
            </w:r>
          </w:p>
        </w:tc>
        <w:tc>
          <w:tcPr>
            <w:tcW w:w="561" w:type="pct"/>
          </w:tcPr>
          <w:p w14:paraId="6AA0431D" w14:textId="77777777" w:rsidR="005A008B" w:rsidRPr="00D90C15" w:rsidRDefault="005A008B" w:rsidP="00CC3F1F">
            <w:pPr>
              <w:pStyle w:val="TableBody"/>
            </w:pPr>
            <w:r w:rsidRPr="00D90C15">
              <w:t xml:space="preserve">2,067,200 </w:t>
            </w:r>
          </w:p>
        </w:tc>
        <w:tc>
          <w:tcPr>
            <w:tcW w:w="562" w:type="pct"/>
          </w:tcPr>
          <w:p w14:paraId="213BAC4B" w14:textId="77777777" w:rsidR="005A008B" w:rsidRPr="00D90C15" w:rsidRDefault="005A008B" w:rsidP="00CC3F1F">
            <w:pPr>
              <w:pStyle w:val="TableBody"/>
            </w:pPr>
            <w:r w:rsidRPr="00D90C15">
              <w:t xml:space="preserve">1,956,000 </w:t>
            </w:r>
          </w:p>
        </w:tc>
      </w:tr>
      <w:tr w:rsidR="005A008B" w:rsidRPr="00D90C15" w14:paraId="67C823E7" w14:textId="77777777" w:rsidTr="0046794E">
        <w:trPr>
          <w:trHeight w:val="60"/>
        </w:trPr>
        <w:tc>
          <w:tcPr>
            <w:tcW w:w="1770" w:type="pct"/>
          </w:tcPr>
          <w:p w14:paraId="7CCC0A4B" w14:textId="77777777" w:rsidR="005A008B" w:rsidRPr="00E72391" w:rsidRDefault="005A008B" w:rsidP="00E72391">
            <w:pPr>
              <w:pStyle w:val="TableBody"/>
              <w:rPr>
                <w:b/>
                <w:bCs/>
              </w:rPr>
            </w:pPr>
            <w:r w:rsidRPr="00E72391">
              <w:rPr>
                <w:b/>
                <w:bCs/>
              </w:rPr>
              <w:t>Expenses</w:t>
            </w:r>
          </w:p>
        </w:tc>
        <w:tc>
          <w:tcPr>
            <w:tcW w:w="421" w:type="pct"/>
          </w:tcPr>
          <w:p w14:paraId="3AB3E8F7" w14:textId="77777777" w:rsidR="005A008B" w:rsidRPr="00D90C15" w:rsidRDefault="005A008B" w:rsidP="00CC3F1F">
            <w:pPr>
              <w:pStyle w:val="TableBody"/>
            </w:pPr>
            <w:r w:rsidRPr="00D90C15">
              <w:t>(d)</w:t>
            </w:r>
          </w:p>
        </w:tc>
        <w:tc>
          <w:tcPr>
            <w:tcW w:w="562" w:type="pct"/>
          </w:tcPr>
          <w:p w14:paraId="22FD202D" w14:textId="77777777" w:rsidR="005A008B" w:rsidRPr="00D90C15" w:rsidRDefault="005A008B" w:rsidP="00CC3F1F">
            <w:pPr>
              <w:pStyle w:val="TableBody"/>
            </w:pPr>
            <w:r w:rsidRPr="00D90C15">
              <w:t xml:space="preserve">2,035,718 </w:t>
            </w:r>
          </w:p>
        </w:tc>
        <w:tc>
          <w:tcPr>
            <w:tcW w:w="562" w:type="pct"/>
          </w:tcPr>
          <w:p w14:paraId="63C82D05" w14:textId="77777777" w:rsidR="005A008B" w:rsidRPr="00D90C15" w:rsidRDefault="005A008B" w:rsidP="00CC3F1F">
            <w:pPr>
              <w:pStyle w:val="TableBody"/>
            </w:pPr>
            <w:r w:rsidRPr="00D90C15">
              <w:t xml:space="preserve">1,827,987 </w:t>
            </w:r>
          </w:p>
        </w:tc>
        <w:tc>
          <w:tcPr>
            <w:tcW w:w="562" w:type="pct"/>
          </w:tcPr>
          <w:p w14:paraId="11740E62" w14:textId="77777777" w:rsidR="005A008B" w:rsidRPr="00D90C15" w:rsidRDefault="005A008B" w:rsidP="00CC3F1F">
            <w:pPr>
              <w:pStyle w:val="TableBody"/>
            </w:pPr>
            <w:r w:rsidRPr="00D90C15">
              <w:t xml:space="preserve">1,509,527 </w:t>
            </w:r>
          </w:p>
        </w:tc>
        <w:tc>
          <w:tcPr>
            <w:tcW w:w="561" w:type="pct"/>
          </w:tcPr>
          <w:p w14:paraId="2C5878DB" w14:textId="77777777" w:rsidR="005A008B" w:rsidRPr="00D90C15" w:rsidRDefault="005A008B" w:rsidP="00CC3F1F">
            <w:pPr>
              <w:pStyle w:val="TableBody"/>
            </w:pPr>
            <w:r w:rsidRPr="00D90C15">
              <w:t xml:space="preserve">1,956,814 </w:t>
            </w:r>
          </w:p>
        </w:tc>
        <w:tc>
          <w:tcPr>
            <w:tcW w:w="562" w:type="pct"/>
          </w:tcPr>
          <w:p w14:paraId="59212653" w14:textId="77777777" w:rsidR="005A008B" w:rsidRPr="00D90C15" w:rsidRDefault="005A008B" w:rsidP="00CC3F1F">
            <w:pPr>
              <w:pStyle w:val="TableBody"/>
            </w:pPr>
            <w:r w:rsidRPr="00D90C15">
              <w:t xml:space="preserve">1,953,858 </w:t>
            </w:r>
          </w:p>
        </w:tc>
      </w:tr>
      <w:tr w:rsidR="005A008B" w:rsidRPr="00D90C15" w14:paraId="4220E505" w14:textId="77777777" w:rsidTr="0046794E">
        <w:trPr>
          <w:trHeight w:val="60"/>
        </w:trPr>
        <w:tc>
          <w:tcPr>
            <w:tcW w:w="1770" w:type="pct"/>
          </w:tcPr>
          <w:p w14:paraId="04164863" w14:textId="77777777" w:rsidR="005A008B" w:rsidRPr="00D90C15" w:rsidRDefault="005A008B" w:rsidP="00E82D64">
            <w:pPr>
              <w:pStyle w:val="TableBody"/>
            </w:pPr>
            <w:r w:rsidRPr="00D90C15">
              <w:t>Other economic flows</w:t>
            </w:r>
          </w:p>
        </w:tc>
        <w:tc>
          <w:tcPr>
            <w:tcW w:w="421" w:type="pct"/>
          </w:tcPr>
          <w:p w14:paraId="65E3ADEB" w14:textId="77777777" w:rsidR="005A008B" w:rsidRPr="00D90C15" w:rsidRDefault="005A008B" w:rsidP="00CC3F1F">
            <w:pPr>
              <w:pStyle w:val="TableBody"/>
            </w:pPr>
            <w:r w:rsidRPr="00D90C15">
              <w:t>(e)</w:t>
            </w:r>
          </w:p>
        </w:tc>
        <w:tc>
          <w:tcPr>
            <w:tcW w:w="562" w:type="pct"/>
          </w:tcPr>
          <w:p w14:paraId="6A93F3CC" w14:textId="77777777" w:rsidR="005A008B" w:rsidRPr="00D90C15" w:rsidRDefault="005A008B" w:rsidP="00CC3F1F">
            <w:pPr>
              <w:pStyle w:val="TableBody"/>
            </w:pPr>
            <w:r w:rsidRPr="00D90C15">
              <w:t xml:space="preserve">– 958 </w:t>
            </w:r>
          </w:p>
        </w:tc>
        <w:tc>
          <w:tcPr>
            <w:tcW w:w="562" w:type="pct"/>
          </w:tcPr>
          <w:p w14:paraId="48FCDABC" w14:textId="77777777" w:rsidR="005A008B" w:rsidRPr="00D90C15" w:rsidRDefault="005A008B" w:rsidP="00CC3F1F">
            <w:pPr>
              <w:pStyle w:val="TableBody"/>
            </w:pPr>
            <w:r w:rsidRPr="00D90C15">
              <w:t xml:space="preserve">5,096 </w:t>
            </w:r>
          </w:p>
        </w:tc>
        <w:tc>
          <w:tcPr>
            <w:tcW w:w="562" w:type="pct"/>
          </w:tcPr>
          <w:p w14:paraId="27604147" w14:textId="77777777" w:rsidR="005A008B" w:rsidRPr="00D90C15" w:rsidRDefault="005A008B" w:rsidP="00CC3F1F">
            <w:pPr>
              <w:pStyle w:val="TableBody"/>
            </w:pPr>
            <w:r w:rsidRPr="00D90C15">
              <w:t xml:space="preserve">2,041 </w:t>
            </w:r>
          </w:p>
        </w:tc>
        <w:tc>
          <w:tcPr>
            <w:tcW w:w="561" w:type="pct"/>
          </w:tcPr>
          <w:p w14:paraId="32B5189C" w14:textId="77777777" w:rsidR="005A008B" w:rsidRPr="00D90C15" w:rsidRDefault="005A008B" w:rsidP="00CC3F1F">
            <w:pPr>
              <w:pStyle w:val="TableBody"/>
            </w:pPr>
            <w:r w:rsidRPr="00D90C15">
              <w:t xml:space="preserve">24,419 </w:t>
            </w:r>
          </w:p>
        </w:tc>
        <w:tc>
          <w:tcPr>
            <w:tcW w:w="562" w:type="pct"/>
          </w:tcPr>
          <w:p w14:paraId="687DEE03" w14:textId="77777777" w:rsidR="005A008B" w:rsidRPr="00D90C15" w:rsidRDefault="005A008B" w:rsidP="00CC3F1F">
            <w:pPr>
              <w:pStyle w:val="TableBody"/>
            </w:pPr>
            <w:r w:rsidRPr="00D90C15">
              <w:t xml:space="preserve">11,618 </w:t>
            </w:r>
          </w:p>
        </w:tc>
      </w:tr>
      <w:tr w:rsidR="005A008B" w:rsidRPr="00D90C15" w14:paraId="2DCA2767" w14:textId="77777777" w:rsidTr="0046794E">
        <w:trPr>
          <w:trHeight w:val="60"/>
        </w:trPr>
        <w:tc>
          <w:tcPr>
            <w:tcW w:w="1770" w:type="pct"/>
          </w:tcPr>
          <w:p w14:paraId="02FEDB4B" w14:textId="77777777" w:rsidR="005A008B" w:rsidRPr="00E72391" w:rsidRDefault="005A008B" w:rsidP="00E72391">
            <w:pPr>
              <w:pStyle w:val="TableBody"/>
              <w:rPr>
                <w:b/>
                <w:bCs/>
              </w:rPr>
            </w:pPr>
            <w:r w:rsidRPr="00E72391">
              <w:rPr>
                <w:b/>
                <w:bCs/>
              </w:rPr>
              <w:t>Net result for the period</w:t>
            </w:r>
          </w:p>
        </w:tc>
        <w:tc>
          <w:tcPr>
            <w:tcW w:w="421" w:type="pct"/>
          </w:tcPr>
          <w:p w14:paraId="062F83FF" w14:textId="77777777" w:rsidR="005A008B" w:rsidRPr="00D90C15" w:rsidRDefault="005A008B" w:rsidP="00CC3F1F">
            <w:pPr>
              <w:pStyle w:val="TableBody"/>
            </w:pPr>
            <w:r w:rsidRPr="00D90C15">
              <w:t>(f)</w:t>
            </w:r>
          </w:p>
        </w:tc>
        <w:tc>
          <w:tcPr>
            <w:tcW w:w="562" w:type="pct"/>
          </w:tcPr>
          <w:p w14:paraId="67E78682" w14:textId="77777777" w:rsidR="005A008B" w:rsidRPr="00D90C15" w:rsidRDefault="005A008B" w:rsidP="00CC3F1F">
            <w:pPr>
              <w:pStyle w:val="TableBody"/>
            </w:pPr>
            <w:r w:rsidRPr="00D90C15">
              <w:t xml:space="preserve">80,424 </w:t>
            </w:r>
          </w:p>
        </w:tc>
        <w:tc>
          <w:tcPr>
            <w:tcW w:w="562" w:type="pct"/>
          </w:tcPr>
          <w:p w14:paraId="382014E4" w14:textId="77777777" w:rsidR="005A008B" w:rsidRPr="00D90C15" w:rsidRDefault="005A008B" w:rsidP="00CC3F1F">
            <w:pPr>
              <w:pStyle w:val="TableBody"/>
            </w:pPr>
            <w:r w:rsidRPr="00D90C15">
              <w:t xml:space="preserve">557,108 </w:t>
            </w:r>
          </w:p>
        </w:tc>
        <w:tc>
          <w:tcPr>
            <w:tcW w:w="562" w:type="pct"/>
          </w:tcPr>
          <w:p w14:paraId="41CE3A0E" w14:textId="77777777" w:rsidR="005A008B" w:rsidRPr="00D90C15" w:rsidRDefault="005A008B" w:rsidP="00CC3F1F">
            <w:pPr>
              <w:pStyle w:val="TableBody"/>
            </w:pPr>
            <w:r w:rsidRPr="00D90C15">
              <w:t xml:space="preserve">56,114 </w:t>
            </w:r>
          </w:p>
        </w:tc>
        <w:tc>
          <w:tcPr>
            <w:tcW w:w="561" w:type="pct"/>
          </w:tcPr>
          <w:p w14:paraId="1F961304" w14:textId="77777777" w:rsidR="005A008B" w:rsidRPr="00D90C15" w:rsidRDefault="005A008B" w:rsidP="00CC3F1F">
            <w:pPr>
              <w:pStyle w:val="TableBody"/>
            </w:pPr>
            <w:r w:rsidRPr="00D90C15">
              <w:t xml:space="preserve">134,805 </w:t>
            </w:r>
          </w:p>
        </w:tc>
        <w:tc>
          <w:tcPr>
            <w:tcW w:w="562" w:type="pct"/>
          </w:tcPr>
          <w:p w14:paraId="5B643174" w14:textId="77777777" w:rsidR="005A008B" w:rsidRPr="00D90C15" w:rsidRDefault="005A008B" w:rsidP="00CC3F1F">
            <w:pPr>
              <w:pStyle w:val="TableBody"/>
            </w:pPr>
            <w:r w:rsidRPr="00D90C15">
              <w:t xml:space="preserve">13,761 </w:t>
            </w:r>
          </w:p>
        </w:tc>
      </w:tr>
      <w:tr w:rsidR="005A008B" w:rsidRPr="00D90C15" w14:paraId="581A0D07" w14:textId="77777777" w:rsidTr="0046794E">
        <w:trPr>
          <w:trHeight w:val="60"/>
        </w:trPr>
        <w:tc>
          <w:tcPr>
            <w:tcW w:w="1770" w:type="pct"/>
          </w:tcPr>
          <w:p w14:paraId="3F566259" w14:textId="77777777" w:rsidR="005A008B" w:rsidRPr="00E72391" w:rsidRDefault="005A008B" w:rsidP="00E72391">
            <w:pPr>
              <w:pStyle w:val="TableBody"/>
              <w:rPr>
                <w:b/>
                <w:bCs/>
              </w:rPr>
            </w:pPr>
            <w:r w:rsidRPr="00E72391">
              <w:rPr>
                <w:b/>
                <w:bCs/>
              </w:rPr>
              <w:t>Net cash flow from operating activities</w:t>
            </w:r>
          </w:p>
        </w:tc>
        <w:tc>
          <w:tcPr>
            <w:tcW w:w="421" w:type="pct"/>
          </w:tcPr>
          <w:p w14:paraId="7007D88E" w14:textId="77777777" w:rsidR="005A008B" w:rsidRPr="00D90C15" w:rsidRDefault="005A008B" w:rsidP="00CC3F1F">
            <w:pPr>
              <w:pStyle w:val="TableBody"/>
            </w:pPr>
            <w:r w:rsidRPr="00D90C15">
              <w:t>(g)</w:t>
            </w:r>
          </w:p>
        </w:tc>
        <w:tc>
          <w:tcPr>
            <w:tcW w:w="562" w:type="pct"/>
          </w:tcPr>
          <w:p w14:paraId="780BB2D3" w14:textId="77777777" w:rsidR="005A008B" w:rsidRPr="00D90C15" w:rsidRDefault="005A008B" w:rsidP="00CC3F1F">
            <w:pPr>
              <w:pStyle w:val="TableBody"/>
            </w:pPr>
            <w:r w:rsidRPr="00D90C15">
              <w:t xml:space="preserve">194,180 </w:t>
            </w:r>
          </w:p>
        </w:tc>
        <w:tc>
          <w:tcPr>
            <w:tcW w:w="562" w:type="pct"/>
          </w:tcPr>
          <w:p w14:paraId="73D83093" w14:textId="77777777" w:rsidR="005A008B" w:rsidRPr="00D90C15" w:rsidRDefault="005A008B" w:rsidP="00CC3F1F">
            <w:pPr>
              <w:pStyle w:val="TableBody"/>
            </w:pPr>
            <w:r w:rsidRPr="00D90C15">
              <w:t xml:space="preserve">675,916 </w:t>
            </w:r>
          </w:p>
        </w:tc>
        <w:tc>
          <w:tcPr>
            <w:tcW w:w="562" w:type="pct"/>
          </w:tcPr>
          <w:p w14:paraId="47CC7535" w14:textId="77777777" w:rsidR="005A008B" w:rsidRPr="00D90C15" w:rsidRDefault="005A008B" w:rsidP="00CC3F1F">
            <w:pPr>
              <w:pStyle w:val="TableBody"/>
            </w:pPr>
            <w:r w:rsidRPr="00D90C15">
              <w:t xml:space="preserve">118,794 </w:t>
            </w:r>
          </w:p>
        </w:tc>
        <w:tc>
          <w:tcPr>
            <w:tcW w:w="561" w:type="pct"/>
          </w:tcPr>
          <w:p w14:paraId="09B94B33" w14:textId="77777777" w:rsidR="005A008B" w:rsidRPr="00D90C15" w:rsidRDefault="005A008B" w:rsidP="00CC3F1F">
            <w:pPr>
              <w:pStyle w:val="TableBody"/>
            </w:pPr>
            <w:r w:rsidRPr="00D90C15">
              <w:t xml:space="preserve">238,794 </w:t>
            </w:r>
          </w:p>
        </w:tc>
        <w:tc>
          <w:tcPr>
            <w:tcW w:w="562" w:type="pct"/>
          </w:tcPr>
          <w:p w14:paraId="248687F2" w14:textId="77777777" w:rsidR="005A008B" w:rsidRPr="00D90C15" w:rsidRDefault="005A008B" w:rsidP="00CC3F1F">
            <w:pPr>
              <w:pStyle w:val="TableBody"/>
            </w:pPr>
            <w:r w:rsidRPr="00D90C15">
              <w:t xml:space="preserve">115,402 </w:t>
            </w:r>
          </w:p>
        </w:tc>
      </w:tr>
      <w:tr w:rsidR="005A008B" w:rsidRPr="00D90C15" w14:paraId="051C5F84" w14:textId="77777777" w:rsidTr="0046794E">
        <w:trPr>
          <w:trHeight w:val="60"/>
        </w:trPr>
        <w:tc>
          <w:tcPr>
            <w:tcW w:w="1770" w:type="pct"/>
          </w:tcPr>
          <w:p w14:paraId="7A72B5A2" w14:textId="77777777" w:rsidR="005A008B" w:rsidRPr="00E72391" w:rsidRDefault="005A008B" w:rsidP="00E72391">
            <w:pPr>
              <w:pStyle w:val="TableBody"/>
              <w:rPr>
                <w:b/>
                <w:bCs/>
              </w:rPr>
            </w:pPr>
            <w:r w:rsidRPr="00E72391">
              <w:rPr>
                <w:b/>
                <w:bCs/>
              </w:rPr>
              <w:t>Total assets</w:t>
            </w:r>
          </w:p>
        </w:tc>
        <w:tc>
          <w:tcPr>
            <w:tcW w:w="421" w:type="pct"/>
          </w:tcPr>
          <w:p w14:paraId="1DAEFDDE" w14:textId="77777777" w:rsidR="005A008B" w:rsidRPr="00D90C15" w:rsidRDefault="005A008B" w:rsidP="00CC3F1F">
            <w:pPr>
              <w:pStyle w:val="TableBody"/>
            </w:pPr>
            <w:r w:rsidRPr="00D90C15">
              <w:t>(h)</w:t>
            </w:r>
          </w:p>
        </w:tc>
        <w:tc>
          <w:tcPr>
            <w:tcW w:w="562" w:type="pct"/>
          </w:tcPr>
          <w:p w14:paraId="5D4DE46B" w14:textId="77777777" w:rsidR="005A008B" w:rsidRPr="00D90C15" w:rsidRDefault="005A008B" w:rsidP="00CC3F1F">
            <w:pPr>
              <w:pStyle w:val="TableBody"/>
            </w:pPr>
            <w:r w:rsidRPr="00D90C15">
              <w:t xml:space="preserve">1,763,410 </w:t>
            </w:r>
          </w:p>
        </w:tc>
        <w:tc>
          <w:tcPr>
            <w:tcW w:w="562" w:type="pct"/>
          </w:tcPr>
          <w:p w14:paraId="1040D49C" w14:textId="77777777" w:rsidR="005A008B" w:rsidRPr="00D90C15" w:rsidRDefault="005A008B" w:rsidP="00CC3F1F">
            <w:pPr>
              <w:pStyle w:val="TableBody"/>
            </w:pPr>
            <w:r w:rsidRPr="00D90C15">
              <w:t xml:space="preserve">1,805,085 </w:t>
            </w:r>
          </w:p>
        </w:tc>
        <w:tc>
          <w:tcPr>
            <w:tcW w:w="562" w:type="pct"/>
          </w:tcPr>
          <w:p w14:paraId="22292231" w14:textId="77777777" w:rsidR="005A008B" w:rsidRPr="00D90C15" w:rsidRDefault="005A008B" w:rsidP="00CC3F1F">
            <w:pPr>
              <w:pStyle w:val="TableBody"/>
            </w:pPr>
            <w:r w:rsidRPr="00D90C15">
              <w:t xml:space="preserve">908,831 </w:t>
            </w:r>
          </w:p>
        </w:tc>
        <w:tc>
          <w:tcPr>
            <w:tcW w:w="561" w:type="pct"/>
          </w:tcPr>
          <w:p w14:paraId="1F116A26" w14:textId="77777777" w:rsidR="005A008B" w:rsidRPr="00D90C15" w:rsidRDefault="005A008B" w:rsidP="00CC3F1F">
            <w:pPr>
              <w:pStyle w:val="TableBody"/>
            </w:pPr>
            <w:r w:rsidRPr="00D90C15">
              <w:t xml:space="preserve">1,106,893 </w:t>
            </w:r>
          </w:p>
        </w:tc>
        <w:tc>
          <w:tcPr>
            <w:tcW w:w="562" w:type="pct"/>
          </w:tcPr>
          <w:p w14:paraId="7A21FE0E" w14:textId="77777777" w:rsidR="005A008B" w:rsidRPr="00D90C15" w:rsidRDefault="005A008B" w:rsidP="00CC3F1F">
            <w:pPr>
              <w:pStyle w:val="TableBody"/>
            </w:pPr>
            <w:r w:rsidRPr="00D90C15">
              <w:t xml:space="preserve">1,070,400 </w:t>
            </w:r>
          </w:p>
        </w:tc>
      </w:tr>
      <w:tr w:rsidR="005A008B" w:rsidRPr="00D90C15" w14:paraId="49AA29A3" w14:textId="77777777" w:rsidTr="0046794E">
        <w:trPr>
          <w:trHeight w:val="60"/>
        </w:trPr>
        <w:tc>
          <w:tcPr>
            <w:tcW w:w="1770" w:type="pct"/>
          </w:tcPr>
          <w:p w14:paraId="2C890B51" w14:textId="77777777" w:rsidR="005A008B" w:rsidRPr="00E72391" w:rsidRDefault="005A008B" w:rsidP="00E72391">
            <w:pPr>
              <w:pStyle w:val="TableBody"/>
              <w:rPr>
                <w:b/>
                <w:bCs/>
              </w:rPr>
            </w:pPr>
            <w:r w:rsidRPr="00E72391">
              <w:rPr>
                <w:b/>
                <w:bCs/>
              </w:rPr>
              <w:t>Total liabilities</w:t>
            </w:r>
          </w:p>
        </w:tc>
        <w:tc>
          <w:tcPr>
            <w:tcW w:w="421" w:type="pct"/>
          </w:tcPr>
          <w:p w14:paraId="2083FD64" w14:textId="77777777" w:rsidR="005A008B" w:rsidRPr="00D90C15" w:rsidRDefault="005A008B" w:rsidP="00CC3F1F">
            <w:pPr>
              <w:pStyle w:val="TableBody"/>
            </w:pPr>
            <w:r w:rsidRPr="00D90C15">
              <w:t>(</w:t>
            </w:r>
            <w:proofErr w:type="spellStart"/>
            <w:r w:rsidRPr="00D90C15">
              <w:t>i</w:t>
            </w:r>
            <w:proofErr w:type="spellEnd"/>
            <w:r w:rsidRPr="00D90C15">
              <w:t>)</w:t>
            </w:r>
          </w:p>
        </w:tc>
        <w:tc>
          <w:tcPr>
            <w:tcW w:w="562" w:type="pct"/>
          </w:tcPr>
          <w:p w14:paraId="029CAC70" w14:textId="77777777" w:rsidR="005A008B" w:rsidRPr="00D90C15" w:rsidRDefault="005A008B" w:rsidP="00CC3F1F">
            <w:pPr>
              <w:pStyle w:val="TableBody"/>
            </w:pPr>
            <w:r w:rsidRPr="00D90C15">
              <w:t xml:space="preserve">511,319 </w:t>
            </w:r>
          </w:p>
        </w:tc>
        <w:tc>
          <w:tcPr>
            <w:tcW w:w="562" w:type="pct"/>
          </w:tcPr>
          <w:p w14:paraId="4F9006A0" w14:textId="77777777" w:rsidR="005A008B" w:rsidRPr="00D90C15" w:rsidRDefault="005A008B" w:rsidP="00CC3F1F">
            <w:pPr>
              <w:pStyle w:val="TableBody"/>
            </w:pPr>
            <w:r w:rsidRPr="00D90C15">
              <w:t xml:space="preserve">633,418 </w:t>
            </w:r>
          </w:p>
        </w:tc>
        <w:tc>
          <w:tcPr>
            <w:tcW w:w="562" w:type="pct"/>
          </w:tcPr>
          <w:p w14:paraId="635AFBF8" w14:textId="77777777" w:rsidR="005A008B" w:rsidRPr="00D90C15" w:rsidRDefault="005A008B" w:rsidP="00CC3F1F">
            <w:pPr>
              <w:pStyle w:val="TableBody"/>
            </w:pPr>
            <w:r w:rsidRPr="00D90C15">
              <w:t xml:space="preserve">294,271 </w:t>
            </w:r>
          </w:p>
        </w:tc>
        <w:tc>
          <w:tcPr>
            <w:tcW w:w="561" w:type="pct"/>
          </w:tcPr>
          <w:p w14:paraId="348153C1" w14:textId="77777777" w:rsidR="005A008B" w:rsidRPr="00D90C15" w:rsidRDefault="005A008B" w:rsidP="00CC3F1F">
            <w:pPr>
              <w:pStyle w:val="TableBody"/>
            </w:pPr>
            <w:r w:rsidRPr="00D90C15">
              <w:t xml:space="preserve">558,347 </w:t>
            </w:r>
          </w:p>
        </w:tc>
        <w:tc>
          <w:tcPr>
            <w:tcW w:w="562" w:type="pct"/>
          </w:tcPr>
          <w:p w14:paraId="6076D3DA" w14:textId="77777777" w:rsidR="005A008B" w:rsidRPr="00D90C15" w:rsidRDefault="005A008B" w:rsidP="00CC3F1F">
            <w:pPr>
              <w:pStyle w:val="TableBody"/>
            </w:pPr>
            <w:r w:rsidRPr="00D90C15">
              <w:t xml:space="preserve">659,771 </w:t>
            </w:r>
          </w:p>
        </w:tc>
      </w:tr>
    </w:tbl>
    <w:p w14:paraId="0DDD8871" w14:textId="77777777" w:rsidR="005A008B" w:rsidRPr="00D90C15" w:rsidRDefault="005A008B" w:rsidP="002822AC">
      <w:pPr>
        <w:pStyle w:val="Heading4"/>
      </w:pPr>
      <w:r w:rsidRPr="00D90C15">
        <w:t>Notes – movements between 2023–24 and 2024–25</w:t>
      </w:r>
    </w:p>
    <w:p w14:paraId="06C8194B" w14:textId="77777777" w:rsidR="005A008B" w:rsidRPr="00D90C15" w:rsidRDefault="005A008B" w:rsidP="00006DCD">
      <w:pPr>
        <w:pStyle w:val="ListParagraph"/>
        <w:numPr>
          <w:ilvl w:val="0"/>
          <w:numId w:val="22"/>
        </w:numPr>
      </w:pPr>
      <w:r w:rsidRPr="00D90C15">
        <w:t xml:space="preserve">Increase reflects indexation arrangements and additional grant funds provided to fund the employee lump sum payments required to be paid under the new EBA agreement. </w:t>
      </w:r>
    </w:p>
    <w:p w14:paraId="457EF53D" w14:textId="77777777" w:rsidR="005A008B" w:rsidRPr="00D90C15" w:rsidRDefault="005A008B" w:rsidP="00006DCD">
      <w:pPr>
        <w:pStyle w:val="ListParagraph"/>
        <w:numPr>
          <w:ilvl w:val="0"/>
          <w:numId w:val="22"/>
        </w:numPr>
      </w:pPr>
      <w:r w:rsidRPr="00D90C15">
        <w:t xml:space="preserve">During 2023–24, the Victorian Legal Services Board (VLSB) provided an operating grant of $450,000 and a one-off further grant of $350,000 for the upgrade of the Council’s </w:t>
      </w:r>
      <w:r w:rsidRPr="00006DCD">
        <w:rPr>
          <w:i/>
          <w:iCs/>
        </w:rPr>
        <w:t>Virtual You Be the Judge</w:t>
      </w:r>
      <w:r w:rsidRPr="00D90C15">
        <w:t xml:space="preserve"> software program. The VLSB grant for 2024–25 of $466,200, was for operating purposes only.</w:t>
      </w:r>
    </w:p>
    <w:p w14:paraId="3292F855" w14:textId="7B83BA26" w:rsidR="005A008B" w:rsidRPr="00D90C15" w:rsidRDefault="005A008B" w:rsidP="00006DCD">
      <w:pPr>
        <w:pStyle w:val="ListParagraph"/>
        <w:numPr>
          <w:ilvl w:val="0"/>
          <w:numId w:val="22"/>
        </w:numPr>
      </w:pPr>
      <w:r w:rsidRPr="00D90C15">
        <w:t>The decrease in total income relates to the reduction in grant funds provided by the VLSB – refer (b).</w:t>
      </w:r>
    </w:p>
    <w:p w14:paraId="4B4DA02E" w14:textId="77777777" w:rsidR="005A008B" w:rsidRPr="00D90C15" w:rsidRDefault="005A008B" w:rsidP="00006DCD">
      <w:pPr>
        <w:pStyle w:val="ListParagraph"/>
        <w:numPr>
          <w:ilvl w:val="0"/>
          <w:numId w:val="22"/>
        </w:numPr>
      </w:pPr>
      <w:r w:rsidRPr="00D90C15">
        <w:t xml:space="preserve">Expenditure in 2024–25 increased by $207,731 (11.4%) mainly due to an increase in payroll costs associated with the new EBA agreement and the engagement of another staff member. </w:t>
      </w:r>
    </w:p>
    <w:p w14:paraId="7C06F39A" w14:textId="77777777" w:rsidR="005A008B" w:rsidRPr="00D90C15" w:rsidRDefault="005A008B" w:rsidP="00006DCD">
      <w:pPr>
        <w:pStyle w:val="ListParagraph"/>
        <w:numPr>
          <w:ilvl w:val="0"/>
          <w:numId w:val="22"/>
        </w:numPr>
      </w:pPr>
      <w:r w:rsidRPr="00D90C15">
        <w:t>Other economic flows amounted to a loss of $958. This item reflects the loss arising from the revaluation of the long service leave liabilities to their present value. There is no relationship between years with this item.</w:t>
      </w:r>
    </w:p>
    <w:p w14:paraId="31BC548E" w14:textId="6C5A56C4" w:rsidR="005A008B" w:rsidRPr="00D90C15" w:rsidRDefault="005A008B" w:rsidP="00006DCD">
      <w:pPr>
        <w:pStyle w:val="ListParagraph"/>
        <w:numPr>
          <w:ilvl w:val="0"/>
          <w:numId w:val="22"/>
        </w:numPr>
      </w:pPr>
      <w:r w:rsidRPr="00D90C15">
        <w:lastRenderedPageBreak/>
        <w:t>Net result for the period decreased by $476,684 (85.6%) which mainly reflects the increased expenditure and reduced VLSB grant funding compared to the prior year.</w:t>
      </w:r>
    </w:p>
    <w:p w14:paraId="21049DEF" w14:textId="77777777" w:rsidR="005A008B" w:rsidRPr="00D90C15" w:rsidRDefault="005A008B" w:rsidP="00006DCD">
      <w:pPr>
        <w:pStyle w:val="ListParagraph"/>
        <w:numPr>
          <w:ilvl w:val="0"/>
          <w:numId w:val="22"/>
        </w:numPr>
      </w:pPr>
      <w:r w:rsidRPr="00D90C15">
        <w:t>Net cash flows from operating activities decreased by $481,736 (71.3%). This mainly reflects the reduced VLSB grant funding and increased expenditure compared to the prior year.</w:t>
      </w:r>
    </w:p>
    <w:p w14:paraId="492BA534" w14:textId="77777777" w:rsidR="005A008B" w:rsidRPr="00D90C15" w:rsidRDefault="005A008B" w:rsidP="00006DCD">
      <w:pPr>
        <w:pStyle w:val="ListParagraph"/>
        <w:numPr>
          <w:ilvl w:val="0"/>
          <w:numId w:val="22"/>
        </w:numPr>
      </w:pPr>
      <w:r w:rsidRPr="00D90C15">
        <w:t>Total assets decreased by $41,675 (2.3%). The decrease reflects the depreciation on the right-of-use asset under the AASB 16 Lease Accounting Standard. This decrease was partly offset by the increase in funds held in trust.</w:t>
      </w:r>
    </w:p>
    <w:p w14:paraId="2A6D8B64" w14:textId="28063CAF" w:rsidR="005A008B" w:rsidRPr="00D90C15" w:rsidRDefault="005A008B" w:rsidP="00006DCD">
      <w:pPr>
        <w:pStyle w:val="ListParagraph"/>
        <w:numPr>
          <w:ilvl w:val="0"/>
          <w:numId w:val="22"/>
        </w:numPr>
      </w:pPr>
      <w:r w:rsidRPr="00D90C15">
        <w:t>Total liabilities decreased by $128,599 (20.3%). This is mainly due to another 12 months elapsed on the office lease which commenced on 1 July 2023 for a 3.5-year period. Under the AASB 16 Lease Accounting Standard, rental payments are essentially treated as a repayment of the ROU liability.</w:t>
      </w:r>
    </w:p>
    <w:p w14:paraId="47894A74" w14:textId="77777777" w:rsidR="005A008B" w:rsidRPr="00D90C15" w:rsidRDefault="005A008B" w:rsidP="00926C26">
      <w:pPr>
        <w:pStyle w:val="Heading2"/>
      </w:pPr>
      <w:bookmarkStart w:id="74" w:name="_Toc221113840"/>
      <w:r w:rsidRPr="00D90C15">
        <w:t>Additional Information Available on Request</w:t>
      </w:r>
      <w:bookmarkEnd w:id="74"/>
    </w:p>
    <w:p w14:paraId="78FA16C9" w14:textId="77777777" w:rsidR="005A008B" w:rsidRPr="00D90C15" w:rsidRDefault="005A008B" w:rsidP="006512A5">
      <w:r w:rsidRPr="00D90C15">
        <w:t xml:space="preserve">In compliance with the requirements of the Standing Directions 2018 under the </w:t>
      </w:r>
      <w:r w:rsidRPr="004A331A">
        <w:rPr>
          <w:i/>
          <w:iCs/>
        </w:rPr>
        <w:t>Financial Management Act 1994</w:t>
      </w:r>
      <w:r w:rsidRPr="00D90C15">
        <w:t xml:space="preserve">, details in respect of the items listed below have been retained by the Council and are available on request, subject to the provisions of the </w:t>
      </w:r>
      <w:r w:rsidRPr="004A331A">
        <w:rPr>
          <w:i/>
          <w:iCs/>
        </w:rPr>
        <w:t>Freedom of Information Act 1982</w:t>
      </w:r>
      <w:r w:rsidRPr="00D90C15">
        <w:t>:</w:t>
      </w:r>
    </w:p>
    <w:p w14:paraId="2D490446" w14:textId="77777777" w:rsidR="005A008B" w:rsidRPr="00D90C15" w:rsidRDefault="005A008B" w:rsidP="00946ACE">
      <w:pPr>
        <w:pStyle w:val="ListParagraph"/>
        <w:numPr>
          <w:ilvl w:val="0"/>
          <w:numId w:val="23"/>
        </w:numPr>
      </w:pPr>
      <w:r w:rsidRPr="00D90C15">
        <w:t>a statement that declarations of pecuniary interests have been duly completed by all relevant officers</w:t>
      </w:r>
    </w:p>
    <w:p w14:paraId="6535B098" w14:textId="77777777" w:rsidR="005A008B" w:rsidRPr="00D90C15" w:rsidRDefault="005A008B" w:rsidP="00946ACE">
      <w:pPr>
        <w:pStyle w:val="ListParagraph"/>
        <w:numPr>
          <w:ilvl w:val="0"/>
          <w:numId w:val="23"/>
        </w:numPr>
      </w:pPr>
      <w:r w:rsidRPr="00D90C15">
        <w:t>details of shares held by a senior officer as nominee or held beneficially in a statutory authority or subsidiary</w:t>
      </w:r>
    </w:p>
    <w:p w14:paraId="57C495C7" w14:textId="3FFA796D" w:rsidR="005A008B" w:rsidRPr="00D90C15" w:rsidRDefault="005A008B" w:rsidP="00946ACE">
      <w:pPr>
        <w:pStyle w:val="ListParagraph"/>
        <w:numPr>
          <w:ilvl w:val="0"/>
          <w:numId w:val="23"/>
        </w:numPr>
      </w:pPr>
      <w:r w:rsidRPr="00D90C15">
        <w:t>details of publications produced by the Council about the activities of the Council and how these can be obtained</w:t>
      </w:r>
    </w:p>
    <w:p w14:paraId="2BB2D5FA" w14:textId="77777777" w:rsidR="005A008B" w:rsidRPr="00D90C15" w:rsidRDefault="005A008B" w:rsidP="00946ACE">
      <w:pPr>
        <w:pStyle w:val="ListParagraph"/>
        <w:numPr>
          <w:ilvl w:val="0"/>
          <w:numId w:val="23"/>
        </w:numPr>
      </w:pPr>
      <w:r w:rsidRPr="00D90C15">
        <w:t>details of major research and development activities undertaken by the Council</w:t>
      </w:r>
    </w:p>
    <w:p w14:paraId="06C793C4" w14:textId="77777777" w:rsidR="005A008B" w:rsidRPr="00D90C15" w:rsidRDefault="005A008B" w:rsidP="00946ACE">
      <w:pPr>
        <w:pStyle w:val="ListParagraph"/>
        <w:numPr>
          <w:ilvl w:val="0"/>
          <w:numId w:val="23"/>
        </w:numPr>
      </w:pPr>
      <w:r w:rsidRPr="00D90C15">
        <w:t>details of major promotional, public relations and marketing activities undertaken by the Council to develop community awareness of the services provided by the Council</w:t>
      </w:r>
    </w:p>
    <w:p w14:paraId="317C85AB" w14:textId="4E42D268" w:rsidR="005A008B" w:rsidRPr="00D90C15" w:rsidRDefault="005A008B" w:rsidP="00946ACE">
      <w:pPr>
        <w:pStyle w:val="ListParagraph"/>
        <w:numPr>
          <w:ilvl w:val="0"/>
          <w:numId w:val="23"/>
        </w:numPr>
      </w:pPr>
      <w:r w:rsidRPr="00D90C15">
        <w:t>details of assessments and measures undertaken to improve the occupational health and safety of employees</w:t>
      </w:r>
    </w:p>
    <w:p w14:paraId="1120C532" w14:textId="77777777" w:rsidR="005A008B" w:rsidRPr="00D90C15" w:rsidRDefault="005A008B" w:rsidP="00946ACE">
      <w:pPr>
        <w:pStyle w:val="ListParagraph"/>
        <w:numPr>
          <w:ilvl w:val="0"/>
          <w:numId w:val="23"/>
        </w:numPr>
      </w:pPr>
      <w:r w:rsidRPr="00D90C15">
        <w:lastRenderedPageBreak/>
        <w:t>a general statement on industrial relations within the Council and details of time lost through industrial accidents and disputes and</w:t>
      </w:r>
    </w:p>
    <w:p w14:paraId="3139BB00" w14:textId="77777777" w:rsidR="005A008B" w:rsidRPr="00D90C15" w:rsidRDefault="005A008B" w:rsidP="00946ACE">
      <w:pPr>
        <w:pStyle w:val="ListParagraph"/>
        <w:numPr>
          <w:ilvl w:val="0"/>
          <w:numId w:val="23"/>
        </w:numPr>
      </w:pPr>
      <w:r w:rsidRPr="00D90C15">
        <w:t>details of all consultancies and contractors including consultants/contractors engaged, services provided, and expenditure committed to for each engagement.</w:t>
      </w:r>
    </w:p>
    <w:p w14:paraId="0EC7AC72" w14:textId="77777777" w:rsidR="005A008B" w:rsidRPr="00D90C15" w:rsidRDefault="005A008B" w:rsidP="00234617">
      <w:r w:rsidRPr="00D90C15">
        <w:t xml:space="preserve">The information is available on request from: </w:t>
      </w:r>
    </w:p>
    <w:p w14:paraId="1D2F42CB" w14:textId="77777777" w:rsidR="005A008B" w:rsidRPr="00D90C15" w:rsidRDefault="005A008B" w:rsidP="003151A4">
      <w:pPr>
        <w:spacing w:after="0"/>
        <w:ind w:left="992"/>
      </w:pPr>
      <w:r w:rsidRPr="00D90C15">
        <w:t>Operations Manager</w:t>
      </w:r>
    </w:p>
    <w:p w14:paraId="3922341F" w14:textId="77777777" w:rsidR="005A008B" w:rsidRPr="00D90C15" w:rsidRDefault="005A008B" w:rsidP="003151A4">
      <w:pPr>
        <w:spacing w:before="0" w:after="0"/>
        <w:ind w:left="992"/>
      </w:pPr>
      <w:r w:rsidRPr="00D90C15">
        <w:t>Phone: 1300 363 196</w:t>
      </w:r>
    </w:p>
    <w:p w14:paraId="703662F3" w14:textId="77777777" w:rsidR="005A008B" w:rsidRPr="00D90C15" w:rsidRDefault="005A008B" w:rsidP="003151A4">
      <w:pPr>
        <w:spacing w:before="0"/>
        <w:ind w:left="992"/>
      </w:pPr>
      <w:r w:rsidRPr="00D90C15">
        <w:t>Email: contact@sentencingcouncil.vic.gov.au</w:t>
      </w:r>
    </w:p>
    <w:p w14:paraId="717EEE60" w14:textId="77777777" w:rsidR="005A008B" w:rsidRPr="00D90C15" w:rsidRDefault="005A008B" w:rsidP="00926C26">
      <w:pPr>
        <w:pStyle w:val="Heading2"/>
      </w:pPr>
      <w:bookmarkStart w:id="75" w:name="_Toc221113841"/>
      <w:r w:rsidRPr="00D90C15">
        <w:t>Attestation</w:t>
      </w:r>
      <w:bookmarkEnd w:id="75"/>
    </w:p>
    <w:p w14:paraId="2D8BBA82" w14:textId="77777777" w:rsidR="005A008B" w:rsidRPr="00D90C15" w:rsidRDefault="005A008B" w:rsidP="00234617">
      <w:r w:rsidRPr="00D90C15">
        <w:t xml:space="preserve">I, Stan Winford, on behalf of the Responsible Body, certify that the Sentencing Advisory Council has complied with the applicable Standing Directions of the Minister for Finance under the </w:t>
      </w:r>
      <w:r w:rsidRPr="004A331A">
        <w:rPr>
          <w:i/>
          <w:iCs/>
        </w:rPr>
        <w:t xml:space="preserve">Financial Management Act 1994 </w:t>
      </w:r>
      <w:r w:rsidRPr="00D90C15">
        <w:t xml:space="preserve">and Instructions. </w:t>
      </w:r>
    </w:p>
    <w:p w14:paraId="719BDE0E" w14:textId="77777777" w:rsidR="005A008B" w:rsidRPr="00D90C15" w:rsidRDefault="005A008B" w:rsidP="00FE4E31">
      <w:pPr>
        <w:spacing w:after="0"/>
      </w:pPr>
      <w:r w:rsidRPr="00D90C15">
        <w:t>Stan Winford</w:t>
      </w:r>
    </w:p>
    <w:p w14:paraId="03A2B028" w14:textId="77777777" w:rsidR="005A008B" w:rsidRPr="00D90C15" w:rsidRDefault="005A008B" w:rsidP="00FE4E31">
      <w:pPr>
        <w:spacing w:before="0" w:after="0"/>
      </w:pPr>
      <w:r w:rsidRPr="00D90C15">
        <w:t>Director</w:t>
      </w:r>
    </w:p>
    <w:p w14:paraId="134CA5C2" w14:textId="77777777" w:rsidR="005A008B" w:rsidRPr="00D90C15" w:rsidRDefault="005A008B" w:rsidP="00FE4E31">
      <w:pPr>
        <w:spacing w:before="0"/>
      </w:pPr>
      <w:r w:rsidRPr="00D90C15">
        <w:t xml:space="preserve">Sentencing Advisory Council </w:t>
      </w:r>
    </w:p>
    <w:p w14:paraId="6C7D84D2" w14:textId="748AF5B9" w:rsidR="005A008B" w:rsidRPr="00AA1CB0" w:rsidRDefault="006B7598" w:rsidP="00AA1CB0">
      <w:pPr>
        <w:pStyle w:val="Heading1"/>
      </w:pPr>
      <w:bookmarkStart w:id="76" w:name="_Toc221113842"/>
      <w:r w:rsidRPr="00AA1CB0">
        <w:lastRenderedPageBreak/>
        <w:t xml:space="preserve">Financial Report </w:t>
      </w:r>
      <w:proofErr w:type="gramStart"/>
      <w:r w:rsidRPr="00AA1CB0">
        <w:t>For</w:t>
      </w:r>
      <w:proofErr w:type="gramEnd"/>
      <w:r w:rsidRPr="00AA1CB0">
        <w:t xml:space="preserve"> </w:t>
      </w:r>
      <w:proofErr w:type="gramStart"/>
      <w:r w:rsidRPr="00AA1CB0">
        <w:t>The</w:t>
      </w:r>
      <w:proofErr w:type="gramEnd"/>
      <w:r w:rsidRPr="00AA1CB0">
        <w:t xml:space="preserve"> Year Ended 30 June 2025</w:t>
      </w:r>
      <w:bookmarkEnd w:id="76"/>
    </w:p>
    <w:p w14:paraId="265D59E9" w14:textId="77777777" w:rsidR="005A008B" w:rsidRPr="00D90C15" w:rsidRDefault="005A008B" w:rsidP="00926C26">
      <w:pPr>
        <w:pStyle w:val="Heading2"/>
      </w:pPr>
      <w:bookmarkStart w:id="77" w:name="_Toc221113843"/>
      <w:r w:rsidRPr="00D90C15">
        <w:t>How This Report Is Structured</w:t>
      </w:r>
      <w:bookmarkEnd w:id="77"/>
    </w:p>
    <w:p w14:paraId="664F0F97" w14:textId="77777777" w:rsidR="005A008B" w:rsidRPr="00D90C15" w:rsidRDefault="005A008B" w:rsidP="00926C26">
      <w:r w:rsidRPr="00D90C15">
        <w:t>The Sentencing Advisory Council has presented its audited general-purpose financial statements for the financial year ended 30 June 2025 in the following structure to provide users with the information about the Sentencing Advisory Council stewardship of resources entrusted to it.</w:t>
      </w:r>
    </w:p>
    <w:p w14:paraId="02160CCB" w14:textId="77777777" w:rsidR="005A008B" w:rsidRDefault="005A008B" w:rsidP="00926C26">
      <w:pPr>
        <w:pStyle w:val="Heading2"/>
      </w:pPr>
      <w:bookmarkStart w:id="78" w:name="_Toc221113844"/>
      <w:r w:rsidRPr="00D90C15">
        <w:t>Contents</w:t>
      </w:r>
      <w:bookmarkEnd w:id="78"/>
    </w:p>
    <w:p w14:paraId="0D1AF71B" w14:textId="54FABCC5"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r w:rsidRPr="004F0A44">
        <w:rPr>
          <w:bCs w:val="0"/>
        </w:rPr>
        <w:fldChar w:fldCharType="begin"/>
      </w:r>
      <w:r w:rsidRPr="004F0A44">
        <w:rPr>
          <w:bCs w:val="0"/>
        </w:rPr>
        <w:instrText xml:space="preserve"> TOC \o "2-3" \p " " \h \z \t "Heading 1,1" </w:instrText>
      </w:r>
      <w:r w:rsidRPr="004F0A44">
        <w:rPr>
          <w:bCs w:val="0"/>
        </w:rPr>
        <w:fldChar w:fldCharType="separate"/>
      </w:r>
      <w:hyperlink w:anchor="_Toc221113845" w:history="1">
        <w:r w:rsidR="00467B1C" w:rsidRPr="004F0A44">
          <w:rPr>
            <w:rStyle w:val="Hyperlink"/>
            <w:bCs w:val="0"/>
            <w:caps w:val="0"/>
            <w:noProof/>
          </w:rPr>
          <w:t>Declaration In The Financial Statements</w:t>
        </w:r>
        <w:r w:rsidR="00467B1C"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_Toc221113845 \h </w:instrText>
        </w:r>
        <w:r w:rsidRPr="004F0A44">
          <w:rPr>
            <w:bCs w:val="0"/>
            <w:noProof/>
            <w:webHidden/>
          </w:rPr>
        </w:r>
        <w:r w:rsidRPr="004F0A44">
          <w:rPr>
            <w:bCs w:val="0"/>
            <w:noProof/>
            <w:webHidden/>
          </w:rPr>
          <w:fldChar w:fldCharType="separate"/>
        </w:r>
        <w:r w:rsidR="00C17F57" w:rsidRPr="004F0A44">
          <w:rPr>
            <w:bCs w:val="0"/>
            <w:noProof/>
            <w:webHidden/>
          </w:rPr>
          <w:t>50</w:t>
        </w:r>
        <w:r w:rsidRPr="004F0A44">
          <w:rPr>
            <w:bCs w:val="0"/>
            <w:noProof/>
            <w:webHidden/>
          </w:rPr>
          <w:fldChar w:fldCharType="end"/>
        </w:r>
      </w:hyperlink>
    </w:p>
    <w:p w14:paraId="66FD007A" w14:textId="5F49EF2C"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47" w:history="1">
        <w:r w:rsidR="00467B1C" w:rsidRPr="004F0A44">
          <w:rPr>
            <w:rStyle w:val="Hyperlink"/>
            <w:bCs w:val="0"/>
            <w:caps w:val="0"/>
            <w:noProof/>
          </w:rPr>
          <w:t>Independent Auditor’s Report</w:t>
        </w:r>
        <w:r w:rsidR="00467B1C"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_Toc221113847 \h </w:instrText>
        </w:r>
        <w:r w:rsidRPr="004F0A44">
          <w:rPr>
            <w:bCs w:val="0"/>
            <w:noProof/>
            <w:webHidden/>
          </w:rPr>
        </w:r>
        <w:r w:rsidRPr="004F0A44">
          <w:rPr>
            <w:bCs w:val="0"/>
            <w:noProof/>
            <w:webHidden/>
          </w:rPr>
          <w:fldChar w:fldCharType="separate"/>
        </w:r>
        <w:r w:rsidR="00C17F57" w:rsidRPr="004F0A44">
          <w:rPr>
            <w:bCs w:val="0"/>
            <w:noProof/>
            <w:webHidden/>
          </w:rPr>
          <w:t>52</w:t>
        </w:r>
        <w:r w:rsidRPr="004F0A44">
          <w:rPr>
            <w:bCs w:val="0"/>
            <w:noProof/>
            <w:webHidden/>
          </w:rPr>
          <w:fldChar w:fldCharType="end"/>
        </w:r>
      </w:hyperlink>
    </w:p>
    <w:p w14:paraId="3189FAB4" w14:textId="0F423922"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52" w:history="1">
        <w:r w:rsidR="00A24F20" w:rsidRPr="004F0A44">
          <w:rPr>
            <w:rStyle w:val="Hyperlink"/>
            <w:bCs w:val="0"/>
            <w:caps w:val="0"/>
            <w:noProof/>
          </w:rPr>
          <w:t>Comprehensive Operating Statement For The Financial Year Ended 30 June 2025</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_Toc221113852 \h </w:instrText>
        </w:r>
        <w:r w:rsidRPr="004F0A44">
          <w:rPr>
            <w:bCs w:val="0"/>
            <w:noProof/>
            <w:webHidden/>
          </w:rPr>
        </w:r>
        <w:r w:rsidRPr="004F0A44">
          <w:rPr>
            <w:bCs w:val="0"/>
            <w:noProof/>
            <w:webHidden/>
          </w:rPr>
          <w:fldChar w:fldCharType="separate"/>
        </w:r>
        <w:r w:rsidR="00C17F57" w:rsidRPr="004F0A44">
          <w:rPr>
            <w:bCs w:val="0"/>
            <w:noProof/>
            <w:webHidden/>
          </w:rPr>
          <w:t>55</w:t>
        </w:r>
        <w:r w:rsidRPr="004F0A44">
          <w:rPr>
            <w:bCs w:val="0"/>
            <w:noProof/>
            <w:webHidden/>
          </w:rPr>
          <w:fldChar w:fldCharType="end"/>
        </w:r>
      </w:hyperlink>
    </w:p>
    <w:p w14:paraId="156390B4" w14:textId="7B7A0F71"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53" w:history="1">
        <w:r w:rsidR="00A24F20" w:rsidRPr="004F0A44">
          <w:rPr>
            <w:rStyle w:val="Hyperlink"/>
            <w:bCs w:val="0"/>
            <w:caps w:val="0"/>
            <w:noProof/>
          </w:rPr>
          <w:t>Balance Sheet As At 30 June 2025</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_Toc221113853 \h </w:instrText>
        </w:r>
        <w:r w:rsidRPr="004F0A44">
          <w:rPr>
            <w:bCs w:val="0"/>
            <w:noProof/>
            <w:webHidden/>
          </w:rPr>
        </w:r>
        <w:r w:rsidRPr="004F0A44">
          <w:rPr>
            <w:bCs w:val="0"/>
            <w:noProof/>
            <w:webHidden/>
          </w:rPr>
          <w:fldChar w:fldCharType="separate"/>
        </w:r>
        <w:r w:rsidR="00C17F57" w:rsidRPr="004F0A44">
          <w:rPr>
            <w:bCs w:val="0"/>
            <w:noProof/>
            <w:webHidden/>
          </w:rPr>
          <w:t>56</w:t>
        </w:r>
        <w:r w:rsidRPr="004F0A44">
          <w:rPr>
            <w:bCs w:val="0"/>
            <w:noProof/>
            <w:webHidden/>
          </w:rPr>
          <w:fldChar w:fldCharType="end"/>
        </w:r>
      </w:hyperlink>
    </w:p>
    <w:p w14:paraId="27B2FD8B" w14:textId="2736AAEA"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54" w:history="1">
        <w:r w:rsidR="00A24F20" w:rsidRPr="004F0A44">
          <w:rPr>
            <w:rStyle w:val="Hyperlink"/>
            <w:bCs w:val="0"/>
            <w:caps w:val="0"/>
            <w:noProof/>
          </w:rPr>
          <w:t>Cash Flow Statement For The Financial Year Ended 30 June 2025</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_Toc221113854 \h </w:instrText>
        </w:r>
        <w:r w:rsidRPr="004F0A44">
          <w:rPr>
            <w:bCs w:val="0"/>
            <w:noProof/>
            <w:webHidden/>
          </w:rPr>
        </w:r>
        <w:r w:rsidRPr="004F0A44">
          <w:rPr>
            <w:bCs w:val="0"/>
            <w:noProof/>
            <w:webHidden/>
          </w:rPr>
          <w:fldChar w:fldCharType="separate"/>
        </w:r>
        <w:r w:rsidR="00C17F57" w:rsidRPr="004F0A44">
          <w:rPr>
            <w:bCs w:val="0"/>
            <w:noProof/>
            <w:webHidden/>
          </w:rPr>
          <w:t>57</w:t>
        </w:r>
        <w:r w:rsidRPr="004F0A44">
          <w:rPr>
            <w:bCs w:val="0"/>
            <w:noProof/>
            <w:webHidden/>
          </w:rPr>
          <w:fldChar w:fldCharType="end"/>
        </w:r>
      </w:hyperlink>
    </w:p>
    <w:p w14:paraId="18B58129" w14:textId="10A29655"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55" w:history="1">
        <w:r w:rsidR="00A24F20" w:rsidRPr="004F0A44">
          <w:rPr>
            <w:rStyle w:val="Hyperlink"/>
            <w:bCs w:val="0"/>
            <w:caps w:val="0"/>
            <w:noProof/>
          </w:rPr>
          <w:t>Statement Of Changes In Equity For The Financial Year Ended 30 June 2025</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_Toc221113855 \h </w:instrText>
        </w:r>
        <w:r w:rsidRPr="004F0A44">
          <w:rPr>
            <w:bCs w:val="0"/>
            <w:noProof/>
            <w:webHidden/>
          </w:rPr>
        </w:r>
        <w:r w:rsidRPr="004F0A44">
          <w:rPr>
            <w:bCs w:val="0"/>
            <w:noProof/>
            <w:webHidden/>
          </w:rPr>
          <w:fldChar w:fldCharType="separate"/>
        </w:r>
        <w:r w:rsidR="00C17F57" w:rsidRPr="004F0A44">
          <w:rPr>
            <w:bCs w:val="0"/>
            <w:noProof/>
            <w:webHidden/>
          </w:rPr>
          <w:t>58</w:t>
        </w:r>
        <w:r w:rsidRPr="004F0A44">
          <w:rPr>
            <w:bCs w:val="0"/>
            <w:noProof/>
            <w:webHidden/>
          </w:rPr>
          <w:fldChar w:fldCharType="end"/>
        </w:r>
      </w:hyperlink>
    </w:p>
    <w:p w14:paraId="0628B633" w14:textId="3AE83B8B"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856" w:history="1">
        <w:r w:rsidR="00A24F20" w:rsidRPr="004F0A44">
          <w:rPr>
            <w:rStyle w:val="Hyperlink"/>
            <w:bCs w:val="0"/>
            <w:caps w:val="0"/>
            <w:noProof/>
          </w:rPr>
          <w:t>Notes To The Financial Statements For The Financial Year Ended 30 June 2025</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_Toc221113856 \h </w:instrText>
        </w:r>
        <w:r w:rsidRPr="004F0A44">
          <w:rPr>
            <w:bCs w:val="0"/>
            <w:noProof/>
            <w:webHidden/>
          </w:rPr>
        </w:r>
        <w:r w:rsidRPr="004F0A44">
          <w:rPr>
            <w:bCs w:val="0"/>
            <w:noProof/>
            <w:webHidden/>
          </w:rPr>
          <w:fldChar w:fldCharType="separate"/>
        </w:r>
        <w:r w:rsidR="00C17F57" w:rsidRPr="004F0A44">
          <w:rPr>
            <w:bCs w:val="0"/>
            <w:noProof/>
            <w:webHidden/>
          </w:rPr>
          <w:t>59</w:t>
        </w:r>
        <w:r w:rsidRPr="004F0A44">
          <w:rPr>
            <w:bCs w:val="0"/>
            <w:noProof/>
            <w:webHidden/>
          </w:rPr>
          <w:fldChar w:fldCharType="end"/>
        </w:r>
      </w:hyperlink>
    </w:p>
    <w:p w14:paraId="62E26DC2" w14:textId="2ECA4105"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57" w:history="1">
        <w:r w:rsidR="00A24F20" w:rsidRPr="004F0A44">
          <w:rPr>
            <w:rStyle w:val="Hyperlink"/>
            <w:bCs w:val="0"/>
            <w:caps w:val="0"/>
            <w:noProof/>
          </w:rPr>
          <w:t>1 About This Report</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_Toc221113857 \h </w:instrText>
        </w:r>
        <w:r w:rsidRPr="004F0A44">
          <w:rPr>
            <w:bCs w:val="0"/>
            <w:noProof/>
            <w:webHidden/>
          </w:rPr>
        </w:r>
        <w:r w:rsidRPr="004F0A44">
          <w:rPr>
            <w:bCs w:val="0"/>
            <w:noProof/>
            <w:webHidden/>
          </w:rPr>
          <w:fldChar w:fldCharType="separate"/>
        </w:r>
        <w:r w:rsidR="00C17F57" w:rsidRPr="004F0A44">
          <w:rPr>
            <w:bCs w:val="0"/>
            <w:noProof/>
            <w:webHidden/>
          </w:rPr>
          <w:t>59</w:t>
        </w:r>
        <w:r w:rsidRPr="004F0A44">
          <w:rPr>
            <w:bCs w:val="0"/>
            <w:noProof/>
            <w:webHidden/>
          </w:rPr>
          <w:fldChar w:fldCharType="end"/>
        </w:r>
      </w:hyperlink>
    </w:p>
    <w:p w14:paraId="14D2DB51" w14:textId="7F1E3927"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60" w:history="1">
        <w:r w:rsidR="00A24F20" w:rsidRPr="004F0A44">
          <w:rPr>
            <w:rStyle w:val="Hyperlink"/>
            <w:bCs w:val="0"/>
            <w:caps w:val="0"/>
            <w:noProof/>
          </w:rPr>
          <w:t>2 Funding Delivery Of Our Services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_Toc221113860 \h </w:instrText>
        </w:r>
        <w:r w:rsidRPr="004F0A44">
          <w:rPr>
            <w:bCs w:val="0"/>
            <w:noProof/>
            <w:webHidden/>
          </w:rPr>
        </w:r>
        <w:r w:rsidRPr="004F0A44">
          <w:rPr>
            <w:bCs w:val="0"/>
            <w:noProof/>
            <w:webHidden/>
          </w:rPr>
          <w:fldChar w:fldCharType="separate"/>
        </w:r>
        <w:r w:rsidR="00C17F57" w:rsidRPr="004F0A44">
          <w:rPr>
            <w:bCs w:val="0"/>
            <w:noProof/>
            <w:webHidden/>
          </w:rPr>
          <w:t>62</w:t>
        </w:r>
        <w:r w:rsidRPr="004F0A44">
          <w:rPr>
            <w:bCs w:val="0"/>
            <w:noProof/>
            <w:webHidden/>
          </w:rPr>
          <w:fldChar w:fldCharType="end"/>
        </w:r>
      </w:hyperlink>
    </w:p>
    <w:p w14:paraId="41B1DCF2" w14:textId="60A5A059"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64" w:history="1">
        <w:r w:rsidR="00A24F20" w:rsidRPr="004F0A44">
          <w:rPr>
            <w:rStyle w:val="Hyperlink"/>
            <w:bCs w:val="0"/>
            <w:caps w:val="0"/>
            <w:noProof/>
          </w:rPr>
          <w:t>3 The Cost Of Delivering Services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_Toc221113864 \h </w:instrText>
        </w:r>
        <w:r w:rsidRPr="004F0A44">
          <w:rPr>
            <w:bCs w:val="0"/>
            <w:noProof/>
            <w:webHidden/>
          </w:rPr>
        </w:r>
        <w:r w:rsidRPr="004F0A44">
          <w:rPr>
            <w:bCs w:val="0"/>
            <w:noProof/>
            <w:webHidden/>
          </w:rPr>
          <w:fldChar w:fldCharType="separate"/>
        </w:r>
        <w:r w:rsidR="00C17F57" w:rsidRPr="004F0A44">
          <w:rPr>
            <w:bCs w:val="0"/>
            <w:noProof/>
            <w:webHidden/>
          </w:rPr>
          <w:t>64</w:t>
        </w:r>
        <w:r w:rsidRPr="004F0A44">
          <w:rPr>
            <w:bCs w:val="0"/>
            <w:noProof/>
            <w:webHidden/>
          </w:rPr>
          <w:fldChar w:fldCharType="end"/>
        </w:r>
      </w:hyperlink>
    </w:p>
    <w:p w14:paraId="3B007B17" w14:textId="5FEFD902"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69" w:history="1">
        <w:r w:rsidR="00A24F20" w:rsidRPr="004F0A44">
          <w:rPr>
            <w:rStyle w:val="Hyperlink"/>
            <w:bCs w:val="0"/>
            <w:caps w:val="0"/>
            <w:noProof/>
          </w:rPr>
          <w:t>4 Key Assets Available To Support Service Delivery</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_Toc221113869 \h </w:instrText>
        </w:r>
        <w:r w:rsidRPr="004F0A44">
          <w:rPr>
            <w:bCs w:val="0"/>
            <w:noProof/>
            <w:webHidden/>
          </w:rPr>
        </w:r>
        <w:r w:rsidRPr="004F0A44">
          <w:rPr>
            <w:bCs w:val="0"/>
            <w:noProof/>
            <w:webHidden/>
          </w:rPr>
          <w:fldChar w:fldCharType="separate"/>
        </w:r>
        <w:r w:rsidR="00C17F57" w:rsidRPr="004F0A44">
          <w:rPr>
            <w:bCs w:val="0"/>
            <w:noProof/>
            <w:webHidden/>
          </w:rPr>
          <w:t>68</w:t>
        </w:r>
        <w:r w:rsidRPr="004F0A44">
          <w:rPr>
            <w:bCs w:val="0"/>
            <w:noProof/>
            <w:webHidden/>
          </w:rPr>
          <w:fldChar w:fldCharType="end"/>
        </w:r>
      </w:hyperlink>
    </w:p>
    <w:p w14:paraId="7DC94BDE" w14:textId="32ABBD79"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73" w:history="1">
        <w:r w:rsidR="00A24F20" w:rsidRPr="004F0A44">
          <w:rPr>
            <w:rStyle w:val="Hyperlink"/>
            <w:bCs w:val="0"/>
            <w:caps w:val="0"/>
            <w:noProof/>
          </w:rPr>
          <w:t>5 Other Assets And Liabilities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_Toc221113873 \h </w:instrText>
        </w:r>
        <w:r w:rsidRPr="004F0A44">
          <w:rPr>
            <w:bCs w:val="0"/>
            <w:noProof/>
            <w:webHidden/>
          </w:rPr>
        </w:r>
        <w:r w:rsidRPr="004F0A44">
          <w:rPr>
            <w:bCs w:val="0"/>
            <w:noProof/>
            <w:webHidden/>
          </w:rPr>
          <w:fldChar w:fldCharType="separate"/>
        </w:r>
        <w:r w:rsidR="00C17F57" w:rsidRPr="004F0A44">
          <w:rPr>
            <w:bCs w:val="0"/>
            <w:noProof/>
            <w:webHidden/>
          </w:rPr>
          <w:t>71</w:t>
        </w:r>
        <w:r w:rsidRPr="004F0A44">
          <w:rPr>
            <w:bCs w:val="0"/>
            <w:noProof/>
            <w:webHidden/>
          </w:rPr>
          <w:fldChar w:fldCharType="end"/>
        </w:r>
      </w:hyperlink>
    </w:p>
    <w:p w14:paraId="52FED17E" w14:textId="260ECC46"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78" w:history="1">
        <w:r w:rsidR="00A24F20" w:rsidRPr="004F0A44">
          <w:rPr>
            <w:rStyle w:val="Hyperlink"/>
            <w:bCs w:val="0"/>
            <w:caps w:val="0"/>
            <w:noProof/>
          </w:rPr>
          <w:t>6 How We Financed Our Operations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_Toc221113878 \h </w:instrText>
        </w:r>
        <w:r w:rsidRPr="004F0A44">
          <w:rPr>
            <w:bCs w:val="0"/>
            <w:noProof/>
            <w:webHidden/>
          </w:rPr>
        </w:r>
        <w:r w:rsidRPr="004F0A44">
          <w:rPr>
            <w:bCs w:val="0"/>
            <w:noProof/>
            <w:webHidden/>
          </w:rPr>
          <w:fldChar w:fldCharType="separate"/>
        </w:r>
        <w:r w:rsidR="00C17F57" w:rsidRPr="004F0A44">
          <w:rPr>
            <w:bCs w:val="0"/>
            <w:noProof/>
            <w:webHidden/>
          </w:rPr>
          <w:t>73</w:t>
        </w:r>
        <w:r w:rsidRPr="004F0A44">
          <w:rPr>
            <w:bCs w:val="0"/>
            <w:noProof/>
            <w:webHidden/>
          </w:rPr>
          <w:fldChar w:fldCharType="end"/>
        </w:r>
      </w:hyperlink>
    </w:p>
    <w:p w14:paraId="6F751D2B" w14:textId="686BC121"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85" w:history="1">
        <w:r w:rsidR="00A24F20" w:rsidRPr="004F0A44">
          <w:rPr>
            <w:rStyle w:val="Hyperlink"/>
            <w:bCs w:val="0"/>
            <w:caps w:val="0"/>
            <w:noProof/>
          </w:rPr>
          <w:t>7 Risk Contingencies And Valuation Judgements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_Toc221113885 \h </w:instrText>
        </w:r>
        <w:r w:rsidRPr="004F0A44">
          <w:rPr>
            <w:bCs w:val="0"/>
            <w:noProof/>
            <w:webHidden/>
          </w:rPr>
        </w:r>
        <w:r w:rsidRPr="004F0A44">
          <w:rPr>
            <w:bCs w:val="0"/>
            <w:noProof/>
            <w:webHidden/>
          </w:rPr>
          <w:fldChar w:fldCharType="separate"/>
        </w:r>
        <w:r w:rsidR="00C17F57" w:rsidRPr="004F0A44">
          <w:rPr>
            <w:bCs w:val="0"/>
            <w:noProof/>
            <w:webHidden/>
          </w:rPr>
          <w:t>77</w:t>
        </w:r>
        <w:r w:rsidRPr="004F0A44">
          <w:rPr>
            <w:bCs w:val="0"/>
            <w:noProof/>
            <w:webHidden/>
          </w:rPr>
          <w:fldChar w:fldCharType="end"/>
        </w:r>
      </w:hyperlink>
    </w:p>
    <w:p w14:paraId="0EAF04CC" w14:textId="22B816B8" w:rsidR="00055719" w:rsidRPr="004F0A44" w:rsidRDefault="00055719" w:rsidP="00DA2653">
      <w:pPr>
        <w:pStyle w:val="TOC1"/>
        <w:tabs>
          <w:tab w:val="right" w:pos="9016"/>
        </w:tabs>
        <w:ind w:left="240"/>
        <w:rPr>
          <w:rFonts w:eastAsiaTheme="minorEastAsia" w:cstheme="minorBidi"/>
          <w:bCs w:val="0"/>
          <w:caps w:val="0"/>
          <w:noProof/>
          <w:kern w:val="2"/>
          <w14:ligatures w14:val="standardContextual"/>
        </w:rPr>
      </w:pPr>
      <w:hyperlink w:anchor="_Toc221113891" w:history="1">
        <w:r w:rsidR="00A24F20" w:rsidRPr="004F0A44">
          <w:rPr>
            <w:rStyle w:val="Hyperlink"/>
            <w:bCs w:val="0"/>
            <w:caps w:val="0"/>
            <w:noProof/>
          </w:rPr>
          <w:t>8 Other Disclosures</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_Toc221113891 \h </w:instrText>
        </w:r>
        <w:r w:rsidRPr="004F0A44">
          <w:rPr>
            <w:bCs w:val="0"/>
            <w:noProof/>
            <w:webHidden/>
          </w:rPr>
        </w:r>
        <w:r w:rsidRPr="004F0A44">
          <w:rPr>
            <w:bCs w:val="0"/>
            <w:noProof/>
            <w:webHidden/>
          </w:rPr>
          <w:fldChar w:fldCharType="separate"/>
        </w:r>
        <w:r w:rsidR="00C17F57" w:rsidRPr="004F0A44">
          <w:rPr>
            <w:bCs w:val="0"/>
            <w:noProof/>
            <w:webHidden/>
          </w:rPr>
          <w:t>81</w:t>
        </w:r>
        <w:r w:rsidRPr="004F0A44">
          <w:rPr>
            <w:bCs w:val="0"/>
            <w:noProof/>
            <w:webHidden/>
          </w:rPr>
          <w:fldChar w:fldCharType="end"/>
        </w:r>
      </w:hyperlink>
    </w:p>
    <w:p w14:paraId="04B7E861" w14:textId="0A69B27F" w:rsidR="00055719" w:rsidRPr="004F0A44" w:rsidRDefault="00055719" w:rsidP="00DB3AA0">
      <w:pPr>
        <w:pStyle w:val="TOC1"/>
        <w:tabs>
          <w:tab w:val="right" w:pos="9016"/>
        </w:tabs>
        <w:rPr>
          <w:rFonts w:eastAsiaTheme="minorEastAsia" w:cstheme="minorBidi"/>
          <w:bCs w:val="0"/>
          <w:caps w:val="0"/>
          <w:noProof/>
          <w:kern w:val="2"/>
          <w14:ligatures w14:val="standardContextual"/>
        </w:rPr>
      </w:pPr>
      <w:hyperlink w:anchor="_Toc221113902" w:history="1">
        <w:r w:rsidR="00A24F20" w:rsidRPr="004F0A44">
          <w:rPr>
            <w:rStyle w:val="Hyperlink"/>
            <w:bCs w:val="0"/>
            <w:caps w:val="0"/>
            <w:noProof/>
          </w:rPr>
          <w:t>Disclosure In</w:t>
        </w:r>
        <w:r w:rsidR="00A24F20" w:rsidRPr="004F0A44">
          <w:rPr>
            <w:rStyle w:val="Hyperlink"/>
            <w:bCs w:val="0"/>
            <w:caps w:val="0"/>
            <w:noProof/>
          </w:rPr>
          <w:t>d</w:t>
        </w:r>
        <w:r w:rsidR="00A24F20" w:rsidRPr="004F0A44">
          <w:rPr>
            <w:rStyle w:val="Hyperlink"/>
            <w:bCs w:val="0"/>
            <w:caps w:val="0"/>
            <w:noProof/>
          </w:rPr>
          <w:t>ex</w:t>
        </w:r>
        <w:r w:rsidR="00A24F20" w:rsidRPr="004F0A44">
          <w:rPr>
            <w:bCs w:val="0"/>
            <w:caps w:val="0"/>
            <w:noProof/>
            <w:webHidden/>
          </w:rPr>
          <w:t xml:space="preserve"> </w:t>
        </w:r>
        <w:r w:rsidRPr="004F0A44">
          <w:rPr>
            <w:bCs w:val="0"/>
            <w:noProof/>
            <w:webHidden/>
          </w:rPr>
          <w:fldChar w:fldCharType="begin"/>
        </w:r>
        <w:r w:rsidRPr="004F0A44">
          <w:rPr>
            <w:bCs w:val="0"/>
            <w:noProof/>
            <w:webHidden/>
          </w:rPr>
          <w:instrText xml:space="preserve"> PAGEREF _Toc221113902 \h </w:instrText>
        </w:r>
        <w:r w:rsidRPr="004F0A44">
          <w:rPr>
            <w:bCs w:val="0"/>
            <w:noProof/>
            <w:webHidden/>
          </w:rPr>
        </w:r>
        <w:r w:rsidRPr="004F0A44">
          <w:rPr>
            <w:bCs w:val="0"/>
            <w:noProof/>
            <w:webHidden/>
          </w:rPr>
          <w:fldChar w:fldCharType="separate"/>
        </w:r>
        <w:r w:rsidR="00C17F57" w:rsidRPr="004F0A44">
          <w:rPr>
            <w:bCs w:val="0"/>
            <w:noProof/>
            <w:webHidden/>
          </w:rPr>
          <w:t>88</w:t>
        </w:r>
        <w:r w:rsidRPr="004F0A44">
          <w:rPr>
            <w:bCs w:val="0"/>
            <w:noProof/>
            <w:webHidden/>
          </w:rPr>
          <w:fldChar w:fldCharType="end"/>
        </w:r>
      </w:hyperlink>
    </w:p>
    <w:p w14:paraId="1F1BE579" w14:textId="1E5A86F7" w:rsidR="00055719" w:rsidRPr="00055719" w:rsidRDefault="00055719" w:rsidP="00DB3AA0">
      <w:pPr>
        <w:spacing w:before="0" w:after="0"/>
      </w:pPr>
      <w:r w:rsidRPr="004F0A44">
        <w:fldChar w:fldCharType="end"/>
      </w:r>
    </w:p>
    <w:p w14:paraId="5971F6EC" w14:textId="1892A184" w:rsidR="005A008B" w:rsidRPr="00AA1CB0" w:rsidRDefault="006B7598" w:rsidP="00AA1CB0">
      <w:pPr>
        <w:pStyle w:val="Heading1"/>
      </w:pPr>
      <w:bookmarkStart w:id="79" w:name="_Toc221113845"/>
      <w:r w:rsidRPr="00AA1CB0">
        <w:lastRenderedPageBreak/>
        <w:t xml:space="preserve">Declaration In </w:t>
      </w:r>
      <w:proofErr w:type="gramStart"/>
      <w:r w:rsidRPr="00AA1CB0">
        <w:t>The</w:t>
      </w:r>
      <w:proofErr w:type="gramEnd"/>
      <w:r w:rsidRPr="00AA1CB0">
        <w:t xml:space="preserve"> Financial Statements</w:t>
      </w:r>
      <w:bookmarkEnd w:id="79"/>
    </w:p>
    <w:p w14:paraId="041AADB4" w14:textId="77777777" w:rsidR="005A008B" w:rsidRPr="00D90C15" w:rsidRDefault="005A008B" w:rsidP="00926C26">
      <w:pPr>
        <w:pStyle w:val="Heading2"/>
      </w:pPr>
      <w:bookmarkStart w:id="80" w:name="_Toc221113846"/>
      <w:r w:rsidRPr="00D90C15">
        <w:t>Accountable Officer, Chief Finance and Accounting Officer and Chairperson’s Declaration</w:t>
      </w:r>
      <w:bookmarkEnd w:id="80"/>
    </w:p>
    <w:p w14:paraId="0E86906F" w14:textId="77777777" w:rsidR="005A008B" w:rsidRPr="00D90C15" w:rsidRDefault="005A008B" w:rsidP="00234617">
      <w:r w:rsidRPr="00D90C15">
        <w:t xml:space="preserve">The attached financial statements for the Sentencing Advisory Council have been prepared in accordance with Direction 5.2 of the Standing Directions of the Assistant Treasurer under the </w:t>
      </w:r>
      <w:r w:rsidRPr="004A331A">
        <w:rPr>
          <w:i/>
          <w:iCs/>
        </w:rPr>
        <w:t>Financial Management Act 1994</w:t>
      </w:r>
      <w:r w:rsidRPr="00D90C15">
        <w:t>, applicable Financial Reporting Directions, Australian Accounting Standards including Interpretations, and other mandatory professional reporting requirements.</w:t>
      </w:r>
    </w:p>
    <w:p w14:paraId="5B5FB516" w14:textId="77777777" w:rsidR="005A008B" w:rsidRPr="00D90C15" w:rsidRDefault="005A008B" w:rsidP="00234617">
      <w:r w:rsidRPr="00D90C15">
        <w:t xml:space="preserve">We further state that, in our opinion, the information set out in the </w:t>
      </w:r>
      <w:r w:rsidRPr="009A485A">
        <w:t xml:space="preserve">comprehensive operating statement, balance sheet, statement of changes </w:t>
      </w:r>
      <w:r w:rsidRPr="00D90C15">
        <w:t xml:space="preserve">in equity, cash flow statement and accompanying notes, presents fairly the financial transactions and events during the year ended 30 June 2025 and financial position of the Council as </w:t>
      </w:r>
      <w:proofErr w:type="gramStart"/>
      <w:r w:rsidRPr="00D90C15">
        <w:t>at</w:t>
      </w:r>
      <w:proofErr w:type="gramEnd"/>
      <w:r w:rsidRPr="00D90C15">
        <w:t xml:space="preserve"> 30 June 2025.</w:t>
      </w:r>
    </w:p>
    <w:p w14:paraId="01B2E0C4" w14:textId="77777777" w:rsidR="005A008B" w:rsidRPr="00D90C15" w:rsidRDefault="005A008B" w:rsidP="00234617">
      <w:r w:rsidRPr="00D90C15">
        <w:t>At the time of signing, we are not aware of any circumstance that would render any particulars included in the financial statements to be misleading or inaccurate.</w:t>
      </w:r>
    </w:p>
    <w:p w14:paraId="46657587" w14:textId="77777777" w:rsidR="005A008B" w:rsidRPr="00D90C15" w:rsidRDefault="005A008B" w:rsidP="00234617">
      <w:r w:rsidRPr="00D90C15">
        <w:t xml:space="preserve">We authorise the attached financial statements for issue on 27 November 2025. </w:t>
      </w:r>
    </w:p>
    <w:p w14:paraId="556BDC57" w14:textId="77777777" w:rsidR="005A008B" w:rsidRPr="0024372C" w:rsidRDefault="005A008B" w:rsidP="0024372C">
      <w:pPr>
        <w:rPr>
          <w:rStyle w:val="Bold"/>
        </w:rPr>
      </w:pPr>
      <w:r w:rsidRPr="0024372C">
        <w:rPr>
          <w:rStyle w:val="Bold"/>
        </w:rPr>
        <w:t>Stan Winford</w:t>
      </w:r>
    </w:p>
    <w:p w14:paraId="25F0C901" w14:textId="77777777" w:rsidR="005A008B" w:rsidRPr="00D90C15" w:rsidRDefault="005A008B" w:rsidP="00EC349E">
      <w:pPr>
        <w:spacing w:before="0" w:after="0"/>
      </w:pPr>
      <w:r w:rsidRPr="00D90C15">
        <w:t>Acting Deputy Chair</w:t>
      </w:r>
    </w:p>
    <w:p w14:paraId="215BE536" w14:textId="77777777" w:rsidR="005A008B" w:rsidRPr="00D90C15" w:rsidRDefault="005A008B" w:rsidP="00EC349E">
      <w:pPr>
        <w:spacing w:before="0" w:after="0"/>
      </w:pPr>
      <w:r w:rsidRPr="00D90C15">
        <w:t>Sentencing Advisory Council</w:t>
      </w:r>
    </w:p>
    <w:p w14:paraId="5D7504C8" w14:textId="77777777" w:rsidR="005A008B" w:rsidRPr="00D90C15" w:rsidRDefault="005A008B" w:rsidP="00EC349E">
      <w:pPr>
        <w:spacing w:before="0" w:after="0"/>
      </w:pPr>
      <w:r w:rsidRPr="00D90C15">
        <w:t>Melbourne</w:t>
      </w:r>
    </w:p>
    <w:p w14:paraId="6D456763" w14:textId="77777777" w:rsidR="005A008B" w:rsidRPr="00D90C15" w:rsidRDefault="005A008B" w:rsidP="00EC349E">
      <w:pPr>
        <w:spacing w:before="0"/>
      </w:pPr>
      <w:r w:rsidRPr="00D90C15">
        <w:t>27 Nov 2025</w:t>
      </w:r>
    </w:p>
    <w:p w14:paraId="74C53FA9" w14:textId="77777777" w:rsidR="005A008B" w:rsidRPr="0024372C" w:rsidRDefault="005A008B" w:rsidP="0024372C">
      <w:pPr>
        <w:rPr>
          <w:rStyle w:val="Bold"/>
        </w:rPr>
      </w:pPr>
      <w:r w:rsidRPr="0024372C">
        <w:rPr>
          <w:rStyle w:val="Bold"/>
        </w:rPr>
        <w:t>Dr Paul McGorrery</w:t>
      </w:r>
    </w:p>
    <w:p w14:paraId="4E283CF7" w14:textId="77777777" w:rsidR="005A008B" w:rsidRPr="00D90C15" w:rsidRDefault="005A008B" w:rsidP="00EC349E">
      <w:pPr>
        <w:spacing w:before="0" w:after="0"/>
      </w:pPr>
      <w:r w:rsidRPr="00D90C15">
        <w:t>Chief Executive Officer</w:t>
      </w:r>
    </w:p>
    <w:p w14:paraId="78B7B242" w14:textId="77777777" w:rsidR="005A008B" w:rsidRPr="00D90C15" w:rsidRDefault="005A008B" w:rsidP="00EC349E">
      <w:pPr>
        <w:spacing w:before="0" w:after="0"/>
      </w:pPr>
      <w:r w:rsidRPr="00D90C15">
        <w:t>Sentencing Advisory Council</w:t>
      </w:r>
    </w:p>
    <w:p w14:paraId="3A3E88B6" w14:textId="77777777" w:rsidR="005A008B" w:rsidRPr="00D90C15" w:rsidRDefault="005A008B" w:rsidP="00EC349E">
      <w:pPr>
        <w:spacing w:before="0" w:after="0"/>
      </w:pPr>
      <w:r w:rsidRPr="00D90C15">
        <w:t>Melbourne</w:t>
      </w:r>
    </w:p>
    <w:p w14:paraId="0C0F75FA" w14:textId="77777777" w:rsidR="005A008B" w:rsidRPr="00D90C15" w:rsidRDefault="005A008B" w:rsidP="00EC349E">
      <w:pPr>
        <w:spacing w:before="0"/>
      </w:pPr>
      <w:r w:rsidRPr="00D90C15">
        <w:t>27 Nov 2025</w:t>
      </w:r>
    </w:p>
    <w:p w14:paraId="1C2DE77B" w14:textId="77777777" w:rsidR="005A008B" w:rsidRPr="0024372C" w:rsidRDefault="005A008B" w:rsidP="0024372C">
      <w:pPr>
        <w:rPr>
          <w:rStyle w:val="Bold"/>
        </w:rPr>
      </w:pPr>
      <w:r w:rsidRPr="0024372C">
        <w:rPr>
          <w:rStyle w:val="Bold"/>
        </w:rPr>
        <w:t>Michael Almond</w:t>
      </w:r>
    </w:p>
    <w:p w14:paraId="28161AB9" w14:textId="77777777" w:rsidR="005A008B" w:rsidRPr="00D90C15" w:rsidRDefault="005A008B" w:rsidP="00EC349E">
      <w:pPr>
        <w:spacing w:before="0" w:after="0"/>
      </w:pPr>
      <w:r w:rsidRPr="00D90C15">
        <w:t>Chief Finance and Accounting Officer</w:t>
      </w:r>
    </w:p>
    <w:p w14:paraId="730BF828" w14:textId="77777777" w:rsidR="005A008B" w:rsidRPr="00D90C15" w:rsidRDefault="005A008B" w:rsidP="00EC349E">
      <w:pPr>
        <w:spacing w:before="0" w:after="0"/>
      </w:pPr>
      <w:r w:rsidRPr="00D90C15">
        <w:lastRenderedPageBreak/>
        <w:t>Sentencing Advisory Council</w:t>
      </w:r>
    </w:p>
    <w:p w14:paraId="2D3C0547" w14:textId="77777777" w:rsidR="005A008B" w:rsidRPr="00D90C15" w:rsidRDefault="005A008B" w:rsidP="00EC349E">
      <w:pPr>
        <w:spacing w:before="0" w:after="0"/>
      </w:pPr>
      <w:r w:rsidRPr="00D90C15">
        <w:t>Melbourne</w:t>
      </w:r>
    </w:p>
    <w:p w14:paraId="72A33A40" w14:textId="77777777" w:rsidR="005A008B" w:rsidRPr="00D90C15" w:rsidRDefault="005A008B" w:rsidP="00EC349E">
      <w:pPr>
        <w:spacing w:before="0"/>
      </w:pPr>
      <w:r w:rsidRPr="00D90C15">
        <w:t>27 Nov 2025</w:t>
      </w:r>
    </w:p>
    <w:p w14:paraId="28350715" w14:textId="77777777" w:rsidR="007502C6" w:rsidRDefault="00373CB1" w:rsidP="007502C6">
      <w:pPr>
        <w:pStyle w:val="Heading1"/>
      </w:pPr>
      <w:bookmarkStart w:id="81" w:name="_Toc221113847"/>
      <w:r w:rsidRPr="00373CB1">
        <w:lastRenderedPageBreak/>
        <w:t>Independent Auditor’s Report</w:t>
      </w:r>
      <w:bookmarkEnd w:id="81"/>
    </w:p>
    <w:p w14:paraId="3C9AE714" w14:textId="77777777" w:rsidR="00FE15BF" w:rsidRPr="00774C1D" w:rsidRDefault="00373CB1" w:rsidP="00774C1D">
      <w:pPr>
        <w:rPr>
          <w:rStyle w:val="BoldItalic"/>
        </w:rPr>
      </w:pPr>
      <w:r w:rsidRPr="00373CB1">
        <w:rPr>
          <w:rStyle w:val="BoldItalic"/>
        </w:rPr>
        <w:t>To the Board of the Sentencing Advisory Council</w:t>
      </w:r>
    </w:p>
    <w:p w14:paraId="382802B0" w14:textId="0E9671DD" w:rsidR="007502C6" w:rsidRPr="007502C6" w:rsidRDefault="00373CB1" w:rsidP="00FE15BF">
      <w:pPr>
        <w:pStyle w:val="Heading2"/>
      </w:pPr>
      <w:bookmarkStart w:id="82" w:name="_Toc221113848"/>
      <w:r w:rsidRPr="00373CB1">
        <w:t>Opinion</w:t>
      </w:r>
      <w:bookmarkEnd w:id="82"/>
    </w:p>
    <w:p w14:paraId="3A68A9B3" w14:textId="77777777" w:rsidR="007502C6" w:rsidRDefault="00373CB1" w:rsidP="007502C6">
      <w:r w:rsidRPr="00373CB1">
        <w:t>I have audited the financial report of the Sentencing Advisory Council (the Council) which comprises the:</w:t>
      </w:r>
    </w:p>
    <w:p w14:paraId="5D597BCB" w14:textId="77777777" w:rsidR="00FE15BF" w:rsidRPr="00774C1D" w:rsidRDefault="00373CB1" w:rsidP="00FE15BF">
      <w:pPr>
        <w:pStyle w:val="Bullets"/>
      </w:pPr>
      <w:r w:rsidRPr="00373CB1">
        <w:t xml:space="preserve">balance sheet as </w:t>
      </w:r>
      <w:proofErr w:type="gramStart"/>
      <w:r w:rsidRPr="00373CB1">
        <w:t>at</w:t>
      </w:r>
      <w:proofErr w:type="gramEnd"/>
      <w:r w:rsidRPr="00373CB1">
        <w:t xml:space="preserve"> 30 June 2025</w:t>
      </w:r>
    </w:p>
    <w:p w14:paraId="10087096" w14:textId="77777777" w:rsidR="00FE15BF" w:rsidRPr="00774C1D" w:rsidRDefault="00373CB1" w:rsidP="00FE15BF">
      <w:pPr>
        <w:pStyle w:val="Bullets"/>
      </w:pPr>
      <w:r w:rsidRPr="00373CB1">
        <w:t xml:space="preserve">comprehensive operating statement for the year then ended </w:t>
      </w:r>
    </w:p>
    <w:p w14:paraId="37C5233E" w14:textId="77777777" w:rsidR="00FE15BF" w:rsidRPr="00774C1D" w:rsidRDefault="00373CB1" w:rsidP="00FE15BF">
      <w:pPr>
        <w:pStyle w:val="Bullets"/>
      </w:pPr>
      <w:r w:rsidRPr="00373CB1">
        <w:t xml:space="preserve">statement of changes in equity for the year then ended </w:t>
      </w:r>
    </w:p>
    <w:p w14:paraId="33C6D60A" w14:textId="77777777" w:rsidR="00FE15BF" w:rsidRPr="00774C1D" w:rsidRDefault="00373CB1" w:rsidP="00FE15BF">
      <w:pPr>
        <w:pStyle w:val="Bullets"/>
      </w:pPr>
      <w:r w:rsidRPr="00373CB1">
        <w:t xml:space="preserve">cash flow statement for the year then ended </w:t>
      </w:r>
    </w:p>
    <w:p w14:paraId="4942B188" w14:textId="77777777" w:rsidR="00FE15BF" w:rsidRPr="00774C1D" w:rsidRDefault="00373CB1" w:rsidP="00FE15BF">
      <w:pPr>
        <w:pStyle w:val="Bullets"/>
      </w:pPr>
      <w:r w:rsidRPr="00373CB1">
        <w:t>notes to the financial statements, including material accounting policy information • declaration by the Accountable Officer, Chief Finance and Accounting Officer and Chairperson.</w:t>
      </w:r>
    </w:p>
    <w:p w14:paraId="5360FD19" w14:textId="77777777" w:rsidR="00FE15BF" w:rsidRDefault="00373CB1" w:rsidP="00FE15BF">
      <w:r w:rsidRPr="00373CB1">
        <w:t xml:space="preserve">In my opinion the financial report presents fairly, in all material respects, the financial position of the Council as </w:t>
      </w:r>
      <w:proofErr w:type="gramStart"/>
      <w:r w:rsidRPr="00373CB1">
        <w:t>at</w:t>
      </w:r>
      <w:proofErr w:type="gramEnd"/>
      <w:r w:rsidRPr="00373CB1">
        <w:t xml:space="preserve"> 30 June 2025 and its financial performance and cash flows for the year then ended in accordance with the financial reporting requirements of Part 7 of the </w:t>
      </w:r>
      <w:r w:rsidRPr="00373CB1">
        <w:rPr>
          <w:i/>
          <w:iCs/>
        </w:rPr>
        <w:t xml:space="preserve">Financial Management Act 1994 </w:t>
      </w:r>
      <w:r w:rsidRPr="00373CB1">
        <w:t>and applicable Australian Accounting Standards- Simplified Disclosures.</w:t>
      </w:r>
    </w:p>
    <w:p w14:paraId="4762284A" w14:textId="77777777" w:rsidR="00FE15BF" w:rsidRDefault="00373CB1" w:rsidP="00FE15BF">
      <w:pPr>
        <w:pStyle w:val="Heading2"/>
      </w:pPr>
      <w:bookmarkStart w:id="83" w:name="_Toc221113849"/>
      <w:r w:rsidRPr="00373CB1">
        <w:t>Basis for opinion</w:t>
      </w:r>
      <w:bookmarkEnd w:id="83"/>
    </w:p>
    <w:p w14:paraId="5FE9A43E" w14:textId="77777777" w:rsidR="002817A6" w:rsidRDefault="00373CB1" w:rsidP="00FE15BF">
      <w:r w:rsidRPr="00373CB1">
        <w:t xml:space="preserve">I have conducted my audit in accordance with the </w:t>
      </w:r>
      <w:r w:rsidRPr="00373CB1">
        <w:rPr>
          <w:i/>
          <w:iCs/>
        </w:rPr>
        <w:t xml:space="preserve">Audit Act 1994 </w:t>
      </w:r>
      <w:r w:rsidRPr="00373CB1">
        <w:t xml:space="preserve">which incorporates the Australian Auditing Standards. I further describe my responsibilities under that Act and those standards in the </w:t>
      </w:r>
      <w:r w:rsidRPr="00373CB1">
        <w:rPr>
          <w:i/>
          <w:iCs/>
        </w:rPr>
        <w:t xml:space="preserve">Auditor’s Responsibilities for the Audit of the Financial Report </w:t>
      </w:r>
      <w:r w:rsidRPr="00373CB1">
        <w:t xml:space="preserve">section of my report. </w:t>
      </w:r>
    </w:p>
    <w:p w14:paraId="66D23920" w14:textId="77777777" w:rsidR="002817A6" w:rsidRDefault="00373CB1" w:rsidP="00FE15BF">
      <w:r w:rsidRPr="00373CB1">
        <w:t xml:space="preserve">My independence is established by the </w:t>
      </w:r>
      <w:r w:rsidRPr="00373CB1">
        <w:rPr>
          <w:i/>
          <w:iCs/>
        </w:rPr>
        <w:t xml:space="preserve">Constitution Act 1975. </w:t>
      </w:r>
      <w:r w:rsidRPr="00373CB1">
        <w:t xml:space="preserve">My staff and I are independent of the Council in accordance with the ethical requirements of the Accounting Professional and Ethical Standards Board’s APES 110 </w:t>
      </w:r>
      <w:r w:rsidRPr="00373CB1">
        <w:rPr>
          <w:i/>
          <w:iCs/>
        </w:rPr>
        <w:t xml:space="preserve">Code of Ethics for Professional Accountants (including Independence Standards) </w:t>
      </w:r>
      <w:r w:rsidRPr="00373CB1">
        <w:t xml:space="preserve">(the Code) that are relevant to my audit of the financial report in Victoria. My staff and I have also fulfilled our other ethical responsibilities in accordance with the Code. </w:t>
      </w:r>
    </w:p>
    <w:p w14:paraId="2429F206" w14:textId="214ECB19" w:rsidR="002817A6" w:rsidRDefault="00373CB1" w:rsidP="00FE15BF">
      <w:r w:rsidRPr="00373CB1">
        <w:t>I believe that the audit evidence I have obtained is sufficient and appropriate to provide a basis for my opinion.</w:t>
      </w:r>
    </w:p>
    <w:p w14:paraId="68F88FDF" w14:textId="77777777" w:rsidR="002817A6" w:rsidRDefault="00373CB1" w:rsidP="002817A6">
      <w:pPr>
        <w:pStyle w:val="Heading2"/>
      </w:pPr>
      <w:bookmarkStart w:id="84" w:name="_Toc221113850"/>
      <w:r w:rsidRPr="00373CB1">
        <w:lastRenderedPageBreak/>
        <w:t>Board' responsibilities for the financial report</w:t>
      </w:r>
      <w:bookmarkEnd w:id="84"/>
    </w:p>
    <w:p w14:paraId="538BEA4E" w14:textId="77777777" w:rsidR="002817A6" w:rsidRDefault="00373CB1" w:rsidP="00FE15BF">
      <w:r w:rsidRPr="00373CB1">
        <w:t xml:space="preserve">The Board of the Council is responsible for the preparation and fair presentation of the financial report in accordance with Australian Accounting Standards- Simplified Disclosures and the </w:t>
      </w:r>
      <w:r w:rsidRPr="00373CB1">
        <w:rPr>
          <w:i/>
          <w:iCs/>
        </w:rPr>
        <w:t>Financial Management Act 1994</w:t>
      </w:r>
      <w:r w:rsidRPr="00373CB1">
        <w:t xml:space="preserve">, and for such internal control as the Board determine is necessary to enable the preparation and fair presentation of a financial report that is free from material misstatement, whether due to fraud or error. </w:t>
      </w:r>
    </w:p>
    <w:p w14:paraId="1BC6F127" w14:textId="4D6C6C84" w:rsidR="00373CB1" w:rsidRPr="00837399" w:rsidRDefault="00373CB1" w:rsidP="00FE15BF">
      <w:r w:rsidRPr="00373CB1">
        <w:t xml:space="preserve">In preparing the financial report, the Board is responsible for assessing the Council’s ability to continue as a going concern, disclosing, as applicable, matters related to going concern and using the going concern basis of accounting unless it is inappropriate to do so. </w:t>
      </w:r>
    </w:p>
    <w:p w14:paraId="12C8A401" w14:textId="77777777" w:rsidR="002817A6" w:rsidRDefault="00373CB1" w:rsidP="002817A6">
      <w:pPr>
        <w:pStyle w:val="Heading2"/>
      </w:pPr>
      <w:bookmarkStart w:id="85" w:name="_Toc221113851"/>
      <w:r w:rsidRPr="00373CB1">
        <w:t>Auditor’s responsibilities for the audit of the financial report</w:t>
      </w:r>
      <w:bookmarkEnd w:id="85"/>
      <w:r w:rsidRPr="00373CB1">
        <w:t xml:space="preserve"> </w:t>
      </w:r>
    </w:p>
    <w:p w14:paraId="3BAA09A2" w14:textId="77777777" w:rsidR="002817A6" w:rsidRDefault="00373CB1" w:rsidP="002817A6">
      <w:r w:rsidRPr="00373CB1">
        <w:t xml:space="preserve">As required by the </w:t>
      </w:r>
      <w:r w:rsidRPr="00373CB1">
        <w:rPr>
          <w:i/>
          <w:iCs/>
        </w:rPr>
        <w:t xml:space="preserve">Audit Act 1994, </w:t>
      </w:r>
      <w:r w:rsidRPr="00373CB1">
        <w:t xml:space="preserve">my responsibility is to express an opinion on the financial report based on the audit. My objectives for the audit are to obtain reasonable assurance about whether the financial report </w:t>
      </w:r>
      <w:proofErr w:type="gramStart"/>
      <w:r w:rsidRPr="00373CB1">
        <w:t>as a whole is</w:t>
      </w:r>
      <w:proofErr w:type="gramEnd"/>
      <w:r w:rsidRPr="00373CB1">
        <w:t xml:space="preserve"> free from 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users taken </w:t>
      </w:r>
      <w:proofErr w:type="gramStart"/>
      <w:r w:rsidRPr="00373CB1">
        <w:t>on the basis of</w:t>
      </w:r>
      <w:proofErr w:type="gramEnd"/>
      <w:r w:rsidRPr="00373CB1">
        <w:t xml:space="preserve"> this financial report. </w:t>
      </w:r>
    </w:p>
    <w:p w14:paraId="0EEF527D" w14:textId="77777777" w:rsidR="002817A6" w:rsidRDefault="00373CB1" w:rsidP="002817A6">
      <w:r w:rsidRPr="00373CB1">
        <w:t xml:space="preserve">As part of an audit in accordance with the Australian Auditing Standards, I exercise professional judgement and maintain professional scepticism throughout the audit. I also: </w:t>
      </w:r>
    </w:p>
    <w:p w14:paraId="2E80CF36" w14:textId="77777777" w:rsidR="002817A6" w:rsidRDefault="00373CB1" w:rsidP="002817A6">
      <w:pPr>
        <w:pStyle w:val="Bullets"/>
      </w:pPr>
      <w:r w:rsidRPr="00373CB1">
        <w:t xml:space="preserve">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w:t>
      </w:r>
      <w:r w:rsidRPr="00373CB1">
        <w:lastRenderedPageBreak/>
        <w:t xml:space="preserve">forgery, intentional omissions, misrepresentations, or the override of internal control </w:t>
      </w:r>
    </w:p>
    <w:p w14:paraId="67BEAE69" w14:textId="77777777" w:rsidR="002817A6" w:rsidRDefault="00373CB1" w:rsidP="002817A6">
      <w:pPr>
        <w:pStyle w:val="Bullets"/>
      </w:pPr>
      <w:r w:rsidRPr="00373CB1">
        <w:t xml:space="preserve">obtain an understanding of internal control relevant to the audit </w:t>
      </w:r>
      <w:proofErr w:type="gramStart"/>
      <w:r w:rsidRPr="00373CB1">
        <w:t>in order to</w:t>
      </w:r>
      <w:proofErr w:type="gramEnd"/>
      <w:r w:rsidRPr="00373CB1">
        <w:t xml:space="preserve"> design audit procedures that are appropriate in the circumstances, but not for the purpose of expressing an opinion on the effectiveness of the Council’s internal control </w:t>
      </w:r>
    </w:p>
    <w:p w14:paraId="2CC26820" w14:textId="77777777" w:rsidR="002817A6" w:rsidRDefault="00373CB1" w:rsidP="002817A6">
      <w:pPr>
        <w:pStyle w:val="Bullets"/>
      </w:pPr>
      <w:r w:rsidRPr="00373CB1">
        <w:t xml:space="preserve">evaluate the appropriateness of accounting policies used and the reasonableness of accounting estimates and related disclosures made by the Council </w:t>
      </w:r>
    </w:p>
    <w:p w14:paraId="2C6D7D37" w14:textId="7F6978F3" w:rsidR="002817A6" w:rsidRDefault="00373CB1" w:rsidP="002817A6">
      <w:pPr>
        <w:pStyle w:val="Bullets"/>
      </w:pPr>
      <w:r w:rsidRPr="00373CB1">
        <w:t xml:space="preserve">conclude on the appropriateness of the </w:t>
      </w:r>
      <w:r w:rsidRPr="00774C1D">
        <w:t>Board</w:t>
      </w:r>
      <w:r w:rsidRPr="00373CB1">
        <w:t>'</w:t>
      </w:r>
      <w:r w:rsidRPr="00774C1D">
        <w:t xml:space="preserve">s </w:t>
      </w:r>
      <w:r w:rsidRPr="00373CB1">
        <w:t xml:space="preserve">use of the going concern basis of accounting and, based on the audit evidence obtained, whether a material uncertainty exists related to events or conditions that may cast significant doubt on the Council’s ability to continue as a going concern. If I conclude that a material uncertainty exists, I am required to draw attention in my auditor’s report to the related disclosures in the financial report or, if such disclosures are inadequate, to modify my opinion. My conclusions are based on the audit evidence obtained up to the date of my auditor’s report. However, future events or conditions may cause the Council to cease to continue as a going concern </w:t>
      </w:r>
    </w:p>
    <w:p w14:paraId="6AACCA48" w14:textId="77777777" w:rsidR="002817A6" w:rsidRDefault="00373CB1" w:rsidP="002817A6">
      <w:pPr>
        <w:pStyle w:val="Bullets"/>
      </w:pPr>
      <w:r w:rsidRPr="00373CB1">
        <w:t>evaluate the overall presentation, structure and content of the financial report, including the disclosures, and whether the financial report represents the underlying transactions and events in a manner that achieves fair presentation.</w:t>
      </w:r>
    </w:p>
    <w:p w14:paraId="224E4BBF" w14:textId="77777777" w:rsidR="002817A6" w:rsidRDefault="00373CB1" w:rsidP="002817A6">
      <w:r w:rsidRPr="00373CB1">
        <w:t xml:space="preserve">I communicate with the Board regarding, among other matters, the planned scope and timing of the audit and significant audit findings, including any significant deficiencies in internal control that I identify during my audit. </w:t>
      </w:r>
    </w:p>
    <w:p w14:paraId="583B47F0" w14:textId="77777777" w:rsidR="002817A6" w:rsidRDefault="00373CB1" w:rsidP="002817A6">
      <w:pPr>
        <w:spacing w:before="0" w:after="0"/>
      </w:pPr>
      <w:r w:rsidRPr="00373CB1">
        <w:t>MELBOURNE</w:t>
      </w:r>
    </w:p>
    <w:p w14:paraId="5C0FFE0F" w14:textId="77777777" w:rsidR="002817A6" w:rsidRDefault="00373CB1" w:rsidP="002817A6">
      <w:pPr>
        <w:spacing w:before="0" w:after="0"/>
      </w:pPr>
      <w:r w:rsidRPr="00373CB1">
        <w:t>10 December 2025</w:t>
      </w:r>
    </w:p>
    <w:p w14:paraId="3A1E1619" w14:textId="3F8E95A7" w:rsidR="00373CB1" w:rsidRPr="00373CB1" w:rsidRDefault="00373CB1" w:rsidP="002817A6">
      <w:pPr>
        <w:spacing w:before="0" w:after="0"/>
      </w:pPr>
      <w:r w:rsidRPr="00373CB1">
        <w:t xml:space="preserve">Charlotte Jeffries </w:t>
      </w:r>
      <w:r w:rsidRPr="00373CB1">
        <w:rPr>
          <w:i/>
          <w:iCs/>
        </w:rPr>
        <w:t xml:space="preserve">as delegate for the Auditor-General of Victoria </w:t>
      </w:r>
    </w:p>
    <w:p w14:paraId="7AFE91B2" w14:textId="79B3B263" w:rsidR="005A008B" w:rsidRPr="00D90C15" w:rsidRDefault="006B7598" w:rsidP="006B7598">
      <w:pPr>
        <w:pStyle w:val="Heading1"/>
      </w:pPr>
      <w:bookmarkStart w:id="86" w:name="_Toc221113852"/>
      <w:r w:rsidRPr="00AA1CB0">
        <w:lastRenderedPageBreak/>
        <w:t>Comprehensive Operating Statement</w:t>
      </w:r>
      <w:r w:rsidRPr="00D90C15">
        <w:t xml:space="preserve"> </w:t>
      </w:r>
      <w:proofErr w:type="gramStart"/>
      <w:r w:rsidRPr="00D90C15">
        <w:t>For</w:t>
      </w:r>
      <w:proofErr w:type="gramEnd"/>
      <w:r w:rsidRPr="00D90C15">
        <w:t xml:space="preserve"> </w:t>
      </w:r>
      <w:proofErr w:type="gramStart"/>
      <w:r w:rsidRPr="00D90C15">
        <w:t>The</w:t>
      </w:r>
      <w:proofErr w:type="gramEnd"/>
      <w:r w:rsidRPr="00D90C15">
        <w:t xml:space="preserve"> Financial Year Ended 30 June 2025</w:t>
      </w:r>
      <w:bookmarkEnd w:id="86"/>
    </w:p>
    <w:tbl>
      <w:tblPr>
        <w:tblStyle w:val="Table"/>
        <w:tblW w:w="5000" w:type="pct"/>
        <w:tblLook w:val="0020" w:firstRow="1" w:lastRow="0" w:firstColumn="0" w:lastColumn="0" w:noHBand="0" w:noVBand="0"/>
      </w:tblPr>
      <w:tblGrid>
        <w:gridCol w:w="4965"/>
        <w:gridCol w:w="1013"/>
        <w:gridCol w:w="1520"/>
        <w:gridCol w:w="1518"/>
      </w:tblGrid>
      <w:tr w:rsidR="005A008B" w:rsidRPr="00D90C15" w14:paraId="4A552AFE" w14:textId="77777777" w:rsidTr="0046794E">
        <w:trPr>
          <w:trHeight w:val="60"/>
          <w:tblHeader/>
        </w:trPr>
        <w:tc>
          <w:tcPr>
            <w:tcW w:w="2753" w:type="pct"/>
          </w:tcPr>
          <w:p w14:paraId="132861F6"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0F42DD6E" w14:textId="77777777" w:rsidR="005A008B" w:rsidRPr="00D90C15" w:rsidRDefault="005A008B" w:rsidP="007B5725">
            <w:pPr>
              <w:pStyle w:val="TableHeading"/>
            </w:pPr>
            <w:r w:rsidRPr="00D90C15">
              <w:t>Notes</w:t>
            </w:r>
          </w:p>
        </w:tc>
        <w:tc>
          <w:tcPr>
            <w:tcW w:w="843" w:type="pct"/>
          </w:tcPr>
          <w:p w14:paraId="13358E3E" w14:textId="77777777" w:rsidR="005A008B" w:rsidRPr="00D90C15" w:rsidRDefault="005A008B" w:rsidP="007B5725">
            <w:pPr>
              <w:pStyle w:val="TableHeading"/>
            </w:pPr>
            <w:r w:rsidRPr="00D90C15">
              <w:t>2025</w:t>
            </w:r>
            <w:r w:rsidRPr="00D90C15">
              <w:br/>
              <w:t>$</w:t>
            </w:r>
          </w:p>
        </w:tc>
        <w:tc>
          <w:tcPr>
            <w:tcW w:w="842" w:type="pct"/>
          </w:tcPr>
          <w:p w14:paraId="089EACBB" w14:textId="77777777" w:rsidR="005A008B" w:rsidRPr="00D90C15" w:rsidRDefault="005A008B" w:rsidP="007B5725">
            <w:pPr>
              <w:pStyle w:val="TableHeading"/>
            </w:pPr>
            <w:r w:rsidRPr="00D90C15">
              <w:t>2024</w:t>
            </w:r>
            <w:r w:rsidRPr="00D90C15">
              <w:br/>
              <w:t>$</w:t>
            </w:r>
          </w:p>
        </w:tc>
      </w:tr>
      <w:tr w:rsidR="005A008B" w:rsidRPr="00D90C15" w14:paraId="684F2F37" w14:textId="77777777" w:rsidTr="0046794E">
        <w:trPr>
          <w:trHeight w:val="60"/>
        </w:trPr>
        <w:tc>
          <w:tcPr>
            <w:tcW w:w="2753" w:type="pct"/>
          </w:tcPr>
          <w:p w14:paraId="405F40CB" w14:textId="77777777" w:rsidR="005A008B" w:rsidRPr="00F52CA3" w:rsidRDefault="005A008B" w:rsidP="00F52CA3">
            <w:pPr>
              <w:pStyle w:val="TableBody"/>
              <w:rPr>
                <w:b/>
                <w:bCs/>
              </w:rPr>
            </w:pPr>
            <w:r w:rsidRPr="00F52CA3">
              <w:rPr>
                <w:b/>
                <w:bCs/>
              </w:rPr>
              <w:t>Income from transactions</w:t>
            </w:r>
          </w:p>
        </w:tc>
        <w:tc>
          <w:tcPr>
            <w:tcW w:w="562" w:type="pct"/>
          </w:tcPr>
          <w:p w14:paraId="21458284"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2ACC278"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38AD3821"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2AA1D055" w14:textId="77777777" w:rsidTr="0046794E">
        <w:trPr>
          <w:trHeight w:val="60"/>
        </w:trPr>
        <w:tc>
          <w:tcPr>
            <w:tcW w:w="2753" w:type="pct"/>
          </w:tcPr>
          <w:p w14:paraId="40D35108" w14:textId="77777777" w:rsidR="005A008B" w:rsidRPr="00D90C15" w:rsidRDefault="005A008B" w:rsidP="00AA1CB0">
            <w:pPr>
              <w:pStyle w:val="TableBody"/>
            </w:pPr>
            <w:r w:rsidRPr="00D90C15">
              <w:t xml:space="preserve">Grants – Department of Justice and Community Safety </w:t>
            </w:r>
          </w:p>
        </w:tc>
        <w:tc>
          <w:tcPr>
            <w:tcW w:w="562" w:type="pct"/>
          </w:tcPr>
          <w:p w14:paraId="05D88A02" w14:textId="77777777" w:rsidR="005A008B" w:rsidRPr="00D90C15" w:rsidRDefault="005A008B" w:rsidP="00CC3F1F">
            <w:pPr>
              <w:pStyle w:val="TableBody"/>
            </w:pPr>
            <w:r w:rsidRPr="00D90C15">
              <w:t>2.1</w:t>
            </w:r>
          </w:p>
        </w:tc>
        <w:tc>
          <w:tcPr>
            <w:tcW w:w="843" w:type="pct"/>
          </w:tcPr>
          <w:p w14:paraId="5F3329FE" w14:textId="77777777" w:rsidR="005A008B" w:rsidRPr="00D90C15" w:rsidRDefault="005A008B" w:rsidP="00CC3F1F">
            <w:pPr>
              <w:pStyle w:val="TableBody"/>
            </w:pPr>
            <w:r w:rsidRPr="00D90C15">
              <w:t xml:space="preserve">1,650,900 </w:t>
            </w:r>
          </w:p>
        </w:tc>
        <w:tc>
          <w:tcPr>
            <w:tcW w:w="842" w:type="pct"/>
          </w:tcPr>
          <w:p w14:paraId="48DEE91D" w14:textId="77777777" w:rsidR="005A008B" w:rsidRPr="00D90C15" w:rsidRDefault="005A008B" w:rsidP="00CC3F1F">
            <w:pPr>
              <w:pStyle w:val="TableBody"/>
            </w:pPr>
            <w:r w:rsidRPr="00D90C15">
              <w:t xml:space="preserve"> 1,580,000 </w:t>
            </w:r>
          </w:p>
        </w:tc>
      </w:tr>
      <w:tr w:rsidR="005A008B" w:rsidRPr="00D90C15" w14:paraId="5D0E47AC" w14:textId="77777777" w:rsidTr="0046794E">
        <w:trPr>
          <w:trHeight w:val="60"/>
        </w:trPr>
        <w:tc>
          <w:tcPr>
            <w:tcW w:w="2753" w:type="pct"/>
          </w:tcPr>
          <w:p w14:paraId="1CC21BB5" w14:textId="77777777" w:rsidR="005A008B" w:rsidRPr="00D90C15" w:rsidRDefault="005A008B" w:rsidP="00AA1CB0">
            <w:pPr>
              <w:pStyle w:val="TableBody"/>
            </w:pPr>
            <w:r w:rsidRPr="00D90C15">
              <w:t>Grants – Victorian Legal Services Board</w:t>
            </w:r>
          </w:p>
        </w:tc>
        <w:tc>
          <w:tcPr>
            <w:tcW w:w="562" w:type="pct"/>
          </w:tcPr>
          <w:p w14:paraId="5DADA586" w14:textId="77777777" w:rsidR="005A008B" w:rsidRPr="00D90C15" w:rsidRDefault="005A008B" w:rsidP="00CC3F1F">
            <w:pPr>
              <w:pStyle w:val="TableBody"/>
            </w:pPr>
            <w:r w:rsidRPr="00D90C15">
              <w:t>2.1</w:t>
            </w:r>
          </w:p>
        </w:tc>
        <w:tc>
          <w:tcPr>
            <w:tcW w:w="843" w:type="pct"/>
          </w:tcPr>
          <w:p w14:paraId="69B3FD6A" w14:textId="77777777" w:rsidR="005A008B" w:rsidRPr="00D90C15" w:rsidRDefault="005A008B" w:rsidP="00CC3F1F">
            <w:pPr>
              <w:pStyle w:val="TableBody"/>
            </w:pPr>
            <w:r w:rsidRPr="00D90C15">
              <w:t xml:space="preserve">466,200 </w:t>
            </w:r>
          </w:p>
        </w:tc>
        <w:tc>
          <w:tcPr>
            <w:tcW w:w="842" w:type="pct"/>
          </w:tcPr>
          <w:p w14:paraId="390DAF63" w14:textId="77777777" w:rsidR="005A008B" w:rsidRPr="00D90C15" w:rsidRDefault="005A008B" w:rsidP="00CC3F1F">
            <w:pPr>
              <w:pStyle w:val="TableBody"/>
            </w:pPr>
            <w:r w:rsidRPr="00D90C15">
              <w:t xml:space="preserve"> 800,000 </w:t>
            </w:r>
          </w:p>
        </w:tc>
      </w:tr>
      <w:tr w:rsidR="005A008B" w:rsidRPr="00D90C15" w14:paraId="149A12A3" w14:textId="77777777" w:rsidTr="0046794E">
        <w:trPr>
          <w:trHeight w:val="60"/>
        </w:trPr>
        <w:tc>
          <w:tcPr>
            <w:tcW w:w="2753" w:type="pct"/>
          </w:tcPr>
          <w:p w14:paraId="07E0821B" w14:textId="77777777" w:rsidR="005A008B" w:rsidRPr="00E72391" w:rsidRDefault="005A008B" w:rsidP="00E72391">
            <w:pPr>
              <w:pStyle w:val="TableBody"/>
              <w:rPr>
                <w:b/>
                <w:bCs/>
              </w:rPr>
            </w:pPr>
            <w:r w:rsidRPr="00E72391">
              <w:rPr>
                <w:b/>
                <w:bCs/>
              </w:rPr>
              <w:t>Total income from transactions</w:t>
            </w:r>
          </w:p>
        </w:tc>
        <w:tc>
          <w:tcPr>
            <w:tcW w:w="562" w:type="pct"/>
          </w:tcPr>
          <w:p w14:paraId="4AEBF982"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9CFD6CD" w14:textId="77777777" w:rsidR="005A008B" w:rsidRPr="006512A5" w:rsidRDefault="005A008B" w:rsidP="00CC3F1F">
            <w:pPr>
              <w:pStyle w:val="TableBody"/>
              <w:rPr>
                <w:rStyle w:val="Bold"/>
              </w:rPr>
            </w:pPr>
            <w:r w:rsidRPr="006512A5">
              <w:rPr>
                <w:rStyle w:val="Bold"/>
              </w:rPr>
              <w:t xml:space="preserve">2,117,100 </w:t>
            </w:r>
          </w:p>
        </w:tc>
        <w:tc>
          <w:tcPr>
            <w:tcW w:w="842" w:type="pct"/>
          </w:tcPr>
          <w:p w14:paraId="157069DD" w14:textId="77777777" w:rsidR="005A008B" w:rsidRPr="006512A5" w:rsidRDefault="005A008B" w:rsidP="00CC3F1F">
            <w:pPr>
              <w:pStyle w:val="TableBody"/>
              <w:rPr>
                <w:rStyle w:val="Bold"/>
              </w:rPr>
            </w:pPr>
            <w:r w:rsidRPr="006512A5">
              <w:rPr>
                <w:rStyle w:val="Bold"/>
              </w:rPr>
              <w:t xml:space="preserve"> 2,380,000 </w:t>
            </w:r>
          </w:p>
        </w:tc>
      </w:tr>
      <w:tr w:rsidR="005A008B" w:rsidRPr="00D90C15" w14:paraId="5F863E9E" w14:textId="77777777" w:rsidTr="0046794E">
        <w:trPr>
          <w:trHeight w:val="60"/>
        </w:trPr>
        <w:tc>
          <w:tcPr>
            <w:tcW w:w="2753" w:type="pct"/>
          </w:tcPr>
          <w:p w14:paraId="75C9B866" w14:textId="77777777" w:rsidR="005A008B" w:rsidRPr="00F52CA3" w:rsidRDefault="005A008B" w:rsidP="00F52CA3">
            <w:pPr>
              <w:pStyle w:val="TableBody"/>
              <w:rPr>
                <w:b/>
                <w:bCs/>
              </w:rPr>
            </w:pPr>
            <w:r w:rsidRPr="00F52CA3">
              <w:rPr>
                <w:b/>
                <w:bCs/>
              </w:rPr>
              <w:t>Expenses from transactions</w:t>
            </w:r>
          </w:p>
        </w:tc>
        <w:tc>
          <w:tcPr>
            <w:tcW w:w="562" w:type="pct"/>
          </w:tcPr>
          <w:p w14:paraId="56B4224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794F0E9"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07EB0E0A"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F799D07" w14:textId="77777777" w:rsidTr="0046794E">
        <w:trPr>
          <w:trHeight w:val="60"/>
        </w:trPr>
        <w:tc>
          <w:tcPr>
            <w:tcW w:w="2753" w:type="pct"/>
          </w:tcPr>
          <w:p w14:paraId="3C1D1AF3" w14:textId="77777777" w:rsidR="005A008B" w:rsidRPr="00D90C15" w:rsidRDefault="005A008B" w:rsidP="00AA1CB0">
            <w:pPr>
              <w:pStyle w:val="TableBody"/>
            </w:pPr>
            <w:r w:rsidRPr="00D90C15">
              <w:t>Employee expenses</w:t>
            </w:r>
          </w:p>
        </w:tc>
        <w:tc>
          <w:tcPr>
            <w:tcW w:w="562" w:type="pct"/>
          </w:tcPr>
          <w:p w14:paraId="439FB72A" w14:textId="77777777" w:rsidR="005A008B" w:rsidRPr="00D90C15" w:rsidRDefault="005A008B" w:rsidP="00CC3F1F">
            <w:pPr>
              <w:pStyle w:val="TableBody"/>
            </w:pPr>
            <w:r w:rsidRPr="00D90C15">
              <w:t>3.1.1</w:t>
            </w:r>
          </w:p>
        </w:tc>
        <w:tc>
          <w:tcPr>
            <w:tcW w:w="843" w:type="pct"/>
          </w:tcPr>
          <w:p w14:paraId="6142ACC2" w14:textId="77777777" w:rsidR="005A008B" w:rsidRPr="00D90C15" w:rsidRDefault="005A008B" w:rsidP="00CC3F1F">
            <w:pPr>
              <w:pStyle w:val="TableBody"/>
            </w:pPr>
            <w:r w:rsidRPr="00D90C15">
              <w:t xml:space="preserve">1,718,152 </w:t>
            </w:r>
          </w:p>
        </w:tc>
        <w:tc>
          <w:tcPr>
            <w:tcW w:w="842" w:type="pct"/>
          </w:tcPr>
          <w:p w14:paraId="55EA7AE6" w14:textId="77777777" w:rsidR="005A008B" w:rsidRPr="00D90C15" w:rsidRDefault="005A008B" w:rsidP="00CC3F1F">
            <w:pPr>
              <w:pStyle w:val="TableBody"/>
            </w:pPr>
            <w:r w:rsidRPr="00D90C15">
              <w:t xml:space="preserve"> 1,547,098 </w:t>
            </w:r>
          </w:p>
        </w:tc>
      </w:tr>
      <w:tr w:rsidR="005A008B" w:rsidRPr="00D90C15" w14:paraId="7EA82E75" w14:textId="77777777" w:rsidTr="0046794E">
        <w:trPr>
          <w:trHeight w:val="60"/>
        </w:trPr>
        <w:tc>
          <w:tcPr>
            <w:tcW w:w="2753" w:type="pct"/>
          </w:tcPr>
          <w:p w14:paraId="1789D65C" w14:textId="77777777" w:rsidR="005A008B" w:rsidRPr="00D90C15" w:rsidRDefault="005A008B" w:rsidP="00AA1CB0">
            <w:pPr>
              <w:pStyle w:val="TableBody"/>
            </w:pPr>
            <w:r w:rsidRPr="00D90C15">
              <w:t xml:space="preserve">Depreciation expense </w:t>
            </w:r>
          </w:p>
        </w:tc>
        <w:tc>
          <w:tcPr>
            <w:tcW w:w="562" w:type="pct"/>
          </w:tcPr>
          <w:p w14:paraId="1DF13F78" w14:textId="77777777" w:rsidR="005A008B" w:rsidRPr="00D90C15" w:rsidRDefault="005A008B" w:rsidP="00CC3F1F">
            <w:pPr>
              <w:pStyle w:val="TableBody"/>
            </w:pPr>
            <w:r w:rsidRPr="00D90C15">
              <w:t>4.1.1</w:t>
            </w:r>
          </w:p>
        </w:tc>
        <w:tc>
          <w:tcPr>
            <w:tcW w:w="843" w:type="pct"/>
          </w:tcPr>
          <w:p w14:paraId="4B1CB356" w14:textId="77777777" w:rsidR="005A008B" w:rsidRPr="00D90C15" w:rsidRDefault="005A008B" w:rsidP="00CC3F1F">
            <w:pPr>
              <w:pStyle w:val="TableBody"/>
            </w:pPr>
            <w:r w:rsidRPr="00D90C15">
              <w:t xml:space="preserve">119,786 </w:t>
            </w:r>
          </w:p>
        </w:tc>
        <w:tc>
          <w:tcPr>
            <w:tcW w:w="842" w:type="pct"/>
          </w:tcPr>
          <w:p w14:paraId="2718D4CB" w14:textId="77777777" w:rsidR="005A008B" w:rsidRPr="00D90C15" w:rsidRDefault="005A008B" w:rsidP="00CC3F1F">
            <w:pPr>
              <w:pStyle w:val="TableBody"/>
            </w:pPr>
            <w:r w:rsidRPr="00D90C15">
              <w:t xml:space="preserve"> 119,786 </w:t>
            </w:r>
          </w:p>
        </w:tc>
      </w:tr>
      <w:tr w:rsidR="005A008B" w:rsidRPr="00D90C15" w14:paraId="6E91607B" w14:textId="77777777" w:rsidTr="0046794E">
        <w:trPr>
          <w:trHeight w:val="60"/>
        </w:trPr>
        <w:tc>
          <w:tcPr>
            <w:tcW w:w="2753" w:type="pct"/>
          </w:tcPr>
          <w:p w14:paraId="150B3FFC" w14:textId="77777777" w:rsidR="005A008B" w:rsidRPr="00D90C15" w:rsidRDefault="005A008B" w:rsidP="00AA1CB0">
            <w:pPr>
              <w:pStyle w:val="TableBody"/>
            </w:pPr>
            <w:r w:rsidRPr="00D90C15">
              <w:t>Interest expense</w:t>
            </w:r>
          </w:p>
        </w:tc>
        <w:tc>
          <w:tcPr>
            <w:tcW w:w="562" w:type="pct"/>
          </w:tcPr>
          <w:p w14:paraId="6BA2553A" w14:textId="77777777" w:rsidR="005A008B" w:rsidRPr="00D90C15" w:rsidRDefault="005A008B" w:rsidP="00CC3F1F">
            <w:pPr>
              <w:pStyle w:val="TableBody"/>
            </w:pPr>
            <w:r w:rsidRPr="00D90C15">
              <w:t>6.1.2</w:t>
            </w:r>
          </w:p>
        </w:tc>
        <w:tc>
          <w:tcPr>
            <w:tcW w:w="843" w:type="pct"/>
          </w:tcPr>
          <w:p w14:paraId="4DAC7221" w14:textId="77777777" w:rsidR="005A008B" w:rsidRPr="00D90C15" w:rsidRDefault="005A008B" w:rsidP="00CC3F1F">
            <w:pPr>
              <w:pStyle w:val="TableBody"/>
            </w:pPr>
            <w:r w:rsidRPr="00D90C15">
              <w:t xml:space="preserve">12,606 </w:t>
            </w:r>
          </w:p>
        </w:tc>
        <w:tc>
          <w:tcPr>
            <w:tcW w:w="842" w:type="pct"/>
          </w:tcPr>
          <w:p w14:paraId="6BA330BB" w14:textId="77777777" w:rsidR="005A008B" w:rsidRPr="00D90C15" w:rsidRDefault="005A008B" w:rsidP="00CC3F1F">
            <w:pPr>
              <w:pStyle w:val="TableBody"/>
            </w:pPr>
            <w:r w:rsidRPr="00D90C15">
              <w:t xml:space="preserve"> 18,024 </w:t>
            </w:r>
          </w:p>
        </w:tc>
      </w:tr>
      <w:tr w:rsidR="005A008B" w:rsidRPr="00D90C15" w14:paraId="10AE7E64" w14:textId="77777777" w:rsidTr="0046794E">
        <w:trPr>
          <w:trHeight w:val="60"/>
        </w:trPr>
        <w:tc>
          <w:tcPr>
            <w:tcW w:w="2753" w:type="pct"/>
          </w:tcPr>
          <w:p w14:paraId="5A2F33E9" w14:textId="77777777" w:rsidR="005A008B" w:rsidRPr="00D90C15" w:rsidRDefault="005A008B" w:rsidP="00AA1CB0">
            <w:pPr>
              <w:pStyle w:val="TableBody"/>
            </w:pPr>
            <w:r w:rsidRPr="00D90C15">
              <w:t>Supplies and services</w:t>
            </w:r>
          </w:p>
        </w:tc>
        <w:tc>
          <w:tcPr>
            <w:tcW w:w="562" w:type="pct"/>
          </w:tcPr>
          <w:p w14:paraId="5FE75AC4" w14:textId="77777777" w:rsidR="005A008B" w:rsidRPr="00D90C15" w:rsidRDefault="005A008B" w:rsidP="00CC3F1F">
            <w:pPr>
              <w:pStyle w:val="TableBody"/>
            </w:pPr>
            <w:r w:rsidRPr="00D90C15">
              <w:t>3.2</w:t>
            </w:r>
          </w:p>
        </w:tc>
        <w:tc>
          <w:tcPr>
            <w:tcW w:w="843" w:type="pct"/>
          </w:tcPr>
          <w:p w14:paraId="49920B56" w14:textId="77777777" w:rsidR="005A008B" w:rsidRPr="00D90C15" w:rsidRDefault="005A008B" w:rsidP="00CC3F1F">
            <w:pPr>
              <w:pStyle w:val="TableBody"/>
            </w:pPr>
            <w:r w:rsidRPr="00D90C15">
              <w:t xml:space="preserve">185,174 </w:t>
            </w:r>
          </w:p>
        </w:tc>
        <w:tc>
          <w:tcPr>
            <w:tcW w:w="842" w:type="pct"/>
          </w:tcPr>
          <w:p w14:paraId="02C9BEEF" w14:textId="77777777" w:rsidR="005A008B" w:rsidRPr="00D90C15" w:rsidRDefault="005A008B" w:rsidP="00CC3F1F">
            <w:pPr>
              <w:pStyle w:val="TableBody"/>
            </w:pPr>
            <w:r w:rsidRPr="00D90C15">
              <w:t xml:space="preserve"> 143,079 </w:t>
            </w:r>
          </w:p>
        </w:tc>
      </w:tr>
      <w:tr w:rsidR="005A008B" w:rsidRPr="00D90C15" w14:paraId="06D92A6B" w14:textId="77777777" w:rsidTr="0046794E">
        <w:trPr>
          <w:trHeight w:val="60"/>
        </w:trPr>
        <w:tc>
          <w:tcPr>
            <w:tcW w:w="2753" w:type="pct"/>
          </w:tcPr>
          <w:p w14:paraId="11337236" w14:textId="77777777" w:rsidR="005A008B" w:rsidRPr="00E72391" w:rsidRDefault="005A008B" w:rsidP="00E72391">
            <w:pPr>
              <w:pStyle w:val="TableBody"/>
              <w:rPr>
                <w:b/>
                <w:bCs/>
              </w:rPr>
            </w:pPr>
            <w:r w:rsidRPr="00E72391">
              <w:rPr>
                <w:b/>
                <w:bCs/>
              </w:rPr>
              <w:t>Total expenses from transactions</w:t>
            </w:r>
          </w:p>
        </w:tc>
        <w:tc>
          <w:tcPr>
            <w:tcW w:w="562" w:type="pct"/>
          </w:tcPr>
          <w:p w14:paraId="7DB14EB7"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1625BF2A" w14:textId="77777777" w:rsidR="005A008B" w:rsidRPr="006512A5" w:rsidRDefault="005A008B" w:rsidP="00CC3F1F">
            <w:pPr>
              <w:pStyle w:val="TableBody"/>
              <w:rPr>
                <w:rStyle w:val="Bold"/>
              </w:rPr>
            </w:pPr>
            <w:r w:rsidRPr="006512A5">
              <w:rPr>
                <w:rStyle w:val="Bold"/>
              </w:rPr>
              <w:t xml:space="preserve">2,035,718 </w:t>
            </w:r>
          </w:p>
        </w:tc>
        <w:tc>
          <w:tcPr>
            <w:tcW w:w="842" w:type="pct"/>
          </w:tcPr>
          <w:p w14:paraId="41236B53" w14:textId="77777777" w:rsidR="005A008B" w:rsidRPr="006512A5" w:rsidRDefault="005A008B" w:rsidP="00CC3F1F">
            <w:pPr>
              <w:pStyle w:val="TableBody"/>
              <w:rPr>
                <w:rStyle w:val="Bold"/>
              </w:rPr>
            </w:pPr>
            <w:r w:rsidRPr="006512A5">
              <w:rPr>
                <w:rStyle w:val="Bold"/>
              </w:rPr>
              <w:t xml:space="preserve"> 1,827,987 </w:t>
            </w:r>
          </w:p>
        </w:tc>
      </w:tr>
      <w:tr w:rsidR="005A008B" w:rsidRPr="00D90C15" w14:paraId="68BC6760" w14:textId="77777777" w:rsidTr="0046794E">
        <w:trPr>
          <w:trHeight w:val="60"/>
        </w:trPr>
        <w:tc>
          <w:tcPr>
            <w:tcW w:w="2753" w:type="pct"/>
          </w:tcPr>
          <w:p w14:paraId="543D077D" w14:textId="77777777" w:rsidR="005A008B" w:rsidRPr="00E72391" w:rsidRDefault="005A008B" w:rsidP="00E72391">
            <w:pPr>
              <w:pStyle w:val="TableBody"/>
              <w:rPr>
                <w:b/>
                <w:bCs/>
              </w:rPr>
            </w:pPr>
            <w:r w:rsidRPr="00E72391">
              <w:rPr>
                <w:b/>
                <w:bCs/>
              </w:rPr>
              <w:t>Net result from transactions (net operating balance)</w:t>
            </w:r>
          </w:p>
        </w:tc>
        <w:tc>
          <w:tcPr>
            <w:tcW w:w="562" w:type="pct"/>
          </w:tcPr>
          <w:p w14:paraId="44551E3A"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10756C6B" w14:textId="77777777" w:rsidR="005A008B" w:rsidRPr="006512A5" w:rsidRDefault="005A008B" w:rsidP="00CC3F1F">
            <w:pPr>
              <w:pStyle w:val="TableBody"/>
              <w:rPr>
                <w:rStyle w:val="Bold"/>
              </w:rPr>
            </w:pPr>
            <w:r w:rsidRPr="006512A5">
              <w:rPr>
                <w:rStyle w:val="Bold"/>
              </w:rPr>
              <w:t xml:space="preserve">81,382 </w:t>
            </w:r>
          </w:p>
        </w:tc>
        <w:tc>
          <w:tcPr>
            <w:tcW w:w="842" w:type="pct"/>
          </w:tcPr>
          <w:p w14:paraId="03CCF414" w14:textId="77777777" w:rsidR="005A008B" w:rsidRPr="006512A5" w:rsidRDefault="005A008B" w:rsidP="00CC3F1F">
            <w:pPr>
              <w:pStyle w:val="TableBody"/>
              <w:rPr>
                <w:rStyle w:val="Bold"/>
              </w:rPr>
            </w:pPr>
            <w:r w:rsidRPr="006512A5">
              <w:rPr>
                <w:rStyle w:val="Bold"/>
              </w:rPr>
              <w:t xml:space="preserve"> 552,013 </w:t>
            </w:r>
          </w:p>
        </w:tc>
      </w:tr>
      <w:tr w:rsidR="005A008B" w:rsidRPr="00D90C15" w14:paraId="1F3DD023" w14:textId="77777777" w:rsidTr="0046794E">
        <w:trPr>
          <w:trHeight w:val="60"/>
        </w:trPr>
        <w:tc>
          <w:tcPr>
            <w:tcW w:w="2753" w:type="pct"/>
          </w:tcPr>
          <w:p w14:paraId="1ED6ABFD" w14:textId="77777777" w:rsidR="005A008B" w:rsidRPr="00F52CA3" w:rsidRDefault="005A008B" w:rsidP="00F52CA3">
            <w:pPr>
              <w:pStyle w:val="TableBody"/>
              <w:rPr>
                <w:b/>
                <w:bCs/>
              </w:rPr>
            </w:pPr>
            <w:r w:rsidRPr="00F52CA3">
              <w:rPr>
                <w:b/>
                <w:bCs/>
              </w:rPr>
              <w:t>Other economic flows included in net result</w:t>
            </w:r>
          </w:p>
        </w:tc>
        <w:tc>
          <w:tcPr>
            <w:tcW w:w="562" w:type="pct"/>
          </w:tcPr>
          <w:p w14:paraId="2C90C1C8"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866EA53"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2F3855BC"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9934800" w14:textId="77777777" w:rsidTr="0046794E">
        <w:trPr>
          <w:trHeight w:val="60"/>
        </w:trPr>
        <w:tc>
          <w:tcPr>
            <w:tcW w:w="2753" w:type="pct"/>
          </w:tcPr>
          <w:p w14:paraId="21668318" w14:textId="77777777" w:rsidR="005A008B" w:rsidRPr="00D90C15" w:rsidRDefault="005A008B" w:rsidP="00AA1CB0">
            <w:pPr>
              <w:pStyle w:val="TableBody"/>
            </w:pPr>
            <w:r w:rsidRPr="00D90C15">
              <w:t xml:space="preserve">Other </w:t>
            </w:r>
            <w:proofErr w:type="gramStart"/>
            <w:r w:rsidRPr="00D90C15">
              <w:t>gains/(</w:t>
            </w:r>
            <w:proofErr w:type="gramEnd"/>
            <w:r w:rsidRPr="00D90C15">
              <w:t>losses) from other economic flows</w:t>
            </w:r>
          </w:p>
        </w:tc>
        <w:tc>
          <w:tcPr>
            <w:tcW w:w="562" w:type="pct"/>
          </w:tcPr>
          <w:p w14:paraId="74BFE1EB" w14:textId="77777777" w:rsidR="005A008B" w:rsidRPr="00D90C15" w:rsidRDefault="005A008B" w:rsidP="00CC3F1F">
            <w:pPr>
              <w:pStyle w:val="TableBody"/>
            </w:pPr>
            <w:r w:rsidRPr="00D90C15">
              <w:t>8.1</w:t>
            </w:r>
          </w:p>
        </w:tc>
        <w:tc>
          <w:tcPr>
            <w:tcW w:w="843" w:type="pct"/>
          </w:tcPr>
          <w:p w14:paraId="004AE90A" w14:textId="77777777" w:rsidR="005A008B" w:rsidRPr="00D90C15" w:rsidRDefault="005A008B" w:rsidP="00CC3F1F">
            <w:pPr>
              <w:pStyle w:val="TableBody"/>
            </w:pPr>
            <w:r w:rsidRPr="00D90C15">
              <w:t>(958)</w:t>
            </w:r>
          </w:p>
        </w:tc>
        <w:tc>
          <w:tcPr>
            <w:tcW w:w="842" w:type="pct"/>
          </w:tcPr>
          <w:p w14:paraId="54DAD110" w14:textId="77777777" w:rsidR="005A008B" w:rsidRPr="00D90C15" w:rsidRDefault="005A008B" w:rsidP="00CC3F1F">
            <w:pPr>
              <w:pStyle w:val="TableBody"/>
            </w:pPr>
            <w:r w:rsidRPr="00D90C15">
              <w:t xml:space="preserve">5,096 </w:t>
            </w:r>
          </w:p>
        </w:tc>
      </w:tr>
      <w:tr w:rsidR="005A008B" w:rsidRPr="00D90C15" w14:paraId="2257DB4F" w14:textId="77777777" w:rsidTr="0046794E">
        <w:trPr>
          <w:trHeight w:val="60"/>
        </w:trPr>
        <w:tc>
          <w:tcPr>
            <w:tcW w:w="2753" w:type="pct"/>
          </w:tcPr>
          <w:p w14:paraId="523E1385" w14:textId="77777777" w:rsidR="005A008B" w:rsidRPr="00E72391" w:rsidRDefault="005A008B" w:rsidP="00E72391">
            <w:pPr>
              <w:pStyle w:val="TableBody"/>
              <w:rPr>
                <w:b/>
                <w:bCs/>
              </w:rPr>
            </w:pPr>
            <w:r w:rsidRPr="00E72391">
              <w:rPr>
                <w:b/>
                <w:bCs/>
              </w:rPr>
              <w:t>Total other economic flows included in net result</w:t>
            </w:r>
          </w:p>
        </w:tc>
        <w:tc>
          <w:tcPr>
            <w:tcW w:w="562" w:type="pct"/>
          </w:tcPr>
          <w:p w14:paraId="327FC842"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B3257E0" w14:textId="77777777" w:rsidR="005A008B" w:rsidRPr="006512A5" w:rsidRDefault="005A008B" w:rsidP="00CC3F1F">
            <w:pPr>
              <w:pStyle w:val="TableBody"/>
              <w:rPr>
                <w:rStyle w:val="Bold"/>
              </w:rPr>
            </w:pPr>
            <w:r w:rsidRPr="006512A5">
              <w:rPr>
                <w:rStyle w:val="Bold"/>
              </w:rPr>
              <w:t>(958)</w:t>
            </w:r>
          </w:p>
        </w:tc>
        <w:tc>
          <w:tcPr>
            <w:tcW w:w="842" w:type="pct"/>
          </w:tcPr>
          <w:p w14:paraId="05622CA8" w14:textId="77777777" w:rsidR="005A008B" w:rsidRPr="006512A5" w:rsidRDefault="005A008B" w:rsidP="00CC3F1F">
            <w:pPr>
              <w:pStyle w:val="TableBody"/>
              <w:rPr>
                <w:rStyle w:val="Bold"/>
              </w:rPr>
            </w:pPr>
            <w:r w:rsidRPr="006512A5">
              <w:rPr>
                <w:rStyle w:val="Bold"/>
              </w:rPr>
              <w:t xml:space="preserve">5,096 </w:t>
            </w:r>
          </w:p>
        </w:tc>
      </w:tr>
      <w:tr w:rsidR="005A008B" w:rsidRPr="00D90C15" w14:paraId="0A9A62DB" w14:textId="77777777" w:rsidTr="0046794E">
        <w:trPr>
          <w:trHeight w:val="60"/>
        </w:trPr>
        <w:tc>
          <w:tcPr>
            <w:tcW w:w="2753" w:type="pct"/>
          </w:tcPr>
          <w:p w14:paraId="1F853AF8" w14:textId="77777777" w:rsidR="005A008B" w:rsidRPr="00E72391" w:rsidRDefault="005A008B" w:rsidP="00E72391">
            <w:pPr>
              <w:pStyle w:val="TableBody"/>
              <w:rPr>
                <w:b/>
                <w:bCs/>
              </w:rPr>
            </w:pPr>
            <w:r w:rsidRPr="00E72391">
              <w:rPr>
                <w:b/>
                <w:bCs/>
              </w:rPr>
              <w:t>Net result</w:t>
            </w:r>
          </w:p>
        </w:tc>
        <w:tc>
          <w:tcPr>
            <w:tcW w:w="562" w:type="pct"/>
          </w:tcPr>
          <w:p w14:paraId="55340AB1"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88B16E5" w14:textId="77777777" w:rsidR="005A008B" w:rsidRPr="006512A5" w:rsidRDefault="005A008B" w:rsidP="00CC3F1F">
            <w:pPr>
              <w:pStyle w:val="TableBody"/>
              <w:rPr>
                <w:rStyle w:val="Bold"/>
              </w:rPr>
            </w:pPr>
            <w:r w:rsidRPr="006512A5">
              <w:rPr>
                <w:rStyle w:val="Bold"/>
              </w:rPr>
              <w:t xml:space="preserve">80,424 </w:t>
            </w:r>
          </w:p>
        </w:tc>
        <w:tc>
          <w:tcPr>
            <w:tcW w:w="842" w:type="pct"/>
          </w:tcPr>
          <w:p w14:paraId="1AFA2CEE" w14:textId="77777777" w:rsidR="005A008B" w:rsidRPr="006512A5" w:rsidRDefault="005A008B" w:rsidP="00CC3F1F">
            <w:pPr>
              <w:pStyle w:val="TableBody"/>
              <w:rPr>
                <w:rStyle w:val="Bold"/>
              </w:rPr>
            </w:pPr>
            <w:r w:rsidRPr="006512A5">
              <w:rPr>
                <w:rStyle w:val="Bold"/>
              </w:rPr>
              <w:t xml:space="preserve"> 557,108 </w:t>
            </w:r>
          </w:p>
        </w:tc>
      </w:tr>
      <w:tr w:rsidR="005A008B" w:rsidRPr="00D90C15" w14:paraId="40F6920F" w14:textId="77777777" w:rsidTr="0046794E">
        <w:trPr>
          <w:trHeight w:val="60"/>
        </w:trPr>
        <w:tc>
          <w:tcPr>
            <w:tcW w:w="2753" w:type="pct"/>
          </w:tcPr>
          <w:p w14:paraId="5FCF2E78" w14:textId="77777777" w:rsidR="005A008B" w:rsidRPr="00E72391" w:rsidRDefault="005A008B" w:rsidP="00E72391">
            <w:pPr>
              <w:pStyle w:val="TableBody"/>
              <w:rPr>
                <w:b/>
                <w:bCs/>
              </w:rPr>
            </w:pPr>
            <w:r w:rsidRPr="00E72391">
              <w:rPr>
                <w:b/>
                <w:bCs/>
              </w:rPr>
              <w:t xml:space="preserve">Comprehensive result </w:t>
            </w:r>
          </w:p>
        </w:tc>
        <w:tc>
          <w:tcPr>
            <w:tcW w:w="562" w:type="pct"/>
          </w:tcPr>
          <w:p w14:paraId="2A36934D"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ABDC56C" w14:textId="77777777" w:rsidR="005A008B" w:rsidRPr="006512A5" w:rsidRDefault="005A008B" w:rsidP="00CC3F1F">
            <w:pPr>
              <w:pStyle w:val="TableBody"/>
              <w:rPr>
                <w:rStyle w:val="Bold"/>
              </w:rPr>
            </w:pPr>
            <w:r w:rsidRPr="006512A5">
              <w:rPr>
                <w:rStyle w:val="Bold"/>
              </w:rPr>
              <w:t xml:space="preserve"> 80,424 </w:t>
            </w:r>
          </w:p>
        </w:tc>
        <w:tc>
          <w:tcPr>
            <w:tcW w:w="842" w:type="pct"/>
          </w:tcPr>
          <w:p w14:paraId="2D4B688C" w14:textId="77777777" w:rsidR="005A008B" w:rsidRPr="006512A5" w:rsidRDefault="005A008B" w:rsidP="00CC3F1F">
            <w:pPr>
              <w:pStyle w:val="TableBody"/>
              <w:rPr>
                <w:rStyle w:val="Bold"/>
              </w:rPr>
            </w:pPr>
            <w:r w:rsidRPr="006512A5">
              <w:rPr>
                <w:rStyle w:val="Bold"/>
              </w:rPr>
              <w:t xml:space="preserve"> 557,108 </w:t>
            </w:r>
          </w:p>
        </w:tc>
      </w:tr>
    </w:tbl>
    <w:p w14:paraId="26A3FFF2" w14:textId="77777777" w:rsidR="005A008B" w:rsidRPr="00D90C15" w:rsidRDefault="005A008B" w:rsidP="001F7031">
      <w:r w:rsidRPr="00D90C15">
        <w:t>The accompanying notes form part of these financial statements.</w:t>
      </w:r>
    </w:p>
    <w:p w14:paraId="7C9EA64D" w14:textId="7C648D83" w:rsidR="005A008B" w:rsidRPr="00D90C15" w:rsidRDefault="006B7598" w:rsidP="006B7598">
      <w:pPr>
        <w:pStyle w:val="Heading1"/>
      </w:pPr>
      <w:bookmarkStart w:id="87" w:name="_Toc221113853"/>
      <w:r w:rsidRPr="00AA1CB0">
        <w:lastRenderedPageBreak/>
        <w:t>Balance Sheet</w:t>
      </w:r>
      <w:r w:rsidRPr="00D90C15">
        <w:br/>
        <w:t xml:space="preserve">As </w:t>
      </w:r>
      <w:proofErr w:type="gramStart"/>
      <w:r w:rsidRPr="00D90C15">
        <w:t>At</w:t>
      </w:r>
      <w:proofErr w:type="gramEnd"/>
      <w:r w:rsidRPr="00D90C15">
        <w:t xml:space="preserve"> 30 June 2025</w:t>
      </w:r>
      <w:bookmarkEnd w:id="87"/>
    </w:p>
    <w:tbl>
      <w:tblPr>
        <w:tblStyle w:val="Table"/>
        <w:tblW w:w="5000" w:type="pct"/>
        <w:tblLook w:val="0020" w:firstRow="1" w:lastRow="0" w:firstColumn="0" w:lastColumn="0" w:noHBand="0" w:noVBand="0"/>
      </w:tblPr>
      <w:tblGrid>
        <w:gridCol w:w="4965"/>
        <w:gridCol w:w="1013"/>
        <w:gridCol w:w="1520"/>
        <w:gridCol w:w="1518"/>
      </w:tblGrid>
      <w:tr w:rsidR="005A008B" w:rsidRPr="00D90C15" w14:paraId="72A09BCC" w14:textId="77777777" w:rsidTr="0046794E">
        <w:trPr>
          <w:trHeight w:val="60"/>
          <w:tblHeader/>
        </w:trPr>
        <w:tc>
          <w:tcPr>
            <w:tcW w:w="2753" w:type="pct"/>
          </w:tcPr>
          <w:p w14:paraId="6D5ECB6F"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68AF5E14" w14:textId="77777777" w:rsidR="005A008B" w:rsidRPr="00D90C15" w:rsidRDefault="005A008B" w:rsidP="007B5725">
            <w:pPr>
              <w:pStyle w:val="TableHeading"/>
            </w:pPr>
            <w:r w:rsidRPr="00D90C15">
              <w:t>Notes</w:t>
            </w:r>
          </w:p>
        </w:tc>
        <w:tc>
          <w:tcPr>
            <w:tcW w:w="843" w:type="pct"/>
          </w:tcPr>
          <w:p w14:paraId="2AB90FBE" w14:textId="77777777" w:rsidR="005A008B" w:rsidRPr="00D90C15" w:rsidRDefault="005A008B" w:rsidP="007B5725">
            <w:pPr>
              <w:pStyle w:val="TableHeading"/>
            </w:pPr>
            <w:r w:rsidRPr="00D90C15">
              <w:t>2025</w:t>
            </w:r>
            <w:r w:rsidRPr="00D90C15">
              <w:br/>
              <w:t>$</w:t>
            </w:r>
          </w:p>
        </w:tc>
        <w:tc>
          <w:tcPr>
            <w:tcW w:w="842" w:type="pct"/>
          </w:tcPr>
          <w:p w14:paraId="189DA3C6" w14:textId="77777777" w:rsidR="005A008B" w:rsidRPr="00D90C15" w:rsidRDefault="005A008B" w:rsidP="007B5725">
            <w:pPr>
              <w:pStyle w:val="TableHeading"/>
            </w:pPr>
            <w:r w:rsidRPr="00D90C15">
              <w:t>2024</w:t>
            </w:r>
            <w:r w:rsidRPr="00D90C15">
              <w:br/>
              <w:t>$</w:t>
            </w:r>
          </w:p>
        </w:tc>
      </w:tr>
      <w:tr w:rsidR="005A008B" w:rsidRPr="00D90C15" w14:paraId="708704F4" w14:textId="77777777" w:rsidTr="0046794E">
        <w:trPr>
          <w:trHeight w:val="60"/>
        </w:trPr>
        <w:tc>
          <w:tcPr>
            <w:tcW w:w="2753" w:type="pct"/>
          </w:tcPr>
          <w:p w14:paraId="1685DC25" w14:textId="77777777" w:rsidR="005A008B" w:rsidRPr="00F52CA3" w:rsidRDefault="005A008B" w:rsidP="00F52CA3">
            <w:pPr>
              <w:pStyle w:val="TableBody"/>
              <w:rPr>
                <w:b/>
                <w:bCs/>
              </w:rPr>
            </w:pPr>
            <w:r w:rsidRPr="00F52CA3">
              <w:rPr>
                <w:b/>
                <w:bCs/>
              </w:rPr>
              <w:t>Assets</w:t>
            </w:r>
          </w:p>
        </w:tc>
        <w:tc>
          <w:tcPr>
            <w:tcW w:w="562" w:type="pct"/>
          </w:tcPr>
          <w:p w14:paraId="285B34CF"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E05B9F9"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4CBC57F4"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2F7CD7BC" w14:textId="77777777" w:rsidTr="0046794E">
        <w:trPr>
          <w:trHeight w:val="60"/>
        </w:trPr>
        <w:tc>
          <w:tcPr>
            <w:tcW w:w="2753" w:type="pct"/>
          </w:tcPr>
          <w:p w14:paraId="06D5F244" w14:textId="77777777" w:rsidR="005A008B" w:rsidRPr="00D90C15" w:rsidRDefault="005A008B" w:rsidP="00AA1CB0">
            <w:pPr>
              <w:pStyle w:val="TableBody"/>
            </w:pPr>
            <w:r w:rsidRPr="00D90C15">
              <w:t>Funds held in trust</w:t>
            </w:r>
          </w:p>
        </w:tc>
        <w:tc>
          <w:tcPr>
            <w:tcW w:w="562" w:type="pct"/>
          </w:tcPr>
          <w:p w14:paraId="58BBC44A" w14:textId="77777777" w:rsidR="005A008B" w:rsidRPr="00D90C15" w:rsidRDefault="005A008B" w:rsidP="00CC3F1F">
            <w:pPr>
              <w:pStyle w:val="TableBody"/>
            </w:pPr>
            <w:r w:rsidRPr="00D90C15">
              <w:t>6.3</w:t>
            </w:r>
          </w:p>
        </w:tc>
        <w:tc>
          <w:tcPr>
            <w:tcW w:w="843" w:type="pct"/>
          </w:tcPr>
          <w:p w14:paraId="36661D74" w14:textId="77777777" w:rsidR="005A008B" w:rsidRPr="00D90C15" w:rsidRDefault="005A008B" w:rsidP="00CC3F1F">
            <w:pPr>
              <w:pStyle w:val="TableBody"/>
            </w:pPr>
            <w:r w:rsidRPr="00D90C15">
              <w:t xml:space="preserve">766,351 </w:t>
            </w:r>
          </w:p>
        </w:tc>
        <w:tc>
          <w:tcPr>
            <w:tcW w:w="842" w:type="pct"/>
          </w:tcPr>
          <w:p w14:paraId="0684CB6D" w14:textId="77777777" w:rsidR="005A008B" w:rsidRPr="00D90C15" w:rsidRDefault="005A008B" w:rsidP="00CC3F1F">
            <w:pPr>
              <w:pStyle w:val="TableBody"/>
            </w:pPr>
            <w:r w:rsidRPr="00D90C15">
              <w:t xml:space="preserve"> 688,940 </w:t>
            </w:r>
          </w:p>
        </w:tc>
      </w:tr>
      <w:tr w:rsidR="005A008B" w:rsidRPr="00D90C15" w14:paraId="6238A1E9" w14:textId="77777777" w:rsidTr="0046794E">
        <w:trPr>
          <w:trHeight w:val="60"/>
        </w:trPr>
        <w:tc>
          <w:tcPr>
            <w:tcW w:w="2753" w:type="pct"/>
          </w:tcPr>
          <w:p w14:paraId="636D178B" w14:textId="77777777" w:rsidR="005A008B" w:rsidRPr="00D90C15" w:rsidRDefault="005A008B" w:rsidP="00AA1CB0">
            <w:pPr>
              <w:pStyle w:val="TableBody"/>
            </w:pPr>
            <w:r w:rsidRPr="00D90C15">
              <w:t>Receivables</w:t>
            </w:r>
          </w:p>
        </w:tc>
        <w:tc>
          <w:tcPr>
            <w:tcW w:w="562" w:type="pct"/>
          </w:tcPr>
          <w:p w14:paraId="6B2D1DF0" w14:textId="77777777" w:rsidR="005A008B" w:rsidRPr="00D90C15" w:rsidRDefault="005A008B" w:rsidP="00CC3F1F">
            <w:pPr>
              <w:pStyle w:val="TableBody"/>
            </w:pPr>
            <w:r w:rsidRPr="00D90C15">
              <w:t>5.1</w:t>
            </w:r>
          </w:p>
        </w:tc>
        <w:tc>
          <w:tcPr>
            <w:tcW w:w="843" w:type="pct"/>
          </w:tcPr>
          <w:p w14:paraId="3CE2765A" w14:textId="77777777" w:rsidR="005A008B" w:rsidRPr="00D90C15" w:rsidRDefault="005A008B" w:rsidP="00CC3F1F">
            <w:pPr>
              <w:pStyle w:val="TableBody"/>
            </w:pPr>
            <w:r w:rsidRPr="00D90C15">
              <w:t xml:space="preserve">817,357 </w:t>
            </w:r>
          </w:p>
        </w:tc>
        <w:tc>
          <w:tcPr>
            <w:tcW w:w="842" w:type="pct"/>
          </w:tcPr>
          <w:p w14:paraId="56E31F67" w14:textId="77777777" w:rsidR="005A008B" w:rsidRPr="00D90C15" w:rsidRDefault="005A008B" w:rsidP="00CC3F1F">
            <w:pPr>
              <w:pStyle w:val="TableBody"/>
            </w:pPr>
            <w:r w:rsidRPr="00D90C15">
              <w:t xml:space="preserve"> 816,657 </w:t>
            </w:r>
          </w:p>
        </w:tc>
      </w:tr>
      <w:tr w:rsidR="005A008B" w:rsidRPr="00D90C15" w14:paraId="2503CE12" w14:textId="77777777" w:rsidTr="0046794E">
        <w:trPr>
          <w:trHeight w:val="60"/>
        </w:trPr>
        <w:tc>
          <w:tcPr>
            <w:tcW w:w="2753" w:type="pct"/>
          </w:tcPr>
          <w:p w14:paraId="31A84C46" w14:textId="77777777" w:rsidR="005A008B" w:rsidRPr="001F7031" w:rsidRDefault="005A008B" w:rsidP="001F7031">
            <w:pPr>
              <w:pStyle w:val="TableBody"/>
              <w:rPr>
                <w:b/>
                <w:bCs/>
                <w:i/>
                <w:iCs/>
              </w:rPr>
            </w:pPr>
            <w:r w:rsidRPr="001F7031">
              <w:rPr>
                <w:b/>
                <w:bCs/>
                <w:i/>
                <w:iCs/>
              </w:rPr>
              <w:t>Total financial assets</w:t>
            </w:r>
          </w:p>
        </w:tc>
        <w:tc>
          <w:tcPr>
            <w:tcW w:w="562" w:type="pct"/>
          </w:tcPr>
          <w:p w14:paraId="2082F11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A68137D" w14:textId="77777777" w:rsidR="005A008B" w:rsidRPr="001F7031" w:rsidRDefault="005A008B" w:rsidP="001F7031">
            <w:pPr>
              <w:pStyle w:val="TableBody"/>
              <w:rPr>
                <w:b/>
                <w:bCs/>
              </w:rPr>
            </w:pPr>
            <w:r w:rsidRPr="001F7031">
              <w:rPr>
                <w:b/>
                <w:bCs/>
              </w:rPr>
              <w:t xml:space="preserve">1,583,708 </w:t>
            </w:r>
          </w:p>
        </w:tc>
        <w:tc>
          <w:tcPr>
            <w:tcW w:w="842" w:type="pct"/>
          </w:tcPr>
          <w:p w14:paraId="65C08038" w14:textId="77777777" w:rsidR="005A008B" w:rsidRPr="001F7031" w:rsidRDefault="005A008B" w:rsidP="001F7031">
            <w:pPr>
              <w:pStyle w:val="TableBody"/>
              <w:rPr>
                <w:b/>
                <w:bCs/>
              </w:rPr>
            </w:pPr>
            <w:r w:rsidRPr="001F7031">
              <w:rPr>
                <w:b/>
                <w:bCs/>
              </w:rPr>
              <w:t xml:space="preserve"> 1,505,597 </w:t>
            </w:r>
          </w:p>
        </w:tc>
      </w:tr>
      <w:tr w:rsidR="005A008B" w:rsidRPr="00D90C15" w14:paraId="091EF2AF" w14:textId="77777777" w:rsidTr="0046794E">
        <w:trPr>
          <w:trHeight w:val="60"/>
        </w:trPr>
        <w:tc>
          <w:tcPr>
            <w:tcW w:w="2753" w:type="pct"/>
          </w:tcPr>
          <w:p w14:paraId="1E054755" w14:textId="77777777" w:rsidR="005A008B" w:rsidRPr="00F52CA3" w:rsidRDefault="005A008B" w:rsidP="00F52CA3">
            <w:pPr>
              <w:pStyle w:val="TableBody"/>
              <w:rPr>
                <w:b/>
                <w:bCs/>
              </w:rPr>
            </w:pPr>
            <w:r w:rsidRPr="00F52CA3">
              <w:rPr>
                <w:b/>
                <w:bCs/>
              </w:rPr>
              <w:t>Other non-financial assets</w:t>
            </w:r>
          </w:p>
        </w:tc>
        <w:tc>
          <w:tcPr>
            <w:tcW w:w="562" w:type="pct"/>
          </w:tcPr>
          <w:p w14:paraId="4B8E439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2BC41582"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1C79D64C"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79316B7" w14:textId="77777777" w:rsidTr="0046794E">
        <w:trPr>
          <w:trHeight w:val="60"/>
        </w:trPr>
        <w:tc>
          <w:tcPr>
            <w:tcW w:w="2753" w:type="pct"/>
          </w:tcPr>
          <w:p w14:paraId="0350EB96" w14:textId="77777777" w:rsidR="005A008B" w:rsidRPr="00D90C15" w:rsidRDefault="005A008B" w:rsidP="00AA1CB0">
            <w:pPr>
              <w:pStyle w:val="TableBody"/>
            </w:pPr>
            <w:r w:rsidRPr="00D90C15">
              <w:t>Property, plant and equipment</w:t>
            </w:r>
          </w:p>
        </w:tc>
        <w:tc>
          <w:tcPr>
            <w:tcW w:w="562" w:type="pct"/>
          </w:tcPr>
          <w:p w14:paraId="526A7BF5" w14:textId="77777777" w:rsidR="005A008B" w:rsidRPr="00D90C15" w:rsidRDefault="005A008B" w:rsidP="00CC3F1F">
            <w:pPr>
              <w:pStyle w:val="TableBody"/>
            </w:pPr>
            <w:r w:rsidRPr="00D90C15">
              <w:t>4.1</w:t>
            </w:r>
          </w:p>
        </w:tc>
        <w:tc>
          <w:tcPr>
            <w:tcW w:w="843" w:type="pct"/>
          </w:tcPr>
          <w:p w14:paraId="5A225520" w14:textId="77777777" w:rsidR="005A008B" w:rsidRPr="00D90C15" w:rsidRDefault="005A008B" w:rsidP="00CC3F1F">
            <w:pPr>
              <w:pStyle w:val="TableBody"/>
            </w:pPr>
            <w:r w:rsidRPr="00D90C15">
              <w:t xml:space="preserve">179,701 </w:t>
            </w:r>
          </w:p>
        </w:tc>
        <w:tc>
          <w:tcPr>
            <w:tcW w:w="842" w:type="pct"/>
          </w:tcPr>
          <w:p w14:paraId="7228856A" w14:textId="77777777" w:rsidR="005A008B" w:rsidRPr="00D90C15" w:rsidRDefault="005A008B" w:rsidP="00CC3F1F">
            <w:pPr>
              <w:pStyle w:val="TableBody"/>
            </w:pPr>
            <w:r w:rsidRPr="00D90C15">
              <w:t xml:space="preserve"> 299,487 </w:t>
            </w:r>
          </w:p>
        </w:tc>
      </w:tr>
      <w:tr w:rsidR="005A008B" w:rsidRPr="00D90C15" w14:paraId="3576E3BC" w14:textId="77777777" w:rsidTr="0046794E">
        <w:trPr>
          <w:trHeight w:val="60"/>
        </w:trPr>
        <w:tc>
          <w:tcPr>
            <w:tcW w:w="2753" w:type="pct"/>
          </w:tcPr>
          <w:p w14:paraId="00DB30D8" w14:textId="77777777" w:rsidR="005A008B" w:rsidRPr="001F7031" w:rsidRDefault="005A008B" w:rsidP="001F7031">
            <w:pPr>
              <w:pStyle w:val="TableBody"/>
              <w:rPr>
                <w:b/>
                <w:bCs/>
                <w:i/>
                <w:iCs/>
              </w:rPr>
            </w:pPr>
            <w:r w:rsidRPr="001F7031">
              <w:rPr>
                <w:b/>
                <w:bCs/>
                <w:i/>
                <w:iCs/>
              </w:rPr>
              <w:t>Total non-financial assets</w:t>
            </w:r>
          </w:p>
        </w:tc>
        <w:tc>
          <w:tcPr>
            <w:tcW w:w="562" w:type="pct"/>
          </w:tcPr>
          <w:p w14:paraId="73ED7115"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77182FAF" w14:textId="77777777" w:rsidR="005A008B" w:rsidRPr="00D90C15" w:rsidRDefault="005A008B" w:rsidP="00CC3F1F">
            <w:pPr>
              <w:pStyle w:val="TableBody"/>
            </w:pPr>
            <w:r w:rsidRPr="00D90C15">
              <w:t xml:space="preserve">179,701 </w:t>
            </w:r>
          </w:p>
        </w:tc>
        <w:tc>
          <w:tcPr>
            <w:tcW w:w="842" w:type="pct"/>
          </w:tcPr>
          <w:p w14:paraId="75EA3818" w14:textId="77777777" w:rsidR="005A008B" w:rsidRPr="00D90C15" w:rsidRDefault="005A008B" w:rsidP="00CC3F1F">
            <w:pPr>
              <w:pStyle w:val="TableBody"/>
            </w:pPr>
            <w:r w:rsidRPr="00D90C15">
              <w:t xml:space="preserve"> 299,487 </w:t>
            </w:r>
          </w:p>
        </w:tc>
      </w:tr>
      <w:tr w:rsidR="005A008B" w:rsidRPr="00D90C15" w14:paraId="22212754" w14:textId="77777777" w:rsidTr="0046794E">
        <w:trPr>
          <w:trHeight w:val="60"/>
        </w:trPr>
        <w:tc>
          <w:tcPr>
            <w:tcW w:w="2753" w:type="pct"/>
          </w:tcPr>
          <w:p w14:paraId="2D0B763E" w14:textId="77777777" w:rsidR="005A008B" w:rsidRPr="00E72391" w:rsidRDefault="005A008B" w:rsidP="00E72391">
            <w:pPr>
              <w:pStyle w:val="TableBody"/>
              <w:rPr>
                <w:b/>
                <w:bCs/>
              </w:rPr>
            </w:pPr>
            <w:r w:rsidRPr="00E72391">
              <w:rPr>
                <w:b/>
                <w:bCs/>
              </w:rPr>
              <w:t>Total assets</w:t>
            </w:r>
          </w:p>
        </w:tc>
        <w:tc>
          <w:tcPr>
            <w:tcW w:w="562" w:type="pct"/>
          </w:tcPr>
          <w:p w14:paraId="2BC4054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1A0B966A" w14:textId="77777777" w:rsidR="005A008B" w:rsidRPr="001F7031" w:rsidRDefault="005A008B" w:rsidP="001F7031">
            <w:pPr>
              <w:pStyle w:val="TableBody"/>
              <w:rPr>
                <w:b/>
                <w:bCs/>
              </w:rPr>
            </w:pPr>
            <w:r w:rsidRPr="001F7031">
              <w:rPr>
                <w:b/>
                <w:bCs/>
              </w:rPr>
              <w:t xml:space="preserve">1,763,410 </w:t>
            </w:r>
          </w:p>
        </w:tc>
        <w:tc>
          <w:tcPr>
            <w:tcW w:w="842" w:type="pct"/>
          </w:tcPr>
          <w:p w14:paraId="499632A1" w14:textId="77777777" w:rsidR="005A008B" w:rsidRPr="001F7031" w:rsidRDefault="005A008B" w:rsidP="001F7031">
            <w:pPr>
              <w:pStyle w:val="TableBody"/>
              <w:rPr>
                <w:b/>
                <w:bCs/>
              </w:rPr>
            </w:pPr>
            <w:r w:rsidRPr="001F7031">
              <w:rPr>
                <w:b/>
                <w:bCs/>
              </w:rPr>
              <w:t xml:space="preserve"> 1,805,085 </w:t>
            </w:r>
          </w:p>
        </w:tc>
      </w:tr>
      <w:tr w:rsidR="005A008B" w:rsidRPr="00D90C15" w14:paraId="101124EC" w14:textId="77777777" w:rsidTr="0046794E">
        <w:trPr>
          <w:trHeight w:val="60"/>
        </w:trPr>
        <w:tc>
          <w:tcPr>
            <w:tcW w:w="2753" w:type="pct"/>
          </w:tcPr>
          <w:p w14:paraId="6CEE7703" w14:textId="77777777" w:rsidR="005A008B" w:rsidRPr="00F52CA3" w:rsidRDefault="005A008B" w:rsidP="00F52CA3">
            <w:pPr>
              <w:pStyle w:val="TableBody"/>
              <w:rPr>
                <w:b/>
                <w:bCs/>
              </w:rPr>
            </w:pPr>
            <w:r w:rsidRPr="00F52CA3">
              <w:rPr>
                <w:b/>
                <w:bCs/>
              </w:rPr>
              <w:t>Liabilities</w:t>
            </w:r>
          </w:p>
        </w:tc>
        <w:tc>
          <w:tcPr>
            <w:tcW w:w="562" w:type="pct"/>
          </w:tcPr>
          <w:p w14:paraId="1358A275"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A5D196D"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70A549E7"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3DDA2D9C" w14:textId="77777777" w:rsidTr="0046794E">
        <w:trPr>
          <w:trHeight w:val="60"/>
        </w:trPr>
        <w:tc>
          <w:tcPr>
            <w:tcW w:w="2753" w:type="pct"/>
          </w:tcPr>
          <w:p w14:paraId="7CC22AE7" w14:textId="77777777" w:rsidR="005A008B" w:rsidRPr="00D90C15" w:rsidRDefault="005A008B" w:rsidP="00AA1CB0">
            <w:pPr>
              <w:pStyle w:val="TableBody"/>
            </w:pPr>
            <w:r w:rsidRPr="00D90C15">
              <w:t>Payables</w:t>
            </w:r>
          </w:p>
        </w:tc>
        <w:tc>
          <w:tcPr>
            <w:tcW w:w="562" w:type="pct"/>
          </w:tcPr>
          <w:p w14:paraId="3FF4D076" w14:textId="77777777" w:rsidR="005A008B" w:rsidRPr="00D90C15" w:rsidRDefault="005A008B" w:rsidP="00CC3F1F">
            <w:pPr>
              <w:pStyle w:val="TableBody"/>
            </w:pPr>
            <w:r w:rsidRPr="00D90C15">
              <w:t>5.2</w:t>
            </w:r>
          </w:p>
        </w:tc>
        <w:tc>
          <w:tcPr>
            <w:tcW w:w="843" w:type="pct"/>
          </w:tcPr>
          <w:p w14:paraId="2DEE121D" w14:textId="77777777" w:rsidR="005A008B" w:rsidRPr="00D90C15" w:rsidRDefault="005A008B" w:rsidP="00CC3F1F">
            <w:pPr>
              <w:pStyle w:val="TableBody"/>
            </w:pPr>
            <w:r w:rsidRPr="00D90C15">
              <w:t xml:space="preserve">43,298 </w:t>
            </w:r>
          </w:p>
        </w:tc>
        <w:tc>
          <w:tcPr>
            <w:tcW w:w="842" w:type="pct"/>
          </w:tcPr>
          <w:p w14:paraId="2139B4CF" w14:textId="77777777" w:rsidR="005A008B" w:rsidRPr="00D90C15" w:rsidRDefault="005A008B" w:rsidP="00CC3F1F">
            <w:pPr>
              <w:pStyle w:val="TableBody"/>
            </w:pPr>
            <w:r w:rsidRPr="00D90C15">
              <w:t xml:space="preserve"> 47,206 </w:t>
            </w:r>
          </w:p>
        </w:tc>
      </w:tr>
      <w:tr w:rsidR="005A008B" w:rsidRPr="00D90C15" w14:paraId="107B07EA" w14:textId="77777777" w:rsidTr="0046794E">
        <w:trPr>
          <w:trHeight w:val="60"/>
        </w:trPr>
        <w:tc>
          <w:tcPr>
            <w:tcW w:w="2753" w:type="pct"/>
          </w:tcPr>
          <w:p w14:paraId="76148D4A" w14:textId="77777777" w:rsidR="005A008B" w:rsidRPr="00D90C15" w:rsidRDefault="005A008B" w:rsidP="00AA1CB0">
            <w:pPr>
              <w:pStyle w:val="TableBody"/>
            </w:pPr>
            <w:r w:rsidRPr="00D90C15">
              <w:t>Borrowings</w:t>
            </w:r>
          </w:p>
        </w:tc>
        <w:tc>
          <w:tcPr>
            <w:tcW w:w="562" w:type="pct"/>
          </w:tcPr>
          <w:p w14:paraId="0D7D4500" w14:textId="77777777" w:rsidR="005A008B" w:rsidRPr="00D90C15" w:rsidRDefault="005A008B" w:rsidP="00CC3F1F">
            <w:pPr>
              <w:pStyle w:val="TableBody"/>
            </w:pPr>
            <w:r w:rsidRPr="00D90C15">
              <w:t>6.1</w:t>
            </w:r>
          </w:p>
        </w:tc>
        <w:tc>
          <w:tcPr>
            <w:tcW w:w="843" w:type="pct"/>
          </w:tcPr>
          <w:p w14:paraId="19CCC0E2" w14:textId="77777777" w:rsidR="005A008B" w:rsidRPr="00D90C15" w:rsidRDefault="005A008B" w:rsidP="00CC3F1F">
            <w:pPr>
              <w:pStyle w:val="TableBody"/>
            </w:pPr>
            <w:r w:rsidRPr="00D90C15">
              <w:t xml:space="preserve">195,528 </w:t>
            </w:r>
          </w:p>
        </w:tc>
        <w:tc>
          <w:tcPr>
            <w:tcW w:w="842" w:type="pct"/>
          </w:tcPr>
          <w:p w14:paraId="5F105433" w14:textId="77777777" w:rsidR="005A008B" w:rsidRPr="00D90C15" w:rsidRDefault="005A008B" w:rsidP="00CC3F1F">
            <w:pPr>
              <w:pStyle w:val="TableBody"/>
            </w:pPr>
            <w:r w:rsidRPr="00D90C15">
              <w:t xml:space="preserve"> 312,297 </w:t>
            </w:r>
          </w:p>
        </w:tc>
      </w:tr>
      <w:tr w:rsidR="005A008B" w:rsidRPr="00D90C15" w14:paraId="5C6D851A" w14:textId="77777777" w:rsidTr="0046794E">
        <w:trPr>
          <w:trHeight w:val="60"/>
        </w:trPr>
        <w:tc>
          <w:tcPr>
            <w:tcW w:w="2753" w:type="pct"/>
          </w:tcPr>
          <w:p w14:paraId="5AEB5840" w14:textId="77777777" w:rsidR="005A008B" w:rsidRPr="00D90C15" w:rsidRDefault="005A008B" w:rsidP="00AA1CB0">
            <w:pPr>
              <w:pStyle w:val="TableBody"/>
            </w:pPr>
            <w:r w:rsidRPr="00D90C15">
              <w:t>Employee-related provisions</w:t>
            </w:r>
          </w:p>
        </w:tc>
        <w:tc>
          <w:tcPr>
            <w:tcW w:w="562" w:type="pct"/>
          </w:tcPr>
          <w:p w14:paraId="11A56A97" w14:textId="77777777" w:rsidR="005A008B" w:rsidRPr="00D90C15" w:rsidRDefault="005A008B" w:rsidP="00CC3F1F">
            <w:pPr>
              <w:pStyle w:val="TableBody"/>
            </w:pPr>
            <w:r w:rsidRPr="00D90C15">
              <w:t>3.1.2</w:t>
            </w:r>
          </w:p>
        </w:tc>
        <w:tc>
          <w:tcPr>
            <w:tcW w:w="843" w:type="pct"/>
          </w:tcPr>
          <w:p w14:paraId="11F6E672" w14:textId="77777777" w:rsidR="005A008B" w:rsidRPr="00D90C15" w:rsidRDefault="005A008B" w:rsidP="00CC3F1F">
            <w:pPr>
              <w:pStyle w:val="TableBody"/>
            </w:pPr>
            <w:r w:rsidRPr="00D90C15">
              <w:t xml:space="preserve">272,492 </w:t>
            </w:r>
          </w:p>
        </w:tc>
        <w:tc>
          <w:tcPr>
            <w:tcW w:w="842" w:type="pct"/>
          </w:tcPr>
          <w:p w14:paraId="47F350BF" w14:textId="77777777" w:rsidR="005A008B" w:rsidRPr="00D90C15" w:rsidRDefault="005A008B" w:rsidP="00CC3F1F">
            <w:pPr>
              <w:pStyle w:val="TableBody"/>
            </w:pPr>
            <w:r w:rsidRPr="00D90C15">
              <w:t xml:space="preserve"> 273,915 </w:t>
            </w:r>
          </w:p>
        </w:tc>
      </w:tr>
      <w:tr w:rsidR="005A008B" w:rsidRPr="00D90C15" w14:paraId="2D8B0BA1" w14:textId="77777777" w:rsidTr="0046794E">
        <w:trPr>
          <w:trHeight w:val="60"/>
        </w:trPr>
        <w:tc>
          <w:tcPr>
            <w:tcW w:w="2753" w:type="pct"/>
          </w:tcPr>
          <w:p w14:paraId="70982EDA" w14:textId="77777777" w:rsidR="005A008B" w:rsidRPr="00E72391" w:rsidRDefault="005A008B" w:rsidP="00E72391">
            <w:pPr>
              <w:pStyle w:val="TableBody"/>
              <w:rPr>
                <w:b/>
                <w:bCs/>
              </w:rPr>
            </w:pPr>
            <w:r w:rsidRPr="00E72391">
              <w:rPr>
                <w:b/>
                <w:bCs/>
              </w:rPr>
              <w:t>Total liabilities</w:t>
            </w:r>
          </w:p>
        </w:tc>
        <w:tc>
          <w:tcPr>
            <w:tcW w:w="562" w:type="pct"/>
          </w:tcPr>
          <w:p w14:paraId="194A5D6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4EEFEBB" w14:textId="77777777" w:rsidR="005A008B" w:rsidRPr="001F7031" w:rsidRDefault="005A008B" w:rsidP="001F7031">
            <w:pPr>
              <w:pStyle w:val="TableBody"/>
              <w:rPr>
                <w:b/>
                <w:bCs/>
              </w:rPr>
            </w:pPr>
            <w:r w:rsidRPr="001F7031">
              <w:rPr>
                <w:b/>
                <w:bCs/>
              </w:rPr>
              <w:t xml:space="preserve">511,319 </w:t>
            </w:r>
          </w:p>
        </w:tc>
        <w:tc>
          <w:tcPr>
            <w:tcW w:w="842" w:type="pct"/>
          </w:tcPr>
          <w:p w14:paraId="6FAF277E" w14:textId="77777777" w:rsidR="005A008B" w:rsidRPr="001F7031" w:rsidRDefault="005A008B" w:rsidP="001F7031">
            <w:pPr>
              <w:pStyle w:val="TableBody"/>
              <w:rPr>
                <w:b/>
                <w:bCs/>
              </w:rPr>
            </w:pPr>
            <w:r w:rsidRPr="001F7031">
              <w:rPr>
                <w:b/>
                <w:bCs/>
              </w:rPr>
              <w:t xml:space="preserve"> 633,418 </w:t>
            </w:r>
          </w:p>
        </w:tc>
      </w:tr>
      <w:tr w:rsidR="005A008B" w:rsidRPr="00D90C15" w14:paraId="5FFAB3A7" w14:textId="77777777" w:rsidTr="0046794E">
        <w:trPr>
          <w:trHeight w:val="60"/>
        </w:trPr>
        <w:tc>
          <w:tcPr>
            <w:tcW w:w="2753" w:type="pct"/>
          </w:tcPr>
          <w:p w14:paraId="4A49E6E5" w14:textId="77777777" w:rsidR="005A008B" w:rsidRPr="00E72391" w:rsidRDefault="005A008B" w:rsidP="00E72391">
            <w:pPr>
              <w:pStyle w:val="TableBody"/>
              <w:rPr>
                <w:b/>
                <w:bCs/>
              </w:rPr>
            </w:pPr>
            <w:r w:rsidRPr="00E72391">
              <w:rPr>
                <w:b/>
                <w:bCs/>
              </w:rPr>
              <w:t>Net assets</w:t>
            </w:r>
          </w:p>
        </w:tc>
        <w:tc>
          <w:tcPr>
            <w:tcW w:w="562" w:type="pct"/>
          </w:tcPr>
          <w:p w14:paraId="102BBD01"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78FE92B8" w14:textId="77777777" w:rsidR="005A008B" w:rsidRPr="001F7031" w:rsidRDefault="005A008B" w:rsidP="001F7031">
            <w:pPr>
              <w:pStyle w:val="TableBody"/>
              <w:rPr>
                <w:b/>
                <w:bCs/>
              </w:rPr>
            </w:pPr>
            <w:r w:rsidRPr="001F7031">
              <w:rPr>
                <w:b/>
                <w:bCs/>
              </w:rPr>
              <w:t xml:space="preserve">1,252,091 </w:t>
            </w:r>
          </w:p>
        </w:tc>
        <w:tc>
          <w:tcPr>
            <w:tcW w:w="842" w:type="pct"/>
          </w:tcPr>
          <w:p w14:paraId="594FA85C" w14:textId="77777777" w:rsidR="005A008B" w:rsidRPr="001F7031" w:rsidRDefault="005A008B" w:rsidP="001F7031">
            <w:pPr>
              <w:pStyle w:val="TableBody"/>
              <w:rPr>
                <w:b/>
                <w:bCs/>
              </w:rPr>
            </w:pPr>
            <w:r w:rsidRPr="001F7031">
              <w:rPr>
                <w:b/>
                <w:bCs/>
              </w:rPr>
              <w:t xml:space="preserve"> 1,171,667 </w:t>
            </w:r>
          </w:p>
        </w:tc>
      </w:tr>
      <w:tr w:rsidR="005A008B" w:rsidRPr="00D90C15" w14:paraId="6578FB8D" w14:textId="77777777" w:rsidTr="0046794E">
        <w:trPr>
          <w:trHeight w:val="60"/>
        </w:trPr>
        <w:tc>
          <w:tcPr>
            <w:tcW w:w="2753" w:type="pct"/>
          </w:tcPr>
          <w:p w14:paraId="2FCAEC87" w14:textId="77777777" w:rsidR="005A008B" w:rsidRPr="00F52CA3" w:rsidRDefault="005A008B" w:rsidP="00F52CA3">
            <w:pPr>
              <w:pStyle w:val="TableBody"/>
              <w:rPr>
                <w:b/>
                <w:bCs/>
              </w:rPr>
            </w:pPr>
            <w:r w:rsidRPr="00F52CA3">
              <w:rPr>
                <w:b/>
                <w:bCs/>
              </w:rPr>
              <w:t>Equity</w:t>
            </w:r>
          </w:p>
        </w:tc>
        <w:tc>
          <w:tcPr>
            <w:tcW w:w="562" w:type="pct"/>
          </w:tcPr>
          <w:p w14:paraId="16E0CF3D"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97B029E"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0F204EBA"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6431301" w14:textId="77777777" w:rsidTr="0046794E">
        <w:trPr>
          <w:trHeight w:val="60"/>
        </w:trPr>
        <w:tc>
          <w:tcPr>
            <w:tcW w:w="2753" w:type="pct"/>
          </w:tcPr>
          <w:p w14:paraId="6D574316" w14:textId="77777777" w:rsidR="005A008B" w:rsidRPr="00D90C15" w:rsidRDefault="005A008B" w:rsidP="00AA1CB0">
            <w:pPr>
              <w:pStyle w:val="TableBody"/>
            </w:pPr>
            <w:r w:rsidRPr="00D90C15">
              <w:t>Accumulated surplus/(deficit)</w:t>
            </w:r>
          </w:p>
        </w:tc>
        <w:tc>
          <w:tcPr>
            <w:tcW w:w="562" w:type="pct"/>
          </w:tcPr>
          <w:p w14:paraId="47B58E4A"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1B208AEC" w14:textId="77777777" w:rsidR="005A008B" w:rsidRPr="00D90C15" w:rsidRDefault="005A008B" w:rsidP="00CC3F1F">
            <w:pPr>
              <w:pStyle w:val="TableBody"/>
            </w:pPr>
            <w:r w:rsidRPr="00D90C15">
              <w:t xml:space="preserve">917,600 </w:t>
            </w:r>
          </w:p>
        </w:tc>
        <w:tc>
          <w:tcPr>
            <w:tcW w:w="842" w:type="pct"/>
          </w:tcPr>
          <w:p w14:paraId="4A7E31A3" w14:textId="77777777" w:rsidR="005A008B" w:rsidRPr="00D90C15" w:rsidRDefault="005A008B" w:rsidP="00CC3F1F">
            <w:pPr>
              <w:pStyle w:val="TableBody"/>
            </w:pPr>
            <w:r w:rsidRPr="00D90C15">
              <w:t xml:space="preserve"> 837,176 </w:t>
            </w:r>
          </w:p>
        </w:tc>
      </w:tr>
      <w:tr w:rsidR="005A008B" w:rsidRPr="00D90C15" w14:paraId="061C2547" w14:textId="77777777" w:rsidTr="0046794E">
        <w:trPr>
          <w:trHeight w:val="388"/>
        </w:trPr>
        <w:tc>
          <w:tcPr>
            <w:tcW w:w="2753" w:type="pct"/>
          </w:tcPr>
          <w:p w14:paraId="363CF092" w14:textId="77777777" w:rsidR="005A008B" w:rsidRPr="00D90C15" w:rsidRDefault="005A008B" w:rsidP="00AA1CB0">
            <w:pPr>
              <w:pStyle w:val="TableBody"/>
            </w:pPr>
            <w:r w:rsidRPr="00D90C15">
              <w:t>Contributed capital</w:t>
            </w:r>
          </w:p>
        </w:tc>
        <w:tc>
          <w:tcPr>
            <w:tcW w:w="562" w:type="pct"/>
          </w:tcPr>
          <w:p w14:paraId="5AE5D765"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E852D09" w14:textId="77777777" w:rsidR="005A008B" w:rsidRPr="00D90C15" w:rsidRDefault="005A008B" w:rsidP="00CC3F1F">
            <w:pPr>
              <w:pStyle w:val="TableBody"/>
            </w:pPr>
            <w:r w:rsidRPr="00D90C15">
              <w:t xml:space="preserve">334,491 </w:t>
            </w:r>
          </w:p>
        </w:tc>
        <w:tc>
          <w:tcPr>
            <w:tcW w:w="842" w:type="pct"/>
          </w:tcPr>
          <w:p w14:paraId="161D88F7" w14:textId="77777777" w:rsidR="005A008B" w:rsidRPr="00D90C15" w:rsidRDefault="005A008B" w:rsidP="00CC3F1F">
            <w:pPr>
              <w:pStyle w:val="TableBody"/>
            </w:pPr>
            <w:r w:rsidRPr="00D90C15">
              <w:t xml:space="preserve"> 334,491 </w:t>
            </w:r>
          </w:p>
        </w:tc>
      </w:tr>
      <w:tr w:rsidR="005A008B" w:rsidRPr="00D90C15" w14:paraId="416A2CA4" w14:textId="77777777" w:rsidTr="0046794E">
        <w:trPr>
          <w:trHeight w:val="60"/>
        </w:trPr>
        <w:tc>
          <w:tcPr>
            <w:tcW w:w="2753" w:type="pct"/>
          </w:tcPr>
          <w:p w14:paraId="00CEDB74" w14:textId="77777777" w:rsidR="005A008B" w:rsidRPr="00E72391" w:rsidRDefault="005A008B" w:rsidP="00E72391">
            <w:pPr>
              <w:pStyle w:val="TableBody"/>
              <w:rPr>
                <w:b/>
                <w:bCs/>
              </w:rPr>
            </w:pPr>
            <w:r w:rsidRPr="00E72391">
              <w:rPr>
                <w:b/>
                <w:bCs/>
              </w:rPr>
              <w:t>Net worth</w:t>
            </w:r>
          </w:p>
        </w:tc>
        <w:tc>
          <w:tcPr>
            <w:tcW w:w="562" w:type="pct"/>
          </w:tcPr>
          <w:p w14:paraId="1AC5AFA2"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2CEFA010" w14:textId="77777777" w:rsidR="005A008B" w:rsidRPr="001F7031" w:rsidRDefault="005A008B" w:rsidP="001F7031">
            <w:pPr>
              <w:pStyle w:val="TableBody"/>
              <w:rPr>
                <w:b/>
                <w:bCs/>
              </w:rPr>
            </w:pPr>
            <w:r w:rsidRPr="001F7031">
              <w:rPr>
                <w:b/>
                <w:bCs/>
              </w:rPr>
              <w:t xml:space="preserve">1,252,091 </w:t>
            </w:r>
          </w:p>
        </w:tc>
        <w:tc>
          <w:tcPr>
            <w:tcW w:w="842" w:type="pct"/>
          </w:tcPr>
          <w:p w14:paraId="7FDC4C5B" w14:textId="77777777" w:rsidR="005A008B" w:rsidRPr="001F7031" w:rsidRDefault="005A008B" w:rsidP="001F7031">
            <w:pPr>
              <w:pStyle w:val="TableBody"/>
              <w:rPr>
                <w:b/>
                <w:bCs/>
              </w:rPr>
            </w:pPr>
            <w:r w:rsidRPr="001F7031">
              <w:rPr>
                <w:b/>
                <w:bCs/>
              </w:rPr>
              <w:t xml:space="preserve"> 1,171,667 </w:t>
            </w:r>
          </w:p>
        </w:tc>
      </w:tr>
    </w:tbl>
    <w:p w14:paraId="199C3575" w14:textId="77777777" w:rsidR="005A008B" w:rsidRPr="00D90C15" w:rsidRDefault="005A008B" w:rsidP="001F7031">
      <w:r w:rsidRPr="00D90C15">
        <w:t>The accompanying notes form part of these financial statements.</w:t>
      </w:r>
    </w:p>
    <w:p w14:paraId="18BB945C" w14:textId="4E169219" w:rsidR="005A008B" w:rsidRPr="00D90C15" w:rsidRDefault="006B7598" w:rsidP="006B7598">
      <w:pPr>
        <w:pStyle w:val="Heading1"/>
      </w:pPr>
      <w:bookmarkStart w:id="88" w:name="_Toc221113854"/>
      <w:r w:rsidRPr="00AA1CB0">
        <w:lastRenderedPageBreak/>
        <w:t>Cash Flow Statement</w:t>
      </w:r>
      <w:r w:rsidRPr="00D90C15">
        <w:t xml:space="preserve"> </w:t>
      </w:r>
      <w:proofErr w:type="gramStart"/>
      <w:r w:rsidRPr="00D90C15">
        <w:t>For</w:t>
      </w:r>
      <w:proofErr w:type="gramEnd"/>
      <w:r w:rsidRPr="00D90C15">
        <w:t xml:space="preserve"> </w:t>
      </w:r>
      <w:proofErr w:type="gramStart"/>
      <w:r w:rsidRPr="00D90C15">
        <w:t>The</w:t>
      </w:r>
      <w:proofErr w:type="gramEnd"/>
      <w:r w:rsidRPr="00D90C15">
        <w:t xml:space="preserve"> Financial Year Ended 30 June 2025</w:t>
      </w:r>
      <w:bookmarkEnd w:id="88"/>
    </w:p>
    <w:tbl>
      <w:tblPr>
        <w:tblStyle w:val="Table"/>
        <w:tblW w:w="5000" w:type="pct"/>
        <w:tblLook w:val="0020" w:firstRow="1" w:lastRow="0" w:firstColumn="0" w:lastColumn="0" w:noHBand="0" w:noVBand="0"/>
      </w:tblPr>
      <w:tblGrid>
        <w:gridCol w:w="4963"/>
        <w:gridCol w:w="1013"/>
        <w:gridCol w:w="1520"/>
        <w:gridCol w:w="1520"/>
      </w:tblGrid>
      <w:tr w:rsidR="005A008B" w:rsidRPr="00D90C15" w14:paraId="4B38F213" w14:textId="77777777" w:rsidTr="0046794E">
        <w:trPr>
          <w:trHeight w:val="60"/>
          <w:tblHeader/>
        </w:trPr>
        <w:tc>
          <w:tcPr>
            <w:tcW w:w="2752" w:type="pct"/>
          </w:tcPr>
          <w:p w14:paraId="6F375281"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38650AD6" w14:textId="77777777" w:rsidR="005A008B" w:rsidRPr="00D90C15" w:rsidRDefault="005A008B" w:rsidP="007B5725">
            <w:pPr>
              <w:pStyle w:val="TableHeading"/>
            </w:pPr>
            <w:r w:rsidRPr="00D90C15">
              <w:t>Notes</w:t>
            </w:r>
          </w:p>
        </w:tc>
        <w:tc>
          <w:tcPr>
            <w:tcW w:w="843" w:type="pct"/>
          </w:tcPr>
          <w:p w14:paraId="175D83D8" w14:textId="77777777" w:rsidR="005A008B" w:rsidRPr="00D90C15" w:rsidRDefault="005A008B" w:rsidP="007B5725">
            <w:pPr>
              <w:pStyle w:val="TableHeading"/>
            </w:pPr>
            <w:r w:rsidRPr="00D90C15">
              <w:t>2025</w:t>
            </w:r>
            <w:r w:rsidRPr="00D90C15">
              <w:br/>
              <w:t>$</w:t>
            </w:r>
          </w:p>
        </w:tc>
        <w:tc>
          <w:tcPr>
            <w:tcW w:w="843" w:type="pct"/>
          </w:tcPr>
          <w:p w14:paraId="7997AF9C" w14:textId="77777777" w:rsidR="005A008B" w:rsidRPr="00D90C15" w:rsidRDefault="005A008B" w:rsidP="007B5725">
            <w:pPr>
              <w:pStyle w:val="TableHeading"/>
            </w:pPr>
            <w:r w:rsidRPr="00D90C15">
              <w:t>2024</w:t>
            </w:r>
            <w:r w:rsidRPr="00D90C15">
              <w:br/>
              <w:t>$</w:t>
            </w:r>
          </w:p>
        </w:tc>
      </w:tr>
      <w:tr w:rsidR="005A008B" w:rsidRPr="00D90C15" w14:paraId="337BACF1" w14:textId="77777777" w:rsidTr="0046794E">
        <w:trPr>
          <w:trHeight w:val="60"/>
        </w:trPr>
        <w:tc>
          <w:tcPr>
            <w:tcW w:w="2752" w:type="pct"/>
          </w:tcPr>
          <w:p w14:paraId="62ABAD39" w14:textId="77777777" w:rsidR="005A008B" w:rsidRPr="00F52CA3" w:rsidRDefault="005A008B" w:rsidP="00F52CA3">
            <w:pPr>
              <w:pStyle w:val="TableBody"/>
              <w:rPr>
                <w:b/>
                <w:bCs/>
              </w:rPr>
            </w:pPr>
            <w:r w:rsidRPr="00F52CA3">
              <w:rPr>
                <w:b/>
                <w:bCs/>
              </w:rPr>
              <w:t>Cash flows from operating activities</w:t>
            </w:r>
          </w:p>
        </w:tc>
        <w:tc>
          <w:tcPr>
            <w:tcW w:w="562" w:type="pct"/>
          </w:tcPr>
          <w:p w14:paraId="6F215A3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D8FE3FF"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42AA7FF"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E036919" w14:textId="77777777" w:rsidTr="0046794E">
        <w:trPr>
          <w:trHeight w:val="60"/>
        </w:trPr>
        <w:tc>
          <w:tcPr>
            <w:tcW w:w="2752" w:type="pct"/>
          </w:tcPr>
          <w:p w14:paraId="2AA66215" w14:textId="77777777" w:rsidR="005A008B" w:rsidRPr="00F52CA3" w:rsidRDefault="005A008B" w:rsidP="00F52CA3">
            <w:pPr>
              <w:pStyle w:val="TableBody"/>
              <w:rPr>
                <w:b/>
                <w:bCs/>
              </w:rPr>
            </w:pPr>
            <w:r w:rsidRPr="00F52CA3">
              <w:rPr>
                <w:b/>
                <w:bCs/>
              </w:rPr>
              <w:t>Receipts</w:t>
            </w:r>
          </w:p>
        </w:tc>
        <w:tc>
          <w:tcPr>
            <w:tcW w:w="562" w:type="pct"/>
          </w:tcPr>
          <w:p w14:paraId="4C0D92E0"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FC86DA6"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7233DB8"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422ADAE3" w14:textId="77777777" w:rsidTr="0046794E">
        <w:trPr>
          <w:trHeight w:val="60"/>
        </w:trPr>
        <w:tc>
          <w:tcPr>
            <w:tcW w:w="2752" w:type="pct"/>
          </w:tcPr>
          <w:p w14:paraId="13E3D933" w14:textId="77777777" w:rsidR="005A008B" w:rsidRPr="00D90C15" w:rsidRDefault="005A008B" w:rsidP="001F7031">
            <w:pPr>
              <w:pStyle w:val="TableBody"/>
              <w:ind w:left="992"/>
            </w:pPr>
            <w:r w:rsidRPr="00D90C15">
              <w:t>Receipts from the Department of Justice and Community Safety</w:t>
            </w:r>
          </w:p>
        </w:tc>
        <w:tc>
          <w:tcPr>
            <w:tcW w:w="562" w:type="pct"/>
          </w:tcPr>
          <w:p w14:paraId="2710296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211573E" w14:textId="77777777" w:rsidR="005A008B" w:rsidRPr="00D90C15" w:rsidRDefault="005A008B" w:rsidP="00CC3F1F">
            <w:pPr>
              <w:pStyle w:val="TableBody"/>
            </w:pPr>
            <w:r w:rsidRPr="00D90C15">
              <w:t>1,650,200</w:t>
            </w:r>
          </w:p>
        </w:tc>
        <w:tc>
          <w:tcPr>
            <w:tcW w:w="843" w:type="pct"/>
          </w:tcPr>
          <w:p w14:paraId="5E4CC4E8" w14:textId="77777777" w:rsidR="005A008B" w:rsidRPr="00D90C15" w:rsidRDefault="005A008B" w:rsidP="00CC3F1F">
            <w:pPr>
              <w:pStyle w:val="TableBody"/>
            </w:pPr>
            <w:r w:rsidRPr="00D90C15">
              <w:t>1,548,644</w:t>
            </w:r>
          </w:p>
        </w:tc>
      </w:tr>
      <w:tr w:rsidR="005A008B" w:rsidRPr="00D90C15" w14:paraId="59D70FDE" w14:textId="77777777" w:rsidTr="0046794E">
        <w:trPr>
          <w:trHeight w:val="60"/>
        </w:trPr>
        <w:tc>
          <w:tcPr>
            <w:tcW w:w="2752" w:type="pct"/>
          </w:tcPr>
          <w:p w14:paraId="011C11CE" w14:textId="77777777" w:rsidR="005A008B" w:rsidRPr="00D90C15" w:rsidRDefault="005A008B" w:rsidP="00AA1CB0">
            <w:pPr>
              <w:pStyle w:val="TableBody"/>
            </w:pPr>
            <w:r w:rsidRPr="00D90C15">
              <w:t xml:space="preserve">Receipts from the Victorian Legal Services Board </w:t>
            </w:r>
          </w:p>
        </w:tc>
        <w:tc>
          <w:tcPr>
            <w:tcW w:w="562" w:type="pct"/>
          </w:tcPr>
          <w:p w14:paraId="2CE3CF6C"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A9935EE" w14:textId="77777777" w:rsidR="005A008B" w:rsidRPr="00D90C15" w:rsidRDefault="005A008B" w:rsidP="00CC3F1F">
            <w:pPr>
              <w:pStyle w:val="TableBody"/>
            </w:pPr>
            <w:r w:rsidRPr="00D90C15">
              <w:t>466,200</w:t>
            </w:r>
          </w:p>
        </w:tc>
        <w:tc>
          <w:tcPr>
            <w:tcW w:w="843" w:type="pct"/>
          </w:tcPr>
          <w:p w14:paraId="22B6CCAF" w14:textId="77777777" w:rsidR="005A008B" w:rsidRPr="00D90C15" w:rsidRDefault="005A008B" w:rsidP="00CC3F1F">
            <w:pPr>
              <w:pStyle w:val="TableBody"/>
            </w:pPr>
            <w:r w:rsidRPr="00D90C15">
              <w:t xml:space="preserve">800,000 </w:t>
            </w:r>
          </w:p>
        </w:tc>
      </w:tr>
      <w:tr w:rsidR="005A008B" w:rsidRPr="00D90C15" w14:paraId="2444AA87" w14:textId="77777777" w:rsidTr="0046794E">
        <w:trPr>
          <w:trHeight w:val="60"/>
        </w:trPr>
        <w:tc>
          <w:tcPr>
            <w:tcW w:w="2752" w:type="pct"/>
          </w:tcPr>
          <w:p w14:paraId="2A889DA1" w14:textId="77777777" w:rsidR="005A008B" w:rsidRPr="001F7031" w:rsidRDefault="005A008B" w:rsidP="001F7031">
            <w:pPr>
              <w:pStyle w:val="TableBody"/>
              <w:rPr>
                <w:b/>
                <w:bCs/>
                <w:i/>
                <w:iCs/>
              </w:rPr>
            </w:pPr>
            <w:r w:rsidRPr="001F7031">
              <w:rPr>
                <w:b/>
                <w:bCs/>
                <w:i/>
                <w:iCs/>
              </w:rPr>
              <w:t>Total receipts</w:t>
            </w:r>
          </w:p>
        </w:tc>
        <w:tc>
          <w:tcPr>
            <w:tcW w:w="562" w:type="pct"/>
          </w:tcPr>
          <w:p w14:paraId="5613E521"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44A134E" w14:textId="77777777" w:rsidR="005A008B" w:rsidRPr="006512A5" w:rsidRDefault="005A008B" w:rsidP="00CC3F1F">
            <w:pPr>
              <w:pStyle w:val="TableBody"/>
              <w:rPr>
                <w:rStyle w:val="Bold"/>
              </w:rPr>
            </w:pPr>
            <w:r w:rsidRPr="006512A5">
              <w:rPr>
                <w:rStyle w:val="Bold"/>
              </w:rPr>
              <w:t>2,116,400</w:t>
            </w:r>
          </w:p>
        </w:tc>
        <w:tc>
          <w:tcPr>
            <w:tcW w:w="843" w:type="pct"/>
          </w:tcPr>
          <w:p w14:paraId="38D37BE4" w14:textId="77777777" w:rsidR="005A008B" w:rsidRPr="00D90C15" w:rsidRDefault="005A008B" w:rsidP="00CC3F1F">
            <w:pPr>
              <w:pStyle w:val="TableBody"/>
            </w:pPr>
            <w:r w:rsidRPr="00D90C15">
              <w:t>2,348,644</w:t>
            </w:r>
          </w:p>
        </w:tc>
      </w:tr>
      <w:tr w:rsidR="005A008B" w:rsidRPr="00D90C15" w14:paraId="5BAC659E" w14:textId="77777777" w:rsidTr="0046794E">
        <w:trPr>
          <w:trHeight w:val="60"/>
        </w:trPr>
        <w:tc>
          <w:tcPr>
            <w:tcW w:w="2752" w:type="pct"/>
          </w:tcPr>
          <w:p w14:paraId="794EC891" w14:textId="77777777" w:rsidR="005A008B" w:rsidRPr="00F52CA3" w:rsidRDefault="005A008B" w:rsidP="00F52CA3">
            <w:pPr>
              <w:pStyle w:val="TableBody"/>
              <w:rPr>
                <w:b/>
                <w:bCs/>
              </w:rPr>
            </w:pPr>
            <w:r w:rsidRPr="00F52CA3">
              <w:rPr>
                <w:b/>
                <w:bCs/>
              </w:rPr>
              <w:t>Payments</w:t>
            </w:r>
          </w:p>
        </w:tc>
        <w:tc>
          <w:tcPr>
            <w:tcW w:w="562" w:type="pct"/>
          </w:tcPr>
          <w:p w14:paraId="5E71667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F751D47"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AF10729"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8C20489" w14:textId="77777777" w:rsidTr="0046794E">
        <w:trPr>
          <w:trHeight w:val="60"/>
        </w:trPr>
        <w:tc>
          <w:tcPr>
            <w:tcW w:w="2752" w:type="pct"/>
          </w:tcPr>
          <w:p w14:paraId="7FC3414D" w14:textId="77777777" w:rsidR="005A008B" w:rsidRPr="00D90C15" w:rsidRDefault="005A008B" w:rsidP="00AA1CB0">
            <w:pPr>
              <w:pStyle w:val="TableBody"/>
            </w:pPr>
            <w:r w:rsidRPr="00D90C15">
              <w:t>Payments to suppliers and employees</w:t>
            </w:r>
          </w:p>
        </w:tc>
        <w:tc>
          <w:tcPr>
            <w:tcW w:w="562" w:type="pct"/>
          </w:tcPr>
          <w:p w14:paraId="00AD1E30"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C6BCA9E" w14:textId="77777777" w:rsidR="005A008B" w:rsidRPr="00D90C15" w:rsidRDefault="005A008B" w:rsidP="00CC3F1F">
            <w:pPr>
              <w:pStyle w:val="TableBody"/>
            </w:pPr>
            <w:r w:rsidRPr="00D90C15">
              <w:t>1,909,614</w:t>
            </w:r>
          </w:p>
        </w:tc>
        <w:tc>
          <w:tcPr>
            <w:tcW w:w="843" w:type="pct"/>
          </w:tcPr>
          <w:p w14:paraId="1E48C533" w14:textId="77777777" w:rsidR="005A008B" w:rsidRPr="00D90C15" w:rsidRDefault="005A008B" w:rsidP="00CC3F1F">
            <w:pPr>
              <w:pStyle w:val="TableBody"/>
            </w:pPr>
            <w:r w:rsidRPr="00D90C15">
              <w:t>1,654,704</w:t>
            </w:r>
          </w:p>
        </w:tc>
      </w:tr>
      <w:tr w:rsidR="005A008B" w:rsidRPr="00D90C15" w14:paraId="0CD24B19" w14:textId="77777777" w:rsidTr="0046794E">
        <w:trPr>
          <w:trHeight w:val="60"/>
        </w:trPr>
        <w:tc>
          <w:tcPr>
            <w:tcW w:w="2752" w:type="pct"/>
          </w:tcPr>
          <w:p w14:paraId="7634FD81" w14:textId="77777777" w:rsidR="005A008B" w:rsidRPr="00D90C15" w:rsidRDefault="005A008B" w:rsidP="00AA1CB0">
            <w:pPr>
              <w:pStyle w:val="TableBody"/>
            </w:pPr>
            <w:r w:rsidRPr="00D90C15">
              <w:t>Interest paid</w:t>
            </w:r>
          </w:p>
        </w:tc>
        <w:tc>
          <w:tcPr>
            <w:tcW w:w="562" w:type="pct"/>
          </w:tcPr>
          <w:p w14:paraId="69EE3E70"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73DE4333" w14:textId="77777777" w:rsidR="005A008B" w:rsidRPr="00D90C15" w:rsidRDefault="005A008B" w:rsidP="00CC3F1F">
            <w:pPr>
              <w:pStyle w:val="TableBody"/>
            </w:pPr>
            <w:r w:rsidRPr="00D90C15">
              <w:t>12,606</w:t>
            </w:r>
          </w:p>
        </w:tc>
        <w:tc>
          <w:tcPr>
            <w:tcW w:w="843" w:type="pct"/>
          </w:tcPr>
          <w:p w14:paraId="30C4E6AD" w14:textId="77777777" w:rsidR="005A008B" w:rsidRPr="00D90C15" w:rsidRDefault="005A008B" w:rsidP="00CC3F1F">
            <w:pPr>
              <w:pStyle w:val="TableBody"/>
            </w:pPr>
            <w:r w:rsidRPr="00D90C15">
              <w:t>18,024</w:t>
            </w:r>
          </w:p>
        </w:tc>
      </w:tr>
      <w:tr w:rsidR="005A008B" w:rsidRPr="00D90C15" w14:paraId="2D0A91CF" w14:textId="77777777" w:rsidTr="0046794E">
        <w:trPr>
          <w:trHeight w:val="60"/>
        </w:trPr>
        <w:tc>
          <w:tcPr>
            <w:tcW w:w="2752" w:type="pct"/>
          </w:tcPr>
          <w:p w14:paraId="7A97C629" w14:textId="77777777" w:rsidR="005A008B" w:rsidRPr="001F7031" w:rsidRDefault="005A008B" w:rsidP="001F7031">
            <w:pPr>
              <w:pStyle w:val="TableBody"/>
              <w:rPr>
                <w:b/>
                <w:bCs/>
                <w:i/>
                <w:iCs/>
              </w:rPr>
            </w:pPr>
            <w:r w:rsidRPr="001F7031">
              <w:rPr>
                <w:b/>
                <w:bCs/>
                <w:i/>
                <w:iCs/>
              </w:rPr>
              <w:t>Total payments</w:t>
            </w:r>
          </w:p>
        </w:tc>
        <w:tc>
          <w:tcPr>
            <w:tcW w:w="562" w:type="pct"/>
          </w:tcPr>
          <w:p w14:paraId="2B9A090F"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F5A4928" w14:textId="77777777" w:rsidR="005A008B" w:rsidRPr="006512A5" w:rsidRDefault="005A008B" w:rsidP="00CC3F1F">
            <w:pPr>
              <w:pStyle w:val="TableBody"/>
              <w:rPr>
                <w:rStyle w:val="Bold"/>
              </w:rPr>
            </w:pPr>
            <w:r w:rsidRPr="006512A5">
              <w:rPr>
                <w:rStyle w:val="Bold"/>
              </w:rPr>
              <w:t>1,922,220</w:t>
            </w:r>
          </w:p>
        </w:tc>
        <w:tc>
          <w:tcPr>
            <w:tcW w:w="843" w:type="pct"/>
          </w:tcPr>
          <w:p w14:paraId="55B57306" w14:textId="77777777" w:rsidR="005A008B" w:rsidRPr="00D90C15" w:rsidRDefault="005A008B" w:rsidP="00CC3F1F">
            <w:pPr>
              <w:pStyle w:val="TableBody"/>
            </w:pPr>
            <w:r w:rsidRPr="00D90C15">
              <w:t>1,672,728</w:t>
            </w:r>
          </w:p>
        </w:tc>
      </w:tr>
      <w:tr w:rsidR="005A008B" w:rsidRPr="00D90C15" w14:paraId="0F2E432A" w14:textId="77777777" w:rsidTr="0046794E">
        <w:trPr>
          <w:trHeight w:val="60"/>
        </w:trPr>
        <w:tc>
          <w:tcPr>
            <w:tcW w:w="2752" w:type="pct"/>
          </w:tcPr>
          <w:p w14:paraId="098889DE" w14:textId="77777777" w:rsidR="005A008B" w:rsidRPr="00E72391" w:rsidRDefault="005A008B" w:rsidP="00E72391">
            <w:pPr>
              <w:pStyle w:val="TableBody"/>
              <w:rPr>
                <w:b/>
                <w:bCs/>
              </w:rPr>
            </w:pPr>
            <w:r w:rsidRPr="00E72391">
              <w:rPr>
                <w:b/>
                <w:bCs/>
              </w:rPr>
              <w:t>Net cash flows from</w:t>
            </w:r>
            <w:proofErr w:type="gramStart"/>
            <w:r w:rsidRPr="00E72391">
              <w:rPr>
                <w:b/>
                <w:bCs/>
              </w:rPr>
              <w:t>/(</w:t>
            </w:r>
            <w:proofErr w:type="gramEnd"/>
            <w:r w:rsidRPr="00E72391">
              <w:rPr>
                <w:b/>
                <w:bCs/>
              </w:rPr>
              <w:t>used in) operating activities</w:t>
            </w:r>
          </w:p>
        </w:tc>
        <w:tc>
          <w:tcPr>
            <w:tcW w:w="562" w:type="pct"/>
          </w:tcPr>
          <w:p w14:paraId="561DD10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0E9E3E5" w14:textId="77777777" w:rsidR="005A008B" w:rsidRPr="006512A5" w:rsidRDefault="005A008B" w:rsidP="00CC3F1F">
            <w:pPr>
              <w:pStyle w:val="TableBody"/>
              <w:rPr>
                <w:rStyle w:val="Bold"/>
              </w:rPr>
            </w:pPr>
            <w:r w:rsidRPr="006512A5">
              <w:rPr>
                <w:rStyle w:val="Bold"/>
              </w:rPr>
              <w:t xml:space="preserve">194,180 </w:t>
            </w:r>
          </w:p>
        </w:tc>
        <w:tc>
          <w:tcPr>
            <w:tcW w:w="843" w:type="pct"/>
          </w:tcPr>
          <w:p w14:paraId="37D8B1EB" w14:textId="77777777" w:rsidR="005A008B" w:rsidRPr="00D90C15" w:rsidRDefault="005A008B" w:rsidP="00CC3F1F">
            <w:pPr>
              <w:pStyle w:val="TableBody"/>
            </w:pPr>
            <w:r w:rsidRPr="00D90C15">
              <w:t xml:space="preserve"> 675,916 </w:t>
            </w:r>
          </w:p>
        </w:tc>
      </w:tr>
      <w:tr w:rsidR="005A008B" w:rsidRPr="00D90C15" w14:paraId="1EF87BC6" w14:textId="77777777" w:rsidTr="0046794E">
        <w:trPr>
          <w:trHeight w:val="60"/>
        </w:trPr>
        <w:tc>
          <w:tcPr>
            <w:tcW w:w="2752" w:type="pct"/>
          </w:tcPr>
          <w:p w14:paraId="7CD35DF9" w14:textId="77777777" w:rsidR="005A008B" w:rsidRPr="00F52CA3" w:rsidRDefault="005A008B" w:rsidP="00F52CA3">
            <w:pPr>
              <w:pStyle w:val="TableBody"/>
              <w:rPr>
                <w:b/>
                <w:bCs/>
              </w:rPr>
            </w:pPr>
            <w:r w:rsidRPr="00F52CA3">
              <w:rPr>
                <w:b/>
                <w:bCs/>
              </w:rPr>
              <w:t>Cash flows from</w:t>
            </w:r>
            <w:proofErr w:type="gramStart"/>
            <w:r w:rsidRPr="00F52CA3">
              <w:rPr>
                <w:b/>
                <w:bCs/>
              </w:rPr>
              <w:t>/(</w:t>
            </w:r>
            <w:proofErr w:type="gramEnd"/>
            <w:r w:rsidRPr="00F52CA3">
              <w:rPr>
                <w:b/>
                <w:bCs/>
              </w:rPr>
              <w:t>used in) financing activities</w:t>
            </w:r>
          </w:p>
        </w:tc>
        <w:tc>
          <w:tcPr>
            <w:tcW w:w="562" w:type="pct"/>
          </w:tcPr>
          <w:p w14:paraId="53C910B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3942974"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6073E94"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5CBCADC4" w14:textId="77777777" w:rsidTr="0046794E">
        <w:trPr>
          <w:trHeight w:val="60"/>
        </w:trPr>
        <w:tc>
          <w:tcPr>
            <w:tcW w:w="2752" w:type="pct"/>
          </w:tcPr>
          <w:p w14:paraId="3DB123C3" w14:textId="77777777" w:rsidR="005A008B" w:rsidRPr="00D90C15" w:rsidRDefault="005A008B" w:rsidP="00AA1CB0">
            <w:pPr>
              <w:pStyle w:val="TableBody"/>
            </w:pPr>
            <w:r w:rsidRPr="00D90C15">
              <w:t xml:space="preserve">Repayment of lease liabilities </w:t>
            </w:r>
          </w:p>
        </w:tc>
        <w:tc>
          <w:tcPr>
            <w:tcW w:w="562" w:type="pct"/>
          </w:tcPr>
          <w:p w14:paraId="4FB5B898"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977875F" w14:textId="77777777" w:rsidR="005A008B" w:rsidRPr="006512A5" w:rsidRDefault="005A008B" w:rsidP="00CC3F1F">
            <w:pPr>
              <w:pStyle w:val="TableBody"/>
              <w:rPr>
                <w:rStyle w:val="Bold"/>
              </w:rPr>
            </w:pPr>
            <w:r w:rsidRPr="006512A5">
              <w:rPr>
                <w:rStyle w:val="Bold"/>
              </w:rPr>
              <w:t>(116,769)</w:t>
            </w:r>
          </w:p>
        </w:tc>
        <w:tc>
          <w:tcPr>
            <w:tcW w:w="843" w:type="pct"/>
          </w:tcPr>
          <w:p w14:paraId="49910D6B" w14:textId="77777777" w:rsidR="005A008B" w:rsidRPr="006512A5" w:rsidRDefault="005A008B" w:rsidP="00CC3F1F">
            <w:pPr>
              <w:pStyle w:val="TableBody"/>
              <w:rPr>
                <w:rStyle w:val="Bold"/>
              </w:rPr>
            </w:pPr>
            <w:r w:rsidRPr="006512A5">
              <w:rPr>
                <w:rStyle w:val="Bold"/>
              </w:rPr>
              <w:t>(106,976)</w:t>
            </w:r>
          </w:p>
        </w:tc>
      </w:tr>
      <w:tr w:rsidR="005A008B" w:rsidRPr="00D90C15" w14:paraId="6E4DA0E4" w14:textId="77777777" w:rsidTr="0046794E">
        <w:trPr>
          <w:trHeight w:val="60"/>
        </w:trPr>
        <w:tc>
          <w:tcPr>
            <w:tcW w:w="2752" w:type="pct"/>
          </w:tcPr>
          <w:p w14:paraId="4D63279F" w14:textId="77777777" w:rsidR="005A008B" w:rsidRPr="00E72391" w:rsidRDefault="005A008B" w:rsidP="00E72391">
            <w:pPr>
              <w:pStyle w:val="TableBody"/>
              <w:rPr>
                <w:b/>
                <w:bCs/>
              </w:rPr>
            </w:pPr>
            <w:r w:rsidRPr="00E72391">
              <w:rPr>
                <w:b/>
                <w:bCs/>
              </w:rPr>
              <w:t>Net cash flows from</w:t>
            </w:r>
            <w:proofErr w:type="gramStart"/>
            <w:r w:rsidRPr="00E72391">
              <w:rPr>
                <w:b/>
                <w:bCs/>
              </w:rPr>
              <w:t>/(</w:t>
            </w:r>
            <w:proofErr w:type="gramEnd"/>
            <w:r w:rsidRPr="00E72391">
              <w:rPr>
                <w:b/>
                <w:bCs/>
              </w:rPr>
              <w:t>used in) financing activities</w:t>
            </w:r>
          </w:p>
        </w:tc>
        <w:tc>
          <w:tcPr>
            <w:tcW w:w="562" w:type="pct"/>
          </w:tcPr>
          <w:p w14:paraId="6FF3DC6B"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795BF705" w14:textId="77777777" w:rsidR="005A008B" w:rsidRPr="006512A5" w:rsidRDefault="005A008B" w:rsidP="00CC3F1F">
            <w:pPr>
              <w:pStyle w:val="TableBody"/>
              <w:rPr>
                <w:rStyle w:val="Bold"/>
              </w:rPr>
            </w:pPr>
            <w:r w:rsidRPr="006512A5">
              <w:rPr>
                <w:rStyle w:val="Bold"/>
              </w:rPr>
              <w:t>(116,769)</w:t>
            </w:r>
          </w:p>
        </w:tc>
        <w:tc>
          <w:tcPr>
            <w:tcW w:w="843" w:type="pct"/>
          </w:tcPr>
          <w:p w14:paraId="58206849" w14:textId="77777777" w:rsidR="005A008B" w:rsidRPr="006512A5" w:rsidRDefault="005A008B" w:rsidP="00CC3F1F">
            <w:pPr>
              <w:pStyle w:val="TableBody"/>
              <w:rPr>
                <w:rStyle w:val="Bold"/>
              </w:rPr>
            </w:pPr>
            <w:r w:rsidRPr="006512A5">
              <w:rPr>
                <w:rStyle w:val="Bold"/>
              </w:rPr>
              <w:t xml:space="preserve">(106,976) </w:t>
            </w:r>
          </w:p>
        </w:tc>
      </w:tr>
      <w:tr w:rsidR="005A008B" w:rsidRPr="00D90C15" w14:paraId="26AEB807" w14:textId="77777777" w:rsidTr="0046794E">
        <w:trPr>
          <w:trHeight w:val="60"/>
        </w:trPr>
        <w:tc>
          <w:tcPr>
            <w:tcW w:w="2752" w:type="pct"/>
          </w:tcPr>
          <w:p w14:paraId="33224C01" w14:textId="77777777" w:rsidR="005A008B" w:rsidRPr="00E72391" w:rsidRDefault="005A008B" w:rsidP="00E72391">
            <w:pPr>
              <w:pStyle w:val="TableBody"/>
              <w:rPr>
                <w:b/>
                <w:bCs/>
              </w:rPr>
            </w:pPr>
            <w:r w:rsidRPr="00E72391">
              <w:rPr>
                <w:b/>
                <w:bCs/>
              </w:rPr>
              <w:t xml:space="preserve">Net </w:t>
            </w:r>
            <w:proofErr w:type="gramStart"/>
            <w:r w:rsidRPr="00E72391">
              <w:rPr>
                <w:b/>
                <w:bCs/>
              </w:rPr>
              <w:t>increase/(</w:t>
            </w:r>
            <w:proofErr w:type="gramEnd"/>
            <w:r w:rsidRPr="00E72391">
              <w:rPr>
                <w:b/>
                <w:bCs/>
              </w:rPr>
              <w:t>decrease) in cash and cash equivalents</w:t>
            </w:r>
          </w:p>
        </w:tc>
        <w:tc>
          <w:tcPr>
            <w:tcW w:w="562" w:type="pct"/>
          </w:tcPr>
          <w:p w14:paraId="45CAA1E6"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09B1BEBD" w14:textId="77777777" w:rsidR="005A008B" w:rsidRPr="006512A5" w:rsidRDefault="005A008B" w:rsidP="00CC3F1F">
            <w:pPr>
              <w:pStyle w:val="TableBody"/>
              <w:rPr>
                <w:rStyle w:val="Bold"/>
              </w:rPr>
            </w:pPr>
            <w:r w:rsidRPr="006512A5">
              <w:rPr>
                <w:rStyle w:val="Bold"/>
              </w:rPr>
              <w:t xml:space="preserve">77,411 </w:t>
            </w:r>
          </w:p>
        </w:tc>
        <w:tc>
          <w:tcPr>
            <w:tcW w:w="843" w:type="pct"/>
          </w:tcPr>
          <w:p w14:paraId="02EF0565" w14:textId="77777777" w:rsidR="005A008B" w:rsidRPr="006512A5" w:rsidRDefault="005A008B" w:rsidP="00CC3F1F">
            <w:pPr>
              <w:pStyle w:val="TableBody"/>
              <w:rPr>
                <w:rStyle w:val="Bold"/>
              </w:rPr>
            </w:pPr>
            <w:r w:rsidRPr="006512A5">
              <w:rPr>
                <w:rStyle w:val="Bold"/>
              </w:rPr>
              <w:t xml:space="preserve"> 568,940 </w:t>
            </w:r>
          </w:p>
        </w:tc>
      </w:tr>
      <w:tr w:rsidR="0046794E" w:rsidRPr="00D90C15" w14:paraId="14239FA7" w14:textId="77777777" w:rsidTr="0046794E">
        <w:trPr>
          <w:trHeight w:val="60"/>
        </w:trPr>
        <w:tc>
          <w:tcPr>
            <w:tcW w:w="2752" w:type="pct"/>
          </w:tcPr>
          <w:p w14:paraId="2FCF6E7E" w14:textId="4DE4C2DC" w:rsidR="0046794E" w:rsidRPr="00E72391" w:rsidRDefault="0046794E" w:rsidP="00E72391">
            <w:pPr>
              <w:pStyle w:val="TableBody"/>
              <w:rPr>
                <w:b/>
                <w:bCs/>
              </w:rPr>
            </w:pPr>
            <w:r w:rsidRPr="00D90C15">
              <w:t>Cash and cash equivalents at the beginning of the financial year</w:t>
            </w:r>
          </w:p>
        </w:tc>
        <w:tc>
          <w:tcPr>
            <w:tcW w:w="562" w:type="pct"/>
          </w:tcPr>
          <w:p w14:paraId="43CE9B6F" w14:textId="77777777" w:rsidR="0046794E" w:rsidRPr="00D90C15" w:rsidRDefault="0046794E" w:rsidP="004F187B">
            <w:pPr>
              <w:pStyle w:val="NoParagraphStyle"/>
              <w:spacing w:line="240" w:lineRule="auto"/>
              <w:textAlignment w:val="auto"/>
              <w:rPr>
                <w:rFonts w:cs="Times New Roman"/>
                <w:color w:val="auto"/>
                <w:lang w:val="en-AU"/>
              </w:rPr>
            </w:pPr>
          </w:p>
        </w:tc>
        <w:tc>
          <w:tcPr>
            <w:tcW w:w="843" w:type="pct"/>
          </w:tcPr>
          <w:p w14:paraId="682DCBFC" w14:textId="3BDB416A" w:rsidR="0046794E" w:rsidRPr="006512A5" w:rsidRDefault="0046794E" w:rsidP="00CC3F1F">
            <w:pPr>
              <w:pStyle w:val="TableBody"/>
              <w:rPr>
                <w:rStyle w:val="Bold"/>
              </w:rPr>
            </w:pPr>
            <w:r w:rsidRPr="00D90C15">
              <w:t xml:space="preserve">688,940 </w:t>
            </w:r>
          </w:p>
        </w:tc>
        <w:tc>
          <w:tcPr>
            <w:tcW w:w="843" w:type="pct"/>
          </w:tcPr>
          <w:p w14:paraId="3FF77A82" w14:textId="59B9F966" w:rsidR="0046794E" w:rsidRPr="006512A5" w:rsidRDefault="0046794E" w:rsidP="00CC3F1F">
            <w:pPr>
              <w:pStyle w:val="TableBody"/>
              <w:rPr>
                <w:rStyle w:val="Bold"/>
              </w:rPr>
            </w:pPr>
            <w:r w:rsidRPr="00D90C15">
              <w:t xml:space="preserve"> 120,000 </w:t>
            </w:r>
          </w:p>
        </w:tc>
      </w:tr>
      <w:tr w:rsidR="005A008B" w:rsidRPr="00D90C15" w14:paraId="6EBB9308" w14:textId="77777777" w:rsidTr="0046794E">
        <w:trPr>
          <w:trHeight w:val="60"/>
        </w:trPr>
        <w:tc>
          <w:tcPr>
            <w:tcW w:w="2752" w:type="pct"/>
          </w:tcPr>
          <w:p w14:paraId="106F4804" w14:textId="77777777" w:rsidR="005A008B" w:rsidRPr="00E72391" w:rsidRDefault="005A008B" w:rsidP="00E72391">
            <w:pPr>
              <w:pStyle w:val="TableBody"/>
              <w:rPr>
                <w:b/>
                <w:bCs/>
              </w:rPr>
            </w:pPr>
            <w:r w:rsidRPr="00E72391">
              <w:rPr>
                <w:b/>
                <w:bCs/>
              </w:rPr>
              <w:t>Cash and cash equivalents at the end of the financial year</w:t>
            </w:r>
          </w:p>
        </w:tc>
        <w:tc>
          <w:tcPr>
            <w:tcW w:w="562" w:type="pct"/>
          </w:tcPr>
          <w:p w14:paraId="182A747B"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2FC360E9" w14:textId="77777777" w:rsidR="005A008B" w:rsidRPr="006512A5" w:rsidRDefault="005A008B" w:rsidP="00CC3F1F">
            <w:pPr>
              <w:pStyle w:val="TableBody"/>
              <w:rPr>
                <w:rStyle w:val="Bold"/>
              </w:rPr>
            </w:pPr>
            <w:r w:rsidRPr="006512A5">
              <w:rPr>
                <w:rStyle w:val="Bold"/>
              </w:rPr>
              <w:t xml:space="preserve">766,351 </w:t>
            </w:r>
          </w:p>
        </w:tc>
        <w:tc>
          <w:tcPr>
            <w:tcW w:w="843" w:type="pct"/>
          </w:tcPr>
          <w:p w14:paraId="75699665" w14:textId="77777777" w:rsidR="005A008B" w:rsidRPr="006512A5" w:rsidRDefault="005A008B" w:rsidP="00CC3F1F">
            <w:pPr>
              <w:pStyle w:val="TableBody"/>
              <w:rPr>
                <w:rStyle w:val="Bold"/>
              </w:rPr>
            </w:pPr>
            <w:r w:rsidRPr="006512A5">
              <w:rPr>
                <w:rStyle w:val="Bold"/>
              </w:rPr>
              <w:t xml:space="preserve"> 688,940 </w:t>
            </w:r>
          </w:p>
        </w:tc>
      </w:tr>
    </w:tbl>
    <w:p w14:paraId="1FED2BB8" w14:textId="77777777" w:rsidR="005A008B" w:rsidRPr="00D90C15" w:rsidRDefault="005A008B" w:rsidP="001F7031">
      <w:r w:rsidRPr="00D90C15">
        <w:t>The accompanying notes form part of these financial statements.</w:t>
      </w:r>
    </w:p>
    <w:p w14:paraId="68B30636" w14:textId="0AC02E1F" w:rsidR="005A008B" w:rsidRPr="00D90C15" w:rsidRDefault="006B7598" w:rsidP="006B7598">
      <w:pPr>
        <w:pStyle w:val="Heading1"/>
      </w:pPr>
      <w:bookmarkStart w:id="89" w:name="_Toc221113855"/>
      <w:r w:rsidRPr="00AA1CB0">
        <w:lastRenderedPageBreak/>
        <w:t xml:space="preserve">Statement Of Changes </w:t>
      </w:r>
      <w:proofErr w:type="gramStart"/>
      <w:r w:rsidRPr="00AA1CB0">
        <w:t>In</w:t>
      </w:r>
      <w:proofErr w:type="gramEnd"/>
      <w:r w:rsidRPr="00AA1CB0">
        <w:t xml:space="preserve"> Equity</w:t>
      </w:r>
      <w:r w:rsidRPr="00D90C15">
        <w:t xml:space="preserve"> </w:t>
      </w:r>
      <w:proofErr w:type="gramStart"/>
      <w:r w:rsidRPr="00D90C15">
        <w:t>For</w:t>
      </w:r>
      <w:proofErr w:type="gramEnd"/>
      <w:r w:rsidRPr="00D90C15">
        <w:t xml:space="preserve"> </w:t>
      </w:r>
      <w:proofErr w:type="gramStart"/>
      <w:r w:rsidRPr="00D90C15">
        <w:t>The</w:t>
      </w:r>
      <w:proofErr w:type="gramEnd"/>
      <w:r w:rsidRPr="00D90C15">
        <w:t xml:space="preserve"> Financial Year Ended 30 June 2025</w:t>
      </w:r>
      <w:bookmarkEnd w:id="89"/>
    </w:p>
    <w:tbl>
      <w:tblPr>
        <w:tblStyle w:val="Table"/>
        <w:tblW w:w="5000" w:type="pct"/>
        <w:tblLook w:val="0020" w:firstRow="1" w:lastRow="0" w:firstColumn="0" w:lastColumn="0" w:noHBand="0" w:noVBand="0"/>
      </w:tblPr>
      <w:tblGrid>
        <w:gridCol w:w="2938"/>
        <w:gridCol w:w="2280"/>
        <w:gridCol w:w="2280"/>
        <w:gridCol w:w="1518"/>
      </w:tblGrid>
      <w:tr w:rsidR="005A008B" w:rsidRPr="00D90C15" w14:paraId="027B35DA" w14:textId="77777777" w:rsidTr="0046794E">
        <w:trPr>
          <w:trHeight w:val="60"/>
          <w:tblHeader/>
        </w:trPr>
        <w:tc>
          <w:tcPr>
            <w:tcW w:w="1629" w:type="pct"/>
          </w:tcPr>
          <w:p w14:paraId="370233B0" w14:textId="77777777" w:rsidR="005A008B" w:rsidRPr="00D90C15" w:rsidRDefault="005A008B" w:rsidP="004F187B">
            <w:pPr>
              <w:pStyle w:val="NoParagraphStyle"/>
              <w:spacing w:line="240" w:lineRule="auto"/>
              <w:textAlignment w:val="auto"/>
              <w:rPr>
                <w:rFonts w:cs="Times New Roman"/>
                <w:color w:val="auto"/>
                <w:lang w:val="en-AU"/>
              </w:rPr>
            </w:pPr>
          </w:p>
        </w:tc>
        <w:tc>
          <w:tcPr>
            <w:tcW w:w="1264" w:type="pct"/>
          </w:tcPr>
          <w:p w14:paraId="6A85BA41" w14:textId="77777777" w:rsidR="005A008B" w:rsidRPr="00D90C15" w:rsidRDefault="005A008B" w:rsidP="007B5725">
            <w:pPr>
              <w:pStyle w:val="TableHeading"/>
            </w:pPr>
            <w:r w:rsidRPr="00D90C15">
              <w:t>Accumulated surplus</w:t>
            </w:r>
            <w:r w:rsidRPr="00D90C15">
              <w:br/>
              <w:t>$</w:t>
            </w:r>
          </w:p>
        </w:tc>
        <w:tc>
          <w:tcPr>
            <w:tcW w:w="1264" w:type="pct"/>
          </w:tcPr>
          <w:p w14:paraId="27474F38" w14:textId="77777777" w:rsidR="005A008B" w:rsidRPr="00D90C15" w:rsidRDefault="005A008B" w:rsidP="007B5725">
            <w:pPr>
              <w:pStyle w:val="TableHeading"/>
            </w:pPr>
            <w:r w:rsidRPr="00D90C15">
              <w:t>Contributed capital</w:t>
            </w:r>
            <w:r w:rsidRPr="00D90C15">
              <w:br/>
              <w:t>$</w:t>
            </w:r>
          </w:p>
        </w:tc>
        <w:tc>
          <w:tcPr>
            <w:tcW w:w="842" w:type="pct"/>
          </w:tcPr>
          <w:p w14:paraId="75B6D7A1" w14:textId="77777777" w:rsidR="005A008B" w:rsidRPr="00D90C15" w:rsidRDefault="005A008B" w:rsidP="007B5725">
            <w:pPr>
              <w:pStyle w:val="TableHeading"/>
            </w:pPr>
            <w:r w:rsidRPr="00D90C15">
              <w:t>Total</w:t>
            </w:r>
            <w:r w:rsidRPr="00D90C15">
              <w:br/>
              <w:t>$</w:t>
            </w:r>
          </w:p>
        </w:tc>
      </w:tr>
      <w:tr w:rsidR="005A008B" w:rsidRPr="00D90C15" w14:paraId="627FA4F7" w14:textId="77777777" w:rsidTr="0046794E">
        <w:trPr>
          <w:trHeight w:val="60"/>
        </w:trPr>
        <w:tc>
          <w:tcPr>
            <w:tcW w:w="1629" w:type="pct"/>
          </w:tcPr>
          <w:p w14:paraId="4BCD9122" w14:textId="77777777" w:rsidR="005A008B" w:rsidRPr="00E72391" w:rsidRDefault="005A008B" w:rsidP="00E72391">
            <w:pPr>
              <w:pStyle w:val="TableBody"/>
              <w:rPr>
                <w:b/>
                <w:bCs/>
              </w:rPr>
            </w:pPr>
            <w:r w:rsidRPr="00E72391">
              <w:rPr>
                <w:b/>
                <w:bCs/>
              </w:rPr>
              <w:t xml:space="preserve">Balance </w:t>
            </w:r>
            <w:proofErr w:type="gramStart"/>
            <w:r w:rsidRPr="00E72391">
              <w:rPr>
                <w:b/>
                <w:bCs/>
              </w:rPr>
              <w:t>at</w:t>
            </w:r>
            <w:proofErr w:type="gramEnd"/>
            <w:r w:rsidRPr="00E72391">
              <w:rPr>
                <w:b/>
                <w:bCs/>
              </w:rPr>
              <w:t xml:space="preserve"> 1 July 2023</w:t>
            </w:r>
          </w:p>
        </w:tc>
        <w:tc>
          <w:tcPr>
            <w:tcW w:w="1264" w:type="pct"/>
          </w:tcPr>
          <w:p w14:paraId="2845B440" w14:textId="77777777" w:rsidR="005A008B" w:rsidRPr="00D90C15" w:rsidRDefault="005A008B" w:rsidP="00CC3F1F">
            <w:pPr>
              <w:pStyle w:val="TableBody"/>
            </w:pPr>
            <w:r w:rsidRPr="00D90C15">
              <w:t xml:space="preserve">280,068 </w:t>
            </w:r>
          </w:p>
        </w:tc>
        <w:tc>
          <w:tcPr>
            <w:tcW w:w="1264" w:type="pct"/>
          </w:tcPr>
          <w:p w14:paraId="1520BF23" w14:textId="77777777" w:rsidR="005A008B" w:rsidRPr="00D90C15" w:rsidRDefault="005A008B" w:rsidP="00CC3F1F">
            <w:pPr>
              <w:pStyle w:val="TableBody"/>
            </w:pPr>
            <w:r w:rsidRPr="00D90C15">
              <w:t xml:space="preserve"> 334,491 </w:t>
            </w:r>
          </w:p>
        </w:tc>
        <w:tc>
          <w:tcPr>
            <w:tcW w:w="842" w:type="pct"/>
          </w:tcPr>
          <w:p w14:paraId="24516AEC" w14:textId="77777777" w:rsidR="005A008B" w:rsidRPr="00D90C15" w:rsidRDefault="005A008B" w:rsidP="00CC3F1F">
            <w:pPr>
              <w:pStyle w:val="TableBody"/>
            </w:pPr>
            <w:r w:rsidRPr="00D90C15">
              <w:t xml:space="preserve"> 614,559 </w:t>
            </w:r>
          </w:p>
        </w:tc>
      </w:tr>
      <w:tr w:rsidR="005A008B" w:rsidRPr="00D90C15" w14:paraId="08F2D6D4" w14:textId="77777777" w:rsidTr="0046794E">
        <w:trPr>
          <w:trHeight w:val="60"/>
        </w:trPr>
        <w:tc>
          <w:tcPr>
            <w:tcW w:w="1629" w:type="pct"/>
          </w:tcPr>
          <w:p w14:paraId="55E891A3" w14:textId="77777777" w:rsidR="005A008B" w:rsidRPr="00D90C15" w:rsidRDefault="005A008B" w:rsidP="00E82D64">
            <w:pPr>
              <w:pStyle w:val="TableBody"/>
            </w:pPr>
            <w:r w:rsidRPr="00D90C15">
              <w:t>Capital contributions</w:t>
            </w:r>
          </w:p>
        </w:tc>
        <w:tc>
          <w:tcPr>
            <w:tcW w:w="1264" w:type="pct"/>
          </w:tcPr>
          <w:p w14:paraId="5628085C" w14:textId="77777777" w:rsidR="005A008B" w:rsidRPr="00D90C15" w:rsidRDefault="005A008B" w:rsidP="00CC3F1F">
            <w:pPr>
              <w:pStyle w:val="TableBody"/>
            </w:pPr>
            <w:r w:rsidRPr="00D90C15">
              <w:t>–</w:t>
            </w:r>
          </w:p>
        </w:tc>
        <w:tc>
          <w:tcPr>
            <w:tcW w:w="1264" w:type="pct"/>
          </w:tcPr>
          <w:p w14:paraId="58D58BB6" w14:textId="77777777" w:rsidR="005A008B" w:rsidRPr="00D90C15" w:rsidRDefault="005A008B" w:rsidP="00CC3F1F">
            <w:pPr>
              <w:pStyle w:val="TableBody"/>
            </w:pPr>
            <w:r w:rsidRPr="00D90C15">
              <w:t>–</w:t>
            </w:r>
          </w:p>
        </w:tc>
        <w:tc>
          <w:tcPr>
            <w:tcW w:w="842" w:type="pct"/>
          </w:tcPr>
          <w:p w14:paraId="135D9A3D" w14:textId="77777777" w:rsidR="005A008B" w:rsidRPr="00D90C15" w:rsidRDefault="005A008B" w:rsidP="00CC3F1F">
            <w:pPr>
              <w:pStyle w:val="TableBody"/>
            </w:pPr>
            <w:r w:rsidRPr="00D90C15">
              <w:t>–</w:t>
            </w:r>
          </w:p>
        </w:tc>
      </w:tr>
      <w:tr w:rsidR="005A008B" w:rsidRPr="00D90C15" w14:paraId="284C5471" w14:textId="77777777" w:rsidTr="0046794E">
        <w:trPr>
          <w:trHeight w:val="60"/>
        </w:trPr>
        <w:tc>
          <w:tcPr>
            <w:tcW w:w="1629" w:type="pct"/>
          </w:tcPr>
          <w:p w14:paraId="67282D20" w14:textId="77777777" w:rsidR="005A008B" w:rsidRPr="00D90C15" w:rsidRDefault="005A008B" w:rsidP="00E82D64">
            <w:pPr>
              <w:pStyle w:val="TableBody"/>
            </w:pPr>
            <w:r w:rsidRPr="00D90C15">
              <w:t>Net result for year</w:t>
            </w:r>
          </w:p>
        </w:tc>
        <w:tc>
          <w:tcPr>
            <w:tcW w:w="1264" w:type="pct"/>
          </w:tcPr>
          <w:p w14:paraId="0B58019D" w14:textId="77777777" w:rsidR="005A008B" w:rsidRPr="00D90C15" w:rsidRDefault="005A008B" w:rsidP="00CC3F1F">
            <w:pPr>
              <w:pStyle w:val="TableBody"/>
            </w:pPr>
            <w:r w:rsidRPr="00D90C15">
              <w:t xml:space="preserve">557,108 </w:t>
            </w:r>
          </w:p>
        </w:tc>
        <w:tc>
          <w:tcPr>
            <w:tcW w:w="1264" w:type="pct"/>
          </w:tcPr>
          <w:p w14:paraId="4A42A778" w14:textId="77777777" w:rsidR="005A008B" w:rsidRPr="00D90C15" w:rsidRDefault="005A008B" w:rsidP="00CC3F1F">
            <w:pPr>
              <w:pStyle w:val="TableBody"/>
            </w:pPr>
            <w:r w:rsidRPr="00D90C15">
              <w:t>–</w:t>
            </w:r>
          </w:p>
        </w:tc>
        <w:tc>
          <w:tcPr>
            <w:tcW w:w="842" w:type="pct"/>
          </w:tcPr>
          <w:p w14:paraId="7A1F92B6" w14:textId="77777777" w:rsidR="005A008B" w:rsidRPr="00D90C15" w:rsidRDefault="005A008B" w:rsidP="00CC3F1F">
            <w:pPr>
              <w:pStyle w:val="TableBody"/>
            </w:pPr>
            <w:r w:rsidRPr="00D90C15">
              <w:t xml:space="preserve"> 557,108 </w:t>
            </w:r>
          </w:p>
        </w:tc>
      </w:tr>
      <w:tr w:rsidR="005A008B" w:rsidRPr="00D90C15" w14:paraId="3BF49783" w14:textId="77777777" w:rsidTr="0046794E">
        <w:trPr>
          <w:trHeight w:val="60"/>
        </w:trPr>
        <w:tc>
          <w:tcPr>
            <w:tcW w:w="1629" w:type="pct"/>
          </w:tcPr>
          <w:p w14:paraId="13504480" w14:textId="77777777" w:rsidR="005A008B" w:rsidRPr="00E72391" w:rsidRDefault="005A008B" w:rsidP="00E72391">
            <w:pPr>
              <w:pStyle w:val="TableBody"/>
              <w:rPr>
                <w:b/>
                <w:bCs/>
              </w:rPr>
            </w:pPr>
            <w:r w:rsidRPr="00E72391">
              <w:rPr>
                <w:b/>
                <w:bCs/>
              </w:rPr>
              <w:t xml:space="preserve">Balance </w:t>
            </w:r>
            <w:proofErr w:type="gramStart"/>
            <w:r w:rsidRPr="00E72391">
              <w:rPr>
                <w:b/>
                <w:bCs/>
              </w:rPr>
              <w:t>at</w:t>
            </w:r>
            <w:proofErr w:type="gramEnd"/>
            <w:r w:rsidRPr="00E72391">
              <w:rPr>
                <w:b/>
                <w:bCs/>
              </w:rPr>
              <w:t xml:space="preserve"> 30 June 2024</w:t>
            </w:r>
          </w:p>
        </w:tc>
        <w:tc>
          <w:tcPr>
            <w:tcW w:w="1264" w:type="pct"/>
          </w:tcPr>
          <w:p w14:paraId="0960A6FD" w14:textId="77777777" w:rsidR="005A008B" w:rsidRPr="00D90C15" w:rsidRDefault="005A008B" w:rsidP="00CC3F1F">
            <w:pPr>
              <w:pStyle w:val="TableBody"/>
            </w:pPr>
            <w:r w:rsidRPr="00D90C15">
              <w:t xml:space="preserve">837,176 </w:t>
            </w:r>
          </w:p>
        </w:tc>
        <w:tc>
          <w:tcPr>
            <w:tcW w:w="1264" w:type="pct"/>
          </w:tcPr>
          <w:p w14:paraId="5BF2EC22" w14:textId="77777777" w:rsidR="005A008B" w:rsidRPr="00D90C15" w:rsidRDefault="005A008B" w:rsidP="00CC3F1F">
            <w:pPr>
              <w:pStyle w:val="TableBody"/>
            </w:pPr>
            <w:r w:rsidRPr="00D90C15">
              <w:t xml:space="preserve"> 334,491 </w:t>
            </w:r>
          </w:p>
        </w:tc>
        <w:tc>
          <w:tcPr>
            <w:tcW w:w="842" w:type="pct"/>
          </w:tcPr>
          <w:p w14:paraId="1159C559" w14:textId="77777777" w:rsidR="005A008B" w:rsidRPr="00D90C15" w:rsidRDefault="005A008B" w:rsidP="00CC3F1F">
            <w:pPr>
              <w:pStyle w:val="TableBody"/>
            </w:pPr>
            <w:r w:rsidRPr="00D90C15">
              <w:t xml:space="preserve"> 1,171,667 </w:t>
            </w:r>
          </w:p>
        </w:tc>
      </w:tr>
      <w:tr w:rsidR="005A008B" w:rsidRPr="00D90C15" w14:paraId="569DCAC2" w14:textId="77777777" w:rsidTr="0046794E">
        <w:trPr>
          <w:trHeight w:val="60"/>
        </w:trPr>
        <w:tc>
          <w:tcPr>
            <w:tcW w:w="1629" w:type="pct"/>
          </w:tcPr>
          <w:p w14:paraId="31654E90" w14:textId="77777777" w:rsidR="005A008B" w:rsidRPr="00D90C15" w:rsidRDefault="005A008B" w:rsidP="00E82D64">
            <w:pPr>
              <w:pStyle w:val="TableBody"/>
            </w:pPr>
            <w:r w:rsidRPr="00D90C15">
              <w:t>Capital contributions</w:t>
            </w:r>
          </w:p>
        </w:tc>
        <w:tc>
          <w:tcPr>
            <w:tcW w:w="1264" w:type="pct"/>
          </w:tcPr>
          <w:p w14:paraId="1683B937" w14:textId="77777777" w:rsidR="005A008B" w:rsidRPr="00D90C15" w:rsidRDefault="005A008B" w:rsidP="00CC3F1F">
            <w:pPr>
              <w:pStyle w:val="TableBody"/>
            </w:pPr>
            <w:r w:rsidRPr="00D90C15">
              <w:t>–</w:t>
            </w:r>
          </w:p>
        </w:tc>
        <w:tc>
          <w:tcPr>
            <w:tcW w:w="1264" w:type="pct"/>
          </w:tcPr>
          <w:p w14:paraId="566530B8" w14:textId="77777777" w:rsidR="005A008B" w:rsidRPr="00D90C15" w:rsidRDefault="005A008B" w:rsidP="00CC3F1F">
            <w:pPr>
              <w:pStyle w:val="TableBody"/>
            </w:pPr>
            <w:r w:rsidRPr="00D90C15">
              <w:t>–</w:t>
            </w:r>
          </w:p>
        </w:tc>
        <w:tc>
          <w:tcPr>
            <w:tcW w:w="842" w:type="pct"/>
          </w:tcPr>
          <w:p w14:paraId="030AF676" w14:textId="77777777" w:rsidR="005A008B" w:rsidRPr="00D90C15" w:rsidRDefault="005A008B" w:rsidP="00CC3F1F">
            <w:pPr>
              <w:pStyle w:val="TableBody"/>
            </w:pPr>
            <w:r w:rsidRPr="00D90C15">
              <w:t>–</w:t>
            </w:r>
          </w:p>
        </w:tc>
      </w:tr>
      <w:tr w:rsidR="005A008B" w:rsidRPr="00D90C15" w14:paraId="2CC8929C" w14:textId="77777777" w:rsidTr="0046794E">
        <w:trPr>
          <w:trHeight w:val="60"/>
        </w:trPr>
        <w:tc>
          <w:tcPr>
            <w:tcW w:w="1629" w:type="pct"/>
          </w:tcPr>
          <w:p w14:paraId="7E784FAA" w14:textId="77777777" w:rsidR="005A008B" w:rsidRPr="00D90C15" w:rsidRDefault="005A008B" w:rsidP="00E82D64">
            <w:pPr>
              <w:pStyle w:val="TableBody"/>
            </w:pPr>
            <w:r w:rsidRPr="00D90C15">
              <w:t>Net result for year</w:t>
            </w:r>
          </w:p>
        </w:tc>
        <w:tc>
          <w:tcPr>
            <w:tcW w:w="1264" w:type="pct"/>
          </w:tcPr>
          <w:p w14:paraId="68951FC5" w14:textId="77777777" w:rsidR="005A008B" w:rsidRPr="00D90C15" w:rsidRDefault="005A008B" w:rsidP="00CC3F1F">
            <w:pPr>
              <w:pStyle w:val="TableBody"/>
            </w:pPr>
            <w:r w:rsidRPr="00D90C15">
              <w:t xml:space="preserve">80,424 </w:t>
            </w:r>
          </w:p>
        </w:tc>
        <w:tc>
          <w:tcPr>
            <w:tcW w:w="1264" w:type="pct"/>
          </w:tcPr>
          <w:p w14:paraId="3BF0C1E0" w14:textId="77777777" w:rsidR="005A008B" w:rsidRPr="00D90C15" w:rsidRDefault="005A008B" w:rsidP="00CC3F1F">
            <w:pPr>
              <w:pStyle w:val="TableBody"/>
            </w:pPr>
            <w:r w:rsidRPr="00D90C15">
              <w:t>–</w:t>
            </w:r>
          </w:p>
        </w:tc>
        <w:tc>
          <w:tcPr>
            <w:tcW w:w="842" w:type="pct"/>
          </w:tcPr>
          <w:p w14:paraId="1E4A8B23" w14:textId="77777777" w:rsidR="005A008B" w:rsidRPr="00D90C15" w:rsidRDefault="005A008B" w:rsidP="00CC3F1F">
            <w:pPr>
              <w:pStyle w:val="TableBody"/>
            </w:pPr>
            <w:r w:rsidRPr="00D90C15">
              <w:t xml:space="preserve"> 80,424 </w:t>
            </w:r>
          </w:p>
        </w:tc>
      </w:tr>
      <w:tr w:rsidR="005A008B" w:rsidRPr="00D90C15" w14:paraId="088362A6" w14:textId="77777777" w:rsidTr="0046794E">
        <w:trPr>
          <w:trHeight w:val="60"/>
        </w:trPr>
        <w:tc>
          <w:tcPr>
            <w:tcW w:w="1629" w:type="pct"/>
          </w:tcPr>
          <w:p w14:paraId="25AD3CCC" w14:textId="77777777" w:rsidR="005A008B" w:rsidRPr="00E72391" w:rsidRDefault="005A008B" w:rsidP="00E72391">
            <w:pPr>
              <w:pStyle w:val="TableBody"/>
              <w:rPr>
                <w:b/>
                <w:bCs/>
              </w:rPr>
            </w:pPr>
            <w:r w:rsidRPr="00E72391">
              <w:rPr>
                <w:b/>
                <w:bCs/>
              </w:rPr>
              <w:t xml:space="preserve">Balance </w:t>
            </w:r>
            <w:proofErr w:type="gramStart"/>
            <w:r w:rsidRPr="00E72391">
              <w:rPr>
                <w:b/>
                <w:bCs/>
              </w:rPr>
              <w:t>at</w:t>
            </w:r>
            <w:proofErr w:type="gramEnd"/>
            <w:r w:rsidRPr="00E72391">
              <w:rPr>
                <w:b/>
                <w:bCs/>
              </w:rPr>
              <w:t xml:space="preserve"> 30 June 2025</w:t>
            </w:r>
          </w:p>
        </w:tc>
        <w:tc>
          <w:tcPr>
            <w:tcW w:w="1264" w:type="pct"/>
          </w:tcPr>
          <w:p w14:paraId="02021496" w14:textId="77777777" w:rsidR="005A008B" w:rsidRPr="00D90C15" w:rsidRDefault="005A008B" w:rsidP="00CC3F1F">
            <w:pPr>
              <w:pStyle w:val="TableBody"/>
            </w:pPr>
            <w:r w:rsidRPr="00D90C15">
              <w:t xml:space="preserve">917,600 </w:t>
            </w:r>
          </w:p>
        </w:tc>
        <w:tc>
          <w:tcPr>
            <w:tcW w:w="1264" w:type="pct"/>
          </w:tcPr>
          <w:p w14:paraId="24DC73FE" w14:textId="77777777" w:rsidR="005A008B" w:rsidRPr="00D90C15" w:rsidRDefault="005A008B" w:rsidP="00CC3F1F">
            <w:pPr>
              <w:pStyle w:val="TableBody"/>
            </w:pPr>
            <w:r w:rsidRPr="00D90C15">
              <w:t xml:space="preserve"> 334,491 </w:t>
            </w:r>
          </w:p>
        </w:tc>
        <w:tc>
          <w:tcPr>
            <w:tcW w:w="842" w:type="pct"/>
          </w:tcPr>
          <w:p w14:paraId="385AA547" w14:textId="77777777" w:rsidR="005A008B" w:rsidRPr="00D90C15" w:rsidRDefault="005A008B" w:rsidP="00CC3F1F">
            <w:pPr>
              <w:pStyle w:val="TableBody"/>
            </w:pPr>
            <w:r w:rsidRPr="00D90C15">
              <w:t xml:space="preserve"> 1,252,091 </w:t>
            </w:r>
          </w:p>
        </w:tc>
      </w:tr>
    </w:tbl>
    <w:p w14:paraId="568FD590" w14:textId="77777777" w:rsidR="005A008B" w:rsidRPr="00D90C15" w:rsidRDefault="005A008B" w:rsidP="001F7031">
      <w:r w:rsidRPr="00D90C15">
        <w:t>The accompanying notes form part of these financial statements.</w:t>
      </w:r>
    </w:p>
    <w:p w14:paraId="6700D452" w14:textId="33720E22" w:rsidR="005A008B" w:rsidRPr="00D90C15" w:rsidRDefault="006B7598" w:rsidP="006B7598">
      <w:pPr>
        <w:pStyle w:val="Heading1"/>
      </w:pPr>
      <w:bookmarkStart w:id="90" w:name="_Toc221113856"/>
      <w:r w:rsidRPr="00AA1CB0">
        <w:lastRenderedPageBreak/>
        <w:t xml:space="preserve">Notes To </w:t>
      </w:r>
      <w:proofErr w:type="gramStart"/>
      <w:r w:rsidRPr="00AA1CB0">
        <w:t>The</w:t>
      </w:r>
      <w:proofErr w:type="gramEnd"/>
      <w:r w:rsidRPr="00AA1CB0">
        <w:t xml:space="preserve"> Financial Statements</w:t>
      </w:r>
      <w:r w:rsidRPr="00D90C15">
        <w:t xml:space="preserve"> </w:t>
      </w:r>
      <w:proofErr w:type="gramStart"/>
      <w:r w:rsidRPr="00D90C15">
        <w:t>For</w:t>
      </w:r>
      <w:proofErr w:type="gramEnd"/>
      <w:r w:rsidRPr="00D90C15">
        <w:t xml:space="preserve"> </w:t>
      </w:r>
      <w:proofErr w:type="gramStart"/>
      <w:r w:rsidRPr="00D90C15">
        <w:t>The</w:t>
      </w:r>
      <w:proofErr w:type="gramEnd"/>
      <w:r w:rsidRPr="00D90C15">
        <w:t xml:space="preserve"> Financial Year Ended 30 June 2025</w:t>
      </w:r>
      <w:bookmarkEnd w:id="90"/>
    </w:p>
    <w:p w14:paraId="25DE33EB" w14:textId="01278BF1" w:rsidR="005A008B" w:rsidRPr="00D90C15" w:rsidRDefault="00183F42" w:rsidP="00414B8F">
      <w:pPr>
        <w:pStyle w:val="Heading1"/>
        <w:pageBreakBefore w:val="0"/>
      </w:pPr>
      <w:bookmarkStart w:id="91" w:name="_Toc221113857"/>
      <w:r>
        <w:t xml:space="preserve">1 </w:t>
      </w:r>
      <w:r w:rsidR="002822AC" w:rsidRPr="00D90C15">
        <w:t>About This Report</w:t>
      </w:r>
      <w:bookmarkEnd w:id="91"/>
    </w:p>
    <w:p w14:paraId="587A87F3" w14:textId="77777777" w:rsidR="005A008B" w:rsidRPr="00D90C15" w:rsidRDefault="005A008B" w:rsidP="00234617">
      <w:r w:rsidRPr="00D90C15">
        <w:t xml:space="preserve">The Council is an independent government-funded body established under Part 9A of the </w:t>
      </w:r>
      <w:r w:rsidRPr="004A331A">
        <w:rPr>
          <w:i/>
          <w:iCs/>
        </w:rPr>
        <w:t>Sentencing Act 1991</w:t>
      </w:r>
      <w:r w:rsidRPr="00D90C15">
        <w:t>. The Council was formed to implement and enable properly informed public opinion to be considered in the sentencing process, as well as the dissemination of up-to-date and accurate sentencing data to assist judges in their role to promote consistency in sentencing outcomes.</w:t>
      </w:r>
    </w:p>
    <w:p w14:paraId="6FBE5D5A" w14:textId="77777777" w:rsidR="005A008B" w:rsidRPr="00D90C15" w:rsidRDefault="005A008B" w:rsidP="00234617">
      <w:r w:rsidRPr="00D90C15">
        <w:t>Its principal address is:</w:t>
      </w:r>
    </w:p>
    <w:p w14:paraId="75102AFF" w14:textId="77777777" w:rsidR="005A008B" w:rsidRPr="00D90C15" w:rsidRDefault="005A008B" w:rsidP="001D0D7E">
      <w:pPr>
        <w:spacing w:before="0" w:after="0"/>
        <w:ind w:left="992"/>
      </w:pPr>
      <w:r w:rsidRPr="00D90C15">
        <w:t>Sentencing Advisory Council</w:t>
      </w:r>
    </w:p>
    <w:p w14:paraId="084E68A9" w14:textId="77777777" w:rsidR="005A008B" w:rsidRPr="00D90C15" w:rsidRDefault="005A008B" w:rsidP="001D0D7E">
      <w:pPr>
        <w:spacing w:before="0" w:after="0"/>
        <w:ind w:left="992"/>
      </w:pPr>
      <w:r w:rsidRPr="00D90C15">
        <w:t>3/333 Queen Street</w:t>
      </w:r>
    </w:p>
    <w:p w14:paraId="4311BDC9" w14:textId="77777777" w:rsidR="005A008B" w:rsidRPr="00D90C15" w:rsidRDefault="005A008B" w:rsidP="001D0D7E">
      <w:pPr>
        <w:spacing w:before="0"/>
        <w:ind w:left="992"/>
      </w:pPr>
      <w:r w:rsidRPr="00D90C15">
        <w:t>MELBOURNE VIC 3000</w:t>
      </w:r>
    </w:p>
    <w:p w14:paraId="1AAAB02C" w14:textId="77777777" w:rsidR="005A008B" w:rsidRPr="00D90C15" w:rsidRDefault="005A008B" w:rsidP="00234617">
      <w:r w:rsidRPr="00D90C15">
        <w:t>The financial statements include all the controlled activities of the Council. A description of the nature of the Council's operations and its principal activities is included in the report of operations on pages 3–34, which does not form part of these financial statements.</w:t>
      </w:r>
    </w:p>
    <w:p w14:paraId="21354DE5" w14:textId="77777777" w:rsidR="005A008B" w:rsidRPr="00D90C15" w:rsidRDefault="005A008B" w:rsidP="00926C26">
      <w:pPr>
        <w:pStyle w:val="Heading2"/>
      </w:pPr>
      <w:bookmarkStart w:id="92" w:name="_Toc221113858"/>
      <w:r w:rsidRPr="00D90C15">
        <w:t>Basis of Preparation</w:t>
      </w:r>
      <w:bookmarkEnd w:id="92"/>
    </w:p>
    <w:p w14:paraId="14FA0FBA" w14:textId="77777777" w:rsidR="005A008B" w:rsidRPr="00D90C15" w:rsidRDefault="005A008B" w:rsidP="00234617">
      <w:r w:rsidRPr="00D90C15">
        <w:t xml:space="preserve">These financial statements are Tier 2 general purpose financial statements prepared in accordance with AASB 1060 </w:t>
      </w:r>
      <w:r w:rsidRPr="004A331A">
        <w:rPr>
          <w:i/>
          <w:iCs/>
        </w:rPr>
        <w:t>General Purpose Financial Statements – Simplified Disclosures for For-Profit and Not-For-Profit Tier 2 Entities</w:t>
      </w:r>
      <w:r w:rsidRPr="00D90C15">
        <w:t xml:space="preserve"> (AASB 1060) and Financial Reporting Direction 101 </w:t>
      </w:r>
      <w:r w:rsidRPr="004A331A">
        <w:rPr>
          <w:i/>
          <w:iCs/>
        </w:rPr>
        <w:t>Application of Tiers of Australian Accounting Standards</w:t>
      </w:r>
      <w:r w:rsidRPr="00D90C15">
        <w:t xml:space="preserve"> (FRD 101). </w:t>
      </w:r>
    </w:p>
    <w:p w14:paraId="583A1BA0" w14:textId="77777777" w:rsidR="005A008B" w:rsidRPr="00D90C15" w:rsidRDefault="005A008B" w:rsidP="00234617">
      <w:r w:rsidRPr="00D90C15">
        <w:t>The Council is a Tier 2 entity in accordance with FRD 101. These financial statements are the first general purpose financial statements prepared in accordance with Australian Accounting Standards – Simplified Disclosures. The Council’s prior year financial statements were general purpose financial statements prepared in accordance with Australian Accounting Standards (Tier 1). As the Council is not a ‘significant entity’ as defined in FRD 101, it was required to change from Tier 1 to Tier 2 reporting effective from 1 July 2024.</w:t>
      </w:r>
    </w:p>
    <w:p w14:paraId="4842A6C9" w14:textId="77777777" w:rsidR="005A008B" w:rsidRPr="00D90C15" w:rsidRDefault="005A008B" w:rsidP="00234617">
      <w:r w:rsidRPr="00D90C15">
        <w:lastRenderedPageBreak/>
        <w:t xml:space="preserve">These financial statements are in Australian dollars, and the historical cost convention is used unless a different measurement basis is specifically disclosed in the note associated with the item measured on a different basis. </w:t>
      </w:r>
    </w:p>
    <w:p w14:paraId="400548CF" w14:textId="77777777" w:rsidR="005A008B" w:rsidRPr="00D90C15" w:rsidRDefault="005A008B" w:rsidP="00234617">
      <w:r w:rsidRPr="00D90C15">
        <w:t xml:space="preserve">The accrual basis of accounting has been applied in preparing these financial statements, whereby assets, liabilities, equity, income and expenses are recognised in the reporting period to which they relate, regardless of when cash is received or paid. </w:t>
      </w:r>
    </w:p>
    <w:p w14:paraId="25C6F43C" w14:textId="77777777" w:rsidR="005A008B" w:rsidRPr="00D90C15" w:rsidRDefault="005A008B" w:rsidP="00234617">
      <w:r w:rsidRPr="00D90C15">
        <w:t xml:space="preserve">Consistent with the requirements of AASB 1004 </w:t>
      </w:r>
      <w:r w:rsidRPr="004A331A">
        <w:rPr>
          <w:i/>
          <w:iCs/>
        </w:rPr>
        <w:t>Contributions</w:t>
      </w:r>
      <w:r w:rsidRPr="00D90C15">
        <w:t xml:space="preserve">, contributions by owners (that is, contributed capital and its repayment) are treated as equity transactions and, therefore, do not form part of the income and expenses of the Council. </w:t>
      </w:r>
    </w:p>
    <w:p w14:paraId="5C945CC4" w14:textId="77777777" w:rsidR="005A008B" w:rsidRPr="00D90C15" w:rsidRDefault="005A008B" w:rsidP="00234617">
      <w:r w:rsidRPr="00D90C15">
        <w:t xml:space="preserve">Capital grants that have been designated as contributions by owners are recognised as contributed capital. Other transfers that are </w:t>
      </w:r>
      <w:proofErr w:type="gramStart"/>
      <w:r w:rsidRPr="00D90C15">
        <w:t>in the nature of contributions</w:t>
      </w:r>
      <w:proofErr w:type="gramEnd"/>
      <w:r w:rsidRPr="00D90C15">
        <w:t xml:space="preserve"> to or distributions by owners have also been designated as contributions by owners. </w:t>
      </w:r>
    </w:p>
    <w:p w14:paraId="42B7A32B" w14:textId="77777777" w:rsidR="005A008B" w:rsidRPr="00D90C15" w:rsidRDefault="005A008B" w:rsidP="00234617">
      <w:r w:rsidRPr="00D90C15">
        <w:t xml:space="preserve">Judgements, estimates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 </w:t>
      </w:r>
    </w:p>
    <w:p w14:paraId="19FB8BE7" w14:textId="77777777" w:rsidR="005A008B" w:rsidRPr="00D90C15" w:rsidRDefault="005A008B" w:rsidP="00234617">
      <w:r w:rsidRPr="00D90C15">
        <w:t xml:space="preserve">Revisions to accounting estimates are recognised in the period in which the estimate is revised </w:t>
      </w:r>
      <w:proofErr w:type="gramStart"/>
      <w:r w:rsidRPr="00D90C15">
        <w:t>and also</w:t>
      </w:r>
      <w:proofErr w:type="gramEnd"/>
      <w:r w:rsidRPr="00D90C15">
        <w:t xml:space="preserve"> in future periods that are affected by the revision. Judgements and assumptions made by management in applying Australian Accounting Standards (AASs) that have significant effects on the financial statements and estimates are disclosed in the notes under the heading: ‘Significant Judgement or Estimates’.</w:t>
      </w:r>
    </w:p>
    <w:p w14:paraId="6232EA3E" w14:textId="77777777" w:rsidR="005A008B" w:rsidRPr="00D90C15" w:rsidRDefault="005A008B" w:rsidP="00234617">
      <w:r w:rsidRPr="00D90C15">
        <w:t xml:space="preserve">These financial statements cover the Sentencing Advisory Council as an individual reporting entity and include all the controlled activities of the Council. </w:t>
      </w:r>
    </w:p>
    <w:p w14:paraId="565137BF" w14:textId="77777777" w:rsidR="005A008B" w:rsidRPr="00D90C15" w:rsidRDefault="005A008B" w:rsidP="00234617">
      <w:r w:rsidRPr="00D90C15">
        <w:t>All amounts in the financial statements have been rounded to the nearest dollar unless otherwise stated.</w:t>
      </w:r>
    </w:p>
    <w:p w14:paraId="04D47175" w14:textId="77777777" w:rsidR="005A008B" w:rsidRPr="00D90C15" w:rsidRDefault="005A008B" w:rsidP="00926C26">
      <w:pPr>
        <w:pStyle w:val="Heading2"/>
      </w:pPr>
      <w:bookmarkStart w:id="93" w:name="_Toc221113859"/>
      <w:r w:rsidRPr="00D90C15">
        <w:lastRenderedPageBreak/>
        <w:t>Compliance Information</w:t>
      </w:r>
      <w:bookmarkEnd w:id="93"/>
    </w:p>
    <w:p w14:paraId="65114B86" w14:textId="77777777" w:rsidR="005A008B" w:rsidRPr="00D90C15" w:rsidRDefault="005A008B" w:rsidP="00234617">
      <w:r w:rsidRPr="00D90C15">
        <w:t xml:space="preserve">These general-purpose financial statements have been prepared in accordance with the FMA and applicable Australian Accounting Standards (AASs), which include Interpretations, issued by the Australian Accounting Standards Board (AASB). </w:t>
      </w:r>
      <w:proofErr w:type="gramStart"/>
      <w:r w:rsidRPr="00D90C15">
        <w:t>In particular, they</w:t>
      </w:r>
      <w:proofErr w:type="gramEnd"/>
      <w:r w:rsidRPr="00D90C15">
        <w:t xml:space="preserve"> are presented in a manner consistent with the requirements of AASB 1049 </w:t>
      </w:r>
      <w:r w:rsidRPr="004A331A">
        <w:rPr>
          <w:i/>
          <w:iCs/>
        </w:rPr>
        <w:t>Whole of Government and General Government Sector Financial Reporting</w:t>
      </w:r>
      <w:r w:rsidRPr="00D90C15">
        <w:t>.</w:t>
      </w:r>
    </w:p>
    <w:p w14:paraId="638B5275" w14:textId="77777777" w:rsidR="005A008B" w:rsidRPr="00D90C15" w:rsidRDefault="005A008B" w:rsidP="00234617">
      <w:r w:rsidRPr="00D90C15">
        <w:t xml:space="preserve">Where appropriate, those AASs paragraphs applicable to not-for-profit entities have been applied. Accounting policies selected and applied in these financial statements ensure that the resulting financial information satisfies the concepts of relevance and reliability, thereby ensuring that the substance of the underlying transactions or other events is reported. </w:t>
      </w:r>
    </w:p>
    <w:p w14:paraId="72E7393A" w14:textId="77777777" w:rsidR="005A008B" w:rsidRPr="00D90C15" w:rsidRDefault="005A008B" w:rsidP="00234617">
      <w:r w:rsidRPr="00D90C15">
        <w:t>To gain a better understanding of the terminology used in this report, a glossary of terms and style conventions can be found in Notes 8.7 and 8.8.</w:t>
      </w:r>
    </w:p>
    <w:p w14:paraId="2B8B6766" w14:textId="77777777" w:rsidR="005A008B" w:rsidRPr="00D90C15" w:rsidRDefault="005A008B" w:rsidP="00234617">
      <w:r w:rsidRPr="00D90C15">
        <w:t>These annual financial statements were authorised for issue by the Acting Deputy Chair of the Council on 27 November 2025.</w:t>
      </w:r>
    </w:p>
    <w:p w14:paraId="1E0A7B50" w14:textId="2075D9A6" w:rsidR="005A008B" w:rsidRPr="002822AC" w:rsidRDefault="00D71BB7" w:rsidP="002822AC">
      <w:pPr>
        <w:pStyle w:val="Heading1"/>
      </w:pPr>
      <w:bookmarkStart w:id="94" w:name="_Toc221113860"/>
      <w:r>
        <w:lastRenderedPageBreak/>
        <w:t xml:space="preserve">2 </w:t>
      </w:r>
      <w:r w:rsidR="002822AC" w:rsidRPr="00D90C15">
        <w:t xml:space="preserve">Funding Delivery </w:t>
      </w:r>
      <w:proofErr w:type="gramStart"/>
      <w:r w:rsidR="002822AC" w:rsidRPr="00D90C15">
        <w:t>Of</w:t>
      </w:r>
      <w:proofErr w:type="gramEnd"/>
      <w:r w:rsidR="002822AC" w:rsidRPr="00D90C15">
        <w:t xml:space="preserve"> Our Services</w:t>
      </w:r>
      <w:bookmarkEnd w:id="94"/>
    </w:p>
    <w:p w14:paraId="13297BF0" w14:textId="77777777" w:rsidR="005A008B" w:rsidRPr="00D90C15" w:rsidRDefault="005A008B" w:rsidP="00926C26">
      <w:pPr>
        <w:pStyle w:val="Heading2"/>
      </w:pPr>
      <w:bookmarkStart w:id="95" w:name="_Toc221113861"/>
      <w:r w:rsidRPr="00D90C15">
        <w:t>Introduction</w:t>
      </w:r>
      <w:bookmarkEnd w:id="95"/>
    </w:p>
    <w:p w14:paraId="398471CA" w14:textId="77777777" w:rsidR="005A008B" w:rsidRPr="00D90C15" w:rsidRDefault="005A008B" w:rsidP="00234617">
      <w:r w:rsidRPr="00D90C15">
        <w:t>To enable the Council to fulfil its objectives and provide services including the conduct of research on sentencing matters and the provision of statistical information on current sentencing practices to members of the judiciary and other interested persons, it receives income consisting of accrual based parliamentary appropriations. The Council also receives a grant from the Victorian Legal Services Board.</w:t>
      </w:r>
    </w:p>
    <w:p w14:paraId="290E36CA" w14:textId="77777777" w:rsidR="005A008B" w:rsidRPr="00D90C15" w:rsidRDefault="005A008B" w:rsidP="00926C26">
      <w:pPr>
        <w:pStyle w:val="Heading2"/>
      </w:pPr>
      <w:bookmarkStart w:id="96" w:name="_Toc221113862"/>
      <w:r w:rsidRPr="00D90C15">
        <w:t>Structure</w:t>
      </w:r>
      <w:bookmarkEnd w:id="96"/>
    </w:p>
    <w:p w14:paraId="2158A625" w14:textId="1F7F87F9" w:rsidR="005A008B" w:rsidRPr="00D90C15" w:rsidRDefault="005A008B" w:rsidP="00234617">
      <w:r w:rsidRPr="00D90C15">
        <w:t>2.1 Summary of Income That Funds the Delivery of Our Services</w:t>
      </w:r>
    </w:p>
    <w:p w14:paraId="60EAAD36" w14:textId="77777777" w:rsidR="005A008B" w:rsidRPr="00D90C15" w:rsidRDefault="005A008B" w:rsidP="002822AC">
      <w:pPr>
        <w:pStyle w:val="Heading3"/>
      </w:pPr>
      <w:bookmarkStart w:id="97" w:name="_Toc221113863"/>
      <w:r w:rsidRPr="00D90C15">
        <w:t>2.1 Summary of Income That Funds the Delivery of Our Services</w:t>
      </w:r>
      <w:bookmarkEnd w:id="97"/>
    </w:p>
    <w:tbl>
      <w:tblPr>
        <w:tblStyle w:val="Table"/>
        <w:tblW w:w="5000" w:type="pct"/>
        <w:tblLook w:val="0020" w:firstRow="1" w:lastRow="0" w:firstColumn="0" w:lastColumn="0" w:noHBand="0" w:noVBand="0"/>
      </w:tblPr>
      <w:tblGrid>
        <w:gridCol w:w="3552"/>
        <w:gridCol w:w="1367"/>
        <w:gridCol w:w="2050"/>
        <w:gridCol w:w="2047"/>
      </w:tblGrid>
      <w:tr w:rsidR="005A008B" w:rsidRPr="00D90C15" w14:paraId="2CE4831D" w14:textId="77777777" w:rsidTr="0046794E">
        <w:trPr>
          <w:trHeight w:val="60"/>
          <w:tblHeader/>
        </w:trPr>
        <w:tc>
          <w:tcPr>
            <w:tcW w:w="1970" w:type="pct"/>
          </w:tcPr>
          <w:p w14:paraId="2603CD4E" w14:textId="77777777" w:rsidR="005A008B" w:rsidRPr="00D90C15" w:rsidRDefault="005A008B" w:rsidP="004F187B">
            <w:pPr>
              <w:pStyle w:val="NoParagraphStyle"/>
              <w:spacing w:line="240" w:lineRule="auto"/>
              <w:textAlignment w:val="auto"/>
              <w:rPr>
                <w:rFonts w:cs="Times New Roman"/>
                <w:color w:val="auto"/>
                <w:lang w:val="en-AU"/>
              </w:rPr>
            </w:pPr>
          </w:p>
        </w:tc>
        <w:tc>
          <w:tcPr>
            <w:tcW w:w="758" w:type="pct"/>
          </w:tcPr>
          <w:p w14:paraId="7AE7F742" w14:textId="77777777" w:rsidR="005A008B" w:rsidRPr="00D90C15" w:rsidRDefault="005A008B" w:rsidP="007B5725">
            <w:pPr>
              <w:pStyle w:val="TableHeading"/>
            </w:pPr>
            <w:r w:rsidRPr="00D90C15">
              <w:t>Notes</w:t>
            </w:r>
          </w:p>
        </w:tc>
        <w:tc>
          <w:tcPr>
            <w:tcW w:w="1137" w:type="pct"/>
          </w:tcPr>
          <w:p w14:paraId="30059B95" w14:textId="77777777" w:rsidR="005A008B" w:rsidRPr="00D90C15" w:rsidRDefault="005A008B" w:rsidP="007B5725">
            <w:pPr>
              <w:pStyle w:val="TableHeading"/>
            </w:pPr>
            <w:r w:rsidRPr="00D90C15">
              <w:t>2025</w:t>
            </w:r>
            <w:r w:rsidRPr="00D90C15">
              <w:br/>
              <w:t>$</w:t>
            </w:r>
          </w:p>
        </w:tc>
        <w:tc>
          <w:tcPr>
            <w:tcW w:w="1136" w:type="pct"/>
          </w:tcPr>
          <w:p w14:paraId="622E7FAA" w14:textId="77777777" w:rsidR="005A008B" w:rsidRPr="00D90C15" w:rsidRDefault="005A008B" w:rsidP="007B5725">
            <w:pPr>
              <w:pStyle w:val="TableHeading"/>
            </w:pPr>
            <w:r w:rsidRPr="00D90C15">
              <w:t>2024</w:t>
            </w:r>
            <w:r w:rsidRPr="00D90C15">
              <w:br/>
              <w:t>$</w:t>
            </w:r>
          </w:p>
        </w:tc>
      </w:tr>
      <w:tr w:rsidR="005A008B" w:rsidRPr="00D90C15" w14:paraId="63A9C206" w14:textId="77777777" w:rsidTr="0046794E">
        <w:trPr>
          <w:trHeight w:val="60"/>
        </w:trPr>
        <w:tc>
          <w:tcPr>
            <w:tcW w:w="1970" w:type="pct"/>
          </w:tcPr>
          <w:p w14:paraId="5586A7A8" w14:textId="77777777" w:rsidR="005A008B" w:rsidRPr="00F52CA3" w:rsidRDefault="005A008B" w:rsidP="00F52CA3">
            <w:pPr>
              <w:pStyle w:val="TableBody"/>
              <w:rPr>
                <w:b/>
                <w:bCs/>
              </w:rPr>
            </w:pPr>
            <w:r w:rsidRPr="00F52CA3">
              <w:rPr>
                <w:b/>
                <w:bCs/>
              </w:rPr>
              <w:t xml:space="preserve">Grants </w:t>
            </w:r>
          </w:p>
        </w:tc>
        <w:tc>
          <w:tcPr>
            <w:tcW w:w="758" w:type="pct"/>
          </w:tcPr>
          <w:p w14:paraId="29DAB3BF"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462E6673"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7D1D2F3A"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09558A4A" w14:textId="77777777" w:rsidTr="0046794E">
        <w:trPr>
          <w:trHeight w:val="60"/>
        </w:trPr>
        <w:tc>
          <w:tcPr>
            <w:tcW w:w="1970" w:type="pct"/>
          </w:tcPr>
          <w:p w14:paraId="0285470F" w14:textId="77777777" w:rsidR="005A008B" w:rsidRPr="00D90C15" w:rsidRDefault="005A008B" w:rsidP="00AA1CB0">
            <w:pPr>
              <w:pStyle w:val="TableBody"/>
            </w:pPr>
            <w:r w:rsidRPr="00D90C15">
              <w:t>Department of Justice and Community Safety</w:t>
            </w:r>
          </w:p>
        </w:tc>
        <w:tc>
          <w:tcPr>
            <w:tcW w:w="758" w:type="pct"/>
          </w:tcPr>
          <w:p w14:paraId="4E03CCFC" w14:textId="77777777" w:rsidR="005A008B" w:rsidRPr="00D90C15" w:rsidRDefault="005A008B" w:rsidP="00CC3F1F">
            <w:pPr>
              <w:pStyle w:val="TableBody"/>
            </w:pPr>
            <w:r w:rsidRPr="00D90C15">
              <w:t>2.1.1</w:t>
            </w:r>
          </w:p>
        </w:tc>
        <w:tc>
          <w:tcPr>
            <w:tcW w:w="1137" w:type="pct"/>
          </w:tcPr>
          <w:p w14:paraId="02DBC4C8" w14:textId="77777777" w:rsidR="005A008B" w:rsidRPr="00D90C15" w:rsidRDefault="005A008B" w:rsidP="00CC3F1F">
            <w:pPr>
              <w:pStyle w:val="TableBody"/>
            </w:pPr>
            <w:r w:rsidRPr="00D90C15">
              <w:t xml:space="preserve">1,650,900 </w:t>
            </w:r>
          </w:p>
        </w:tc>
        <w:tc>
          <w:tcPr>
            <w:tcW w:w="1136" w:type="pct"/>
          </w:tcPr>
          <w:p w14:paraId="4418DFFB" w14:textId="77777777" w:rsidR="005A008B" w:rsidRPr="00D90C15" w:rsidRDefault="005A008B" w:rsidP="00CC3F1F">
            <w:pPr>
              <w:pStyle w:val="TableBody"/>
            </w:pPr>
            <w:r w:rsidRPr="00D90C15">
              <w:t xml:space="preserve"> 1,580,000 </w:t>
            </w:r>
          </w:p>
        </w:tc>
      </w:tr>
      <w:tr w:rsidR="005A008B" w:rsidRPr="00D90C15" w14:paraId="0EBF518B" w14:textId="77777777" w:rsidTr="0046794E">
        <w:trPr>
          <w:trHeight w:val="60"/>
        </w:trPr>
        <w:tc>
          <w:tcPr>
            <w:tcW w:w="1970" w:type="pct"/>
          </w:tcPr>
          <w:p w14:paraId="31A6E4CB" w14:textId="77777777" w:rsidR="005A008B" w:rsidRPr="00D90C15" w:rsidRDefault="005A008B" w:rsidP="00AA1CB0">
            <w:pPr>
              <w:pStyle w:val="TableBody"/>
            </w:pPr>
            <w:r w:rsidRPr="00D90C15">
              <w:t>Victorian Legal Services Board Grant</w:t>
            </w:r>
          </w:p>
        </w:tc>
        <w:tc>
          <w:tcPr>
            <w:tcW w:w="758" w:type="pct"/>
          </w:tcPr>
          <w:p w14:paraId="6AA40427" w14:textId="77777777" w:rsidR="005A008B" w:rsidRPr="00D90C15" w:rsidRDefault="005A008B" w:rsidP="00CC3F1F">
            <w:pPr>
              <w:pStyle w:val="TableBody"/>
            </w:pPr>
            <w:r w:rsidRPr="00D90C15">
              <w:t>2.1.2</w:t>
            </w:r>
          </w:p>
        </w:tc>
        <w:tc>
          <w:tcPr>
            <w:tcW w:w="1137" w:type="pct"/>
          </w:tcPr>
          <w:p w14:paraId="31404627" w14:textId="77777777" w:rsidR="005A008B" w:rsidRPr="00D90C15" w:rsidRDefault="005A008B" w:rsidP="00CC3F1F">
            <w:pPr>
              <w:pStyle w:val="TableBody"/>
            </w:pPr>
            <w:r w:rsidRPr="00D90C15">
              <w:t xml:space="preserve">466,200 </w:t>
            </w:r>
          </w:p>
        </w:tc>
        <w:tc>
          <w:tcPr>
            <w:tcW w:w="1136" w:type="pct"/>
          </w:tcPr>
          <w:p w14:paraId="09D014EC" w14:textId="77777777" w:rsidR="005A008B" w:rsidRPr="00D90C15" w:rsidRDefault="005A008B" w:rsidP="00CC3F1F">
            <w:pPr>
              <w:pStyle w:val="TableBody"/>
            </w:pPr>
            <w:r w:rsidRPr="00D90C15">
              <w:t xml:space="preserve"> 800,000 </w:t>
            </w:r>
          </w:p>
        </w:tc>
      </w:tr>
      <w:tr w:rsidR="005A008B" w:rsidRPr="00D90C15" w14:paraId="4C32B195" w14:textId="77777777" w:rsidTr="0046794E">
        <w:trPr>
          <w:trHeight w:val="60"/>
        </w:trPr>
        <w:tc>
          <w:tcPr>
            <w:tcW w:w="1970" w:type="pct"/>
          </w:tcPr>
          <w:p w14:paraId="5CA7F0A0" w14:textId="77777777" w:rsidR="005A008B" w:rsidRPr="00E72391" w:rsidRDefault="005A008B" w:rsidP="00E72391">
            <w:pPr>
              <w:pStyle w:val="TableBody"/>
              <w:rPr>
                <w:b/>
                <w:bCs/>
              </w:rPr>
            </w:pPr>
            <w:r w:rsidRPr="00E72391">
              <w:rPr>
                <w:b/>
                <w:bCs/>
              </w:rPr>
              <w:t>Total grants</w:t>
            </w:r>
          </w:p>
        </w:tc>
        <w:tc>
          <w:tcPr>
            <w:tcW w:w="758" w:type="pct"/>
          </w:tcPr>
          <w:p w14:paraId="31C70DA2"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3C62BBB8" w14:textId="77777777" w:rsidR="005A008B" w:rsidRPr="001F7031" w:rsidRDefault="005A008B" w:rsidP="001F7031">
            <w:pPr>
              <w:pStyle w:val="TableBody"/>
              <w:rPr>
                <w:b/>
                <w:bCs/>
              </w:rPr>
            </w:pPr>
            <w:r w:rsidRPr="001F7031">
              <w:rPr>
                <w:b/>
                <w:bCs/>
              </w:rPr>
              <w:t xml:space="preserve">2,117,100 </w:t>
            </w:r>
          </w:p>
        </w:tc>
        <w:tc>
          <w:tcPr>
            <w:tcW w:w="1136" w:type="pct"/>
          </w:tcPr>
          <w:p w14:paraId="32C860B4" w14:textId="77777777" w:rsidR="005A008B" w:rsidRPr="00D90C15" w:rsidRDefault="005A008B" w:rsidP="00CC3F1F">
            <w:pPr>
              <w:pStyle w:val="TableBody"/>
            </w:pPr>
            <w:r w:rsidRPr="00D90C15">
              <w:t xml:space="preserve"> 2,380,000 </w:t>
            </w:r>
          </w:p>
        </w:tc>
      </w:tr>
      <w:tr w:rsidR="005A008B" w:rsidRPr="00D90C15" w14:paraId="3841366D" w14:textId="77777777" w:rsidTr="0046794E">
        <w:trPr>
          <w:trHeight w:val="60"/>
        </w:trPr>
        <w:tc>
          <w:tcPr>
            <w:tcW w:w="1970" w:type="pct"/>
          </w:tcPr>
          <w:p w14:paraId="4FD372F3" w14:textId="77777777" w:rsidR="005A008B" w:rsidRPr="00E72391" w:rsidRDefault="005A008B" w:rsidP="00E72391">
            <w:pPr>
              <w:pStyle w:val="TableBody"/>
              <w:rPr>
                <w:b/>
                <w:bCs/>
              </w:rPr>
            </w:pPr>
            <w:r w:rsidRPr="00E72391">
              <w:rPr>
                <w:b/>
                <w:bCs/>
              </w:rPr>
              <w:t>Total income</w:t>
            </w:r>
          </w:p>
        </w:tc>
        <w:tc>
          <w:tcPr>
            <w:tcW w:w="758" w:type="pct"/>
          </w:tcPr>
          <w:p w14:paraId="7DEDBB9A"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2442EF4B" w14:textId="77777777" w:rsidR="005A008B" w:rsidRPr="001F7031" w:rsidRDefault="005A008B" w:rsidP="001F7031">
            <w:pPr>
              <w:pStyle w:val="TableBody"/>
              <w:rPr>
                <w:b/>
                <w:bCs/>
              </w:rPr>
            </w:pPr>
            <w:r w:rsidRPr="001F7031">
              <w:rPr>
                <w:b/>
                <w:bCs/>
              </w:rPr>
              <w:t xml:space="preserve">2,117,100 </w:t>
            </w:r>
          </w:p>
        </w:tc>
        <w:tc>
          <w:tcPr>
            <w:tcW w:w="1136" w:type="pct"/>
          </w:tcPr>
          <w:p w14:paraId="36E2DCE6" w14:textId="77777777" w:rsidR="005A008B" w:rsidRPr="00D90C15" w:rsidRDefault="005A008B" w:rsidP="00CC3F1F">
            <w:pPr>
              <w:pStyle w:val="TableBody"/>
            </w:pPr>
            <w:r w:rsidRPr="00D90C15">
              <w:t xml:space="preserve"> 2,380,000 </w:t>
            </w:r>
          </w:p>
        </w:tc>
      </w:tr>
    </w:tbl>
    <w:p w14:paraId="6327DA57" w14:textId="77777777" w:rsidR="005A008B" w:rsidRPr="00D90C15" w:rsidRDefault="005A008B" w:rsidP="001F7031">
      <w:r w:rsidRPr="00D90C15">
        <w:t>Funds received from the Department of Justice and Community Safety are an appropriation grant.</w:t>
      </w:r>
    </w:p>
    <w:p w14:paraId="0AF033B8" w14:textId="77777777" w:rsidR="005A008B" w:rsidRPr="00D90C15" w:rsidRDefault="005A008B" w:rsidP="00234617">
      <w:r w:rsidRPr="00D90C15">
        <w:t xml:space="preserve">The Council has determined that grant income included in the table above under AASB 1058 has been earned under arrangements that are not enforceable and/or linked to sufficiently specific performance obligations. </w:t>
      </w:r>
    </w:p>
    <w:p w14:paraId="3BFCD3D7" w14:textId="77777777" w:rsidR="005A008B" w:rsidRPr="00D90C15" w:rsidRDefault="005A008B" w:rsidP="006512A5">
      <w:r w:rsidRPr="00D90C15">
        <w:t xml:space="preserve">Income from grants without any sufficiently specific performance obligations, or that are not enforceable, are recognised when the Council has an unconditional right to receive cash which usually coincides with receipt of cash. On initial recognition of the asset, the Council recognises any related contributions by owners, increases in liabilities, decreases in assets, and revenue (‘related amounts’) in accordance with other Australian Accounting Standards. Related amounts may take the form of: </w:t>
      </w:r>
    </w:p>
    <w:p w14:paraId="6D57A935" w14:textId="77777777" w:rsidR="005A008B" w:rsidRPr="001F7031" w:rsidRDefault="005A008B" w:rsidP="001F7031">
      <w:pPr>
        <w:pStyle w:val="ListParagraph"/>
        <w:numPr>
          <w:ilvl w:val="0"/>
          <w:numId w:val="27"/>
        </w:numPr>
      </w:pPr>
      <w:r w:rsidRPr="001F7031">
        <w:t>contributions by owners, in accordance with AASB 1004</w:t>
      </w:r>
    </w:p>
    <w:p w14:paraId="570348BE" w14:textId="77777777" w:rsidR="005A008B" w:rsidRPr="001F7031" w:rsidRDefault="005A008B" w:rsidP="001F7031">
      <w:pPr>
        <w:pStyle w:val="ListParagraph"/>
        <w:numPr>
          <w:ilvl w:val="0"/>
          <w:numId w:val="27"/>
        </w:numPr>
      </w:pPr>
      <w:r w:rsidRPr="001F7031">
        <w:lastRenderedPageBreak/>
        <w:t>a lease liability, in accordance with AASB 16</w:t>
      </w:r>
    </w:p>
    <w:p w14:paraId="340A8FD8" w14:textId="2E4D025B" w:rsidR="005A008B" w:rsidRPr="001F7031" w:rsidRDefault="005A008B" w:rsidP="001F7031">
      <w:pPr>
        <w:pStyle w:val="ListParagraph"/>
        <w:numPr>
          <w:ilvl w:val="0"/>
          <w:numId w:val="27"/>
        </w:numPr>
      </w:pPr>
      <w:r w:rsidRPr="001F7031">
        <w:t>a financial instrument, in accordance with AASB 9 or</w:t>
      </w:r>
    </w:p>
    <w:p w14:paraId="143D1DC0" w14:textId="77777777" w:rsidR="005A008B" w:rsidRPr="00D90C15" w:rsidRDefault="005A008B" w:rsidP="001F7031">
      <w:pPr>
        <w:pStyle w:val="ListParagraph"/>
        <w:numPr>
          <w:ilvl w:val="0"/>
          <w:numId w:val="27"/>
        </w:numPr>
      </w:pPr>
      <w:r w:rsidRPr="001F7031">
        <w:t>a provision, in accordance with AASB 137 Provisions, Contingent Liabilities and Contingent</w:t>
      </w:r>
      <w:r w:rsidRPr="004A331A">
        <w:t xml:space="preserve"> Assets</w:t>
      </w:r>
      <w:r w:rsidRPr="00D90C15">
        <w:t>.</w:t>
      </w:r>
    </w:p>
    <w:p w14:paraId="07AAFEC8" w14:textId="77777777" w:rsidR="005A008B" w:rsidRPr="00D90C15" w:rsidRDefault="005A008B" w:rsidP="002822AC">
      <w:pPr>
        <w:pStyle w:val="Heading4"/>
      </w:pPr>
      <w:r w:rsidRPr="00D90C15">
        <w:t xml:space="preserve">2.1.1 Appropriations </w:t>
      </w:r>
    </w:p>
    <w:p w14:paraId="45FD02B1" w14:textId="77777777" w:rsidR="005A008B" w:rsidRPr="00D90C15" w:rsidRDefault="005A008B" w:rsidP="006512A5">
      <w:r w:rsidRPr="00D90C15">
        <w:t xml:space="preserve">Once annual parliamentary appropriations are applied by the Treasurer, they become controlled by the Council and are recognised as income when applied for the purposes defined under the relevant Appropriations Act. The appropriation amount includes funding for discretionary items, such as amortisation and depreciation. </w:t>
      </w:r>
    </w:p>
    <w:p w14:paraId="165D1772" w14:textId="77777777" w:rsidR="005A008B" w:rsidRPr="00D90C15" w:rsidRDefault="005A008B" w:rsidP="002822AC">
      <w:pPr>
        <w:pStyle w:val="Heading4"/>
      </w:pPr>
      <w:r w:rsidRPr="00D90C15">
        <w:t>Output Appropriations</w:t>
      </w:r>
    </w:p>
    <w:p w14:paraId="0C592D69" w14:textId="77777777" w:rsidR="005A008B" w:rsidRPr="00D90C15" w:rsidRDefault="005A008B" w:rsidP="00234617">
      <w:r w:rsidRPr="00D90C15">
        <w:t>Income from the outputs that the Council provides to the government is recognised when those outputs have been delivered, and the relevant Minister has certified delivery of those outputs in accordance with specified performance criteria.</w:t>
      </w:r>
    </w:p>
    <w:p w14:paraId="542FC313" w14:textId="77777777" w:rsidR="005A008B" w:rsidRPr="00D90C15" w:rsidRDefault="005A008B" w:rsidP="002822AC">
      <w:pPr>
        <w:pStyle w:val="Heading4"/>
      </w:pPr>
      <w:r w:rsidRPr="00D90C15">
        <w:t>2.1.2 Grants</w:t>
      </w:r>
    </w:p>
    <w:p w14:paraId="475B9701" w14:textId="77777777" w:rsidR="005A008B" w:rsidRPr="00D90C15" w:rsidRDefault="005A008B" w:rsidP="00234617">
      <w:r w:rsidRPr="00D90C15">
        <w:t xml:space="preserve">The Council received a grant of $466,200 from the Victorian Legal Services Board in 2024–25 from the Board’s Public Purpose fund. This amount was paid to the Council under Section 144 of the </w:t>
      </w:r>
      <w:r w:rsidRPr="004A331A">
        <w:rPr>
          <w:i/>
          <w:iCs/>
        </w:rPr>
        <w:t>Legal Profession Uniform Law Application Act 2014</w:t>
      </w:r>
      <w:r w:rsidRPr="00D90C15">
        <w:t xml:space="preserve">. The grant was provided to assist the Council in carrying out its legislative functions and to help meet expected budgetary shortfalls over the medium term. An amount of $766,351 of this grant remained unexpended as </w:t>
      </w:r>
      <w:proofErr w:type="gramStart"/>
      <w:r w:rsidRPr="00D90C15">
        <w:t>at</w:t>
      </w:r>
      <w:proofErr w:type="gramEnd"/>
      <w:r w:rsidRPr="00D90C15">
        <w:t xml:space="preserve"> 30 June 2025. Of this amount, $350,000 has been provided for the upgrade of the Council’s </w:t>
      </w:r>
      <w:r w:rsidRPr="004A331A">
        <w:rPr>
          <w:i/>
          <w:iCs/>
        </w:rPr>
        <w:t>Virtual</w:t>
      </w:r>
      <w:r w:rsidRPr="00D90C15">
        <w:t xml:space="preserve"> </w:t>
      </w:r>
      <w:r w:rsidRPr="004A331A">
        <w:rPr>
          <w:i/>
          <w:iCs/>
        </w:rPr>
        <w:t>You Be the Judge</w:t>
      </w:r>
      <w:r w:rsidRPr="00D90C15">
        <w:t>, interactive software.</w:t>
      </w:r>
    </w:p>
    <w:p w14:paraId="1FBCD8CF" w14:textId="77777777" w:rsidR="005A008B" w:rsidRPr="00D90C15" w:rsidRDefault="005A008B" w:rsidP="00234617">
      <w:r w:rsidRPr="00D90C15">
        <w:t xml:space="preserve">These grant funds are held by the Department of Justice and Community Safety in a General Trust Fund until they are required to assist in meeting the Council’s operating expenses. The Department of Justice and Community Safety monitors the use of the trust funds and appropriation amounts for meeting the operating expenditure of the Council. </w:t>
      </w:r>
    </w:p>
    <w:p w14:paraId="2AD62FB4" w14:textId="0ED2A03C" w:rsidR="005A008B" w:rsidRPr="00D90C15" w:rsidRDefault="00093A2C" w:rsidP="002822AC">
      <w:pPr>
        <w:pStyle w:val="Heading1"/>
      </w:pPr>
      <w:bookmarkStart w:id="98" w:name="_Toc221113864"/>
      <w:r>
        <w:lastRenderedPageBreak/>
        <w:t xml:space="preserve">3 </w:t>
      </w:r>
      <w:r w:rsidR="002822AC" w:rsidRPr="00D90C15">
        <w:t xml:space="preserve">The Cost </w:t>
      </w:r>
      <w:proofErr w:type="gramStart"/>
      <w:r w:rsidR="002822AC" w:rsidRPr="00D90C15">
        <w:t>Of</w:t>
      </w:r>
      <w:proofErr w:type="gramEnd"/>
      <w:r w:rsidR="002822AC" w:rsidRPr="00D90C15">
        <w:t xml:space="preserve"> Delivering Services</w:t>
      </w:r>
      <w:bookmarkEnd w:id="98"/>
    </w:p>
    <w:p w14:paraId="75F0D033" w14:textId="77777777" w:rsidR="005A008B" w:rsidRPr="00D90C15" w:rsidRDefault="005A008B" w:rsidP="00926C26">
      <w:pPr>
        <w:pStyle w:val="Heading2"/>
      </w:pPr>
      <w:bookmarkStart w:id="99" w:name="_Toc221113865"/>
      <w:r w:rsidRPr="00D90C15">
        <w:t>Introduction</w:t>
      </w:r>
      <w:bookmarkEnd w:id="99"/>
    </w:p>
    <w:p w14:paraId="32701D21" w14:textId="77777777" w:rsidR="005A008B" w:rsidRPr="00D90C15" w:rsidRDefault="005A008B" w:rsidP="00234617">
      <w:r w:rsidRPr="00D90C15">
        <w:t xml:space="preserve">This section presents the costs incurred by the Sentencing Advisory Council in delivering its sentencing research and the collation of statistical information on sentencing matters and relates to benefits consumed within the relevant financial year. The Council’s largest cost relates to its employees. Obligations directly associated with current employees that have not been settled at balance date are also presented in this note, in the form of unpaid leave entitlements. In addition, supplies and services expenditure, including rental outgoing costs and services expenditure, are also presented in this note. </w:t>
      </w:r>
    </w:p>
    <w:p w14:paraId="121A4459" w14:textId="77777777" w:rsidR="005A008B" w:rsidRPr="00D90C15" w:rsidRDefault="005A008B" w:rsidP="00926C26">
      <w:pPr>
        <w:pStyle w:val="Heading2"/>
      </w:pPr>
      <w:bookmarkStart w:id="100" w:name="_Toc221113866"/>
      <w:r w:rsidRPr="00D90C15">
        <w:t>Structure</w:t>
      </w:r>
      <w:bookmarkEnd w:id="100"/>
    </w:p>
    <w:p w14:paraId="14BCB724" w14:textId="70FB209A" w:rsidR="005A008B" w:rsidRPr="00D90C15" w:rsidRDefault="005A008B" w:rsidP="006512A5">
      <w:r w:rsidRPr="00D90C15">
        <w:t>3.1 Expenses Incurred in Delivery of Services</w:t>
      </w:r>
    </w:p>
    <w:p w14:paraId="26CAAB62" w14:textId="4BC72096" w:rsidR="005A008B" w:rsidRPr="00D90C15" w:rsidRDefault="005A008B" w:rsidP="00234617">
      <w:r w:rsidRPr="00D90C15">
        <w:t>3.2 Other Operating Expenses</w:t>
      </w:r>
    </w:p>
    <w:p w14:paraId="481D9722" w14:textId="77777777" w:rsidR="005A008B" w:rsidRPr="00D90C15" w:rsidRDefault="005A008B" w:rsidP="002822AC">
      <w:pPr>
        <w:pStyle w:val="Heading3"/>
      </w:pPr>
      <w:bookmarkStart w:id="101" w:name="_Toc221113867"/>
      <w:r w:rsidRPr="00D90C15">
        <w:t>3.1 Expenses Incurred in Delivery of Services</w:t>
      </w:r>
      <w:bookmarkEnd w:id="101"/>
      <w:r w:rsidRPr="00D90C15">
        <w:t xml:space="preserve"> </w:t>
      </w:r>
    </w:p>
    <w:p w14:paraId="323BC699" w14:textId="77777777" w:rsidR="005A008B" w:rsidRPr="00D90C15" w:rsidRDefault="005A008B" w:rsidP="002822AC">
      <w:pPr>
        <w:pStyle w:val="Heading4"/>
      </w:pPr>
      <w:r w:rsidRPr="00D90C15">
        <w:t>3.1.1 Employee Benefits in the Comprehensive Operating Statement</w:t>
      </w:r>
    </w:p>
    <w:p w14:paraId="3A3EADDB" w14:textId="77777777" w:rsidR="005A008B" w:rsidRPr="00D90C15" w:rsidRDefault="005A008B" w:rsidP="00234617">
      <w:r w:rsidRPr="00D90C15">
        <w:t xml:space="preserve">Employee expenses include all costs related to employment including wages and salaries, fringe benefits tax, leave entitlements, termination payments and </w:t>
      </w:r>
      <w:proofErr w:type="spellStart"/>
      <w:r w:rsidRPr="00D90C15">
        <w:t>WorkCover</w:t>
      </w:r>
      <w:proofErr w:type="spellEnd"/>
      <w:r w:rsidRPr="00D90C15">
        <w:t xml:space="preserve"> premiums. </w:t>
      </w:r>
    </w:p>
    <w:p w14:paraId="11A06EF9" w14:textId="77777777" w:rsidR="005A008B" w:rsidRPr="00D90C15" w:rsidRDefault="005A008B" w:rsidP="00234617">
      <w:r w:rsidRPr="00D90C15">
        <w:t xml:space="preserve">The amount recognised in the comprehensive operating statement in relation to superannuation is employer contributions for members of defined contribution superannuation plans that are paid or payable during the reporting period. </w:t>
      </w:r>
    </w:p>
    <w:tbl>
      <w:tblPr>
        <w:tblStyle w:val="Table"/>
        <w:tblW w:w="5000" w:type="pct"/>
        <w:tblLook w:val="0020" w:firstRow="1" w:lastRow="0" w:firstColumn="0" w:lastColumn="0" w:noHBand="0" w:noVBand="0"/>
      </w:tblPr>
      <w:tblGrid>
        <w:gridCol w:w="4965"/>
        <w:gridCol w:w="1013"/>
        <w:gridCol w:w="1520"/>
        <w:gridCol w:w="1518"/>
      </w:tblGrid>
      <w:tr w:rsidR="005A008B" w:rsidRPr="00D90C15" w14:paraId="1146B032" w14:textId="77777777" w:rsidTr="0046794E">
        <w:trPr>
          <w:trHeight w:val="60"/>
          <w:tblHeader/>
        </w:trPr>
        <w:tc>
          <w:tcPr>
            <w:tcW w:w="2753" w:type="pct"/>
          </w:tcPr>
          <w:p w14:paraId="52CDF3B7"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420B823B" w14:textId="77777777" w:rsidR="005A008B" w:rsidRPr="00D90C15" w:rsidRDefault="005A008B" w:rsidP="007B5725">
            <w:pPr>
              <w:pStyle w:val="TableHeading"/>
            </w:pPr>
            <w:r w:rsidRPr="00D90C15">
              <w:t>Notes</w:t>
            </w:r>
          </w:p>
        </w:tc>
        <w:tc>
          <w:tcPr>
            <w:tcW w:w="843" w:type="pct"/>
          </w:tcPr>
          <w:p w14:paraId="4E8FE79A" w14:textId="77777777" w:rsidR="005A008B" w:rsidRPr="00D90C15" w:rsidRDefault="005A008B" w:rsidP="007B5725">
            <w:pPr>
              <w:pStyle w:val="TableHeading"/>
            </w:pPr>
            <w:r w:rsidRPr="00D90C15">
              <w:t>2025</w:t>
            </w:r>
            <w:r w:rsidRPr="00D90C15">
              <w:br/>
              <w:t>$</w:t>
            </w:r>
          </w:p>
        </w:tc>
        <w:tc>
          <w:tcPr>
            <w:tcW w:w="842" w:type="pct"/>
          </w:tcPr>
          <w:p w14:paraId="01B4D471" w14:textId="77777777" w:rsidR="005A008B" w:rsidRPr="00D90C15" w:rsidRDefault="005A008B" w:rsidP="007B5725">
            <w:pPr>
              <w:pStyle w:val="TableHeading"/>
            </w:pPr>
            <w:r w:rsidRPr="00D90C15">
              <w:t>2024</w:t>
            </w:r>
            <w:r w:rsidRPr="00D90C15">
              <w:br/>
              <w:t>$</w:t>
            </w:r>
          </w:p>
        </w:tc>
      </w:tr>
      <w:tr w:rsidR="005A008B" w:rsidRPr="00D90C15" w14:paraId="24DD402C" w14:textId="77777777" w:rsidTr="0046794E">
        <w:trPr>
          <w:trHeight w:val="60"/>
        </w:trPr>
        <w:tc>
          <w:tcPr>
            <w:tcW w:w="2753" w:type="pct"/>
          </w:tcPr>
          <w:p w14:paraId="5FE22A08" w14:textId="77777777" w:rsidR="005A008B" w:rsidRPr="00F52CA3" w:rsidRDefault="005A008B" w:rsidP="00F52CA3">
            <w:pPr>
              <w:pStyle w:val="TableBody"/>
              <w:rPr>
                <w:b/>
                <w:bCs/>
              </w:rPr>
            </w:pPr>
            <w:r w:rsidRPr="00F52CA3">
              <w:rPr>
                <w:b/>
                <w:bCs/>
              </w:rPr>
              <w:t>Employee expenses</w:t>
            </w:r>
          </w:p>
        </w:tc>
        <w:tc>
          <w:tcPr>
            <w:tcW w:w="562" w:type="pct"/>
          </w:tcPr>
          <w:p w14:paraId="02736AC6"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20D3D6B1"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79E016F2"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35623E95" w14:textId="77777777" w:rsidTr="0046794E">
        <w:trPr>
          <w:trHeight w:val="60"/>
        </w:trPr>
        <w:tc>
          <w:tcPr>
            <w:tcW w:w="2753" w:type="pct"/>
          </w:tcPr>
          <w:p w14:paraId="56F38E02" w14:textId="77777777" w:rsidR="005A008B" w:rsidRPr="00D90C15" w:rsidRDefault="005A008B" w:rsidP="00AA1CB0">
            <w:pPr>
              <w:pStyle w:val="TableBody"/>
            </w:pPr>
            <w:r w:rsidRPr="00D90C15">
              <w:t>Post employment benefits:</w:t>
            </w:r>
          </w:p>
        </w:tc>
        <w:tc>
          <w:tcPr>
            <w:tcW w:w="562" w:type="pct"/>
          </w:tcPr>
          <w:p w14:paraId="589BBB24"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9673ACD"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3847CBCD"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5D9AA575" w14:textId="77777777" w:rsidTr="0046794E">
        <w:trPr>
          <w:trHeight w:val="60"/>
        </w:trPr>
        <w:tc>
          <w:tcPr>
            <w:tcW w:w="2753" w:type="pct"/>
          </w:tcPr>
          <w:p w14:paraId="15079C12" w14:textId="77777777" w:rsidR="005A008B" w:rsidRPr="00AA1CB0" w:rsidRDefault="005A008B" w:rsidP="00AA1CB0">
            <w:pPr>
              <w:pStyle w:val="TableBody"/>
              <w:ind w:left="992"/>
            </w:pPr>
            <w:r w:rsidRPr="00AA1CB0">
              <w:t>Defined contribution superannuation expense</w:t>
            </w:r>
          </w:p>
        </w:tc>
        <w:tc>
          <w:tcPr>
            <w:tcW w:w="562" w:type="pct"/>
          </w:tcPr>
          <w:p w14:paraId="5FFB0C05"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3D08FF79" w14:textId="77777777" w:rsidR="005A008B" w:rsidRPr="00D90C15" w:rsidRDefault="005A008B" w:rsidP="00CC3F1F">
            <w:pPr>
              <w:pStyle w:val="TableBody"/>
            </w:pPr>
            <w:r w:rsidRPr="00D90C15">
              <w:t xml:space="preserve">164,595 </w:t>
            </w:r>
          </w:p>
        </w:tc>
        <w:tc>
          <w:tcPr>
            <w:tcW w:w="842" w:type="pct"/>
          </w:tcPr>
          <w:p w14:paraId="1D3D8EC4" w14:textId="77777777" w:rsidR="005A008B" w:rsidRPr="00D90C15" w:rsidRDefault="005A008B" w:rsidP="00CC3F1F">
            <w:pPr>
              <w:pStyle w:val="TableBody"/>
            </w:pPr>
            <w:r w:rsidRPr="00D90C15">
              <w:t xml:space="preserve"> 137,352 </w:t>
            </w:r>
          </w:p>
        </w:tc>
      </w:tr>
      <w:tr w:rsidR="005A008B" w:rsidRPr="00D90C15" w14:paraId="4480A91D" w14:textId="77777777" w:rsidTr="0046794E">
        <w:trPr>
          <w:trHeight w:val="60"/>
        </w:trPr>
        <w:tc>
          <w:tcPr>
            <w:tcW w:w="2753" w:type="pct"/>
          </w:tcPr>
          <w:p w14:paraId="10CA5272" w14:textId="77777777" w:rsidR="005A008B" w:rsidRPr="00D90C15" w:rsidRDefault="005A008B" w:rsidP="00AA1CB0">
            <w:pPr>
              <w:pStyle w:val="TableBody"/>
            </w:pPr>
            <w:r w:rsidRPr="00D90C15">
              <w:t>Salaries and wages, annual leave and long service leave</w:t>
            </w:r>
          </w:p>
        </w:tc>
        <w:tc>
          <w:tcPr>
            <w:tcW w:w="562" w:type="pct"/>
          </w:tcPr>
          <w:p w14:paraId="3CC9AA31"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1F92FE48" w14:textId="77777777" w:rsidR="005A008B" w:rsidRPr="00D90C15" w:rsidRDefault="005A008B" w:rsidP="00CC3F1F">
            <w:pPr>
              <w:pStyle w:val="TableBody"/>
            </w:pPr>
            <w:r w:rsidRPr="00D90C15">
              <w:t xml:space="preserve">1,553,556 </w:t>
            </w:r>
          </w:p>
        </w:tc>
        <w:tc>
          <w:tcPr>
            <w:tcW w:w="842" w:type="pct"/>
          </w:tcPr>
          <w:p w14:paraId="6531D9E2" w14:textId="77777777" w:rsidR="005A008B" w:rsidRPr="00D90C15" w:rsidRDefault="005A008B" w:rsidP="00CC3F1F">
            <w:pPr>
              <w:pStyle w:val="TableBody"/>
            </w:pPr>
            <w:r w:rsidRPr="00D90C15">
              <w:t xml:space="preserve"> 1,360,714 </w:t>
            </w:r>
          </w:p>
        </w:tc>
      </w:tr>
      <w:tr w:rsidR="005A008B" w:rsidRPr="00D90C15" w14:paraId="02DFB0F2" w14:textId="77777777" w:rsidTr="0046794E">
        <w:trPr>
          <w:trHeight w:val="60"/>
        </w:trPr>
        <w:tc>
          <w:tcPr>
            <w:tcW w:w="2753" w:type="pct"/>
          </w:tcPr>
          <w:p w14:paraId="16E49A99" w14:textId="77777777" w:rsidR="005A008B" w:rsidRPr="00D90C15" w:rsidRDefault="005A008B" w:rsidP="00AA1CB0">
            <w:pPr>
              <w:pStyle w:val="TableBody"/>
            </w:pPr>
            <w:r w:rsidRPr="00D90C15">
              <w:t>Voluntary departure package</w:t>
            </w:r>
          </w:p>
        </w:tc>
        <w:tc>
          <w:tcPr>
            <w:tcW w:w="562" w:type="pct"/>
          </w:tcPr>
          <w:p w14:paraId="5B0BA9FC"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985108C" w14:textId="77777777" w:rsidR="005A008B" w:rsidRPr="00D90C15" w:rsidRDefault="005A008B" w:rsidP="00CC3F1F">
            <w:pPr>
              <w:pStyle w:val="TableBody"/>
            </w:pPr>
            <w:r w:rsidRPr="00D90C15">
              <w:t>–</w:t>
            </w:r>
          </w:p>
        </w:tc>
        <w:tc>
          <w:tcPr>
            <w:tcW w:w="842" w:type="pct"/>
          </w:tcPr>
          <w:p w14:paraId="30D8A932" w14:textId="77777777" w:rsidR="005A008B" w:rsidRPr="00D90C15" w:rsidRDefault="005A008B" w:rsidP="00CC3F1F">
            <w:pPr>
              <w:pStyle w:val="TableBody"/>
            </w:pPr>
            <w:r w:rsidRPr="00D90C15">
              <w:t xml:space="preserve"> 49,032 </w:t>
            </w:r>
          </w:p>
        </w:tc>
      </w:tr>
      <w:tr w:rsidR="005A008B" w:rsidRPr="00D90C15" w14:paraId="431F533E" w14:textId="77777777" w:rsidTr="0046794E">
        <w:trPr>
          <w:trHeight w:val="60"/>
        </w:trPr>
        <w:tc>
          <w:tcPr>
            <w:tcW w:w="2753" w:type="pct"/>
          </w:tcPr>
          <w:p w14:paraId="5A93D5DB" w14:textId="77777777" w:rsidR="005A008B" w:rsidRPr="00E72391" w:rsidRDefault="005A008B" w:rsidP="00E72391">
            <w:pPr>
              <w:pStyle w:val="TableBody"/>
              <w:rPr>
                <w:b/>
                <w:bCs/>
              </w:rPr>
            </w:pPr>
            <w:r w:rsidRPr="00E72391">
              <w:rPr>
                <w:b/>
                <w:bCs/>
              </w:rPr>
              <w:t>Total employee expenses</w:t>
            </w:r>
          </w:p>
        </w:tc>
        <w:tc>
          <w:tcPr>
            <w:tcW w:w="562" w:type="pct"/>
          </w:tcPr>
          <w:p w14:paraId="74801743"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71095AF9" w14:textId="77777777" w:rsidR="005A008B" w:rsidRPr="001F7031" w:rsidRDefault="005A008B" w:rsidP="001F7031">
            <w:pPr>
              <w:pStyle w:val="TableBody"/>
              <w:rPr>
                <w:b/>
                <w:bCs/>
              </w:rPr>
            </w:pPr>
            <w:r w:rsidRPr="001F7031">
              <w:rPr>
                <w:b/>
                <w:bCs/>
              </w:rPr>
              <w:t xml:space="preserve">1,718,152 </w:t>
            </w:r>
          </w:p>
        </w:tc>
        <w:tc>
          <w:tcPr>
            <w:tcW w:w="842" w:type="pct"/>
          </w:tcPr>
          <w:p w14:paraId="0EF4098E" w14:textId="77777777" w:rsidR="005A008B" w:rsidRPr="00D90C15" w:rsidRDefault="005A008B" w:rsidP="00CC3F1F">
            <w:pPr>
              <w:pStyle w:val="TableBody"/>
            </w:pPr>
            <w:r w:rsidRPr="00D90C15">
              <w:t xml:space="preserve"> 1,547,098 </w:t>
            </w:r>
          </w:p>
        </w:tc>
      </w:tr>
    </w:tbl>
    <w:p w14:paraId="7E038D71" w14:textId="77777777" w:rsidR="005A008B" w:rsidRPr="00D90C15" w:rsidRDefault="005A008B" w:rsidP="002822AC">
      <w:pPr>
        <w:pStyle w:val="Heading4"/>
      </w:pPr>
      <w:r w:rsidRPr="00D90C15">
        <w:lastRenderedPageBreak/>
        <w:t>3.1.2 Employee-Related Provisions</w:t>
      </w:r>
    </w:p>
    <w:p w14:paraId="69562FD2" w14:textId="77777777" w:rsidR="005A008B" w:rsidRPr="00D90C15" w:rsidRDefault="005A008B" w:rsidP="006512A5">
      <w:r w:rsidRPr="00D90C15">
        <w:t xml:space="preserve">Provision is made for benefits accruing to employees in respect of wages and salaries, annual leave and long service leave (LSL) for services rendered to the reporting date and recorded as an expense during the period the services are delivered. </w:t>
      </w:r>
    </w:p>
    <w:tbl>
      <w:tblPr>
        <w:tblStyle w:val="Table"/>
        <w:tblW w:w="5000" w:type="pct"/>
        <w:tblLook w:val="0020" w:firstRow="1" w:lastRow="0" w:firstColumn="0" w:lastColumn="0" w:noHBand="0" w:noVBand="0"/>
      </w:tblPr>
      <w:tblGrid>
        <w:gridCol w:w="4919"/>
        <w:gridCol w:w="2050"/>
        <w:gridCol w:w="2047"/>
      </w:tblGrid>
      <w:tr w:rsidR="005A008B" w:rsidRPr="00D90C15" w14:paraId="27F24B1C" w14:textId="77777777" w:rsidTr="0046794E">
        <w:trPr>
          <w:trHeight w:val="60"/>
          <w:tblHeader/>
        </w:trPr>
        <w:tc>
          <w:tcPr>
            <w:tcW w:w="2728" w:type="pct"/>
          </w:tcPr>
          <w:p w14:paraId="2A756A3A"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7578EBDD" w14:textId="77777777" w:rsidR="005A008B" w:rsidRPr="00D90C15" w:rsidRDefault="005A008B" w:rsidP="007B5725">
            <w:pPr>
              <w:pStyle w:val="TableHeading"/>
            </w:pPr>
            <w:r w:rsidRPr="00D90C15">
              <w:t>2025</w:t>
            </w:r>
            <w:r w:rsidRPr="00D90C15">
              <w:br/>
              <w:t>$</w:t>
            </w:r>
          </w:p>
        </w:tc>
        <w:tc>
          <w:tcPr>
            <w:tcW w:w="1136" w:type="pct"/>
          </w:tcPr>
          <w:p w14:paraId="3AFD715A" w14:textId="77777777" w:rsidR="005A008B" w:rsidRPr="00D90C15" w:rsidRDefault="005A008B" w:rsidP="007B5725">
            <w:pPr>
              <w:pStyle w:val="TableHeading"/>
            </w:pPr>
            <w:r w:rsidRPr="00D90C15">
              <w:t>2024</w:t>
            </w:r>
            <w:r w:rsidRPr="00D90C15">
              <w:br/>
              <w:t>$</w:t>
            </w:r>
          </w:p>
        </w:tc>
      </w:tr>
      <w:tr w:rsidR="005A008B" w:rsidRPr="00D90C15" w14:paraId="60116E40" w14:textId="77777777" w:rsidTr="0046794E">
        <w:trPr>
          <w:trHeight w:val="60"/>
        </w:trPr>
        <w:tc>
          <w:tcPr>
            <w:tcW w:w="2728" w:type="pct"/>
          </w:tcPr>
          <w:p w14:paraId="15383A9B" w14:textId="77777777" w:rsidR="005A008B" w:rsidRPr="00F52CA3" w:rsidRDefault="005A008B" w:rsidP="00F52CA3">
            <w:pPr>
              <w:pStyle w:val="TableBody"/>
              <w:rPr>
                <w:b/>
                <w:bCs/>
              </w:rPr>
            </w:pPr>
            <w:r w:rsidRPr="00F52CA3">
              <w:rPr>
                <w:b/>
                <w:bCs/>
              </w:rPr>
              <w:t>Current provisions</w:t>
            </w:r>
          </w:p>
        </w:tc>
        <w:tc>
          <w:tcPr>
            <w:tcW w:w="1137" w:type="pct"/>
          </w:tcPr>
          <w:p w14:paraId="292D0016"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3E69132D"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3CCB537E" w14:textId="77777777" w:rsidTr="0046794E">
        <w:trPr>
          <w:trHeight w:val="60"/>
        </w:trPr>
        <w:tc>
          <w:tcPr>
            <w:tcW w:w="2728" w:type="pct"/>
          </w:tcPr>
          <w:p w14:paraId="17BF8357" w14:textId="77777777" w:rsidR="005A008B" w:rsidRPr="00D90C15" w:rsidRDefault="005A008B" w:rsidP="00AA1CB0">
            <w:pPr>
              <w:pStyle w:val="TableBody"/>
            </w:pPr>
            <w:r w:rsidRPr="00D90C15">
              <w:t>Annual leave</w:t>
            </w:r>
          </w:p>
        </w:tc>
        <w:tc>
          <w:tcPr>
            <w:tcW w:w="1137" w:type="pct"/>
          </w:tcPr>
          <w:p w14:paraId="291E5E46" w14:textId="77777777" w:rsidR="005A008B" w:rsidRPr="00D90C15" w:rsidRDefault="005A008B" w:rsidP="00CC3F1F">
            <w:pPr>
              <w:pStyle w:val="TableBody"/>
            </w:pPr>
            <w:r w:rsidRPr="00D90C15">
              <w:t xml:space="preserve">90,341 </w:t>
            </w:r>
          </w:p>
        </w:tc>
        <w:tc>
          <w:tcPr>
            <w:tcW w:w="1136" w:type="pct"/>
          </w:tcPr>
          <w:p w14:paraId="0D1369B7" w14:textId="77777777" w:rsidR="005A008B" w:rsidRPr="00D90C15" w:rsidRDefault="005A008B" w:rsidP="00CC3F1F">
            <w:pPr>
              <w:pStyle w:val="TableBody"/>
            </w:pPr>
            <w:r w:rsidRPr="00D90C15">
              <w:t xml:space="preserve"> 76,642 </w:t>
            </w:r>
          </w:p>
        </w:tc>
      </w:tr>
      <w:tr w:rsidR="005A008B" w:rsidRPr="00D90C15" w14:paraId="22096374" w14:textId="77777777" w:rsidTr="0046794E">
        <w:trPr>
          <w:trHeight w:val="60"/>
        </w:trPr>
        <w:tc>
          <w:tcPr>
            <w:tcW w:w="2728" w:type="pct"/>
          </w:tcPr>
          <w:p w14:paraId="5F4EE396" w14:textId="77777777" w:rsidR="005A008B" w:rsidRPr="00D90C15" w:rsidRDefault="005A008B" w:rsidP="00AA1CB0">
            <w:pPr>
              <w:pStyle w:val="TableBody"/>
            </w:pPr>
            <w:r w:rsidRPr="00D90C15">
              <w:t>Long service leave</w:t>
            </w:r>
          </w:p>
        </w:tc>
        <w:tc>
          <w:tcPr>
            <w:tcW w:w="1137" w:type="pct"/>
          </w:tcPr>
          <w:p w14:paraId="707DD106" w14:textId="77777777" w:rsidR="005A008B" w:rsidRPr="00D90C15" w:rsidRDefault="005A008B" w:rsidP="00CC3F1F">
            <w:pPr>
              <w:pStyle w:val="TableBody"/>
            </w:pPr>
            <w:r w:rsidRPr="00D90C15">
              <w:t xml:space="preserve">115,664 </w:t>
            </w:r>
          </w:p>
        </w:tc>
        <w:tc>
          <w:tcPr>
            <w:tcW w:w="1136" w:type="pct"/>
          </w:tcPr>
          <w:p w14:paraId="25C8C3B9" w14:textId="77777777" w:rsidR="005A008B" w:rsidRPr="00D90C15" w:rsidRDefault="005A008B" w:rsidP="00CC3F1F">
            <w:pPr>
              <w:pStyle w:val="TableBody"/>
            </w:pPr>
            <w:r w:rsidRPr="00D90C15">
              <w:t xml:space="preserve"> 141,057 </w:t>
            </w:r>
          </w:p>
        </w:tc>
      </w:tr>
      <w:tr w:rsidR="005A008B" w:rsidRPr="00D90C15" w14:paraId="53E4AE06" w14:textId="77777777" w:rsidTr="0046794E">
        <w:trPr>
          <w:trHeight w:val="60"/>
        </w:trPr>
        <w:tc>
          <w:tcPr>
            <w:tcW w:w="2728" w:type="pct"/>
          </w:tcPr>
          <w:p w14:paraId="5D392B69" w14:textId="77777777" w:rsidR="005A008B" w:rsidRPr="00D90C15" w:rsidRDefault="005A008B" w:rsidP="00AA1CB0">
            <w:pPr>
              <w:pStyle w:val="TableBody"/>
            </w:pPr>
            <w:r w:rsidRPr="00D90C15">
              <w:t xml:space="preserve">Provisions for </w:t>
            </w:r>
            <w:proofErr w:type="gramStart"/>
            <w:r w:rsidRPr="00D90C15">
              <w:t>on-costs</w:t>
            </w:r>
            <w:proofErr w:type="gramEnd"/>
          </w:p>
        </w:tc>
        <w:tc>
          <w:tcPr>
            <w:tcW w:w="1137" w:type="pct"/>
          </w:tcPr>
          <w:p w14:paraId="754345EA" w14:textId="77777777" w:rsidR="005A008B" w:rsidRPr="00D90C15" w:rsidRDefault="005A008B" w:rsidP="00CC3F1F">
            <w:pPr>
              <w:pStyle w:val="TableBody"/>
            </w:pPr>
            <w:r w:rsidRPr="00D90C15">
              <w:t xml:space="preserve">55,636 </w:t>
            </w:r>
          </w:p>
        </w:tc>
        <w:tc>
          <w:tcPr>
            <w:tcW w:w="1136" w:type="pct"/>
          </w:tcPr>
          <w:p w14:paraId="30DE1BFE" w14:textId="77777777" w:rsidR="005A008B" w:rsidRPr="00D90C15" w:rsidRDefault="005A008B" w:rsidP="00CC3F1F">
            <w:pPr>
              <w:pStyle w:val="TableBody"/>
            </w:pPr>
            <w:r w:rsidRPr="00D90C15">
              <w:t xml:space="preserve"> 52,108 </w:t>
            </w:r>
          </w:p>
        </w:tc>
      </w:tr>
      <w:tr w:rsidR="005A008B" w:rsidRPr="00D90C15" w14:paraId="39AD97C3" w14:textId="77777777" w:rsidTr="0046794E">
        <w:trPr>
          <w:trHeight w:val="60"/>
        </w:trPr>
        <w:tc>
          <w:tcPr>
            <w:tcW w:w="2728" w:type="pct"/>
          </w:tcPr>
          <w:p w14:paraId="06F4F25A" w14:textId="77777777" w:rsidR="005A008B" w:rsidRPr="00E72391" w:rsidRDefault="005A008B" w:rsidP="00E72391">
            <w:pPr>
              <w:pStyle w:val="TableBody"/>
              <w:rPr>
                <w:b/>
                <w:bCs/>
              </w:rPr>
            </w:pPr>
            <w:r w:rsidRPr="00E72391">
              <w:rPr>
                <w:b/>
                <w:bCs/>
              </w:rPr>
              <w:t>Total current provisions</w:t>
            </w:r>
          </w:p>
        </w:tc>
        <w:tc>
          <w:tcPr>
            <w:tcW w:w="1137" w:type="pct"/>
          </w:tcPr>
          <w:p w14:paraId="7E0215D2" w14:textId="77777777" w:rsidR="005A008B" w:rsidRPr="001F7031" w:rsidRDefault="005A008B" w:rsidP="001F7031">
            <w:pPr>
              <w:pStyle w:val="TableBody"/>
              <w:rPr>
                <w:b/>
                <w:bCs/>
              </w:rPr>
            </w:pPr>
            <w:r w:rsidRPr="001F7031">
              <w:rPr>
                <w:b/>
                <w:bCs/>
              </w:rPr>
              <w:t xml:space="preserve">261,642 </w:t>
            </w:r>
          </w:p>
        </w:tc>
        <w:tc>
          <w:tcPr>
            <w:tcW w:w="1136" w:type="pct"/>
          </w:tcPr>
          <w:p w14:paraId="310C2329" w14:textId="77777777" w:rsidR="005A008B" w:rsidRPr="00D90C15" w:rsidRDefault="005A008B" w:rsidP="00CC3F1F">
            <w:pPr>
              <w:pStyle w:val="TableBody"/>
            </w:pPr>
            <w:r w:rsidRPr="00D90C15">
              <w:t xml:space="preserve"> 269,806 </w:t>
            </w:r>
          </w:p>
        </w:tc>
      </w:tr>
      <w:tr w:rsidR="005A008B" w:rsidRPr="00D90C15" w14:paraId="7573CD95" w14:textId="77777777" w:rsidTr="0046794E">
        <w:trPr>
          <w:trHeight w:val="60"/>
        </w:trPr>
        <w:tc>
          <w:tcPr>
            <w:tcW w:w="2728" w:type="pct"/>
          </w:tcPr>
          <w:p w14:paraId="53A3F2B3" w14:textId="77777777" w:rsidR="005A008B" w:rsidRPr="00F52CA3" w:rsidRDefault="005A008B" w:rsidP="00F52CA3">
            <w:pPr>
              <w:pStyle w:val="TableBody"/>
              <w:rPr>
                <w:b/>
                <w:bCs/>
              </w:rPr>
            </w:pPr>
            <w:r w:rsidRPr="00F52CA3">
              <w:rPr>
                <w:b/>
                <w:bCs/>
              </w:rPr>
              <w:t>Non-current provisions</w:t>
            </w:r>
          </w:p>
        </w:tc>
        <w:tc>
          <w:tcPr>
            <w:tcW w:w="1137" w:type="pct"/>
          </w:tcPr>
          <w:p w14:paraId="53A29538"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1F43572B"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0365542F" w14:textId="77777777" w:rsidTr="0046794E">
        <w:trPr>
          <w:trHeight w:val="60"/>
        </w:trPr>
        <w:tc>
          <w:tcPr>
            <w:tcW w:w="2728" w:type="pct"/>
          </w:tcPr>
          <w:p w14:paraId="76A2B979" w14:textId="77777777" w:rsidR="005A008B" w:rsidRPr="00D90C15" w:rsidRDefault="005A008B" w:rsidP="00AA1CB0">
            <w:pPr>
              <w:pStyle w:val="TableBody"/>
            </w:pPr>
            <w:r w:rsidRPr="00D90C15">
              <w:t>Employee benefits – long service leave</w:t>
            </w:r>
          </w:p>
        </w:tc>
        <w:tc>
          <w:tcPr>
            <w:tcW w:w="1137" w:type="pct"/>
          </w:tcPr>
          <w:p w14:paraId="5BB249F8" w14:textId="77777777" w:rsidR="005A008B" w:rsidRPr="00D90C15" w:rsidRDefault="005A008B" w:rsidP="00CC3F1F">
            <w:pPr>
              <w:pStyle w:val="TableBody"/>
            </w:pPr>
            <w:r w:rsidRPr="00D90C15">
              <w:t xml:space="preserve">8,978 </w:t>
            </w:r>
          </w:p>
        </w:tc>
        <w:tc>
          <w:tcPr>
            <w:tcW w:w="1136" w:type="pct"/>
          </w:tcPr>
          <w:p w14:paraId="61CCA867" w14:textId="77777777" w:rsidR="005A008B" w:rsidRPr="00D90C15" w:rsidRDefault="005A008B" w:rsidP="00CC3F1F">
            <w:pPr>
              <w:pStyle w:val="TableBody"/>
            </w:pPr>
            <w:r w:rsidRPr="00D90C15">
              <w:t xml:space="preserve"> 3,427 </w:t>
            </w:r>
          </w:p>
        </w:tc>
      </w:tr>
      <w:tr w:rsidR="005A008B" w:rsidRPr="00D90C15" w14:paraId="257E02F9" w14:textId="77777777" w:rsidTr="0046794E">
        <w:trPr>
          <w:trHeight w:val="60"/>
        </w:trPr>
        <w:tc>
          <w:tcPr>
            <w:tcW w:w="2728" w:type="pct"/>
          </w:tcPr>
          <w:p w14:paraId="615B3D9A" w14:textId="77777777" w:rsidR="005A008B" w:rsidRPr="00D90C15" w:rsidRDefault="005A008B" w:rsidP="00AA1CB0">
            <w:pPr>
              <w:pStyle w:val="TableBody"/>
            </w:pPr>
            <w:r w:rsidRPr="00D90C15">
              <w:t xml:space="preserve">Employee benefits </w:t>
            </w:r>
            <w:proofErr w:type="gramStart"/>
            <w:r w:rsidRPr="00D90C15">
              <w:t>on-costs</w:t>
            </w:r>
            <w:proofErr w:type="gramEnd"/>
          </w:p>
        </w:tc>
        <w:tc>
          <w:tcPr>
            <w:tcW w:w="1137" w:type="pct"/>
          </w:tcPr>
          <w:p w14:paraId="0457356F" w14:textId="77777777" w:rsidR="005A008B" w:rsidRPr="00D90C15" w:rsidRDefault="005A008B" w:rsidP="00CC3F1F">
            <w:pPr>
              <w:pStyle w:val="TableBody"/>
            </w:pPr>
            <w:r w:rsidRPr="00D90C15">
              <w:t xml:space="preserve">1,873 </w:t>
            </w:r>
          </w:p>
        </w:tc>
        <w:tc>
          <w:tcPr>
            <w:tcW w:w="1136" w:type="pct"/>
          </w:tcPr>
          <w:p w14:paraId="20A999CD" w14:textId="77777777" w:rsidR="005A008B" w:rsidRPr="00D90C15" w:rsidRDefault="005A008B" w:rsidP="00CC3F1F">
            <w:pPr>
              <w:pStyle w:val="TableBody"/>
            </w:pPr>
            <w:r w:rsidRPr="00D90C15">
              <w:t xml:space="preserve"> 682 </w:t>
            </w:r>
          </w:p>
        </w:tc>
      </w:tr>
      <w:tr w:rsidR="005A008B" w:rsidRPr="00D90C15" w14:paraId="016B910D" w14:textId="77777777" w:rsidTr="0046794E">
        <w:trPr>
          <w:trHeight w:val="60"/>
        </w:trPr>
        <w:tc>
          <w:tcPr>
            <w:tcW w:w="2728" w:type="pct"/>
          </w:tcPr>
          <w:p w14:paraId="6E44D874" w14:textId="77777777" w:rsidR="005A008B" w:rsidRPr="00E72391" w:rsidRDefault="005A008B" w:rsidP="00E72391">
            <w:pPr>
              <w:pStyle w:val="TableBody"/>
              <w:rPr>
                <w:b/>
                <w:bCs/>
              </w:rPr>
            </w:pPr>
            <w:r w:rsidRPr="00E72391">
              <w:rPr>
                <w:b/>
                <w:bCs/>
              </w:rPr>
              <w:t>Total non-current provisions</w:t>
            </w:r>
          </w:p>
        </w:tc>
        <w:tc>
          <w:tcPr>
            <w:tcW w:w="1137" w:type="pct"/>
          </w:tcPr>
          <w:p w14:paraId="6230DDB7" w14:textId="77777777" w:rsidR="005A008B" w:rsidRPr="001F7031" w:rsidRDefault="005A008B" w:rsidP="001F7031">
            <w:pPr>
              <w:pStyle w:val="TableBody"/>
              <w:rPr>
                <w:b/>
                <w:bCs/>
              </w:rPr>
            </w:pPr>
            <w:r w:rsidRPr="001F7031">
              <w:rPr>
                <w:b/>
                <w:bCs/>
              </w:rPr>
              <w:t xml:space="preserve">10,851 </w:t>
            </w:r>
          </w:p>
        </w:tc>
        <w:tc>
          <w:tcPr>
            <w:tcW w:w="1136" w:type="pct"/>
          </w:tcPr>
          <w:p w14:paraId="07B68DD3" w14:textId="77777777" w:rsidR="005A008B" w:rsidRPr="00D90C15" w:rsidRDefault="005A008B" w:rsidP="00CC3F1F">
            <w:pPr>
              <w:pStyle w:val="TableBody"/>
            </w:pPr>
            <w:r w:rsidRPr="00D90C15">
              <w:t xml:space="preserve"> 4,109 </w:t>
            </w:r>
          </w:p>
        </w:tc>
      </w:tr>
      <w:tr w:rsidR="005A008B" w:rsidRPr="00D90C15" w14:paraId="2816DDFA" w14:textId="77777777" w:rsidTr="0046794E">
        <w:trPr>
          <w:trHeight w:val="60"/>
        </w:trPr>
        <w:tc>
          <w:tcPr>
            <w:tcW w:w="2728" w:type="pct"/>
          </w:tcPr>
          <w:p w14:paraId="16A85872" w14:textId="77777777" w:rsidR="005A008B" w:rsidRPr="00E72391" w:rsidRDefault="005A008B" w:rsidP="00E72391">
            <w:pPr>
              <w:pStyle w:val="TableBody"/>
              <w:rPr>
                <w:b/>
                <w:bCs/>
              </w:rPr>
            </w:pPr>
            <w:r w:rsidRPr="00E72391">
              <w:rPr>
                <w:b/>
                <w:bCs/>
              </w:rPr>
              <w:t>Total provisions</w:t>
            </w:r>
          </w:p>
        </w:tc>
        <w:tc>
          <w:tcPr>
            <w:tcW w:w="1137" w:type="pct"/>
          </w:tcPr>
          <w:p w14:paraId="5355D426" w14:textId="77777777" w:rsidR="005A008B" w:rsidRPr="001F7031" w:rsidRDefault="005A008B" w:rsidP="001F7031">
            <w:pPr>
              <w:pStyle w:val="TableBody"/>
              <w:rPr>
                <w:b/>
                <w:bCs/>
              </w:rPr>
            </w:pPr>
            <w:r w:rsidRPr="001F7031">
              <w:rPr>
                <w:b/>
                <w:bCs/>
              </w:rPr>
              <w:t xml:space="preserve">272,492 </w:t>
            </w:r>
          </w:p>
        </w:tc>
        <w:tc>
          <w:tcPr>
            <w:tcW w:w="1136" w:type="pct"/>
          </w:tcPr>
          <w:p w14:paraId="1EB886C4" w14:textId="77777777" w:rsidR="005A008B" w:rsidRPr="00D90C15" w:rsidRDefault="005A008B" w:rsidP="00CC3F1F">
            <w:pPr>
              <w:pStyle w:val="TableBody"/>
            </w:pPr>
            <w:r w:rsidRPr="00D90C15">
              <w:t xml:space="preserve"> 273,915 </w:t>
            </w:r>
          </w:p>
        </w:tc>
      </w:tr>
    </w:tbl>
    <w:p w14:paraId="315006BE" w14:textId="77777777" w:rsidR="005A008B" w:rsidRPr="00D90C15" w:rsidRDefault="005A008B" w:rsidP="00234617">
      <w:r w:rsidRPr="006512A5">
        <w:rPr>
          <w:rStyle w:val="Bold"/>
        </w:rPr>
        <w:t>Salaries and wages, annual leave, and sick leave</w:t>
      </w:r>
      <w:r w:rsidRPr="00D90C15">
        <w:t xml:space="preserve">: Liabilities for salaries and wages (including non-monetary benefits, annual leave and </w:t>
      </w:r>
      <w:proofErr w:type="gramStart"/>
      <w:r w:rsidRPr="00D90C15">
        <w:t>on-costs</w:t>
      </w:r>
      <w:proofErr w:type="gramEnd"/>
      <w:r w:rsidRPr="00D90C15">
        <w:t>) are recognised as part of the employee benefit provision as current liabilities, because the Council does not have an unconditional right to defer settlements of these liabilities.</w:t>
      </w:r>
    </w:p>
    <w:p w14:paraId="661F6E47" w14:textId="77777777" w:rsidR="005A008B" w:rsidRPr="00D90C15" w:rsidRDefault="005A008B" w:rsidP="00234617">
      <w:r w:rsidRPr="00D90C15">
        <w:t xml:space="preserve">The liability for salaries and wages is recognised in the balance sheet at remuneration rates that are current at reporting date. As the Council expects the liabilities to be wholly settled within 12 months of reporting date, they are measured at undiscounted amounts. </w:t>
      </w:r>
    </w:p>
    <w:p w14:paraId="5ED69007" w14:textId="77777777" w:rsidR="005A008B" w:rsidRPr="00D90C15" w:rsidRDefault="005A008B" w:rsidP="00234617">
      <w:r w:rsidRPr="00D90C15">
        <w:t xml:space="preserve">The annual leave liability is classified as a current liability and measured at the undiscounted amount expected to be paid, as the Council does not have an unconditional right to defer settlement of the liability for at least 12 months after the end of the reporting period. </w:t>
      </w:r>
    </w:p>
    <w:p w14:paraId="68604E82" w14:textId="77777777" w:rsidR="005A008B" w:rsidRPr="00D90C15" w:rsidRDefault="005A008B" w:rsidP="00234617">
      <w:r w:rsidRPr="00D90C15">
        <w:t xml:space="preserve">No provision has been made for sick leave as all sick leave is non-vesting and it is not considered probable that the average sick leave taken in the future will be greater than the benefits accrued in the future. As sick leave is non-vesting, an expense is recognised in the Comprehensive Operating Statement as it is taken. </w:t>
      </w:r>
    </w:p>
    <w:p w14:paraId="51B0B5A1" w14:textId="77777777" w:rsidR="005A008B" w:rsidRPr="00D90C15" w:rsidRDefault="005A008B" w:rsidP="00234617">
      <w:r w:rsidRPr="00D90C15">
        <w:t xml:space="preserve">Employment </w:t>
      </w:r>
      <w:proofErr w:type="gramStart"/>
      <w:r w:rsidRPr="00D90C15">
        <w:t>on-costs</w:t>
      </w:r>
      <w:proofErr w:type="gramEnd"/>
      <w:r w:rsidRPr="00D90C15">
        <w:t xml:space="preserve"> such as payroll tax, workers compensation and superannuation are not employee benefits. They are disclosed separately as a </w:t>
      </w:r>
      <w:r w:rsidRPr="00D90C15">
        <w:lastRenderedPageBreak/>
        <w:t xml:space="preserve">component of the provision for employee benefits when the employment to which they relate has occurred. </w:t>
      </w:r>
    </w:p>
    <w:p w14:paraId="0334CA9E" w14:textId="77777777" w:rsidR="005A008B" w:rsidRPr="00D90C15" w:rsidRDefault="005A008B" w:rsidP="00234617">
      <w:r w:rsidRPr="006512A5">
        <w:rPr>
          <w:rStyle w:val="Bold"/>
        </w:rPr>
        <w:t>Unconditional LSL</w:t>
      </w:r>
      <w:r w:rsidRPr="00D90C15">
        <w:t xml:space="preserve"> is disclosed as a current liability, even where the Council does not expect to settle the liability within 12 months because it will not have the unconditional right to defer the settlement of the entitlement should an employee take leave within 12 months. </w:t>
      </w:r>
    </w:p>
    <w:p w14:paraId="1B4DBCCF" w14:textId="77777777" w:rsidR="005A008B" w:rsidRPr="00D90C15" w:rsidRDefault="005A008B" w:rsidP="006512A5">
      <w:r w:rsidRPr="00D90C15">
        <w:t>The components of this current LSL liability are measured at:</w:t>
      </w:r>
    </w:p>
    <w:p w14:paraId="10510787" w14:textId="77777777" w:rsidR="005A008B" w:rsidRPr="00D90C15" w:rsidRDefault="005A008B" w:rsidP="00926C26">
      <w:pPr>
        <w:pStyle w:val="Bullets"/>
      </w:pPr>
      <w:r w:rsidRPr="00D90C15">
        <w:t>undiscounted value – if the Council expects to wholly settle within 12 months or</w:t>
      </w:r>
    </w:p>
    <w:p w14:paraId="0F9A849D" w14:textId="77777777" w:rsidR="005A008B" w:rsidRPr="00D90C15" w:rsidRDefault="005A008B" w:rsidP="00926C26">
      <w:pPr>
        <w:pStyle w:val="Bullets"/>
      </w:pPr>
      <w:r w:rsidRPr="00D90C15">
        <w:t xml:space="preserve">present value – if the Council does not expect to wholly settle within 12 months. </w:t>
      </w:r>
    </w:p>
    <w:p w14:paraId="35DE21D9" w14:textId="77777777" w:rsidR="005A008B" w:rsidRPr="00D90C15" w:rsidRDefault="005A008B" w:rsidP="00234617">
      <w:r w:rsidRPr="006512A5">
        <w:rPr>
          <w:rStyle w:val="Bold"/>
        </w:rPr>
        <w:t>Conditional LSL</w:t>
      </w:r>
      <w:r w:rsidRPr="00D90C15">
        <w:t xml:space="preserve"> is disclosed as a non-current liability. There is a conditional right to defer the settlement of the entitlement until the employee has completed the requisite years of service. This non-current LSL is measured at present value.</w:t>
      </w:r>
    </w:p>
    <w:p w14:paraId="25C55F1F" w14:textId="77777777" w:rsidR="005A008B" w:rsidRPr="00D90C15" w:rsidRDefault="005A008B" w:rsidP="00234617">
      <w:r w:rsidRPr="00D90C15">
        <w:t xml:space="preserve">Any gain or loss following revaluation of the present value of non-current LSL liability is recognised as a transaction, except to the extent that a gain or loss arises due to changes in bond interest rates for which it is then recognised as an ‘other economic flow’ in the net result. </w:t>
      </w:r>
    </w:p>
    <w:p w14:paraId="1FDEE136" w14:textId="77777777" w:rsidR="005A008B" w:rsidRPr="00D90C15" w:rsidRDefault="005A008B" w:rsidP="002822AC">
      <w:pPr>
        <w:pStyle w:val="Heading4"/>
      </w:pPr>
      <w:r w:rsidRPr="00D90C15">
        <w:t>3.1.3 Superannuation Contributions</w:t>
      </w:r>
    </w:p>
    <w:p w14:paraId="447289E4" w14:textId="77777777" w:rsidR="005A008B" w:rsidRPr="00D90C15" w:rsidRDefault="005A008B" w:rsidP="006512A5">
      <w:r w:rsidRPr="00D90C15">
        <w:t xml:space="preserve">Employees of the Council are entitled to receive superannuation benefits, and the Council contributes to defined contribution plans. </w:t>
      </w:r>
    </w:p>
    <w:tbl>
      <w:tblPr>
        <w:tblStyle w:val="Table"/>
        <w:tblW w:w="5000" w:type="pct"/>
        <w:tblLook w:val="0020" w:firstRow="1" w:lastRow="0" w:firstColumn="0" w:lastColumn="0" w:noHBand="0" w:noVBand="0"/>
      </w:tblPr>
      <w:tblGrid>
        <w:gridCol w:w="4919"/>
        <w:gridCol w:w="2050"/>
        <w:gridCol w:w="2047"/>
      </w:tblGrid>
      <w:tr w:rsidR="005A008B" w:rsidRPr="00D90C15" w14:paraId="04AE2319" w14:textId="77777777" w:rsidTr="0046794E">
        <w:trPr>
          <w:trHeight w:val="60"/>
          <w:tblHeader/>
        </w:trPr>
        <w:tc>
          <w:tcPr>
            <w:tcW w:w="2728" w:type="pct"/>
          </w:tcPr>
          <w:p w14:paraId="7920CF49"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7ABD0D17" w14:textId="77777777" w:rsidR="005A008B" w:rsidRPr="00D90C15" w:rsidRDefault="005A008B" w:rsidP="007B5725">
            <w:pPr>
              <w:pStyle w:val="TableHeading"/>
            </w:pPr>
            <w:r w:rsidRPr="00D90C15">
              <w:t>2025</w:t>
            </w:r>
            <w:r w:rsidRPr="00D90C15">
              <w:br/>
              <w:t>$</w:t>
            </w:r>
          </w:p>
        </w:tc>
        <w:tc>
          <w:tcPr>
            <w:tcW w:w="1136" w:type="pct"/>
          </w:tcPr>
          <w:p w14:paraId="41AC2903" w14:textId="77777777" w:rsidR="005A008B" w:rsidRPr="00D90C15" w:rsidRDefault="005A008B" w:rsidP="007B5725">
            <w:pPr>
              <w:pStyle w:val="TableHeading"/>
            </w:pPr>
            <w:r w:rsidRPr="00D90C15">
              <w:t>2024</w:t>
            </w:r>
            <w:r w:rsidRPr="00D90C15">
              <w:br/>
              <w:t>$</w:t>
            </w:r>
          </w:p>
        </w:tc>
      </w:tr>
      <w:tr w:rsidR="005A008B" w:rsidRPr="00D90C15" w14:paraId="6CFB40F0" w14:textId="77777777" w:rsidTr="0046794E">
        <w:trPr>
          <w:trHeight w:val="60"/>
        </w:trPr>
        <w:tc>
          <w:tcPr>
            <w:tcW w:w="2728" w:type="pct"/>
          </w:tcPr>
          <w:p w14:paraId="278522BE" w14:textId="77777777" w:rsidR="005A008B" w:rsidRPr="00E72391" w:rsidRDefault="005A008B" w:rsidP="00E72391">
            <w:pPr>
              <w:pStyle w:val="TableBody"/>
              <w:rPr>
                <w:b/>
                <w:bCs/>
              </w:rPr>
            </w:pPr>
            <w:r w:rsidRPr="00E72391">
              <w:rPr>
                <w:b/>
                <w:bCs/>
              </w:rPr>
              <w:t>Defined contribution plans:</w:t>
            </w:r>
          </w:p>
        </w:tc>
        <w:tc>
          <w:tcPr>
            <w:tcW w:w="1137" w:type="pct"/>
          </w:tcPr>
          <w:p w14:paraId="39929064"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46BA1D1A"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2FA01F02" w14:textId="77777777" w:rsidTr="0046794E">
        <w:trPr>
          <w:trHeight w:val="60"/>
        </w:trPr>
        <w:tc>
          <w:tcPr>
            <w:tcW w:w="2728" w:type="pct"/>
          </w:tcPr>
          <w:p w14:paraId="7DF736DD" w14:textId="77777777" w:rsidR="005A008B" w:rsidRPr="00D90C15" w:rsidRDefault="005A008B" w:rsidP="00AA1CB0">
            <w:pPr>
              <w:pStyle w:val="TableBody"/>
            </w:pPr>
            <w:proofErr w:type="spellStart"/>
            <w:r w:rsidRPr="00D90C15">
              <w:t>VicSuper</w:t>
            </w:r>
            <w:proofErr w:type="spellEnd"/>
            <w:r w:rsidRPr="00D90C15">
              <w:t xml:space="preserve"> </w:t>
            </w:r>
          </w:p>
        </w:tc>
        <w:tc>
          <w:tcPr>
            <w:tcW w:w="1137" w:type="pct"/>
          </w:tcPr>
          <w:p w14:paraId="1000A9E9" w14:textId="77777777" w:rsidR="005A008B" w:rsidRPr="00D90C15" w:rsidRDefault="005A008B" w:rsidP="00CC3F1F">
            <w:pPr>
              <w:pStyle w:val="TableBody"/>
            </w:pPr>
            <w:r w:rsidRPr="00D90C15">
              <w:t xml:space="preserve"> 70,473 </w:t>
            </w:r>
          </w:p>
        </w:tc>
        <w:tc>
          <w:tcPr>
            <w:tcW w:w="1136" w:type="pct"/>
          </w:tcPr>
          <w:p w14:paraId="0482F93C" w14:textId="77777777" w:rsidR="005A008B" w:rsidRPr="00D90C15" w:rsidRDefault="005A008B" w:rsidP="00CC3F1F">
            <w:pPr>
              <w:pStyle w:val="TableBody"/>
            </w:pPr>
            <w:r w:rsidRPr="00D90C15">
              <w:t xml:space="preserve"> 42,161 </w:t>
            </w:r>
          </w:p>
        </w:tc>
      </w:tr>
      <w:tr w:rsidR="005A008B" w:rsidRPr="00D90C15" w14:paraId="6A481D0D" w14:textId="77777777" w:rsidTr="0046794E">
        <w:trPr>
          <w:trHeight w:val="60"/>
        </w:trPr>
        <w:tc>
          <w:tcPr>
            <w:tcW w:w="2728" w:type="pct"/>
          </w:tcPr>
          <w:p w14:paraId="2CD249A6" w14:textId="77777777" w:rsidR="005A008B" w:rsidRPr="00D90C15" w:rsidRDefault="005A008B" w:rsidP="00AA1CB0">
            <w:pPr>
              <w:pStyle w:val="TableBody"/>
            </w:pPr>
            <w:r w:rsidRPr="00D90C15">
              <w:t xml:space="preserve"> Various other funds</w:t>
            </w:r>
          </w:p>
        </w:tc>
        <w:tc>
          <w:tcPr>
            <w:tcW w:w="1137" w:type="pct"/>
          </w:tcPr>
          <w:p w14:paraId="1A602871" w14:textId="77777777" w:rsidR="005A008B" w:rsidRPr="00D90C15" w:rsidRDefault="005A008B" w:rsidP="00CC3F1F">
            <w:pPr>
              <w:pStyle w:val="TableBody"/>
            </w:pPr>
            <w:r w:rsidRPr="00D90C15">
              <w:t xml:space="preserve">94,122 </w:t>
            </w:r>
          </w:p>
        </w:tc>
        <w:tc>
          <w:tcPr>
            <w:tcW w:w="1136" w:type="pct"/>
          </w:tcPr>
          <w:p w14:paraId="75FC474C" w14:textId="77777777" w:rsidR="005A008B" w:rsidRPr="00D90C15" w:rsidRDefault="005A008B" w:rsidP="00CC3F1F">
            <w:pPr>
              <w:pStyle w:val="TableBody"/>
            </w:pPr>
            <w:r w:rsidRPr="00D90C15">
              <w:t xml:space="preserve"> 95,192 </w:t>
            </w:r>
          </w:p>
        </w:tc>
      </w:tr>
      <w:tr w:rsidR="005A008B" w:rsidRPr="00D90C15" w14:paraId="15CF3448" w14:textId="77777777" w:rsidTr="0046794E">
        <w:trPr>
          <w:trHeight w:val="60"/>
        </w:trPr>
        <w:tc>
          <w:tcPr>
            <w:tcW w:w="2728" w:type="pct"/>
          </w:tcPr>
          <w:p w14:paraId="6B8F7208" w14:textId="77777777" w:rsidR="005A008B" w:rsidRPr="00E72391" w:rsidRDefault="005A008B" w:rsidP="00E72391">
            <w:pPr>
              <w:pStyle w:val="TableBody"/>
              <w:rPr>
                <w:b/>
                <w:bCs/>
              </w:rPr>
            </w:pPr>
            <w:r w:rsidRPr="00E72391">
              <w:rPr>
                <w:b/>
                <w:bCs/>
              </w:rPr>
              <w:t>Total</w:t>
            </w:r>
          </w:p>
        </w:tc>
        <w:tc>
          <w:tcPr>
            <w:tcW w:w="1137" w:type="pct"/>
          </w:tcPr>
          <w:p w14:paraId="791695D6" w14:textId="77777777" w:rsidR="005A008B" w:rsidRPr="001F7031" w:rsidRDefault="005A008B" w:rsidP="001F7031">
            <w:pPr>
              <w:pStyle w:val="TableBody"/>
              <w:rPr>
                <w:b/>
                <w:bCs/>
              </w:rPr>
            </w:pPr>
            <w:r w:rsidRPr="001F7031">
              <w:rPr>
                <w:b/>
                <w:bCs/>
              </w:rPr>
              <w:t xml:space="preserve">164,595 </w:t>
            </w:r>
          </w:p>
        </w:tc>
        <w:tc>
          <w:tcPr>
            <w:tcW w:w="1136" w:type="pct"/>
          </w:tcPr>
          <w:p w14:paraId="727F3989" w14:textId="77777777" w:rsidR="005A008B" w:rsidRPr="00D90C15" w:rsidRDefault="005A008B" w:rsidP="00CC3F1F">
            <w:pPr>
              <w:pStyle w:val="TableBody"/>
            </w:pPr>
            <w:r w:rsidRPr="00D90C15">
              <w:t xml:space="preserve"> 137,352 </w:t>
            </w:r>
          </w:p>
        </w:tc>
      </w:tr>
    </w:tbl>
    <w:p w14:paraId="587125EE" w14:textId="77777777" w:rsidR="005A008B" w:rsidRPr="00D90C15" w:rsidRDefault="005A008B" w:rsidP="002822AC">
      <w:pPr>
        <w:pStyle w:val="Heading3"/>
      </w:pPr>
      <w:bookmarkStart w:id="102" w:name="_Toc221113868"/>
      <w:r w:rsidRPr="00D90C15">
        <w:t>3.2 Other Operating Expenses</w:t>
      </w:r>
      <w:bookmarkEnd w:id="102"/>
    </w:p>
    <w:p w14:paraId="07C906D6" w14:textId="77777777" w:rsidR="005A008B" w:rsidRPr="00D90C15" w:rsidRDefault="005A008B" w:rsidP="00234617">
      <w:r w:rsidRPr="00D90C15">
        <w:t>Other operating expenses represent the day-to-day running costs incurred in normal operations. They also include bad debts expense from transactions that are mutually agreed.</w:t>
      </w:r>
    </w:p>
    <w:p w14:paraId="4617FE62" w14:textId="77777777" w:rsidR="005A008B" w:rsidRPr="00D90C15" w:rsidRDefault="005A008B" w:rsidP="006512A5">
      <w:r w:rsidRPr="00D90C15">
        <w:lastRenderedPageBreak/>
        <w:t xml:space="preserve">Supplies and services are recognised as an expense in the reporting period in which they are incurred. </w:t>
      </w:r>
    </w:p>
    <w:tbl>
      <w:tblPr>
        <w:tblStyle w:val="Table"/>
        <w:tblW w:w="5000" w:type="pct"/>
        <w:tblLook w:val="0020" w:firstRow="1" w:lastRow="0" w:firstColumn="0" w:lastColumn="0" w:noHBand="0" w:noVBand="0"/>
      </w:tblPr>
      <w:tblGrid>
        <w:gridCol w:w="4919"/>
        <w:gridCol w:w="2050"/>
        <w:gridCol w:w="2047"/>
      </w:tblGrid>
      <w:tr w:rsidR="005A008B" w:rsidRPr="00D90C15" w14:paraId="1B5AC166" w14:textId="77777777" w:rsidTr="0046794E">
        <w:trPr>
          <w:trHeight w:val="60"/>
          <w:tblHeader/>
        </w:trPr>
        <w:tc>
          <w:tcPr>
            <w:tcW w:w="2728" w:type="pct"/>
          </w:tcPr>
          <w:p w14:paraId="2186C9C0"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4AF67D8D" w14:textId="77777777" w:rsidR="005A008B" w:rsidRPr="00D90C15" w:rsidRDefault="005A008B" w:rsidP="007B5725">
            <w:pPr>
              <w:pStyle w:val="TableHeading"/>
            </w:pPr>
            <w:r w:rsidRPr="00D90C15">
              <w:t>2025</w:t>
            </w:r>
            <w:r w:rsidRPr="00D90C15">
              <w:br/>
              <w:t>$</w:t>
            </w:r>
          </w:p>
        </w:tc>
        <w:tc>
          <w:tcPr>
            <w:tcW w:w="1136" w:type="pct"/>
          </w:tcPr>
          <w:p w14:paraId="6D3B69E7" w14:textId="77777777" w:rsidR="005A008B" w:rsidRPr="00D90C15" w:rsidRDefault="005A008B" w:rsidP="007B5725">
            <w:pPr>
              <w:pStyle w:val="TableHeading"/>
            </w:pPr>
            <w:r w:rsidRPr="00D90C15">
              <w:t>2024</w:t>
            </w:r>
            <w:r w:rsidRPr="00D90C15">
              <w:br/>
              <w:t>$</w:t>
            </w:r>
          </w:p>
        </w:tc>
      </w:tr>
      <w:tr w:rsidR="005A008B" w:rsidRPr="00D90C15" w14:paraId="3CDBBA85" w14:textId="77777777" w:rsidTr="0046794E">
        <w:trPr>
          <w:trHeight w:val="60"/>
        </w:trPr>
        <w:tc>
          <w:tcPr>
            <w:tcW w:w="2728" w:type="pct"/>
          </w:tcPr>
          <w:p w14:paraId="03BA30E9" w14:textId="77777777" w:rsidR="005A008B" w:rsidRPr="00F52CA3" w:rsidRDefault="005A008B" w:rsidP="00F52CA3">
            <w:pPr>
              <w:pStyle w:val="TableBody"/>
              <w:rPr>
                <w:b/>
                <w:bCs/>
              </w:rPr>
            </w:pPr>
            <w:r w:rsidRPr="00F52CA3">
              <w:rPr>
                <w:b/>
                <w:bCs/>
              </w:rPr>
              <w:t>Supplies and services</w:t>
            </w:r>
          </w:p>
        </w:tc>
        <w:tc>
          <w:tcPr>
            <w:tcW w:w="1137" w:type="pct"/>
          </w:tcPr>
          <w:p w14:paraId="18F31FBB"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42150E8B"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D2FFD93" w14:textId="77777777" w:rsidTr="0046794E">
        <w:trPr>
          <w:trHeight w:val="60"/>
        </w:trPr>
        <w:tc>
          <w:tcPr>
            <w:tcW w:w="2728" w:type="pct"/>
          </w:tcPr>
          <w:p w14:paraId="548F59DB" w14:textId="77777777" w:rsidR="005A008B" w:rsidRPr="00D90C15" w:rsidRDefault="005A008B" w:rsidP="00AA1CB0">
            <w:pPr>
              <w:pStyle w:val="TableBody"/>
            </w:pPr>
            <w:r w:rsidRPr="00D90C15">
              <w:t>Purchase of supplies and consumables</w:t>
            </w:r>
          </w:p>
        </w:tc>
        <w:tc>
          <w:tcPr>
            <w:tcW w:w="1137" w:type="pct"/>
          </w:tcPr>
          <w:p w14:paraId="1A7702B9" w14:textId="77777777" w:rsidR="005A008B" w:rsidRPr="00D90C15" w:rsidRDefault="005A008B" w:rsidP="00CC3F1F">
            <w:pPr>
              <w:pStyle w:val="TableBody"/>
            </w:pPr>
            <w:r w:rsidRPr="00D90C15">
              <w:t xml:space="preserve">35,555 </w:t>
            </w:r>
          </w:p>
        </w:tc>
        <w:tc>
          <w:tcPr>
            <w:tcW w:w="1136" w:type="pct"/>
          </w:tcPr>
          <w:p w14:paraId="62B036B7" w14:textId="77777777" w:rsidR="005A008B" w:rsidRPr="00D90C15" w:rsidRDefault="005A008B" w:rsidP="00CC3F1F">
            <w:pPr>
              <w:pStyle w:val="TableBody"/>
            </w:pPr>
            <w:r w:rsidRPr="00D90C15">
              <w:t xml:space="preserve"> 25,153 </w:t>
            </w:r>
          </w:p>
        </w:tc>
      </w:tr>
      <w:tr w:rsidR="005A008B" w:rsidRPr="00D90C15" w14:paraId="564636FE" w14:textId="77777777" w:rsidTr="0046794E">
        <w:trPr>
          <w:trHeight w:val="60"/>
        </w:trPr>
        <w:tc>
          <w:tcPr>
            <w:tcW w:w="2728" w:type="pct"/>
          </w:tcPr>
          <w:p w14:paraId="551FA3E1" w14:textId="77777777" w:rsidR="005A008B" w:rsidRPr="00D90C15" w:rsidRDefault="005A008B" w:rsidP="00AA1CB0">
            <w:pPr>
              <w:pStyle w:val="TableBody"/>
            </w:pPr>
            <w:r w:rsidRPr="00D90C15">
              <w:t>Purchase of services</w:t>
            </w:r>
          </w:p>
        </w:tc>
        <w:tc>
          <w:tcPr>
            <w:tcW w:w="1137" w:type="pct"/>
          </w:tcPr>
          <w:p w14:paraId="39DEC069" w14:textId="77777777" w:rsidR="005A008B" w:rsidRPr="00D90C15" w:rsidRDefault="005A008B" w:rsidP="00CC3F1F">
            <w:pPr>
              <w:pStyle w:val="TableBody"/>
            </w:pPr>
            <w:r w:rsidRPr="00D90C15">
              <w:t xml:space="preserve">104,222 </w:t>
            </w:r>
          </w:p>
        </w:tc>
        <w:tc>
          <w:tcPr>
            <w:tcW w:w="1136" w:type="pct"/>
          </w:tcPr>
          <w:p w14:paraId="31885589" w14:textId="77777777" w:rsidR="005A008B" w:rsidRPr="00D90C15" w:rsidRDefault="005A008B" w:rsidP="00CC3F1F">
            <w:pPr>
              <w:pStyle w:val="TableBody"/>
            </w:pPr>
            <w:r w:rsidRPr="00D90C15">
              <w:t xml:space="preserve"> 71,193 </w:t>
            </w:r>
          </w:p>
        </w:tc>
      </w:tr>
      <w:tr w:rsidR="005A008B" w:rsidRPr="00D90C15" w14:paraId="129B0DF1" w14:textId="77777777" w:rsidTr="0046794E">
        <w:trPr>
          <w:trHeight w:val="60"/>
        </w:trPr>
        <w:tc>
          <w:tcPr>
            <w:tcW w:w="2728" w:type="pct"/>
          </w:tcPr>
          <w:p w14:paraId="5EB8A063" w14:textId="77777777" w:rsidR="005A008B" w:rsidRPr="00D90C15" w:rsidRDefault="005A008B" w:rsidP="00AA1CB0">
            <w:pPr>
              <w:pStyle w:val="TableBody"/>
            </w:pPr>
            <w:r w:rsidRPr="00D90C15">
              <w:t>Maintenance</w:t>
            </w:r>
          </w:p>
        </w:tc>
        <w:tc>
          <w:tcPr>
            <w:tcW w:w="1137" w:type="pct"/>
          </w:tcPr>
          <w:p w14:paraId="6BEDE84E" w14:textId="77777777" w:rsidR="005A008B" w:rsidRPr="00D90C15" w:rsidRDefault="005A008B" w:rsidP="00CC3F1F">
            <w:pPr>
              <w:pStyle w:val="TableBody"/>
            </w:pPr>
            <w:r w:rsidRPr="00D90C15">
              <w:t xml:space="preserve">1,196 </w:t>
            </w:r>
          </w:p>
        </w:tc>
        <w:tc>
          <w:tcPr>
            <w:tcW w:w="1136" w:type="pct"/>
          </w:tcPr>
          <w:p w14:paraId="20F5D938" w14:textId="77777777" w:rsidR="005A008B" w:rsidRPr="00D90C15" w:rsidRDefault="005A008B" w:rsidP="00CC3F1F">
            <w:pPr>
              <w:pStyle w:val="TableBody"/>
            </w:pPr>
            <w:r w:rsidRPr="00D90C15">
              <w:t xml:space="preserve"> 787 </w:t>
            </w:r>
          </w:p>
        </w:tc>
      </w:tr>
      <w:tr w:rsidR="005A008B" w:rsidRPr="00D90C15" w14:paraId="4B0BFD3E" w14:textId="77777777" w:rsidTr="0046794E">
        <w:trPr>
          <w:trHeight w:val="60"/>
        </w:trPr>
        <w:tc>
          <w:tcPr>
            <w:tcW w:w="2728" w:type="pct"/>
          </w:tcPr>
          <w:p w14:paraId="61728CCC" w14:textId="77777777" w:rsidR="005A008B" w:rsidRPr="00D90C15" w:rsidRDefault="005A008B" w:rsidP="00AA1CB0">
            <w:pPr>
              <w:pStyle w:val="TableBody"/>
            </w:pPr>
            <w:r w:rsidRPr="00D90C15">
              <w:t>Rental costs and outgoings</w:t>
            </w:r>
          </w:p>
        </w:tc>
        <w:tc>
          <w:tcPr>
            <w:tcW w:w="1137" w:type="pct"/>
          </w:tcPr>
          <w:p w14:paraId="02905B6F" w14:textId="77777777" w:rsidR="005A008B" w:rsidRPr="00D90C15" w:rsidRDefault="005A008B" w:rsidP="00CC3F1F">
            <w:pPr>
              <w:pStyle w:val="TableBody"/>
            </w:pPr>
            <w:r w:rsidRPr="00D90C15">
              <w:t xml:space="preserve">44,201 </w:t>
            </w:r>
          </w:p>
        </w:tc>
        <w:tc>
          <w:tcPr>
            <w:tcW w:w="1136" w:type="pct"/>
          </w:tcPr>
          <w:p w14:paraId="77106552" w14:textId="77777777" w:rsidR="005A008B" w:rsidRPr="00D90C15" w:rsidRDefault="005A008B" w:rsidP="00CC3F1F">
            <w:pPr>
              <w:pStyle w:val="TableBody"/>
            </w:pPr>
            <w:r w:rsidRPr="00D90C15">
              <w:t xml:space="preserve"> 45,946 </w:t>
            </w:r>
          </w:p>
        </w:tc>
      </w:tr>
      <w:tr w:rsidR="005A008B" w:rsidRPr="00D90C15" w14:paraId="2135D563" w14:textId="77777777" w:rsidTr="0046794E">
        <w:trPr>
          <w:trHeight w:val="60"/>
        </w:trPr>
        <w:tc>
          <w:tcPr>
            <w:tcW w:w="2728" w:type="pct"/>
          </w:tcPr>
          <w:p w14:paraId="25FF0712" w14:textId="77777777" w:rsidR="005A008B" w:rsidRPr="00E72391" w:rsidRDefault="005A008B" w:rsidP="00E72391">
            <w:pPr>
              <w:pStyle w:val="TableBody"/>
              <w:rPr>
                <w:b/>
                <w:bCs/>
              </w:rPr>
            </w:pPr>
            <w:r w:rsidRPr="00E72391">
              <w:rPr>
                <w:b/>
                <w:bCs/>
              </w:rPr>
              <w:t>Total supplies and services</w:t>
            </w:r>
          </w:p>
        </w:tc>
        <w:tc>
          <w:tcPr>
            <w:tcW w:w="1137" w:type="pct"/>
          </w:tcPr>
          <w:p w14:paraId="43BF0552" w14:textId="77777777" w:rsidR="005A008B" w:rsidRPr="006512A5" w:rsidRDefault="005A008B" w:rsidP="00CC3F1F">
            <w:pPr>
              <w:pStyle w:val="TableBody"/>
              <w:rPr>
                <w:rStyle w:val="Bold"/>
              </w:rPr>
            </w:pPr>
            <w:r w:rsidRPr="006512A5">
              <w:rPr>
                <w:rStyle w:val="Bold"/>
              </w:rPr>
              <w:t xml:space="preserve">185,174 </w:t>
            </w:r>
          </w:p>
        </w:tc>
        <w:tc>
          <w:tcPr>
            <w:tcW w:w="1136" w:type="pct"/>
          </w:tcPr>
          <w:p w14:paraId="123BF515" w14:textId="77777777" w:rsidR="005A008B" w:rsidRPr="00D90C15" w:rsidRDefault="005A008B" w:rsidP="00CC3F1F">
            <w:pPr>
              <w:pStyle w:val="TableBody"/>
            </w:pPr>
            <w:r w:rsidRPr="00D90C15">
              <w:t xml:space="preserve"> 143,079 </w:t>
            </w:r>
          </w:p>
        </w:tc>
      </w:tr>
    </w:tbl>
    <w:p w14:paraId="48F3ABF6" w14:textId="452AA305" w:rsidR="005A008B" w:rsidRPr="00D90C15" w:rsidRDefault="00B17BF9" w:rsidP="002822AC">
      <w:pPr>
        <w:pStyle w:val="Heading1"/>
      </w:pPr>
      <w:bookmarkStart w:id="103" w:name="_Toc221113869"/>
      <w:r>
        <w:lastRenderedPageBreak/>
        <w:t xml:space="preserve">4 </w:t>
      </w:r>
      <w:r w:rsidR="002822AC" w:rsidRPr="00D90C15">
        <w:t xml:space="preserve">Key Assets Available </w:t>
      </w:r>
      <w:proofErr w:type="gramStart"/>
      <w:r w:rsidR="002822AC" w:rsidRPr="00D90C15">
        <w:t>To</w:t>
      </w:r>
      <w:proofErr w:type="gramEnd"/>
      <w:r w:rsidR="002822AC" w:rsidRPr="00D90C15">
        <w:t xml:space="preserve"> Support Service Delivery</w:t>
      </w:r>
      <w:bookmarkEnd w:id="103"/>
    </w:p>
    <w:p w14:paraId="4718D95A" w14:textId="77777777" w:rsidR="005A008B" w:rsidRPr="00D90C15" w:rsidRDefault="005A008B" w:rsidP="00926C26">
      <w:pPr>
        <w:pStyle w:val="Heading2"/>
      </w:pPr>
      <w:bookmarkStart w:id="104" w:name="_Toc221113870"/>
      <w:r w:rsidRPr="00D90C15">
        <w:t>Introduction</w:t>
      </w:r>
      <w:bookmarkEnd w:id="104"/>
    </w:p>
    <w:p w14:paraId="1F573B7F" w14:textId="77777777" w:rsidR="005A008B" w:rsidRPr="00D90C15" w:rsidRDefault="005A008B" w:rsidP="00234617">
      <w:r w:rsidRPr="00D90C15">
        <w:t xml:space="preserve">The Council controls plant and equipment that provide a benefit over multiple financial years that are utilised in fulfilling its objectives and conducting its activities. These assets represent the resources that have been entrusted to the Council to be utilised for delivery of its services through supporting its sentencing research and data collation activities. The Council’s asset capitalisation threshold is $5,000 for all assets, with items of a portable and attractive nature being separately recorded and monitored. </w:t>
      </w:r>
    </w:p>
    <w:p w14:paraId="70923CE4" w14:textId="77777777" w:rsidR="005A008B" w:rsidRPr="00D90C15" w:rsidRDefault="005A008B" w:rsidP="00234617">
      <w:r w:rsidRPr="00D90C15">
        <w:t xml:space="preserve">Where any assets included in this section are carried at fair value, additional information is disclosed in Note 7.3 in connection with how those fair values were determined. </w:t>
      </w:r>
    </w:p>
    <w:p w14:paraId="3536FB27" w14:textId="77777777" w:rsidR="005A008B" w:rsidRPr="00D90C15" w:rsidRDefault="005A008B" w:rsidP="00926C26">
      <w:pPr>
        <w:pStyle w:val="Heading2"/>
      </w:pPr>
      <w:bookmarkStart w:id="105" w:name="_Toc221113871"/>
      <w:r w:rsidRPr="00D90C15">
        <w:t>Structure</w:t>
      </w:r>
      <w:bookmarkEnd w:id="105"/>
    </w:p>
    <w:p w14:paraId="194DD89E" w14:textId="7F78B69C" w:rsidR="005A008B" w:rsidRPr="00D90C15" w:rsidRDefault="005A008B" w:rsidP="00234617">
      <w:r w:rsidRPr="00D90C15">
        <w:t>4.1 Property, Plant and Equipment</w:t>
      </w:r>
    </w:p>
    <w:tbl>
      <w:tblPr>
        <w:tblStyle w:val="Table"/>
        <w:tblW w:w="0" w:type="auto"/>
        <w:tblLook w:val="0020" w:firstRow="1" w:lastRow="0" w:firstColumn="0" w:lastColumn="0" w:noHBand="0" w:noVBand="0"/>
      </w:tblPr>
      <w:tblGrid>
        <w:gridCol w:w="1308"/>
        <w:gridCol w:w="1261"/>
        <w:gridCol w:w="1142"/>
        <w:gridCol w:w="1772"/>
        <w:gridCol w:w="1147"/>
        <w:gridCol w:w="1244"/>
        <w:gridCol w:w="1142"/>
      </w:tblGrid>
      <w:tr w:rsidR="00B01D1C" w:rsidRPr="00D90C15" w14:paraId="690AE2A7" w14:textId="77777777" w:rsidTr="0046794E">
        <w:trPr>
          <w:trHeight w:val="60"/>
          <w:tblHeader/>
        </w:trPr>
        <w:tc>
          <w:tcPr>
            <w:tcW w:w="0" w:type="auto"/>
          </w:tcPr>
          <w:p w14:paraId="1CCDC16F" w14:textId="77777777" w:rsidR="00B01D1C" w:rsidRPr="00D90C15" w:rsidRDefault="00B01D1C" w:rsidP="004F187B">
            <w:pPr>
              <w:pStyle w:val="NoParagraphStyle"/>
              <w:spacing w:line="240" w:lineRule="auto"/>
              <w:textAlignment w:val="auto"/>
              <w:rPr>
                <w:rFonts w:cs="Times New Roman"/>
                <w:color w:val="auto"/>
                <w:lang w:val="en-AU"/>
              </w:rPr>
            </w:pPr>
          </w:p>
        </w:tc>
        <w:tc>
          <w:tcPr>
            <w:tcW w:w="0" w:type="auto"/>
          </w:tcPr>
          <w:p w14:paraId="1C827CB1" w14:textId="4F9B2CEE" w:rsidR="00B01D1C" w:rsidRPr="00D90C15" w:rsidRDefault="00B01D1C" w:rsidP="007B5725">
            <w:pPr>
              <w:pStyle w:val="TableHeading"/>
            </w:pPr>
            <w:r w:rsidRPr="00D90C15">
              <w:t>Gross carrying amount</w:t>
            </w:r>
          </w:p>
        </w:tc>
        <w:tc>
          <w:tcPr>
            <w:tcW w:w="0" w:type="auto"/>
          </w:tcPr>
          <w:p w14:paraId="54F66313" w14:textId="77777777" w:rsidR="00B01D1C" w:rsidRPr="00D90C15" w:rsidRDefault="00B01D1C" w:rsidP="007B5725">
            <w:pPr>
              <w:pStyle w:val="TableHeading"/>
            </w:pPr>
          </w:p>
        </w:tc>
        <w:tc>
          <w:tcPr>
            <w:tcW w:w="0" w:type="auto"/>
          </w:tcPr>
          <w:p w14:paraId="0B43A267" w14:textId="4A8DC326" w:rsidR="00B01D1C" w:rsidRPr="00D90C15" w:rsidRDefault="00B01D1C" w:rsidP="007B5725">
            <w:pPr>
              <w:pStyle w:val="TableHeading"/>
            </w:pPr>
            <w:r w:rsidRPr="00D90C15">
              <w:t>Accumulated depreciation</w:t>
            </w:r>
          </w:p>
        </w:tc>
        <w:tc>
          <w:tcPr>
            <w:tcW w:w="0" w:type="auto"/>
          </w:tcPr>
          <w:p w14:paraId="3CB9FC5F" w14:textId="77777777" w:rsidR="00B01D1C" w:rsidRPr="00D90C15" w:rsidRDefault="00B01D1C" w:rsidP="007B5725">
            <w:pPr>
              <w:pStyle w:val="TableHeading"/>
            </w:pPr>
          </w:p>
        </w:tc>
        <w:tc>
          <w:tcPr>
            <w:tcW w:w="0" w:type="auto"/>
          </w:tcPr>
          <w:p w14:paraId="46138FC5" w14:textId="0BB22932" w:rsidR="00B01D1C" w:rsidRPr="00D90C15" w:rsidRDefault="00B01D1C" w:rsidP="007B5725">
            <w:pPr>
              <w:pStyle w:val="TableHeading"/>
            </w:pPr>
            <w:r w:rsidRPr="00D90C15">
              <w:t>Net carrying amount</w:t>
            </w:r>
          </w:p>
        </w:tc>
        <w:tc>
          <w:tcPr>
            <w:tcW w:w="0" w:type="auto"/>
          </w:tcPr>
          <w:p w14:paraId="777F4870" w14:textId="77777777" w:rsidR="00B01D1C" w:rsidRPr="00D90C15" w:rsidRDefault="00B01D1C" w:rsidP="007B5725">
            <w:pPr>
              <w:pStyle w:val="TableHeading"/>
            </w:pPr>
          </w:p>
        </w:tc>
      </w:tr>
      <w:tr w:rsidR="00B01D1C" w:rsidRPr="00D90C15" w14:paraId="34EE6D82" w14:textId="77777777" w:rsidTr="0046794E">
        <w:trPr>
          <w:trHeight w:val="60"/>
          <w:tblHeader/>
        </w:trPr>
        <w:tc>
          <w:tcPr>
            <w:tcW w:w="0" w:type="auto"/>
          </w:tcPr>
          <w:p w14:paraId="10359025" w14:textId="77777777" w:rsidR="005A008B" w:rsidRPr="00D90C15" w:rsidRDefault="005A008B" w:rsidP="004F187B">
            <w:pPr>
              <w:pStyle w:val="NoParagraphStyle"/>
              <w:spacing w:line="240" w:lineRule="auto"/>
              <w:textAlignment w:val="auto"/>
              <w:rPr>
                <w:rFonts w:cs="Times New Roman"/>
                <w:color w:val="auto"/>
                <w:lang w:val="en-AU"/>
              </w:rPr>
            </w:pPr>
          </w:p>
        </w:tc>
        <w:tc>
          <w:tcPr>
            <w:tcW w:w="0" w:type="auto"/>
          </w:tcPr>
          <w:p w14:paraId="71E7992E" w14:textId="77777777" w:rsidR="005A008B" w:rsidRPr="00D90C15" w:rsidRDefault="005A008B" w:rsidP="007B5725">
            <w:pPr>
              <w:pStyle w:val="TableHeading"/>
            </w:pPr>
            <w:r w:rsidRPr="00D90C15">
              <w:t>2025</w:t>
            </w:r>
            <w:r w:rsidRPr="00D90C15">
              <w:br/>
              <w:t>$</w:t>
            </w:r>
          </w:p>
        </w:tc>
        <w:tc>
          <w:tcPr>
            <w:tcW w:w="0" w:type="auto"/>
          </w:tcPr>
          <w:p w14:paraId="5CEC6D53" w14:textId="77777777" w:rsidR="005A008B" w:rsidRPr="00D90C15" w:rsidRDefault="005A008B" w:rsidP="007B5725">
            <w:pPr>
              <w:pStyle w:val="TableHeading"/>
            </w:pPr>
            <w:r w:rsidRPr="00D90C15">
              <w:t>2024</w:t>
            </w:r>
            <w:r w:rsidRPr="00D90C15">
              <w:br/>
              <w:t>$</w:t>
            </w:r>
          </w:p>
        </w:tc>
        <w:tc>
          <w:tcPr>
            <w:tcW w:w="0" w:type="auto"/>
          </w:tcPr>
          <w:p w14:paraId="752AED7A" w14:textId="77777777" w:rsidR="005A008B" w:rsidRPr="00D90C15" w:rsidRDefault="005A008B" w:rsidP="007B5725">
            <w:pPr>
              <w:pStyle w:val="TableHeading"/>
            </w:pPr>
            <w:r w:rsidRPr="00D90C15">
              <w:t>2025</w:t>
            </w:r>
            <w:r w:rsidRPr="00D90C15">
              <w:br/>
              <w:t>$</w:t>
            </w:r>
          </w:p>
        </w:tc>
        <w:tc>
          <w:tcPr>
            <w:tcW w:w="0" w:type="auto"/>
          </w:tcPr>
          <w:p w14:paraId="0AE569D8" w14:textId="77777777" w:rsidR="005A008B" w:rsidRPr="00D90C15" w:rsidRDefault="005A008B" w:rsidP="007B5725">
            <w:pPr>
              <w:pStyle w:val="TableHeading"/>
            </w:pPr>
            <w:r w:rsidRPr="00D90C15">
              <w:t>2024</w:t>
            </w:r>
            <w:r w:rsidRPr="00D90C15">
              <w:br/>
              <w:t>$</w:t>
            </w:r>
          </w:p>
        </w:tc>
        <w:tc>
          <w:tcPr>
            <w:tcW w:w="0" w:type="auto"/>
          </w:tcPr>
          <w:p w14:paraId="1E1A3526" w14:textId="77777777" w:rsidR="005A008B" w:rsidRPr="00D90C15" w:rsidRDefault="005A008B" w:rsidP="007B5725">
            <w:pPr>
              <w:pStyle w:val="TableHeading"/>
            </w:pPr>
            <w:r w:rsidRPr="00D90C15">
              <w:t>2025</w:t>
            </w:r>
            <w:r w:rsidRPr="00D90C15">
              <w:br/>
              <w:t>$</w:t>
            </w:r>
          </w:p>
        </w:tc>
        <w:tc>
          <w:tcPr>
            <w:tcW w:w="0" w:type="auto"/>
          </w:tcPr>
          <w:p w14:paraId="6E75B6B0" w14:textId="77777777" w:rsidR="005A008B" w:rsidRPr="00D90C15" w:rsidRDefault="005A008B" w:rsidP="007B5725">
            <w:pPr>
              <w:pStyle w:val="TableHeading"/>
            </w:pPr>
            <w:r w:rsidRPr="00D90C15">
              <w:t>2024</w:t>
            </w:r>
            <w:r w:rsidRPr="00D90C15">
              <w:br/>
              <w:t>$</w:t>
            </w:r>
          </w:p>
        </w:tc>
      </w:tr>
      <w:tr w:rsidR="00B01D1C" w:rsidRPr="00D90C15" w14:paraId="5A137F46" w14:textId="77777777" w:rsidTr="0046794E">
        <w:trPr>
          <w:trHeight w:val="60"/>
        </w:trPr>
        <w:tc>
          <w:tcPr>
            <w:tcW w:w="0" w:type="auto"/>
          </w:tcPr>
          <w:p w14:paraId="39EBD989" w14:textId="77777777" w:rsidR="005A008B" w:rsidRPr="00D90C15" w:rsidRDefault="005A008B" w:rsidP="00E82D64">
            <w:pPr>
              <w:pStyle w:val="TableBody"/>
            </w:pPr>
            <w:r w:rsidRPr="00D90C15">
              <w:t>Right-of-use leased office space</w:t>
            </w:r>
          </w:p>
        </w:tc>
        <w:tc>
          <w:tcPr>
            <w:tcW w:w="0" w:type="auto"/>
          </w:tcPr>
          <w:p w14:paraId="28053749" w14:textId="77777777" w:rsidR="005A008B" w:rsidRPr="00D90C15" w:rsidRDefault="005A008B" w:rsidP="00CC3F1F">
            <w:pPr>
              <w:pStyle w:val="TableBody"/>
            </w:pPr>
            <w:r w:rsidRPr="00D90C15">
              <w:t>419,273</w:t>
            </w:r>
          </w:p>
        </w:tc>
        <w:tc>
          <w:tcPr>
            <w:tcW w:w="0" w:type="auto"/>
          </w:tcPr>
          <w:p w14:paraId="6B26AF2D" w14:textId="77777777" w:rsidR="005A008B" w:rsidRPr="00D90C15" w:rsidRDefault="005A008B" w:rsidP="00CC3F1F">
            <w:pPr>
              <w:pStyle w:val="TableBody"/>
            </w:pPr>
            <w:r w:rsidRPr="00D90C15">
              <w:t>419,273</w:t>
            </w:r>
          </w:p>
        </w:tc>
        <w:tc>
          <w:tcPr>
            <w:tcW w:w="0" w:type="auto"/>
          </w:tcPr>
          <w:p w14:paraId="461B5260" w14:textId="77777777" w:rsidR="005A008B" w:rsidRPr="00D90C15" w:rsidRDefault="005A008B" w:rsidP="00CC3F1F">
            <w:pPr>
              <w:pStyle w:val="TableBody"/>
            </w:pPr>
            <w:r w:rsidRPr="00D90C15">
              <w:t xml:space="preserve">239,573 </w:t>
            </w:r>
          </w:p>
        </w:tc>
        <w:tc>
          <w:tcPr>
            <w:tcW w:w="0" w:type="auto"/>
          </w:tcPr>
          <w:p w14:paraId="2133FEA0" w14:textId="77777777" w:rsidR="005A008B" w:rsidRPr="00D90C15" w:rsidRDefault="005A008B" w:rsidP="00CC3F1F">
            <w:pPr>
              <w:pStyle w:val="TableBody"/>
            </w:pPr>
            <w:r w:rsidRPr="00D90C15">
              <w:t>119,786</w:t>
            </w:r>
          </w:p>
        </w:tc>
        <w:tc>
          <w:tcPr>
            <w:tcW w:w="0" w:type="auto"/>
          </w:tcPr>
          <w:p w14:paraId="62BBFA1E" w14:textId="77777777" w:rsidR="005A008B" w:rsidRPr="00D90C15" w:rsidRDefault="005A008B" w:rsidP="00CC3F1F">
            <w:pPr>
              <w:pStyle w:val="TableBody"/>
            </w:pPr>
            <w:r w:rsidRPr="00D90C15">
              <w:t>179,701</w:t>
            </w:r>
          </w:p>
        </w:tc>
        <w:tc>
          <w:tcPr>
            <w:tcW w:w="0" w:type="auto"/>
          </w:tcPr>
          <w:p w14:paraId="6077415D" w14:textId="77777777" w:rsidR="005A008B" w:rsidRPr="00D90C15" w:rsidRDefault="005A008B" w:rsidP="00CC3F1F">
            <w:pPr>
              <w:pStyle w:val="TableBody"/>
            </w:pPr>
            <w:r w:rsidRPr="00D90C15">
              <w:t xml:space="preserve">299,487 </w:t>
            </w:r>
          </w:p>
        </w:tc>
      </w:tr>
      <w:tr w:rsidR="00B01D1C" w:rsidRPr="00D90C15" w14:paraId="4FDE6247" w14:textId="77777777" w:rsidTr="0046794E">
        <w:trPr>
          <w:trHeight w:val="60"/>
        </w:trPr>
        <w:tc>
          <w:tcPr>
            <w:tcW w:w="0" w:type="auto"/>
          </w:tcPr>
          <w:p w14:paraId="39068F40" w14:textId="77777777" w:rsidR="005A008B" w:rsidRPr="00E72391" w:rsidRDefault="005A008B" w:rsidP="00E72391">
            <w:pPr>
              <w:pStyle w:val="TableBody"/>
              <w:rPr>
                <w:b/>
                <w:bCs/>
              </w:rPr>
            </w:pPr>
            <w:r w:rsidRPr="00E72391">
              <w:rPr>
                <w:b/>
                <w:bCs/>
              </w:rPr>
              <w:t xml:space="preserve">Net carrying amount </w:t>
            </w:r>
          </w:p>
        </w:tc>
        <w:tc>
          <w:tcPr>
            <w:tcW w:w="0" w:type="auto"/>
          </w:tcPr>
          <w:p w14:paraId="4BB25687" w14:textId="77777777" w:rsidR="005A008B" w:rsidRPr="001F7031" w:rsidRDefault="005A008B" w:rsidP="001F7031">
            <w:pPr>
              <w:pStyle w:val="TableBody"/>
              <w:rPr>
                <w:b/>
                <w:bCs/>
              </w:rPr>
            </w:pPr>
            <w:r w:rsidRPr="001F7031">
              <w:rPr>
                <w:b/>
                <w:bCs/>
              </w:rPr>
              <w:t>419,273</w:t>
            </w:r>
          </w:p>
        </w:tc>
        <w:tc>
          <w:tcPr>
            <w:tcW w:w="0" w:type="auto"/>
          </w:tcPr>
          <w:p w14:paraId="13AE4F70" w14:textId="77777777" w:rsidR="005A008B" w:rsidRPr="001F7031" w:rsidRDefault="005A008B" w:rsidP="001F7031">
            <w:pPr>
              <w:pStyle w:val="TableBody"/>
              <w:rPr>
                <w:b/>
                <w:bCs/>
              </w:rPr>
            </w:pPr>
            <w:r w:rsidRPr="001F7031">
              <w:rPr>
                <w:b/>
                <w:bCs/>
              </w:rPr>
              <w:t xml:space="preserve">419,273 </w:t>
            </w:r>
          </w:p>
        </w:tc>
        <w:tc>
          <w:tcPr>
            <w:tcW w:w="0" w:type="auto"/>
          </w:tcPr>
          <w:p w14:paraId="212A3FB9" w14:textId="77777777" w:rsidR="005A008B" w:rsidRPr="001F7031" w:rsidRDefault="005A008B" w:rsidP="001F7031">
            <w:pPr>
              <w:pStyle w:val="TableBody"/>
              <w:rPr>
                <w:b/>
                <w:bCs/>
              </w:rPr>
            </w:pPr>
            <w:r w:rsidRPr="001F7031">
              <w:rPr>
                <w:b/>
                <w:bCs/>
              </w:rPr>
              <w:t xml:space="preserve"> 239,573 </w:t>
            </w:r>
          </w:p>
        </w:tc>
        <w:tc>
          <w:tcPr>
            <w:tcW w:w="0" w:type="auto"/>
          </w:tcPr>
          <w:p w14:paraId="6CDB7359" w14:textId="77777777" w:rsidR="005A008B" w:rsidRPr="001F7031" w:rsidRDefault="005A008B" w:rsidP="001F7031">
            <w:pPr>
              <w:pStyle w:val="TableBody"/>
              <w:rPr>
                <w:b/>
                <w:bCs/>
              </w:rPr>
            </w:pPr>
            <w:r w:rsidRPr="001F7031">
              <w:rPr>
                <w:b/>
                <w:bCs/>
              </w:rPr>
              <w:t xml:space="preserve"> 119,786 </w:t>
            </w:r>
          </w:p>
        </w:tc>
        <w:tc>
          <w:tcPr>
            <w:tcW w:w="0" w:type="auto"/>
          </w:tcPr>
          <w:p w14:paraId="39E500B0" w14:textId="77777777" w:rsidR="005A008B" w:rsidRPr="001F7031" w:rsidRDefault="005A008B" w:rsidP="001F7031">
            <w:pPr>
              <w:pStyle w:val="TableBody"/>
              <w:rPr>
                <w:b/>
                <w:bCs/>
              </w:rPr>
            </w:pPr>
            <w:r w:rsidRPr="001F7031">
              <w:rPr>
                <w:b/>
                <w:bCs/>
              </w:rPr>
              <w:t>179,701</w:t>
            </w:r>
          </w:p>
        </w:tc>
        <w:tc>
          <w:tcPr>
            <w:tcW w:w="0" w:type="auto"/>
          </w:tcPr>
          <w:p w14:paraId="21583462" w14:textId="77777777" w:rsidR="005A008B" w:rsidRPr="001F7031" w:rsidRDefault="005A008B" w:rsidP="001F7031">
            <w:pPr>
              <w:pStyle w:val="TableBody"/>
              <w:rPr>
                <w:b/>
                <w:bCs/>
              </w:rPr>
            </w:pPr>
            <w:r w:rsidRPr="001F7031">
              <w:rPr>
                <w:b/>
                <w:bCs/>
              </w:rPr>
              <w:t xml:space="preserve">299,487 </w:t>
            </w:r>
          </w:p>
        </w:tc>
      </w:tr>
    </w:tbl>
    <w:p w14:paraId="6F9845E3" w14:textId="77777777" w:rsidR="005A008B" w:rsidRPr="00D90C15" w:rsidRDefault="005A008B" w:rsidP="002822AC">
      <w:pPr>
        <w:pStyle w:val="Heading3"/>
      </w:pPr>
      <w:bookmarkStart w:id="106" w:name="_Toc221113872"/>
      <w:r w:rsidRPr="00D90C15">
        <w:t>4.1 Property, Plant and Equipment</w:t>
      </w:r>
      <w:bookmarkEnd w:id="106"/>
    </w:p>
    <w:p w14:paraId="3FBDF898" w14:textId="77777777" w:rsidR="005A008B" w:rsidRPr="00D90C15" w:rsidRDefault="005A008B" w:rsidP="002822AC">
      <w:pPr>
        <w:pStyle w:val="Heading4"/>
      </w:pPr>
      <w:r w:rsidRPr="00D90C15">
        <w:t>Right-of-Use Asset Acquired by Lessees (Under AASB 16) – Initial Measurement</w:t>
      </w:r>
    </w:p>
    <w:p w14:paraId="75F6C50B" w14:textId="77777777" w:rsidR="005A008B" w:rsidRPr="00D90C15" w:rsidRDefault="005A008B" w:rsidP="006512A5">
      <w:r w:rsidRPr="00D90C15">
        <w:t>The Council recognises a right-of-use asset and a lease liability at the lease commencement date. The right-of-use asset is initially measured at cost which comprises the initial amount of the lease liability adjusted for:</w:t>
      </w:r>
    </w:p>
    <w:p w14:paraId="16F2316F" w14:textId="77777777" w:rsidR="005A008B" w:rsidRPr="00D90C15" w:rsidRDefault="005A008B" w:rsidP="00926C26">
      <w:pPr>
        <w:pStyle w:val="Bullets"/>
      </w:pPr>
      <w:r w:rsidRPr="00D90C15">
        <w:lastRenderedPageBreak/>
        <w:t xml:space="preserve">any lease payments made at or before the commencement date less any lease incentive received; plus </w:t>
      </w:r>
    </w:p>
    <w:p w14:paraId="645F1B4E" w14:textId="77777777" w:rsidR="005A008B" w:rsidRPr="00D90C15" w:rsidRDefault="005A008B" w:rsidP="00926C26">
      <w:pPr>
        <w:pStyle w:val="Bullets"/>
      </w:pPr>
      <w:r w:rsidRPr="00D90C15">
        <w:t xml:space="preserve">any initial direct costs incurred; and </w:t>
      </w:r>
    </w:p>
    <w:p w14:paraId="2FA77114" w14:textId="77777777" w:rsidR="005A008B" w:rsidRPr="00D90C15" w:rsidRDefault="005A008B" w:rsidP="00926C26">
      <w:pPr>
        <w:pStyle w:val="Bullets"/>
      </w:pPr>
      <w:r w:rsidRPr="00D90C15">
        <w:t>an estimate of costs to dismantle and remove the underlying asset or to restore the underlying asset or the site on which it is located.</w:t>
      </w:r>
    </w:p>
    <w:p w14:paraId="45A9DBC4" w14:textId="77777777" w:rsidR="005A008B" w:rsidRPr="00D90C15" w:rsidRDefault="005A008B" w:rsidP="002822AC">
      <w:pPr>
        <w:pStyle w:val="Heading4"/>
      </w:pPr>
      <w:r w:rsidRPr="00D90C15">
        <w:t>Subsequent Measurement</w:t>
      </w:r>
    </w:p>
    <w:p w14:paraId="2060BD54" w14:textId="77777777" w:rsidR="005A008B" w:rsidRPr="00D90C15" w:rsidRDefault="005A008B" w:rsidP="00234617">
      <w:r w:rsidRPr="00D90C15">
        <w:t xml:space="preserve">The Council depreciates the right-of-use assets on a straight-line basis from the lease commencement date to the earlier of the end of the useful life of the right-of-use asset or the end of the lease term. The right-of-use assets are also subject to revaluation. </w:t>
      </w:r>
    </w:p>
    <w:p w14:paraId="3A4C122A" w14:textId="77777777" w:rsidR="005A008B" w:rsidRPr="00D90C15" w:rsidRDefault="005A008B" w:rsidP="006512A5">
      <w:r w:rsidRPr="00D90C15">
        <w:t>In addition, the right-of-use asset is periodically reduced by impairment losses, if any, and adjusted for certain remeasurements of the lease liability.</w:t>
      </w:r>
    </w:p>
    <w:p w14:paraId="13619626" w14:textId="77777777" w:rsidR="005A008B" w:rsidRPr="00D90C15" w:rsidRDefault="005A008B" w:rsidP="002822AC">
      <w:pPr>
        <w:pStyle w:val="Heading4"/>
      </w:pPr>
      <w:r w:rsidRPr="00D90C15">
        <w:t>Impairment of Property, Plant and Equipment</w:t>
      </w:r>
    </w:p>
    <w:p w14:paraId="21C9EED2" w14:textId="77777777" w:rsidR="005A008B" w:rsidRPr="00D90C15" w:rsidRDefault="005A008B" w:rsidP="00234617">
      <w:r w:rsidRPr="00D90C15">
        <w:t xml:space="preserve">The recoverable amount of primarily non-cash-generating assets of not-for-profit entities, which are typically specialised in nature and held for continuing use of their service capacity, is expected to be materially the same as fair value determined under AASB 13 </w:t>
      </w:r>
      <w:r w:rsidRPr="004A331A">
        <w:rPr>
          <w:i/>
          <w:iCs/>
        </w:rPr>
        <w:t>Fair Value Measurement</w:t>
      </w:r>
      <w:r w:rsidRPr="00D90C15">
        <w:t xml:space="preserve">, with the consequence that AASB 136 does not apply to such assets that are regularly revalued. </w:t>
      </w:r>
    </w:p>
    <w:p w14:paraId="5ADBBEE9" w14:textId="77777777" w:rsidR="005A008B" w:rsidRPr="00D90C15" w:rsidRDefault="005A008B" w:rsidP="002822AC">
      <w:pPr>
        <w:pStyle w:val="Heading4"/>
      </w:pPr>
      <w:r w:rsidRPr="00D90C15">
        <w:t>4.1.1 Depreciation</w:t>
      </w:r>
    </w:p>
    <w:tbl>
      <w:tblPr>
        <w:tblStyle w:val="Table"/>
        <w:tblW w:w="5000" w:type="pct"/>
        <w:tblLook w:val="0020" w:firstRow="1" w:lastRow="0" w:firstColumn="0" w:lastColumn="0" w:noHBand="0" w:noVBand="0"/>
      </w:tblPr>
      <w:tblGrid>
        <w:gridCol w:w="4919"/>
        <w:gridCol w:w="2050"/>
        <w:gridCol w:w="2047"/>
      </w:tblGrid>
      <w:tr w:rsidR="005A008B" w:rsidRPr="00D90C15" w14:paraId="38A07E41" w14:textId="77777777" w:rsidTr="0046794E">
        <w:trPr>
          <w:trHeight w:val="60"/>
          <w:tblHeader/>
        </w:trPr>
        <w:tc>
          <w:tcPr>
            <w:tcW w:w="2728" w:type="pct"/>
          </w:tcPr>
          <w:p w14:paraId="3B37DB91" w14:textId="77777777" w:rsidR="005A008B" w:rsidRPr="00D90C15" w:rsidRDefault="005A008B" w:rsidP="00CA36E9">
            <w:pPr>
              <w:pStyle w:val="TableHeading"/>
            </w:pPr>
            <w:r w:rsidRPr="00D90C15">
              <w:t>Charge for the period</w:t>
            </w:r>
          </w:p>
        </w:tc>
        <w:tc>
          <w:tcPr>
            <w:tcW w:w="1137" w:type="pct"/>
          </w:tcPr>
          <w:p w14:paraId="68EF2B3B" w14:textId="77777777" w:rsidR="005A008B" w:rsidRPr="00D90C15" w:rsidRDefault="005A008B" w:rsidP="007B5725">
            <w:pPr>
              <w:pStyle w:val="TableHeading"/>
            </w:pPr>
            <w:r w:rsidRPr="00D90C15">
              <w:t>2025</w:t>
            </w:r>
            <w:r w:rsidRPr="00D90C15">
              <w:br/>
              <w:t>$</w:t>
            </w:r>
          </w:p>
        </w:tc>
        <w:tc>
          <w:tcPr>
            <w:tcW w:w="1136" w:type="pct"/>
          </w:tcPr>
          <w:p w14:paraId="3A5A634E" w14:textId="77777777" w:rsidR="005A008B" w:rsidRPr="00D90C15" w:rsidRDefault="005A008B" w:rsidP="007B5725">
            <w:pPr>
              <w:pStyle w:val="TableHeading"/>
            </w:pPr>
            <w:r w:rsidRPr="00D90C15">
              <w:t>2024</w:t>
            </w:r>
            <w:r w:rsidRPr="00D90C15">
              <w:br/>
              <w:t>$</w:t>
            </w:r>
          </w:p>
        </w:tc>
      </w:tr>
      <w:tr w:rsidR="005A008B" w:rsidRPr="00D90C15" w14:paraId="60F61DAE" w14:textId="77777777" w:rsidTr="0046794E">
        <w:trPr>
          <w:trHeight w:val="60"/>
        </w:trPr>
        <w:tc>
          <w:tcPr>
            <w:tcW w:w="2728" w:type="pct"/>
          </w:tcPr>
          <w:p w14:paraId="00185211" w14:textId="77777777" w:rsidR="005A008B" w:rsidRPr="00D90C15" w:rsidRDefault="005A008B" w:rsidP="00E82D64">
            <w:pPr>
              <w:pStyle w:val="TableBody"/>
            </w:pPr>
            <w:r w:rsidRPr="00D90C15">
              <w:t>Building</w:t>
            </w:r>
          </w:p>
        </w:tc>
        <w:tc>
          <w:tcPr>
            <w:tcW w:w="1137" w:type="pct"/>
          </w:tcPr>
          <w:p w14:paraId="40111078" w14:textId="77777777" w:rsidR="005A008B" w:rsidRPr="00D90C15" w:rsidRDefault="005A008B" w:rsidP="00CC3F1F">
            <w:pPr>
              <w:pStyle w:val="TableBody"/>
            </w:pPr>
            <w:r w:rsidRPr="00D90C15">
              <w:t>119,786</w:t>
            </w:r>
          </w:p>
        </w:tc>
        <w:tc>
          <w:tcPr>
            <w:tcW w:w="1136" w:type="pct"/>
          </w:tcPr>
          <w:p w14:paraId="69B1B192" w14:textId="77777777" w:rsidR="005A008B" w:rsidRPr="00D90C15" w:rsidRDefault="005A008B" w:rsidP="00CC3F1F">
            <w:pPr>
              <w:pStyle w:val="TableBody"/>
            </w:pPr>
            <w:r w:rsidRPr="00D90C15">
              <w:t>119,786</w:t>
            </w:r>
          </w:p>
        </w:tc>
      </w:tr>
      <w:tr w:rsidR="005A008B" w:rsidRPr="00D90C15" w14:paraId="53D114C4" w14:textId="77777777" w:rsidTr="0046794E">
        <w:trPr>
          <w:trHeight w:val="60"/>
        </w:trPr>
        <w:tc>
          <w:tcPr>
            <w:tcW w:w="2728" w:type="pct"/>
          </w:tcPr>
          <w:p w14:paraId="5CDD8EC6" w14:textId="77777777" w:rsidR="005A008B" w:rsidRPr="00E72391" w:rsidRDefault="005A008B" w:rsidP="00E72391">
            <w:pPr>
              <w:pStyle w:val="TableBody"/>
              <w:rPr>
                <w:b/>
                <w:bCs/>
              </w:rPr>
            </w:pPr>
            <w:r w:rsidRPr="00E72391">
              <w:rPr>
                <w:b/>
                <w:bCs/>
              </w:rPr>
              <w:t xml:space="preserve">Total depreciation and </w:t>
            </w:r>
            <w:proofErr w:type="spellStart"/>
            <w:r w:rsidRPr="00E72391">
              <w:rPr>
                <w:b/>
                <w:bCs/>
              </w:rPr>
              <w:t>amortisation</w:t>
            </w:r>
            <w:proofErr w:type="spellEnd"/>
          </w:p>
        </w:tc>
        <w:tc>
          <w:tcPr>
            <w:tcW w:w="1137" w:type="pct"/>
          </w:tcPr>
          <w:p w14:paraId="3ABB37B8" w14:textId="77777777" w:rsidR="005A008B" w:rsidRPr="001F7031" w:rsidRDefault="005A008B" w:rsidP="001F7031">
            <w:pPr>
              <w:pStyle w:val="TableBody"/>
              <w:rPr>
                <w:b/>
                <w:bCs/>
              </w:rPr>
            </w:pPr>
            <w:r w:rsidRPr="001F7031">
              <w:rPr>
                <w:b/>
                <w:bCs/>
              </w:rPr>
              <w:t>119,786</w:t>
            </w:r>
          </w:p>
        </w:tc>
        <w:tc>
          <w:tcPr>
            <w:tcW w:w="1136" w:type="pct"/>
          </w:tcPr>
          <w:p w14:paraId="3B555600" w14:textId="77777777" w:rsidR="005A008B" w:rsidRPr="001F7031" w:rsidRDefault="005A008B" w:rsidP="001F7031">
            <w:pPr>
              <w:pStyle w:val="TableBody"/>
              <w:rPr>
                <w:b/>
                <w:bCs/>
              </w:rPr>
            </w:pPr>
            <w:r w:rsidRPr="001F7031">
              <w:rPr>
                <w:b/>
                <w:bCs/>
              </w:rPr>
              <w:t>119,786</w:t>
            </w:r>
          </w:p>
        </w:tc>
      </w:tr>
    </w:tbl>
    <w:p w14:paraId="56BC0A2A" w14:textId="77777777" w:rsidR="005A008B" w:rsidRPr="00D90C15" w:rsidRDefault="005A008B" w:rsidP="00234617">
      <w:r w:rsidRPr="00D90C15">
        <w:t xml:space="preserve">Right-of-use assets are generally depreciated over the shorter of the asset’s useful life and the lease term. </w:t>
      </w:r>
    </w:p>
    <w:p w14:paraId="06DED27D" w14:textId="77777777" w:rsidR="005A008B" w:rsidRPr="00D90C15" w:rsidRDefault="005A008B" w:rsidP="00234617">
      <w:r w:rsidRPr="00D90C15">
        <w:t xml:space="preserve">Depreciation is generally calculated on a straight-line basis, at rates that allocate the asset’s value, less any estimated residual value, over its estimated useful life. The estimated useful life of the leased asset for the current year was based on the remaining term of the building lease </w:t>
      </w:r>
      <w:proofErr w:type="gramStart"/>
      <w:r w:rsidRPr="00D90C15">
        <w:t>at</w:t>
      </w:r>
      <w:proofErr w:type="gramEnd"/>
      <w:r w:rsidRPr="00D90C15">
        <w:t xml:space="preserve"> 1 July 2024 – two and a half years. </w:t>
      </w:r>
    </w:p>
    <w:p w14:paraId="2D3DC819" w14:textId="77777777" w:rsidR="005A008B" w:rsidRPr="00D90C15" w:rsidRDefault="005A008B" w:rsidP="00234617">
      <w:r w:rsidRPr="00D90C15">
        <w:lastRenderedPageBreak/>
        <w:t>The estimated useful life, residual value and depreciation method are reviewed at the end of each annual reporting period, and adjustments made where appropriate.</w:t>
      </w:r>
    </w:p>
    <w:p w14:paraId="363233E2" w14:textId="77777777" w:rsidR="005A008B" w:rsidRPr="00D90C15" w:rsidRDefault="005A008B" w:rsidP="002822AC">
      <w:pPr>
        <w:pStyle w:val="Heading4"/>
      </w:pPr>
      <w:r w:rsidRPr="00D90C15">
        <w:t>4.1.2 Reconciliation of Movements in Carrying Amount of Property, Plant and Equipment</w:t>
      </w:r>
    </w:p>
    <w:tbl>
      <w:tblPr>
        <w:tblStyle w:val="Table"/>
        <w:tblW w:w="5000" w:type="pct"/>
        <w:tblLook w:val="0020" w:firstRow="1" w:lastRow="0" w:firstColumn="0" w:lastColumn="0" w:noHBand="0" w:noVBand="0"/>
      </w:tblPr>
      <w:tblGrid>
        <w:gridCol w:w="6968"/>
        <w:gridCol w:w="2048"/>
      </w:tblGrid>
      <w:tr w:rsidR="005A008B" w:rsidRPr="00D90C15" w14:paraId="7C865CED" w14:textId="77777777" w:rsidTr="0046794E">
        <w:trPr>
          <w:trHeight w:val="60"/>
          <w:tblHeader/>
        </w:trPr>
        <w:tc>
          <w:tcPr>
            <w:tcW w:w="3864" w:type="pct"/>
          </w:tcPr>
          <w:p w14:paraId="3EFD45E9"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156FC933" w14:textId="77777777" w:rsidR="005A008B" w:rsidRPr="00D90C15" w:rsidRDefault="005A008B" w:rsidP="007B5725">
            <w:pPr>
              <w:pStyle w:val="TableHeading"/>
            </w:pPr>
            <w:r w:rsidRPr="00D90C15">
              <w:t>Buildings</w:t>
            </w:r>
            <w:r w:rsidRPr="00D90C15">
              <w:br/>
              <w:t>$</w:t>
            </w:r>
          </w:p>
        </w:tc>
      </w:tr>
      <w:tr w:rsidR="005A008B" w:rsidRPr="00D90C15" w14:paraId="6DFF6449" w14:textId="77777777" w:rsidTr="0046794E">
        <w:trPr>
          <w:trHeight w:val="60"/>
        </w:trPr>
        <w:tc>
          <w:tcPr>
            <w:tcW w:w="3864" w:type="pct"/>
          </w:tcPr>
          <w:p w14:paraId="49A7E12A" w14:textId="77777777" w:rsidR="005A008B" w:rsidRPr="00D90C15" w:rsidRDefault="005A008B" w:rsidP="00E82D64">
            <w:pPr>
              <w:pStyle w:val="TableBody"/>
            </w:pPr>
            <w:r w:rsidRPr="00D90C15">
              <w:t>Opening balance 1 July 2024</w:t>
            </w:r>
            <w:r w:rsidRPr="00D90C15">
              <w:rPr>
                <w:rStyle w:val="Superscript"/>
              </w:rPr>
              <w:t>(a)</w:t>
            </w:r>
          </w:p>
        </w:tc>
        <w:tc>
          <w:tcPr>
            <w:tcW w:w="1136" w:type="pct"/>
          </w:tcPr>
          <w:p w14:paraId="4875E5D8" w14:textId="77777777" w:rsidR="005A008B" w:rsidRPr="001F7031" w:rsidRDefault="005A008B" w:rsidP="001F7031">
            <w:pPr>
              <w:pStyle w:val="TableBody"/>
              <w:rPr>
                <w:b/>
                <w:bCs/>
              </w:rPr>
            </w:pPr>
            <w:r w:rsidRPr="001F7031">
              <w:rPr>
                <w:b/>
                <w:bCs/>
              </w:rPr>
              <w:t xml:space="preserve">299,487 </w:t>
            </w:r>
          </w:p>
        </w:tc>
      </w:tr>
      <w:tr w:rsidR="005A008B" w:rsidRPr="00D90C15" w14:paraId="2996E481" w14:textId="77777777" w:rsidTr="0046794E">
        <w:trPr>
          <w:trHeight w:val="60"/>
        </w:trPr>
        <w:tc>
          <w:tcPr>
            <w:tcW w:w="3864" w:type="pct"/>
          </w:tcPr>
          <w:p w14:paraId="79B73608" w14:textId="77777777" w:rsidR="005A008B" w:rsidRPr="00D90C15" w:rsidRDefault="005A008B" w:rsidP="00E82D64">
            <w:pPr>
              <w:pStyle w:val="TableBody"/>
            </w:pPr>
            <w:r w:rsidRPr="00D90C15">
              <w:t>Depreciation</w:t>
            </w:r>
          </w:p>
        </w:tc>
        <w:tc>
          <w:tcPr>
            <w:tcW w:w="1136" w:type="pct"/>
          </w:tcPr>
          <w:p w14:paraId="04A0D84E" w14:textId="77777777" w:rsidR="005A008B" w:rsidRPr="00D90C15" w:rsidRDefault="005A008B" w:rsidP="00CC3F1F">
            <w:pPr>
              <w:pStyle w:val="TableBody"/>
            </w:pPr>
            <w:r w:rsidRPr="00D90C15">
              <w:t>(119,786)</w:t>
            </w:r>
          </w:p>
        </w:tc>
      </w:tr>
      <w:tr w:rsidR="005A008B" w:rsidRPr="00D90C15" w14:paraId="6CDE5E2E" w14:textId="77777777" w:rsidTr="0046794E">
        <w:trPr>
          <w:trHeight w:val="60"/>
        </w:trPr>
        <w:tc>
          <w:tcPr>
            <w:tcW w:w="3864" w:type="pct"/>
          </w:tcPr>
          <w:p w14:paraId="1CC8FD3C" w14:textId="77777777" w:rsidR="005A008B" w:rsidRPr="006512A5" w:rsidRDefault="005A008B" w:rsidP="00E82D64">
            <w:pPr>
              <w:pStyle w:val="TableBody"/>
              <w:rPr>
                <w:rStyle w:val="Bold"/>
              </w:rPr>
            </w:pPr>
            <w:r w:rsidRPr="006512A5">
              <w:rPr>
                <w:rStyle w:val="Bold"/>
              </w:rPr>
              <w:t>Closing balance 30 June 2025</w:t>
            </w:r>
          </w:p>
        </w:tc>
        <w:tc>
          <w:tcPr>
            <w:tcW w:w="1136" w:type="pct"/>
          </w:tcPr>
          <w:p w14:paraId="65A7AE80" w14:textId="77777777" w:rsidR="005A008B" w:rsidRPr="001F7031" w:rsidRDefault="005A008B" w:rsidP="001F7031">
            <w:pPr>
              <w:pStyle w:val="TableBody"/>
              <w:rPr>
                <w:b/>
                <w:bCs/>
              </w:rPr>
            </w:pPr>
            <w:r w:rsidRPr="001F7031">
              <w:rPr>
                <w:b/>
                <w:bCs/>
              </w:rPr>
              <w:t xml:space="preserve">179,701 </w:t>
            </w:r>
          </w:p>
        </w:tc>
      </w:tr>
    </w:tbl>
    <w:p w14:paraId="2D2885CA" w14:textId="29683B98" w:rsidR="005A008B" w:rsidRPr="00AA2E6C" w:rsidRDefault="005A008B" w:rsidP="00AA2E6C">
      <w:pPr>
        <w:pStyle w:val="ListParagraph"/>
        <w:numPr>
          <w:ilvl w:val="0"/>
          <w:numId w:val="34"/>
        </w:numPr>
      </w:pPr>
      <w:r w:rsidRPr="00AA2E6C">
        <w:t xml:space="preserve">Fair value assessments have been performed for all assets in </w:t>
      </w:r>
      <w:proofErr w:type="gramStart"/>
      <w:r w:rsidRPr="00AA2E6C">
        <w:t>this functions</w:t>
      </w:r>
      <w:proofErr w:type="gramEnd"/>
      <w:r w:rsidRPr="00AA2E6C">
        <w:t xml:space="preserve"> of government group and the decision was made that movements were not material (less than or equal to 10 per cent) for a full revaluation. </w:t>
      </w:r>
    </w:p>
    <w:p w14:paraId="06A17159" w14:textId="722B4DBE" w:rsidR="005A008B" w:rsidRPr="00D90C15" w:rsidRDefault="007F0220" w:rsidP="002822AC">
      <w:pPr>
        <w:pStyle w:val="Heading1"/>
      </w:pPr>
      <w:bookmarkStart w:id="107" w:name="_Toc221113873"/>
      <w:r>
        <w:lastRenderedPageBreak/>
        <w:t xml:space="preserve">5 </w:t>
      </w:r>
      <w:r w:rsidR="002822AC" w:rsidRPr="00D90C15">
        <w:t xml:space="preserve">Other Assets </w:t>
      </w:r>
      <w:proofErr w:type="gramStart"/>
      <w:r w:rsidR="002822AC" w:rsidRPr="00D90C15">
        <w:t>And</w:t>
      </w:r>
      <w:proofErr w:type="gramEnd"/>
      <w:r w:rsidR="002822AC" w:rsidRPr="00D90C15">
        <w:t xml:space="preserve"> Liabilities</w:t>
      </w:r>
      <w:bookmarkEnd w:id="107"/>
    </w:p>
    <w:p w14:paraId="7A862A70" w14:textId="77777777" w:rsidR="005A008B" w:rsidRPr="00D90C15" w:rsidRDefault="005A008B" w:rsidP="00926C26">
      <w:pPr>
        <w:pStyle w:val="Heading2"/>
      </w:pPr>
      <w:bookmarkStart w:id="108" w:name="_Toc221113874"/>
      <w:r w:rsidRPr="00D90C15">
        <w:t>Introduction</w:t>
      </w:r>
      <w:bookmarkEnd w:id="108"/>
    </w:p>
    <w:p w14:paraId="0816F2FE" w14:textId="77777777" w:rsidR="005A008B" w:rsidRPr="00D90C15" w:rsidRDefault="005A008B" w:rsidP="00234617">
      <w:r w:rsidRPr="00D90C15">
        <w:t xml:space="preserve">This section sets out the remaining assets and liabilities that arose from the Council’s operations. These accounting balances arise </w:t>
      </w:r>
      <w:proofErr w:type="gramStart"/>
      <w:r w:rsidRPr="00D90C15">
        <w:t>as a result of</w:t>
      </w:r>
      <w:proofErr w:type="gramEnd"/>
      <w:r w:rsidRPr="00D90C15">
        <w:t xml:space="preserve"> transactions from the Council’s operations and are generally temporary in nature apart from the amount owing from the Victorian Government. They reflect the timing of receipts and payments relative to the period in which the Council consumes or provides the associated services.</w:t>
      </w:r>
    </w:p>
    <w:p w14:paraId="7374A7C1" w14:textId="77777777" w:rsidR="005A008B" w:rsidRPr="00D90C15" w:rsidRDefault="005A008B" w:rsidP="00926C26">
      <w:pPr>
        <w:pStyle w:val="Heading2"/>
      </w:pPr>
      <w:bookmarkStart w:id="109" w:name="_Toc221113875"/>
      <w:r w:rsidRPr="00D90C15">
        <w:t>Structure</w:t>
      </w:r>
      <w:bookmarkEnd w:id="109"/>
    </w:p>
    <w:p w14:paraId="5D547AC4" w14:textId="39ABF3D1" w:rsidR="005A008B" w:rsidRPr="00D90C15" w:rsidRDefault="005A008B" w:rsidP="006512A5">
      <w:r w:rsidRPr="00D90C15">
        <w:t>5.1 Receivables</w:t>
      </w:r>
    </w:p>
    <w:p w14:paraId="0CF6A186" w14:textId="1081F50F" w:rsidR="005A008B" w:rsidRPr="00D90C15" w:rsidRDefault="005A008B" w:rsidP="00234617">
      <w:r w:rsidRPr="00D90C15">
        <w:t>5.2 Payables</w:t>
      </w:r>
    </w:p>
    <w:p w14:paraId="6C9F4FDE" w14:textId="77777777" w:rsidR="005A008B" w:rsidRPr="00D90C15" w:rsidRDefault="005A008B" w:rsidP="002822AC">
      <w:pPr>
        <w:pStyle w:val="Heading3"/>
      </w:pPr>
      <w:bookmarkStart w:id="110" w:name="_Toc221113876"/>
      <w:r w:rsidRPr="00D90C15">
        <w:t>5.1 Receivables</w:t>
      </w:r>
      <w:bookmarkEnd w:id="110"/>
    </w:p>
    <w:tbl>
      <w:tblPr>
        <w:tblStyle w:val="Table"/>
        <w:tblW w:w="5000" w:type="pct"/>
        <w:tblLook w:val="0020" w:firstRow="1" w:lastRow="0" w:firstColumn="0" w:lastColumn="0" w:noHBand="0" w:noVBand="0"/>
      </w:tblPr>
      <w:tblGrid>
        <w:gridCol w:w="4919"/>
        <w:gridCol w:w="2050"/>
        <w:gridCol w:w="2047"/>
      </w:tblGrid>
      <w:tr w:rsidR="005A008B" w:rsidRPr="00D90C15" w14:paraId="7E4D9402" w14:textId="77777777" w:rsidTr="0046794E">
        <w:trPr>
          <w:trHeight w:val="60"/>
          <w:tblHeader/>
        </w:trPr>
        <w:tc>
          <w:tcPr>
            <w:tcW w:w="2728" w:type="pct"/>
          </w:tcPr>
          <w:p w14:paraId="36C7EEB6"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2F1D87B9" w14:textId="77777777" w:rsidR="005A008B" w:rsidRPr="00D90C15" w:rsidRDefault="005A008B" w:rsidP="007B5725">
            <w:pPr>
              <w:pStyle w:val="TableHeading"/>
            </w:pPr>
            <w:r w:rsidRPr="00D90C15">
              <w:t>2025</w:t>
            </w:r>
            <w:r w:rsidRPr="00D90C15">
              <w:br/>
              <w:t>$</w:t>
            </w:r>
          </w:p>
        </w:tc>
        <w:tc>
          <w:tcPr>
            <w:tcW w:w="1136" w:type="pct"/>
          </w:tcPr>
          <w:p w14:paraId="1AEC8240" w14:textId="77777777" w:rsidR="005A008B" w:rsidRPr="00D90C15" w:rsidRDefault="005A008B" w:rsidP="007B5725">
            <w:pPr>
              <w:pStyle w:val="TableHeading"/>
            </w:pPr>
            <w:r w:rsidRPr="00D90C15">
              <w:t>2024</w:t>
            </w:r>
            <w:r w:rsidRPr="00D90C15">
              <w:br/>
              <w:t>$</w:t>
            </w:r>
          </w:p>
        </w:tc>
      </w:tr>
      <w:tr w:rsidR="005A008B" w:rsidRPr="00D90C15" w14:paraId="76FCFF11" w14:textId="77777777" w:rsidTr="0046794E">
        <w:trPr>
          <w:trHeight w:val="60"/>
        </w:trPr>
        <w:tc>
          <w:tcPr>
            <w:tcW w:w="2728" w:type="pct"/>
          </w:tcPr>
          <w:p w14:paraId="01340ADD" w14:textId="77777777" w:rsidR="005A008B" w:rsidRPr="00F52CA3" w:rsidRDefault="005A008B" w:rsidP="00F52CA3">
            <w:pPr>
              <w:pStyle w:val="TableBody"/>
              <w:rPr>
                <w:b/>
                <w:bCs/>
              </w:rPr>
            </w:pPr>
            <w:r w:rsidRPr="00F52CA3">
              <w:rPr>
                <w:b/>
                <w:bCs/>
              </w:rPr>
              <w:t>Current receivables</w:t>
            </w:r>
          </w:p>
        </w:tc>
        <w:tc>
          <w:tcPr>
            <w:tcW w:w="1137" w:type="pct"/>
          </w:tcPr>
          <w:p w14:paraId="449176C2"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1B85CC58"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3409EDD1" w14:textId="77777777" w:rsidTr="0046794E">
        <w:trPr>
          <w:trHeight w:val="60"/>
        </w:trPr>
        <w:tc>
          <w:tcPr>
            <w:tcW w:w="2728" w:type="pct"/>
          </w:tcPr>
          <w:p w14:paraId="62D22ABB" w14:textId="77777777" w:rsidR="005A008B" w:rsidRPr="00E72391" w:rsidRDefault="005A008B" w:rsidP="00E72391">
            <w:pPr>
              <w:pStyle w:val="TableBody"/>
              <w:rPr>
                <w:b/>
                <w:bCs/>
              </w:rPr>
            </w:pPr>
            <w:r w:rsidRPr="00E72391">
              <w:rPr>
                <w:b/>
                <w:bCs/>
              </w:rPr>
              <w:t>Statutory</w:t>
            </w:r>
          </w:p>
        </w:tc>
        <w:tc>
          <w:tcPr>
            <w:tcW w:w="1137" w:type="pct"/>
          </w:tcPr>
          <w:p w14:paraId="33BE3601"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232A97B0"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5898BE28" w14:textId="77777777" w:rsidTr="0046794E">
        <w:trPr>
          <w:trHeight w:val="60"/>
        </w:trPr>
        <w:tc>
          <w:tcPr>
            <w:tcW w:w="2728" w:type="pct"/>
          </w:tcPr>
          <w:p w14:paraId="7BF52B36" w14:textId="77777777" w:rsidR="005A008B" w:rsidRPr="00D90C15" w:rsidRDefault="005A008B" w:rsidP="00AA1CB0">
            <w:pPr>
              <w:pStyle w:val="TableBody"/>
            </w:pPr>
            <w:r w:rsidRPr="00D90C15">
              <w:t>Amount owing from Victorian Government</w:t>
            </w:r>
          </w:p>
        </w:tc>
        <w:tc>
          <w:tcPr>
            <w:tcW w:w="1137" w:type="pct"/>
          </w:tcPr>
          <w:p w14:paraId="0787B0FB" w14:textId="77777777" w:rsidR="005A008B" w:rsidRPr="00D90C15" w:rsidRDefault="005A008B" w:rsidP="00CC3F1F">
            <w:pPr>
              <w:pStyle w:val="TableBody"/>
            </w:pPr>
            <w:r w:rsidRPr="00D90C15">
              <w:t xml:space="preserve">806,506 </w:t>
            </w:r>
          </w:p>
        </w:tc>
        <w:tc>
          <w:tcPr>
            <w:tcW w:w="1136" w:type="pct"/>
          </w:tcPr>
          <w:p w14:paraId="7B9D321F" w14:textId="77777777" w:rsidR="005A008B" w:rsidRPr="00D90C15" w:rsidRDefault="005A008B" w:rsidP="00CC3F1F">
            <w:pPr>
              <w:pStyle w:val="TableBody"/>
            </w:pPr>
            <w:r w:rsidRPr="00D90C15">
              <w:t xml:space="preserve"> 812,549 </w:t>
            </w:r>
          </w:p>
        </w:tc>
      </w:tr>
      <w:tr w:rsidR="005A008B" w:rsidRPr="00D90C15" w14:paraId="47D1F95A" w14:textId="77777777" w:rsidTr="0046794E">
        <w:trPr>
          <w:trHeight w:val="60"/>
        </w:trPr>
        <w:tc>
          <w:tcPr>
            <w:tcW w:w="2728" w:type="pct"/>
          </w:tcPr>
          <w:p w14:paraId="76C3D7C6" w14:textId="77777777" w:rsidR="005A008B" w:rsidRPr="00E72391" w:rsidRDefault="005A008B" w:rsidP="00E72391">
            <w:pPr>
              <w:pStyle w:val="TableBody"/>
              <w:rPr>
                <w:b/>
                <w:bCs/>
              </w:rPr>
            </w:pPr>
            <w:r w:rsidRPr="00E72391">
              <w:rPr>
                <w:b/>
                <w:bCs/>
              </w:rPr>
              <w:t>Total current receivables</w:t>
            </w:r>
          </w:p>
        </w:tc>
        <w:tc>
          <w:tcPr>
            <w:tcW w:w="1137" w:type="pct"/>
          </w:tcPr>
          <w:p w14:paraId="5239BF90" w14:textId="77777777" w:rsidR="005A008B" w:rsidRPr="001F7031" w:rsidRDefault="005A008B" w:rsidP="001F7031">
            <w:pPr>
              <w:pStyle w:val="TableBody"/>
              <w:rPr>
                <w:b/>
                <w:bCs/>
              </w:rPr>
            </w:pPr>
            <w:r w:rsidRPr="001F7031">
              <w:rPr>
                <w:b/>
                <w:bCs/>
              </w:rPr>
              <w:t xml:space="preserve">806,506 </w:t>
            </w:r>
          </w:p>
        </w:tc>
        <w:tc>
          <w:tcPr>
            <w:tcW w:w="1136" w:type="pct"/>
          </w:tcPr>
          <w:p w14:paraId="0C76E23D" w14:textId="77777777" w:rsidR="005A008B" w:rsidRPr="00D90C15" w:rsidRDefault="005A008B" w:rsidP="00CC3F1F">
            <w:pPr>
              <w:pStyle w:val="TableBody"/>
            </w:pPr>
            <w:r w:rsidRPr="00D90C15">
              <w:t xml:space="preserve"> 812,549 </w:t>
            </w:r>
          </w:p>
        </w:tc>
      </w:tr>
      <w:tr w:rsidR="005A008B" w:rsidRPr="00D90C15" w14:paraId="3389D0C8" w14:textId="77777777" w:rsidTr="0046794E">
        <w:trPr>
          <w:trHeight w:val="60"/>
        </w:trPr>
        <w:tc>
          <w:tcPr>
            <w:tcW w:w="2728" w:type="pct"/>
          </w:tcPr>
          <w:p w14:paraId="5D57DE91" w14:textId="77777777" w:rsidR="005A008B" w:rsidRPr="00F52CA3" w:rsidRDefault="005A008B" w:rsidP="00F52CA3">
            <w:pPr>
              <w:pStyle w:val="TableBody"/>
              <w:rPr>
                <w:b/>
                <w:bCs/>
              </w:rPr>
            </w:pPr>
            <w:r w:rsidRPr="00F52CA3">
              <w:rPr>
                <w:b/>
                <w:bCs/>
              </w:rPr>
              <w:t>Non-current receivables</w:t>
            </w:r>
          </w:p>
        </w:tc>
        <w:tc>
          <w:tcPr>
            <w:tcW w:w="1137" w:type="pct"/>
          </w:tcPr>
          <w:p w14:paraId="0F023799"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631B90AB"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4900B91D" w14:textId="77777777" w:rsidTr="0046794E">
        <w:trPr>
          <w:trHeight w:val="60"/>
        </w:trPr>
        <w:tc>
          <w:tcPr>
            <w:tcW w:w="2728" w:type="pct"/>
          </w:tcPr>
          <w:p w14:paraId="491B4845" w14:textId="77777777" w:rsidR="005A008B" w:rsidRPr="00E72391" w:rsidRDefault="005A008B" w:rsidP="00E72391">
            <w:pPr>
              <w:pStyle w:val="TableBody"/>
              <w:rPr>
                <w:b/>
                <w:bCs/>
              </w:rPr>
            </w:pPr>
            <w:r w:rsidRPr="00E72391">
              <w:rPr>
                <w:b/>
                <w:bCs/>
              </w:rPr>
              <w:t>Statutory</w:t>
            </w:r>
          </w:p>
        </w:tc>
        <w:tc>
          <w:tcPr>
            <w:tcW w:w="1137" w:type="pct"/>
          </w:tcPr>
          <w:p w14:paraId="36B06113"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2788DFDC"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43A607BD" w14:textId="77777777" w:rsidTr="0046794E">
        <w:trPr>
          <w:trHeight w:val="60"/>
        </w:trPr>
        <w:tc>
          <w:tcPr>
            <w:tcW w:w="2728" w:type="pct"/>
          </w:tcPr>
          <w:p w14:paraId="3BCA5E3C" w14:textId="77777777" w:rsidR="005A008B" w:rsidRPr="00D90C15" w:rsidRDefault="005A008B" w:rsidP="00AA1CB0">
            <w:pPr>
              <w:pStyle w:val="TableBody"/>
            </w:pPr>
            <w:r w:rsidRPr="00D90C15">
              <w:t>Amount owing from Victorian Government</w:t>
            </w:r>
          </w:p>
        </w:tc>
        <w:tc>
          <w:tcPr>
            <w:tcW w:w="1137" w:type="pct"/>
          </w:tcPr>
          <w:p w14:paraId="5D8DEF53" w14:textId="77777777" w:rsidR="005A008B" w:rsidRPr="00D90C15" w:rsidRDefault="005A008B" w:rsidP="00CC3F1F">
            <w:pPr>
              <w:pStyle w:val="TableBody"/>
            </w:pPr>
            <w:r w:rsidRPr="00D90C15">
              <w:t xml:space="preserve">10,851 </w:t>
            </w:r>
          </w:p>
        </w:tc>
        <w:tc>
          <w:tcPr>
            <w:tcW w:w="1136" w:type="pct"/>
          </w:tcPr>
          <w:p w14:paraId="29232097" w14:textId="77777777" w:rsidR="005A008B" w:rsidRPr="00D90C15" w:rsidRDefault="005A008B" w:rsidP="00CC3F1F">
            <w:pPr>
              <w:pStyle w:val="TableBody"/>
            </w:pPr>
            <w:r w:rsidRPr="00D90C15">
              <w:t xml:space="preserve"> 4,109 </w:t>
            </w:r>
          </w:p>
        </w:tc>
      </w:tr>
      <w:tr w:rsidR="005A008B" w:rsidRPr="00D90C15" w14:paraId="01F8DFBE" w14:textId="77777777" w:rsidTr="0046794E">
        <w:trPr>
          <w:trHeight w:val="60"/>
        </w:trPr>
        <w:tc>
          <w:tcPr>
            <w:tcW w:w="2728" w:type="pct"/>
          </w:tcPr>
          <w:p w14:paraId="5383B10E" w14:textId="77777777" w:rsidR="005A008B" w:rsidRPr="00E72391" w:rsidRDefault="005A008B" w:rsidP="00E72391">
            <w:pPr>
              <w:pStyle w:val="TableBody"/>
              <w:rPr>
                <w:b/>
                <w:bCs/>
              </w:rPr>
            </w:pPr>
            <w:r w:rsidRPr="00E72391">
              <w:rPr>
                <w:b/>
                <w:bCs/>
              </w:rPr>
              <w:t>Total non-current receivables</w:t>
            </w:r>
          </w:p>
        </w:tc>
        <w:tc>
          <w:tcPr>
            <w:tcW w:w="1137" w:type="pct"/>
          </w:tcPr>
          <w:p w14:paraId="7E2C464A" w14:textId="77777777" w:rsidR="005A008B" w:rsidRPr="001F7031" w:rsidRDefault="005A008B" w:rsidP="001F7031">
            <w:pPr>
              <w:pStyle w:val="TableBody"/>
              <w:rPr>
                <w:b/>
                <w:bCs/>
              </w:rPr>
            </w:pPr>
            <w:r w:rsidRPr="001F7031">
              <w:rPr>
                <w:b/>
                <w:bCs/>
              </w:rPr>
              <w:t xml:space="preserve">10,851 </w:t>
            </w:r>
          </w:p>
        </w:tc>
        <w:tc>
          <w:tcPr>
            <w:tcW w:w="1136" w:type="pct"/>
          </w:tcPr>
          <w:p w14:paraId="03918DC8" w14:textId="77777777" w:rsidR="005A008B" w:rsidRPr="00D90C15" w:rsidRDefault="005A008B" w:rsidP="00CC3F1F">
            <w:pPr>
              <w:pStyle w:val="TableBody"/>
            </w:pPr>
            <w:r w:rsidRPr="00D90C15">
              <w:t xml:space="preserve"> 4,109 </w:t>
            </w:r>
          </w:p>
        </w:tc>
      </w:tr>
      <w:tr w:rsidR="005A008B" w:rsidRPr="00D90C15" w14:paraId="6C2DF32F" w14:textId="77777777" w:rsidTr="0046794E">
        <w:trPr>
          <w:trHeight w:val="60"/>
        </w:trPr>
        <w:tc>
          <w:tcPr>
            <w:tcW w:w="2728" w:type="pct"/>
          </w:tcPr>
          <w:p w14:paraId="43AC2456" w14:textId="77777777" w:rsidR="005A008B" w:rsidRPr="00E72391" w:rsidRDefault="005A008B" w:rsidP="00E72391">
            <w:pPr>
              <w:pStyle w:val="TableBody"/>
              <w:rPr>
                <w:b/>
                <w:bCs/>
              </w:rPr>
            </w:pPr>
            <w:r w:rsidRPr="00E72391">
              <w:rPr>
                <w:b/>
                <w:bCs/>
              </w:rPr>
              <w:t>Total receivables</w:t>
            </w:r>
          </w:p>
        </w:tc>
        <w:tc>
          <w:tcPr>
            <w:tcW w:w="1137" w:type="pct"/>
          </w:tcPr>
          <w:p w14:paraId="3DFAC672" w14:textId="77777777" w:rsidR="005A008B" w:rsidRPr="001F7031" w:rsidRDefault="005A008B" w:rsidP="001F7031">
            <w:pPr>
              <w:pStyle w:val="TableBody"/>
              <w:rPr>
                <w:b/>
                <w:bCs/>
              </w:rPr>
            </w:pPr>
            <w:r w:rsidRPr="001F7031">
              <w:rPr>
                <w:b/>
                <w:bCs/>
              </w:rPr>
              <w:t xml:space="preserve">817,357 </w:t>
            </w:r>
          </w:p>
        </w:tc>
        <w:tc>
          <w:tcPr>
            <w:tcW w:w="1136" w:type="pct"/>
          </w:tcPr>
          <w:p w14:paraId="589BCDAB" w14:textId="77777777" w:rsidR="005A008B" w:rsidRPr="00D90C15" w:rsidRDefault="005A008B" w:rsidP="00CC3F1F">
            <w:pPr>
              <w:pStyle w:val="TableBody"/>
            </w:pPr>
            <w:r w:rsidRPr="00D90C15">
              <w:t xml:space="preserve"> 816,657 </w:t>
            </w:r>
          </w:p>
        </w:tc>
      </w:tr>
    </w:tbl>
    <w:p w14:paraId="10A52BC6" w14:textId="77777777" w:rsidR="005A008B" w:rsidRPr="00D90C15" w:rsidRDefault="005A008B" w:rsidP="00234617">
      <w:r w:rsidRPr="006512A5">
        <w:rPr>
          <w:rStyle w:val="Bold"/>
        </w:rPr>
        <w:t>Statutory receivables</w:t>
      </w:r>
      <w:r w:rsidRPr="00D90C15">
        <w:t xml:space="preserve"> do not arise from contracts and are recognised and measured similarly to contractual receivables (except for impairment) but are not classified as financial instruments for disclosure purposes. The Council applies AASB 9 </w:t>
      </w:r>
      <w:r w:rsidRPr="004A331A">
        <w:rPr>
          <w:i/>
          <w:iCs/>
        </w:rPr>
        <w:t>Financial Instruments</w:t>
      </w:r>
      <w:r w:rsidRPr="00D90C15">
        <w:t>, for initial measurement of the statutory receivables and as a result statutory receivables are initially recognised at fair value plus any directly attributable transaction cost. Amounts recognised from the Department of Justice and Community Safety represent funding for all commitments incurred and are drawn from the Consolidated Fund as the commitments fall due.</w:t>
      </w:r>
    </w:p>
    <w:p w14:paraId="2B8CFAE3" w14:textId="77777777" w:rsidR="005A008B" w:rsidRPr="00D90C15" w:rsidRDefault="005A008B" w:rsidP="00234617">
      <w:r w:rsidRPr="00D90C15">
        <w:t>Details about the Council’s impairment policies, exposure to credit risk and the calculation of the allowance are in Note 7.</w:t>
      </w:r>
    </w:p>
    <w:p w14:paraId="5A819388" w14:textId="77777777" w:rsidR="005A008B" w:rsidRPr="00D90C15" w:rsidRDefault="005A008B" w:rsidP="002822AC">
      <w:pPr>
        <w:pStyle w:val="Heading3"/>
      </w:pPr>
      <w:bookmarkStart w:id="111" w:name="_Toc221113877"/>
      <w:r w:rsidRPr="00D90C15">
        <w:lastRenderedPageBreak/>
        <w:t>5.2 Payables</w:t>
      </w:r>
      <w:bookmarkEnd w:id="111"/>
    </w:p>
    <w:tbl>
      <w:tblPr>
        <w:tblStyle w:val="Table"/>
        <w:tblW w:w="5000" w:type="pct"/>
        <w:tblLook w:val="0020" w:firstRow="1" w:lastRow="0" w:firstColumn="0" w:lastColumn="0" w:noHBand="0" w:noVBand="0"/>
      </w:tblPr>
      <w:tblGrid>
        <w:gridCol w:w="4919"/>
        <w:gridCol w:w="2050"/>
        <w:gridCol w:w="2047"/>
      </w:tblGrid>
      <w:tr w:rsidR="005A008B" w:rsidRPr="00D90C15" w14:paraId="41A192AF" w14:textId="77777777" w:rsidTr="0046794E">
        <w:trPr>
          <w:trHeight w:val="60"/>
          <w:tblHeader/>
        </w:trPr>
        <w:tc>
          <w:tcPr>
            <w:tcW w:w="2728" w:type="pct"/>
          </w:tcPr>
          <w:p w14:paraId="3805A3AB"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4B64BA1A" w14:textId="77777777" w:rsidR="005A008B" w:rsidRPr="00D90C15" w:rsidRDefault="005A008B" w:rsidP="007B5725">
            <w:pPr>
              <w:pStyle w:val="TableHeading"/>
            </w:pPr>
            <w:r w:rsidRPr="00D90C15">
              <w:t>2025</w:t>
            </w:r>
            <w:r w:rsidRPr="00D90C15">
              <w:br/>
              <w:t>$</w:t>
            </w:r>
          </w:p>
        </w:tc>
        <w:tc>
          <w:tcPr>
            <w:tcW w:w="1136" w:type="pct"/>
          </w:tcPr>
          <w:p w14:paraId="72444F42" w14:textId="77777777" w:rsidR="005A008B" w:rsidRPr="00D90C15" w:rsidRDefault="005A008B" w:rsidP="007B5725">
            <w:pPr>
              <w:pStyle w:val="TableHeading"/>
            </w:pPr>
            <w:r w:rsidRPr="00D90C15">
              <w:t>2024</w:t>
            </w:r>
            <w:r w:rsidRPr="00D90C15">
              <w:br/>
              <w:t>$</w:t>
            </w:r>
          </w:p>
        </w:tc>
      </w:tr>
      <w:tr w:rsidR="005A008B" w:rsidRPr="00D90C15" w14:paraId="7B73D30E" w14:textId="77777777" w:rsidTr="0046794E">
        <w:trPr>
          <w:trHeight w:val="60"/>
        </w:trPr>
        <w:tc>
          <w:tcPr>
            <w:tcW w:w="2728" w:type="pct"/>
          </w:tcPr>
          <w:p w14:paraId="6E851937" w14:textId="77777777" w:rsidR="005A008B" w:rsidRPr="00F52CA3" w:rsidRDefault="005A008B" w:rsidP="00F52CA3">
            <w:pPr>
              <w:pStyle w:val="TableBody"/>
              <w:rPr>
                <w:b/>
                <w:bCs/>
              </w:rPr>
            </w:pPr>
            <w:r w:rsidRPr="00F52CA3">
              <w:rPr>
                <w:b/>
                <w:bCs/>
              </w:rPr>
              <w:t>Current payables</w:t>
            </w:r>
          </w:p>
        </w:tc>
        <w:tc>
          <w:tcPr>
            <w:tcW w:w="1137" w:type="pct"/>
          </w:tcPr>
          <w:p w14:paraId="0325446D"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47BEBD5F"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47D22D78" w14:textId="77777777" w:rsidTr="0046794E">
        <w:trPr>
          <w:trHeight w:val="60"/>
        </w:trPr>
        <w:tc>
          <w:tcPr>
            <w:tcW w:w="2728" w:type="pct"/>
          </w:tcPr>
          <w:p w14:paraId="2574C65C" w14:textId="77777777" w:rsidR="005A008B" w:rsidRPr="00E72391" w:rsidRDefault="005A008B" w:rsidP="00E72391">
            <w:pPr>
              <w:pStyle w:val="TableBody"/>
              <w:rPr>
                <w:b/>
                <w:bCs/>
              </w:rPr>
            </w:pPr>
            <w:r w:rsidRPr="00E72391">
              <w:rPr>
                <w:b/>
                <w:bCs/>
              </w:rPr>
              <w:t xml:space="preserve">Contractual </w:t>
            </w:r>
          </w:p>
        </w:tc>
        <w:tc>
          <w:tcPr>
            <w:tcW w:w="1137" w:type="pct"/>
          </w:tcPr>
          <w:p w14:paraId="0BEA7E15"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3DF3AA1F"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32D08040" w14:textId="77777777" w:rsidTr="0046794E">
        <w:trPr>
          <w:trHeight w:val="60"/>
        </w:trPr>
        <w:tc>
          <w:tcPr>
            <w:tcW w:w="2728" w:type="pct"/>
          </w:tcPr>
          <w:p w14:paraId="65273600" w14:textId="77777777" w:rsidR="005A008B" w:rsidRPr="00D90C15" w:rsidRDefault="005A008B" w:rsidP="00AA1CB0">
            <w:pPr>
              <w:pStyle w:val="TableBody"/>
            </w:pPr>
            <w:r w:rsidRPr="00D90C15">
              <w:t>Supplies and services</w:t>
            </w:r>
          </w:p>
        </w:tc>
        <w:tc>
          <w:tcPr>
            <w:tcW w:w="1137" w:type="pct"/>
          </w:tcPr>
          <w:p w14:paraId="2C4F7CF0" w14:textId="77777777" w:rsidR="005A008B" w:rsidRPr="00D90C15" w:rsidRDefault="005A008B" w:rsidP="00CC3F1F">
            <w:pPr>
              <w:pStyle w:val="TableBody"/>
            </w:pPr>
            <w:r w:rsidRPr="00D90C15">
              <w:t xml:space="preserve">32,900 </w:t>
            </w:r>
          </w:p>
        </w:tc>
        <w:tc>
          <w:tcPr>
            <w:tcW w:w="1136" w:type="pct"/>
          </w:tcPr>
          <w:p w14:paraId="0078BBFD" w14:textId="77777777" w:rsidR="005A008B" w:rsidRPr="00D90C15" w:rsidRDefault="005A008B" w:rsidP="00CC3F1F">
            <w:pPr>
              <w:pStyle w:val="TableBody"/>
            </w:pPr>
            <w:r w:rsidRPr="00D90C15">
              <w:t xml:space="preserve"> 40,664 </w:t>
            </w:r>
          </w:p>
        </w:tc>
      </w:tr>
      <w:tr w:rsidR="005A008B" w:rsidRPr="00D90C15" w14:paraId="7862F4F5" w14:textId="77777777" w:rsidTr="0046794E">
        <w:trPr>
          <w:trHeight w:val="60"/>
        </w:trPr>
        <w:tc>
          <w:tcPr>
            <w:tcW w:w="2728" w:type="pct"/>
          </w:tcPr>
          <w:p w14:paraId="03D4D898" w14:textId="77777777" w:rsidR="005A008B" w:rsidRPr="00D90C15" w:rsidRDefault="005A008B" w:rsidP="00AA1CB0">
            <w:pPr>
              <w:pStyle w:val="TableBody"/>
            </w:pPr>
            <w:r w:rsidRPr="00D90C15">
              <w:t>Employee benefits</w:t>
            </w:r>
          </w:p>
        </w:tc>
        <w:tc>
          <w:tcPr>
            <w:tcW w:w="1137" w:type="pct"/>
          </w:tcPr>
          <w:p w14:paraId="1785E6D2" w14:textId="77777777" w:rsidR="005A008B" w:rsidRPr="00D90C15" w:rsidRDefault="005A008B" w:rsidP="00CC3F1F">
            <w:pPr>
              <w:pStyle w:val="TableBody"/>
            </w:pPr>
            <w:r w:rsidRPr="00D90C15">
              <w:t xml:space="preserve">10,398 </w:t>
            </w:r>
          </w:p>
        </w:tc>
        <w:tc>
          <w:tcPr>
            <w:tcW w:w="1136" w:type="pct"/>
          </w:tcPr>
          <w:p w14:paraId="06F4CCD6" w14:textId="77777777" w:rsidR="005A008B" w:rsidRPr="00D90C15" w:rsidRDefault="005A008B" w:rsidP="00CC3F1F">
            <w:pPr>
              <w:pStyle w:val="TableBody"/>
            </w:pPr>
            <w:r w:rsidRPr="00D90C15">
              <w:t xml:space="preserve"> 6,541 </w:t>
            </w:r>
          </w:p>
        </w:tc>
      </w:tr>
      <w:tr w:rsidR="005A008B" w:rsidRPr="00D90C15" w14:paraId="3E5C9818" w14:textId="77777777" w:rsidTr="0046794E">
        <w:trPr>
          <w:trHeight w:val="60"/>
        </w:trPr>
        <w:tc>
          <w:tcPr>
            <w:tcW w:w="2728" w:type="pct"/>
          </w:tcPr>
          <w:p w14:paraId="075C60F1" w14:textId="77777777" w:rsidR="005A008B" w:rsidRPr="00E72391" w:rsidRDefault="005A008B" w:rsidP="00E72391">
            <w:pPr>
              <w:pStyle w:val="TableBody"/>
              <w:rPr>
                <w:b/>
                <w:bCs/>
              </w:rPr>
            </w:pPr>
            <w:r w:rsidRPr="00E72391">
              <w:rPr>
                <w:b/>
                <w:bCs/>
              </w:rPr>
              <w:t>Total payables</w:t>
            </w:r>
          </w:p>
        </w:tc>
        <w:tc>
          <w:tcPr>
            <w:tcW w:w="1137" w:type="pct"/>
          </w:tcPr>
          <w:p w14:paraId="7DFFB811" w14:textId="77777777" w:rsidR="005A008B" w:rsidRPr="001F7031" w:rsidRDefault="005A008B" w:rsidP="001F7031">
            <w:pPr>
              <w:pStyle w:val="TableBody"/>
              <w:rPr>
                <w:b/>
                <w:bCs/>
              </w:rPr>
            </w:pPr>
            <w:r w:rsidRPr="001F7031">
              <w:rPr>
                <w:b/>
                <w:bCs/>
              </w:rPr>
              <w:t xml:space="preserve">43,298 </w:t>
            </w:r>
          </w:p>
        </w:tc>
        <w:tc>
          <w:tcPr>
            <w:tcW w:w="1136" w:type="pct"/>
          </w:tcPr>
          <w:p w14:paraId="56455F0F" w14:textId="77777777" w:rsidR="005A008B" w:rsidRPr="00D90C15" w:rsidRDefault="005A008B" w:rsidP="00CC3F1F">
            <w:pPr>
              <w:pStyle w:val="TableBody"/>
            </w:pPr>
            <w:r w:rsidRPr="00D90C15">
              <w:t xml:space="preserve"> 47,206 </w:t>
            </w:r>
          </w:p>
        </w:tc>
      </w:tr>
    </w:tbl>
    <w:p w14:paraId="19BCBB1A" w14:textId="77777777" w:rsidR="005A008B" w:rsidRPr="00D90C15" w:rsidRDefault="005A008B" w:rsidP="00234617">
      <w:r w:rsidRPr="00D90C15">
        <w:t>Payables consist of contractual payables, classified as financial instruments and measured at amortised cost. Accounts payable represent liabilities for goods and services provided to the Council prior to the end of the financial year that are unpaid.</w:t>
      </w:r>
    </w:p>
    <w:p w14:paraId="78628DB0" w14:textId="77777777" w:rsidR="005A008B" w:rsidRPr="00D90C15" w:rsidRDefault="005A008B" w:rsidP="00234617">
      <w:r w:rsidRPr="00D90C15">
        <w:t xml:space="preserve">Payables for supplies and services have an average credit period of 30 days. No interest is charged on the ‘other payables’ for the first 30 days from the date of the invoice. </w:t>
      </w:r>
    </w:p>
    <w:p w14:paraId="77E29BF2" w14:textId="77777777" w:rsidR="005A008B" w:rsidRPr="00D90C15" w:rsidRDefault="005A008B" w:rsidP="00234617">
      <w:r w:rsidRPr="00D90C15">
        <w:t xml:space="preserve">The terms and conditions of amounts payable to the government and agencies vary according to the </w:t>
      </w:r>
      <w:proofErr w:type="gramStart"/>
      <w:r w:rsidRPr="00D90C15">
        <w:t>particular agreements</w:t>
      </w:r>
      <w:proofErr w:type="gramEnd"/>
      <w:r w:rsidRPr="00D90C15">
        <w:t xml:space="preserve"> and as they are not legislative payables, they are not classified as financial instruments.</w:t>
      </w:r>
    </w:p>
    <w:p w14:paraId="4B859703" w14:textId="3DA20146" w:rsidR="005A008B" w:rsidRPr="00D90C15" w:rsidRDefault="00142BD4" w:rsidP="002822AC">
      <w:pPr>
        <w:pStyle w:val="Heading1"/>
      </w:pPr>
      <w:bookmarkStart w:id="112" w:name="_Toc221113878"/>
      <w:r>
        <w:lastRenderedPageBreak/>
        <w:t xml:space="preserve">6 </w:t>
      </w:r>
      <w:r w:rsidR="002822AC" w:rsidRPr="00D90C15">
        <w:t>How We Financed Our Operations</w:t>
      </w:r>
      <w:bookmarkEnd w:id="112"/>
    </w:p>
    <w:p w14:paraId="5EFF30EB" w14:textId="77777777" w:rsidR="005A008B" w:rsidRPr="00D90C15" w:rsidRDefault="005A008B" w:rsidP="00926C26">
      <w:pPr>
        <w:pStyle w:val="Heading2"/>
      </w:pPr>
      <w:bookmarkStart w:id="113" w:name="_Toc221113879"/>
      <w:r w:rsidRPr="00D90C15">
        <w:t>Introduction</w:t>
      </w:r>
      <w:bookmarkEnd w:id="113"/>
    </w:p>
    <w:p w14:paraId="7F04979C" w14:textId="77777777" w:rsidR="005A008B" w:rsidRPr="00D90C15" w:rsidRDefault="005A008B" w:rsidP="00234617">
      <w:r w:rsidRPr="00D90C15">
        <w:t>This section includes disclosures of balances that allow management to fund the operations of the business. These financial instruments include borrowings and trust fund balances. Notes 7.1 and 7.3 provide additional, specific financial instrument disclosures.</w:t>
      </w:r>
    </w:p>
    <w:p w14:paraId="6E393F9E" w14:textId="77777777" w:rsidR="005A008B" w:rsidRPr="00D90C15" w:rsidRDefault="005A008B" w:rsidP="00234617">
      <w:r w:rsidRPr="00D90C15">
        <w:t xml:space="preserve">The note specifically provides information on the operating lease arrangements that have been classified as borrowings under AASB 16, along with interest expenses (the cost of borrowings) and other information related to these financing activities of the Council. </w:t>
      </w:r>
    </w:p>
    <w:p w14:paraId="254A8BA8" w14:textId="77777777" w:rsidR="005A008B" w:rsidRPr="00D90C15" w:rsidRDefault="005A008B" w:rsidP="00926C26">
      <w:pPr>
        <w:pStyle w:val="Heading2"/>
      </w:pPr>
      <w:bookmarkStart w:id="114" w:name="_Toc221113880"/>
      <w:r w:rsidRPr="00D90C15">
        <w:t>Structure</w:t>
      </w:r>
      <w:bookmarkEnd w:id="114"/>
    </w:p>
    <w:p w14:paraId="37DC7E3A" w14:textId="47D3D910" w:rsidR="005A008B" w:rsidRPr="00D90C15" w:rsidRDefault="005A008B" w:rsidP="006512A5">
      <w:r w:rsidRPr="00D90C15">
        <w:t>6.1 Borrowings</w:t>
      </w:r>
    </w:p>
    <w:p w14:paraId="20E35AE1" w14:textId="6955CB25" w:rsidR="005A008B" w:rsidRPr="00D90C15" w:rsidRDefault="005A008B" w:rsidP="006512A5">
      <w:r w:rsidRPr="00D90C15">
        <w:t>6.2 Leases</w:t>
      </w:r>
    </w:p>
    <w:p w14:paraId="4D221B1E" w14:textId="318BAFF1" w:rsidR="005A008B" w:rsidRPr="00D90C15" w:rsidRDefault="005A008B" w:rsidP="006512A5">
      <w:r w:rsidRPr="00D90C15">
        <w:t>6.3 Cash Equivalent Balances</w:t>
      </w:r>
    </w:p>
    <w:p w14:paraId="30771C46" w14:textId="57FBF52C" w:rsidR="005A008B" w:rsidRPr="00D90C15" w:rsidRDefault="005A008B" w:rsidP="00234617">
      <w:r w:rsidRPr="00D90C15">
        <w:t>6.4 Commitments for Expenditure</w:t>
      </w:r>
    </w:p>
    <w:p w14:paraId="6484831E" w14:textId="77777777" w:rsidR="005A008B" w:rsidRPr="00D90C15" w:rsidRDefault="005A008B" w:rsidP="002822AC">
      <w:pPr>
        <w:pStyle w:val="Heading3"/>
      </w:pPr>
      <w:bookmarkStart w:id="115" w:name="_Toc221113881"/>
      <w:r w:rsidRPr="00D90C15">
        <w:t>6.1 Borrowings</w:t>
      </w:r>
      <w:bookmarkEnd w:id="115"/>
    </w:p>
    <w:tbl>
      <w:tblPr>
        <w:tblStyle w:val="Table"/>
        <w:tblW w:w="5000" w:type="pct"/>
        <w:tblLook w:val="0020" w:firstRow="1" w:lastRow="0" w:firstColumn="0" w:lastColumn="0" w:noHBand="0" w:noVBand="0"/>
      </w:tblPr>
      <w:tblGrid>
        <w:gridCol w:w="4919"/>
        <w:gridCol w:w="2050"/>
        <w:gridCol w:w="2047"/>
      </w:tblGrid>
      <w:tr w:rsidR="005A008B" w:rsidRPr="00D90C15" w14:paraId="77328E4A" w14:textId="77777777" w:rsidTr="0046794E">
        <w:trPr>
          <w:trHeight w:val="60"/>
          <w:tblHeader/>
        </w:trPr>
        <w:tc>
          <w:tcPr>
            <w:tcW w:w="2728" w:type="pct"/>
          </w:tcPr>
          <w:p w14:paraId="4AA6FFFF"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03B7BB46" w14:textId="77777777" w:rsidR="005A008B" w:rsidRPr="00D90C15" w:rsidRDefault="005A008B" w:rsidP="007B5725">
            <w:pPr>
              <w:pStyle w:val="TableHeading"/>
            </w:pPr>
            <w:r w:rsidRPr="00D90C15">
              <w:t>2025</w:t>
            </w:r>
            <w:r w:rsidRPr="00D90C15">
              <w:br/>
              <w:t>$</w:t>
            </w:r>
          </w:p>
        </w:tc>
        <w:tc>
          <w:tcPr>
            <w:tcW w:w="1136" w:type="pct"/>
          </w:tcPr>
          <w:p w14:paraId="3A98138B" w14:textId="77777777" w:rsidR="005A008B" w:rsidRPr="00D90C15" w:rsidRDefault="005A008B" w:rsidP="007B5725">
            <w:pPr>
              <w:pStyle w:val="TableHeading"/>
            </w:pPr>
            <w:r w:rsidRPr="00D90C15">
              <w:t>2024</w:t>
            </w:r>
            <w:r w:rsidRPr="00D90C15">
              <w:br/>
              <w:t>$</w:t>
            </w:r>
          </w:p>
        </w:tc>
      </w:tr>
      <w:tr w:rsidR="005A008B" w:rsidRPr="00D90C15" w14:paraId="4166BF39" w14:textId="77777777" w:rsidTr="0046794E">
        <w:trPr>
          <w:trHeight w:val="60"/>
        </w:trPr>
        <w:tc>
          <w:tcPr>
            <w:tcW w:w="2728" w:type="pct"/>
          </w:tcPr>
          <w:p w14:paraId="6989A212" w14:textId="77777777" w:rsidR="005A008B" w:rsidRPr="00E72391" w:rsidRDefault="005A008B" w:rsidP="00E72391">
            <w:pPr>
              <w:pStyle w:val="TableBody"/>
              <w:rPr>
                <w:b/>
                <w:bCs/>
              </w:rPr>
            </w:pPr>
            <w:r w:rsidRPr="00E72391">
              <w:rPr>
                <w:b/>
                <w:bCs/>
              </w:rPr>
              <w:t>Current borrowings</w:t>
            </w:r>
          </w:p>
        </w:tc>
        <w:tc>
          <w:tcPr>
            <w:tcW w:w="1137" w:type="pct"/>
          </w:tcPr>
          <w:p w14:paraId="601B69AC"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16B1E339"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75A4DE83" w14:textId="77777777" w:rsidTr="0046794E">
        <w:trPr>
          <w:trHeight w:val="60"/>
        </w:trPr>
        <w:tc>
          <w:tcPr>
            <w:tcW w:w="2728" w:type="pct"/>
          </w:tcPr>
          <w:p w14:paraId="1DC2CC6B" w14:textId="77777777" w:rsidR="005A008B" w:rsidRPr="00D90C15" w:rsidRDefault="005A008B" w:rsidP="00E82D64">
            <w:pPr>
              <w:pStyle w:val="TableBody"/>
            </w:pPr>
            <w:r w:rsidRPr="00D90C15">
              <w:t>Lease liabilities ROU asset</w:t>
            </w:r>
            <w:r w:rsidRPr="00D90C15">
              <w:rPr>
                <w:rStyle w:val="Superscript"/>
              </w:rPr>
              <w:t>(a)</w:t>
            </w:r>
          </w:p>
        </w:tc>
        <w:tc>
          <w:tcPr>
            <w:tcW w:w="1137" w:type="pct"/>
          </w:tcPr>
          <w:p w14:paraId="5528EF20" w14:textId="77777777" w:rsidR="005A008B" w:rsidRPr="00D90C15" w:rsidRDefault="005A008B" w:rsidP="00CC3F1F">
            <w:pPr>
              <w:pStyle w:val="TableBody"/>
            </w:pPr>
            <w:r w:rsidRPr="00D90C15">
              <w:t>127,206</w:t>
            </w:r>
          </w:p>
        </w:tc>
        <w:tc>
          <w:tcPr>
            <w:tcW w:w="1136" w:type="pct"/>
          </w:tcPr>
          <w:p w14:paraId="1E6A78B1" w14:textId="77777777" w:rsidR="005A008B" w:rsidRPr="00D90C15" w:rsidRDefault="005A008B" w:rsidP="00CC3F1F">
            <w:pPr>
              <w:pStyle w:val="TableBody"/>
            </w:pPr>
            <w:r w:rsidRPr="00D90C15">
              <w:t xml:space="preserve">116,769 </w:t>
            </w:r>
          </w:p>
        </w:tc>
      </w:tr>
      <w:tr w:rsidR="005A008B" w:rsidRPr="00D90C15" w14:paraId="2779A7E5" w14:textId="77777777" w:rsidTr="0046794E">
        <w:trPr>
          <w:trHeight w:val="60"/>
        </w:trPr>
        <w:tc>
          <w:tcPr>
            <w:tcW w:w="2728" w:type="pct"/>
          </w:tcPr>
          <w:p w14:paraId="50F93AFB" w14:textId="77777777" w:rsidR="005A008B" w:rsidRPr="00E72391" w:rsidRDefault="005A008B" w:rsidP="00E72391">
            <w:pPr>
              <w:pStyle w:val="TableBody"/>
              <w:rPr>
                <w:b/>
                <w:bCs/>
              </w:rPr>
            </w:pPr>
            <w:r w:rsidRPr="00E72391">
              <w:rPr>
                <w:b/>
                <w:bCs/>
              </w:rPr>
              <w:t>Total current borrowings</w:t>
            </w:r>
          </w:p>
        </w:tc>
        <w:tc>
          <w:tcPr>
            <w:tcW w:w="1137" w:type="pct"/>
          </w:tcPr>
          <w:p w14:paraId="04587E89" w14:textId="77777777" w:rsidR="005A008B" w:rsidRPr="001F7031" w:rsidRDefault="005A008B" w:rsidP="001F7031">
            <w:pPr>
              <w:pStyle w:val="TableBody"/>
              <w:rPr>
                <w:b/>
                <w:bCs/>
              </w:rPr>
            </w:pPr>
            <w:r w:rsidRPr="001F7031">
              <w:rPr>
                <w:b/>
                <w:bCs/>
              </w:rPr>
              <w:t>127,206</w:t>
            </w:r>
          </w:p>
        </w:tc>
        <w:tc>
          <w:tcPr>
            <w:tcW w:w="1136" w:type="pct"/>
          </w:tcPr>
          <w:p w14:paraId="51FB0EF5" w14:textId="77777777" w:rsidR="005A008B" w:rsidRPr="00D90C15" w:rsidRDefault="005A008B" w:rsidP="00CC3F1F">
            <w:pPr>
              <w:pStyle w:val="TableBody"/>
            </w:pPr>
            <w:r w:rsidRPr="00D90C15">
              <w:t xml:space="preserve">116,769 </w:t>
            </w:r>
          </w:p>
        </w:tc>
      </w:tr>
      <w:tr w:rsidR="005A008B" w:rsidRPr="00D90C15" w14:paraId="30923FAC" w14:textId="77777777" w:rsidTr="0046794E">
        <w:trPr>
          <w:trHeight w:val="60"/>
        </w:trPr>
        <w:tc>
          <w:tcPr>
            <w:tcW w:w="2728" w:type="pct"/>
          </w:tcPr>
          <w:p w14:paraId="012ABC56" w14:textId="77777777" w:rsidR="005A008B" w:rsidRPr="00E72391" w:rsidRDefault="005A008B" w:rsidP="00E72391">
            <w:pPr>
              <w:pStyle w:val="TableBody"/>
              <w:rPr>
                <w:b/>
                <w:bCs/>
              </w:rPr>
            </w:pPr>
            <w:r w:rsidRPr="00E72391">
              <w:rPr>
                <w:b/>
                <w:bCs/>
              </w:rPr>
              <w:t>Non-current borrowings</w:t>
            </w:r>
          </w:p>
        </w:tc>
        <w:tc>
          <w:tcPr>
            <w:tcW w:w="1137" w:type="pct"/>
          </w:tcPr>
          <w:p w14:paraId="5F87CEEF"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781AA0A8"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13E9B0A" w14:textId="77777777" w:rsidTr="0046794E">
        <w:trPr>
          <w:trHeight w:val="60"/>
        </w:trPr>
        <w:tc>
          <w:tcPr>
            <w:tcW w:w="2728" w:type="pct"/>
          </w:tcPr>
          <w:p w14:paraId="75A18006" w14:textId="77777777" w:rsidR="005A008B" w:rsidRPr="00D90C15" w:rsidRDefault="005A008B" w:rsidP="00E82D64">
            <w:pPr>
              <w:pStyle w:val="TableBody"/>
            </w:pPr>
            <w:r w:rsidRPr="00D90C15">
              <w:t>Lease liabilities ROU asset</w:t>
            </w:r>
            <w:r w:rsidRPr="00D90C15">
              <w:rPr>
                <w:rStyle w:val="Superscript"/>
              </w:rPr>
              <w:t>(a)</w:t>
            </w:r>
          </w:p>
        </w:tc>
        <w:tc>
          <w:tcPr>
            <w:tcW w:w="1137" w:type="pct"/>
          </w:tcPr>
          <w:p w14:paraId="4FB95E84" w14:textId="77777777" w:rsidR="005A008B" w:rsidRPr="00D90C15" w:rsidRDefault="005A008B" w:rsidP="00CC3F1F">
            <w:pPr>
              <w:pStyle w:val="TableBody"/>
            </w:pPr>
            <w:r w:rsidRPr="00D90C15">
              <w:t xml:space="preserve">68,323 </w:t>
            </w:r>
          </w:p>
        </w:tc>
        <w:tc>
          <w:tcPr>
            <w:tcW w:w="1136" w:type="pct"/>
          </w:tcPr>
          <w:p w14:paraId="156BBD01" w14:textId="77777777" w:rsidR="005A008B" w:rsidRPr="00D90C15" w:rsidRDefault="005A008B" w:rsidP="00CC3F1F">
            <w:pPr>
              <w:pStyle w:val="TableBody"/>
            </w:pPr>
            <w:r w:rsidRPr="00D90C15">
              <w:t xml:space="preserve"> 195,528 </w:t>
            </w:r>
          </w:p>
        </w:tc>
      </w:tr>
      <w:tr w:rsidR="005A008B" w:rsidRPr="00D90C15" w14:paraId="76515D68" w14:textId="77777777" w:rsidTr="0046794E">
        <w:trPr>
          <w:trHeight w:val="60"/>
        </w:trPr>
        <w:tc>
          <w:tcPr>
            <w:tcW w:w="2728" w:type="pct"/>
          </w:tcPr>
          <w:p w14:paraId="39CEBA01" w14:textId="77777777" w:rsidR="005A008B" w:rsidRPr="00E72391" w:rsidRDefault="005A008B" w:rsidP="00E72391">
            <w:pPr>
              <w:pStyle w:val="TableBody"/>
              <w:rPr>
                <w:b/>
                <w:bCs/>
              </w:rPr>
            </w:pPr>
            <w:r w:rsidRPr="00E72391">
              <w:rPr>
                <w:b/>
                <w:bCs/>
              </w:rPr>
              <w:t>Total non-current borrowings</w:t>
            </w:r>
          </w:p>
        </w:tc>
        <w:tc>
          <w:tcPr>
            <w:tcW w:w="1137" w:type="pct"/>
          </w:tcPr>
          <w:p w14:paraId="4AC29D5E" w14:textId="77777777" w:rsidR="005A008B" w:rsidRPr="00D90C15" w:rsidRDefault="005A008B" w:rsidP="00CC3F1F">
            <w:pPr>
              <w:pStyle w:val="TableBody"/>
            </w:pPr>
            <w:r w:rsidRPr="00D90C15">
              <w:t xml:space="preserve">68,323 </w:t>
            </w:r>
          </w:p>
        </w:tc>
        <w:tc>
          <w:tcPr>
            <w:tcW w:w="1136" w:type="pct"/>
          </w:tcPr>
          <w:p w14:paraId="271BF34B" w14:textId="77777777" w:rsidR="005A008B" w:rsidRPr="00D90C15" w:rsidRDefault="005A008B" w:rsidP="00CC3F1F">
            <w:pPr>
              <w:pStyle w:val="TableBody"/>
            </w:pPr>
            <w:r w:rsidRPr="00D90C15">
              <w:t xml:space="preserve"> 195,528 </w:t>
            </w:r>
          </w:p>
        </w:tc>
      </w:tr>
      <w:tr w:rsidR="005A008B" w:rsidRPr="00D90C15" w14:paraId="05FBD03B" w14:textId="77777777" w:rsidTr="0046794E">
        <w:trPr>
          <w:trHeight w:val="60"/>
        </w:trPr>
        <w:tc>
          <w:tcPr>
            <w:tcW w:w="2728" w:type="pct"/>
          </w:tcPr>
          <w:p w14:paraId="2A7964D4" w14:textId="77777777" w:rsidR="005A008B" w:rsidRPr="00E72391" w:rsidRDefault="005A008B" w:rsidP="00E72391">
            <w:pPr>
              <w:pStyle w:val="TableBody"/>
              <w:rPr>
                <w:b/>
                <w:bCs/>
              </w:rPr>
            </w:pPr>
            <w:r w:rsidRPr="00E72391">
              <w:rPr>
                <w:b/>
                <w:bCs/>
              </w:rPr>
              <w:t>Total borrowings</w:t>
            </w:r>
          </w:p>
        </w:tc>
        <w:tc>
          <w:tcPr>
            <w:tcW w:w="1137" w:type="pct"/>
          </w:tcPr>
          <w:p w14:paraId="0E1DF136" w14:textId="77777777" w:rsidR="005A008B" w:rsidRPr="001F7031" w:rsidRDefault="005A008B" w:rsidP="001F7031">
            <w:pPr>
              <w:pStyle w:val="TableBody"/>
              <w:rPr>
                <w:b/>
                <w:bCs/>
              </w:rPr>
            </w:pPr>
            <w:r w:rsidRPr="001F7031">
              <w:rPr>
                <w:b/>
                <w:bCs/>
              </w:rPr>
              <w:t>195,528</w:t>
            </w:r>
          </w:p>
        </w:tc>
        <w:tc>
          <w:tcPr>
            <w:tcW w:w="1136" w:type="pct"/>
          </w:tcPr>
          <w:p w14:paraId="2DBB5014" w14:textId="77777777" w:rsidR="005A008B" w:rsidRPr="001F7031" w:rsidRDefault="005A008B" w:rsidP="001F7031">
            <w:pPr>
              <w:pStyle w:val="TableBody"/>
              <w:rPr>
                <w:b/>
                <w:bCs/>
              </w:rPr>
            </w:pPr>
            <w:r w:rsidRPr="001F7031">
              <w:rPr>
                <w:b/>
                <w:bCs/>
              </w:rPr>
              <w:t xml:space="preserve">312,297 </w:t>
            </w:r>
          </w:p>
        </w:tc>
      </w:tr>
    </w:tbl>
    <w:p w14:paraId="728B2E5F" w14:textId="69515247" w:rsidR="005A008B" w:rsidRPr="00D90C15" w:rsidRDefault="005A008B" w:rsidP="00AA2E6C">
      <w:pPr>
        <w:pStyle w:val="ListParagraph"/>
        <w:numPr>
          <w:ilvl w:val="0"/>
          <w:numId w:val="32"/>
        </w:numPr>
      </w:pPr>
      <w:r w:rsidRPr="00AA2E6C">
        <w:t>Secured</w:t>
      </w:r>
      <w:r w:rsidRPr="00D90C15">
        <w:t xml:space="preserve"> by the assets leased. Leases liabilities are effectively secured as the rights to the leased assets revert to the lessor in the event of default.</w:t>
      </w:r>
    </w:p>
    <w:p w14:paraId="607EDDCF" w14:textId="77777777" w:rsidR="005A008B" w:rsidRPr="00D90C15" w:rsidRDefault="005A008B" w:rsidP="00234617">
      <w:r w:rsidRPr="00D90C15">
        <w:t xml:space="preserve">‘Borrowings’ refer to the lease liabilities for the right-of-use asset. Borrowings are classified as financial instruments. The Council has </w:t>
      </w:r>
      <w:r w:rsidRPr="004F3C92">
        <w:t xml:space="preserve">designated the ROU asset lease at fair value through net result to eliminate </w:t>
      </w:r>
      <w:r w:rsidRPr="00D90C15">
        <w:t xml:space="preserve">or significantly reduce the accounting mismatch that would otherwise arise. For financial liabilities designated at fair value through net result, </w:t>
      </w:r>
      <w:r w:rsidRPr="00774C1D">
        <w:t xml:space="preserve">all transaction costs are expensed as incurred. And they are subsequently </w:t>
      </w:r>
      <w:r w:rsidRPr="00D90C15">
        <w:t xml:space="preserve">measured at fair value with changes in fair </w:t>
      </w:r>
      <w:r w:rsidRPr="00D90C15">
        <w:lastRenderedPageBreak/>
        <w:t>value relating to the Council’s own credit risk recognised in other comprehensive income and the remaining amount of changes in fair value recognised in net result.</w:t>
      </w:r>
    </w:p>
    <w:p w14:paraId="7E102C3B" w14:textId="77777777" w:rsidR="005A008B" w:rsidRPr="00D90C15" w:rsidRDefault="005A008B" w:rsidP="002822AC">
      <w:pPr>
        <w:pStyle w:val="Heading4"/>
      </w:pPr>
      <w:r w:rsidRPr="00D90C15">
        <w:t>6.1.1 Maturity Analysis of Borrowings</w:t>
      </w:r>
    </w:p>
    <w:tbl>
      <w:tblPr>
        <w:tblStyle w:val="Table"/>
        <w:tblW w:w="5000" w:type="pct"/>
        <w:tblLook w:val="0020" w:firstRow="1" w:lastRow="0" w:firstColumn="0" w:lastColumn="0" w:noHBand="0" w:noVBand="0"/>
      </w:tblPr>
      <w:tblGrid>
        <w:gridCol w:w="1727"/>
        <w:gridCol w:w="1215"/>
        <w:gridCol w:w="1215"/>
        <w:gridCol w:w="1215"/>
        <w:gridCol w:w="1215"/>
        <w:gridCol w:w="1215"/>
        <w:gridCol w:w="1214"/>
      </w:tblGrid>
      <w:tr w:rsidR="00D76243" w:rsidRPr="00D90C15" w14:paraId="50CE66B3" w14:textId="77777777" w:rsidTr="0046794E">
        <w:trPr>
          <w:trHeight w:val="60"/>
          <w:tblHeader/>
        </w:trPr>
        <w:tc>
          <w:tcPr>
            <w:tcW w:w="957" w:type="pct"/>
          </w:tcPr>
          <w:p w14:paraId="5874E35D" w14:textId="77777777" w:rsidR="00D76243" w:rsidRPr="00D90C15" w:rsidRDefault="00D76243" w:rsidP="00CA36E9">
            <w:pPr>
              <w:pStyle w:val="TableHeading"/>
            </w:pPr>
          </w:p>
        </w:tc>
        <w:tc>
          <w:tcPr>
            <w:tcW w:w="674" w:type="pct"/>
          </w:tcPr>
          <w:p w14:paraId="174347D2" w14:textId="77777777" w:rsidR="00D76243" w:rsidRPr="00D90C15" w:rsidRDefault="00D76243" w:rsidP="007B5725">
            <w:pPr>
              <w:pStyle w:val="TableHeading"/>
            </w:pPr>
          </w:p>
        </w:tc>
        <w:tc>
          <w:tcPr>
            <w:tcW w:w="674" w:type="pct"/>
          </w:tcPr>
          <w:p w14:paraId="0B26FF63" w14:textId="77777777" w:rsidR="00D76243" w:rsidRPr="00D90C15" w:rsidRDefault="00D76243" w:rsidP="007B5725">
            <w:pPr>
              <w:pStyle w:val="TableHeading"/>
            </w:pPr>
          </w:p>
        </w:tc>
        <w:tc>
          <w:tcPr>
            <w:tcW w:w="674" w:type="pct"/>
          </w:tcPr>
          <w:p w14:paraId="72202000" w14:textId="331E5D41" w:rsidR="00D76243" w:rsidRPr="00D90C15" w:rsidRDefault="00D76243" w:rsidP="007B5725">
            <w:pPr>
              <w:pStyle w:val="TableHeading"/>
            </w:pPr>
            <w:r w:rsidRPr="00D90C15">
              <w:t>Maturity dates</w:t>
            </w:r>
          </w:p>
        </w:tc>
        <w:tc>
          <w:tcPr>
            <w:tcW w:w="674" w:type="pct"/>
          </w:tcPr>
          <w:p w14:paraId="55789231" w14:textId="77777777" w:rsidR="00D76243" w:rsidRPr="00D90C15" w:rsidRDefault="00D76243" w:rsidP="007B5725">
            <w:pPr>
              <w:pStyle w:val="TableHeading"/>
            </w:pPr>
          </w:p>
        </w:tc>
        <w:tc>
          <w:tcPr>
            <w:tcW w:w="674" w:type="pct"/>
          </w:tcPr>
          <w:p w14:paraId="0D8D34C0" w14:textId="77777777" w:rsidR="00D76243" w:rsidRPr="00D90C15" w:rsidRDefault="00D76243" w:rsidP="007B5725">
            <w:pPr>
              <w:pStyle w:val="TableHeading"/>
            </w:pPr>
          </w:p>
        </w:tc>
        <w:tc>
          <w:tcPr>
            <w:tcW w:w="674" w:type="pct"/>
          </w:tcPr>
          <w:p w14:paraId="7D2D6025" w14:textId="77777777" w:rsidR="00D76243" w:rsidRPr="00D90C15" w:rsidRDefault="00D76243" w:rsidP="007B5725">
            <w:pPr>
              <w:pStyle w:val="TableHeading"/>
            </w:pPr>
          </w:p>
        </w:tc>
      </w:tr>
      <w:tr w:rsidR="005A008B" w:rsidRPr="00D90C15" w14:paraId="2B707CC1" w14:textId="77777777" w:rsidTr="0046794E">
        <w:trPr>
          <w:trHeight w:val="60"/>
          <w:tblHeader/>
        </w:trPr>
        <w:tc>
          <w:tcPr>
            <w:tcW w:w="957" w:type="pct"/>
          </w:tcPr>
          <w:p w14:paraId="5133D670" w14:textId="77777777" w:rsidR="005A008B" w:rsidRPr="00D90C15" w:rsidRDefault="005A008B" w:rsidP="00CA36E9">
            <w:pPr>
              <w:pStyle w:val="TableHeading"/>
            </w:pPr>
            <w:r w:rsidRPr="00D90C15">
              <w:t>Maturity analysis of borrowings</w:t>
            </w:r>
          </w:p>
        </w:tc>
        <w:tc>
          <w:tcPr>
            <w:tcW w:w="674" w:type="pct"/>
          </w:tcPr>
          <w:p w14:paraId="4CB66BD7" w14:textId="77777777" w:rsidR="005A008B" w:rsidRPr="00D90C15" w:rsidRDefault="005A008B" w:rsidP="007B5725">
            <w:pPr>
              <w:pStyle w:val="TableHeading"/>
            </w:pPr>
            <w:r w:rsidRPr="00D90C15">
              <w:t>Carrying amount</w:t>
            </w:r>
          </w:p>
        </w:tc>
        <w:tc>
          <w:tcPr>
            <w:tcW w:w="674" w:type="pct"/>
          </w:tcPr>
          <w:p w14:paraId="0D53F931" w14:textId="77777777" w:rsidR="005A008B" w:rsidRPr="00D90C15" w:rsidRDefault="005A008B" w:rsidP="007B5725">
            <w:pPr>
              <w:pStyle w:val="TableHeading"/>
            </w:pPr>
            <w:r w:rsidRPr="00D90C15">
              <w:t>Nominal amount</w:t>
            </w:r>
          </w:p>
        </w:tc>
        <w:tc>
          <w:tcPr>
            <w:tcW w:w="674" w:type="pct"/>
          </w:tcPr>
          <w:p w14:paraId="698B775C" w14:textId="77777777" w:rsidR="005A008B" w:rsidRPr="00D90C15" w:rsidRDefault="005A008B" w:rsidP="007B5725">
            <w:pPr>
              <w:pStyle w:val="TableHeading"/>
            </w:pPr>
            <w:r w:rsidRPr="00D90C15">
              <w:t>Less than 1 month</w:t>
            </w:r>
          </w:p>
        </w:tc>
        <w:tc>
          <w:tcPr>
            <w:tcW w:w="674" w:type="pct"/>
          </w:tcPr>
          <w:p w14:paraId="266EE4DB" w14:textId="77777777" w:rsidR="005A008B" w:rsidRPr="00D90C15" w:rsidRDefault="005A008B" w:rsidP="007B5725">
            <w:pPr>
              <w:pStyle w:val="TableHeading"/>
            </w:pPr>
            <w:r w:rsidRPr="00D90C15">
              <w:t>1–3 months</w:t>
            </w:r>
          </w:p>
        </w:tc>
        <w:tc>
          <w:tcPr>
            <w:tcW w:w="674" w:type="pct"/>
          </w:tcPr>
          <w:p w14:paraId="074E76A3" w14:textId="77777777" w:rsidR="005A008B" w:rsidRPr="00D90C15" w:rsidRDefault="005A008B" w:rsidP="007B5725">
            <w:pPr>
              <w:pStyle w:val="TableHeading"/>
            </w:pPr>
            <w:r w:rsidRPr="00D90C15">
              <w:t>3 months – 1 year</w:t>
            </w:r>
          </w:p>
        </w:tc>
        <w:tc>
          <w:tcPr>
            <w:tcW w:w="674" w:type="pct"/>
          </w:tcPr>
          <w:p w14:paraId="6829ECDB" w14:textId="77777777" w:rsidR="005A008B" w:rsidRPr="00D90C15" w:rsidRDefault="005A008B" w:rsidP="007B5725">
            <w:pPr>
              <w:pStyle w:val="TableHeading"/>
            </w:pPr>
            <w:r w:rsidRPr="00D90C15">
              <w:t>1–5 years</w:t>
            </w:r>
          </w:p>
        </w:tc>
      </w:tr>
      <w:tr w:rsidR="005A008B" w:rsidRPr="00D90C15" w14:paraId="02DBAFF5" w14:textId="77777777" w:rsidTr="0046794E">
        <w:trPr>
          <w:trHeight w:val="60"/>
        </w:trPr>
        <w:tc>
          <w:tcPr>
            <w:tcW w:w="957" w:type="pct"/>
          </w:tcPr>
          <w:p w14:paraId="156EC0DF" w14:textId="77777777" w:rsidR="005A008B" w:rsidRPr="00E72391" w:rsidRDefault="005A008B" w:rsidP="00E72391">
            <w:pPr>
              <w:pStyle w:val="TableBody"/>
              <w:rPr>
                <w:b/>
                <w:bCs/>
              </w:rPr>
            </w:pPr>
            <w:r w:rsidRPr="00E72391">
              <w:rPr>
                <w:b/>
                <w:bCs/>
              </w:rPr>
              <w:t>2025</w:t>
            </w:r>
          </w:p>
        </w:tc>
        <w:tc>
          <w:tcPr>
            <w:tcW w:w="674" w:type="pct"/>
          </w:tcPr>
          <w:p w14:paraId="54E9ECCC"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2D2E3A62"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61828722"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678712C5"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43E7ED3A"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3384A5DC"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8ECB615" w14:textId="77777777" w:rsidTr="0046794E">
        <w:trPr>
          <w:trHeight w:val="60"/>
        </w:trPr>
        <w:tc>
          <w:tcPr>
            <w:tcW w:w="957" w:type="pct"/>
          </w:tcPr>
          <w:p w14:paraId="40FA04F9" w14:textId="77777777" w:rsidR="005A008B" w:rsidRPr="00D90C15" w:rsidRDefault="005A008B" w:rsidP="00E82D64">
            <w:pPr>
              <w:pStyle w:val="TableBody"/>
            </w:pPr>
            <w:r w:rsidRPr="00D90C15">
              <w:t>Lease liabilities</w:t>
            </w:r>
          </w:p>
        </w:tc>
        <w:tc>
          <w:tcPr>
            <w:tcW w:w="674" w:type="pct"/>
          </w:tcPr>
          <w:p w14:paraId="529D9C6D" w14:textId="77777777" w:rsidR="005A008B" w:rsidRPr="00D90C15" w:rsidRDefault="005A008B" w:rsidP="00CC3F1F">
            <w:pPr>
              <w:pStyle w:val="TableBody"/>
            </w:pPr>
            <w:r w:rsidRPr="00D90C15">
              <w:t>195,528</w:t>
            </w:r>
          </w:p>
        </w:tc>
        <w:tc>
          <w:tcPr>
            <w:tcW w:w="674" w:type="pct"/>
          </w:tcPr>
          <w:p w14:paraId="0386D585" w14:textId="77777777" w:rsidR="005A008B" w:rsidRPr="00D90C15" w:rsidRDefault="005A008B" w:rsidP="00CC3F1F">
            <w:pPr>
              <w:pStyle w:val="TableBody"/>
            </w:pPr>
            <w:r w:rsidRPr="00D90C15">
              <w:t>195,528</w:t>
            </w:r>
          </w:p>
        </w:tc>
        <w:tc>
          <w:tcPr>
            <w:tcW w:w="674" w:type="pct"/>
          </w:tcPr>
          <w:p w14:paraId="66BA1393" w14:textId="77777777" w:rsidR="005A008B" w:rsidRPr="00D90C15" w:rsidRDefault="005A008B" w:rsidP="00CC3F1F">
            <w:pPr>
              <w:pStyle w:val="TableBody"/>
            </w:pPr>
            <w:r w:rsidRPr="00D90C15">
              <w:t>10,366</w:t>
            </w:r>
          </w:p>
        </w:tc>
        <w:tc>
          <w:tcPr>
            <w:tcW w:w="674" w:type="pct"/>
          </w:tcPr>
          <w:p w14:paraId="0B8DDA74" w14:textId="77777777" w:rsidR="005A008B" w:rsidRPr="00D90C15" w:rsidRDefault="005A008B" w:rsidP="00CC3F1F">
            <w:pPr>
              <w:pStyle w:val="TableBody"/>
            </w:pPr>
            <w:r w:rsidRPr="00D90C15">
              <w:t xml:space="preserve"> 20,858 </w:t>
            </w:r>
          </w:p>
        </w:tc>
        <w:tc>
          <w:tcPr>
            <w:tcW w:w="674" w:type="pct"/>
          </w:tcPr>
          <w:p w14:paraId="5C0244C5" w14:textId="77777777" w:rsidR="005A008B" w:rsidRPr="00D90C15" w:rsidRDefault="005A008B" w:rsidP="00CC3F1F">
            <w:pPr>
              <w:pStyle w:val="TableBody"/>
            </w:pPr>
            <w:r w:rsidRPr="00D90C15">
              <w:t xml:space="preserve"> 95,981 </w:t>
            </w:r>
          </w:p>
        </w:tc>
        <w:tc>
          <w:tcPr>
            <w:tcW w:w="674" w:type="pct"/>
          </w:tcPr>
          <w:p w14:paraId="5E150EFC" w14:textId="77777777" w:rsidR="005A008B" w:rsidRPr="00D90C15" w:rsidRDefault="005A008B" w:rsidP="00CC3F1F">
            <w:pPr>
              <w:pStyle w:val="TableBody"/>
            </w:pPr>
            <w:r w:rsidRPr="00D90C15">
              <w:t xml:space="preserve"> 68,323 </w:t>
            </w:r>
          </w:p>
        </w:tc>
      </w:tr>
      <w:tr w:rsidR="005A008B" w:rsidRPr="00D90C15" w14:paraId="69BE6E68" w14:textId="77777777" w:rsidTr="0046794E">
        <w:trPr>
          <w:trHeight w:val="60"/>
        </w:trPr>
        <w:tc>
          <w:tcPr>
            <w:tcW w:w="957" w:type="pct"/>
          </w:tcPr>
          <w:p w14:paraId="5C1229FB" w14:textId="77777777" w:rsidR="005A008B" w:rsidRPr="00E72391" w:rsidRDefault="005A008B" w:rsidP="00E72391">
            <w:pPr>
              <w:pStyle w:val="TableBody"/>
              <w:rPr>
                <w:b/>
                <w:bCs/>
              </w:rPr>
            </w:pPr>
            <w:r w:rsidRPr="00E72391">
              <w:rPr>
                <w:b/>
                <w:bCs/>
              </w:rPr>
              <w:t xml:space="preserve">Total </w:t>
            </w:r>
          </w:p>
        </w:tc>
        <w:tc>
          <w:tcPr>
            <w:tcW w:w="674" w:type="pct"/>
          </w:tcPr>
          <w:p w14:paraId="3FE160AB" w14:textId="77777777" w:rsidR="005A008B" w:rsidRPr="001F7031" w:rsidRDefault="005A008B" w:rsidP="001F7031">
            <w:pPr>
              <w:pStyle w:val="TableBody"/>
              <w:rPr>
                <w:b/>
                <w:bCs/>
              </w:rPr>
            </w:pPr>
            <w:r w:rsidRPr="001F7031">
              <w:rPr>
                <w:b/>
                <w:bCs/>
              </w:rPr>
              <w:t>195,528</w:t>
            </w:r>
          </w:p>
        </w:tc>
        <w:tc>
          <w:tcPr>
            <w:tcW w:w="674" w:type="pct"/>
          </w:tcPr>
          <w:p w14:paraId="44465BD5" w14:textId="77777777" w:rsidR="005A008B" w:rsidRPr="001F7031" w:rsidRDefault="005A008B" w:rsidP="001F7031">
            <w:pPr>
              <w:pStyle w:val="TableBody"/>
              <w:rPr>
                <w:b/>
                <w:bCs/>
              </w:rPr>
            </w:pPr>
            <w:r w:rsidRPr="001F7031">
              <w:rPr>
                <w:b/>
                <w:bCs/>
              </w:rPr>
              <w:t>195,528</w:t>
            </w:r>
          </w:p>
        </w:tc>
        <w:tc>
          <w:tcPr>
            <w:tcW w:w="674" w:type="pct"/>
          </w:tcPr>
          <w:p w14:paraId="5A3DE0CE" w14:textId="77777777" w:rsidR="005A008B" w:rsidRPr="001F7031" w:rsidRDefault="005A008B" w:rsidP="001F7031">
            <w:pPr>
              <w:pStyle w:val="TableBody"/>
              <w:rPr>
                <w:b/>
                <w:bCs/>
              </w:rPr>
            </w:pPr>
            <w:r w:rsidRPr="001F7031">
              <w:rPr>
                <w:b/>
                <w:bCs/>
              </w:rPr>
              <w:t>10,366</w:t>
            </w:r>
          </w:p>
        </w:tc>
        <w:tc>
          <w:tcPr>
            <w:tcW w:w="674" w:type="pct"/>
          </w:tcPr>
          <w:p w14:paraId="12E6244B" w14:textId="77777777" w:rsidR="005A008B" w:rsidRPr="001F7031" w:rsidRDefault="005A008B" w:rsidP="001F7031">
            <w:pPr>
              <w:pStyle w:val="TableBody"/>
              <w:rPr>
                <w:b/>
                <w:bCs/>
              </w:rPr>
            </w:pPr>
            <w:r w:rsidRPr="001F7031">
              <w:rPr>
                <w:b/>
                <w:bCs/>
              </w:rPr>
              <w:t>20,858</w:t>
            </w:r>
          </w:p>
        </w:tc>
        <w:tc>
          <w:tcPr>
            <w:tcW w:w="674" w:type="pct"/>
          </w:tcPr>
          <w:p w14:paraId="220B027A" w14:textId="77777777" w:rsidR="005A008B" w:rsidRPr="001F7031" w:rsidRDefault="005A008B" w:rsidP="001F7031">
            <w:pPr>
              <w:pStyle w:val="TableBody"/>
              <w:rPr>
                <w:b/>
                <w:bCs/>
              </w:rPr>
            </w:pPr>
            <w:r w:rsidRPr="001F7031">
              <w:rPr>
                <w:b/>
                <w:bCs/>
              </w:rPr>
              <w:t>95,981</w:t>
            </w:r>
          </w:p>
        </w:tc>
        <w:tc>
          <w:tcPr>
            <w:tcW w:w="674" w:type="pct"/>
          </w:tcPr>
          <w:p w14:paraId="1B6AC2C3" w14:textId="77777777" w:rsidR="005A008B" w:rsidRPr="001F7031" w:rsidRDefault="005A008B" w:rsidP="001F7031">
            <w:pPr>
              <w:pStyle w:val="TableBody"/>
              <w:rPr>
                <w:b/>
                <w:bCs/>
              </w:rPr>
            </w:pPr>
            <w:r w:rsidRPr="001F7031">
              <w:rPr>
                <w:b/>
                <w:bCs/>
              </w:rPr>
              <w:t>68,323</w:t>
            </w:r>
          </w:p>
        </w:tc>
      </w:tr>
    </w:tbl>
    <w:p w14:paraId="499E7521" w14:textId="77777777" w:rsidR="005A008B" w:rsidRPr="006512A5" w:rsidRDefault="005A008B" w:rsidP="006512A5"/>
    <w:tbl>
      <w:tblPr>
        <w:tblStyle w:val="Table"/>
        <w:tblW w:w="5000" w:type="pct"/>
        <w:tblLook w:val="0020" w:firstRow="1" w:lastRow="0" w:firstColumn="0" w:lastColumn="0" w:noHBand="0" w:noVBand="0"/>
      </w:tblPr>
      <w:tblGrid>
        <w:gridCol w:w="1727"/>
        <w:gridCol w:w="1215"/>
        <w:gridCol w:w="1215"/>
        <w:gridCol w:w="1215"/>
        <w:gridCol w:w="1215"/>
        <w:gridCol w:w="1215"/>
        <w:gridCol w:w="1214"/>
      </w:tblGrid>
      <w:tr w:rsidR="00A57D4D" w:rsidRPr="00D90C15" w14:paraId="079D1EAB" w14:textId="77777777" w:rsidTr="0046794E">
        <w:trPr>
          <w:trHeight w:val="60"/>
          <w:tblHeader/>
        </w:trPr>
        <w:tc>
          <w:tcPr>
            <w:tcW w:w="957" w:type="pct"/>
          </w:tcPr>
          <w:p w14:paraId="2DE655A8" w14:textId="77777777" w:rsidR="00A57D4D" w:rsidRPr="00D90C15" w:rsidRDefault="00A57D4D" w:rsidP="00CA36E9">
            <w:pPr>
              <w:pStyle w:val="TableHeading"/>
            </w:pPr>
          </w:p>
        </w:tc>
        <w:tc>
          <w:tcPr>
            <w:tcW w:w="674" w:type="pct"/>
          </w:tcPr>
          <w:p w14:paraId="7870CDDE" w14:textId="77777777" w:rsidR="00A57D4D" w:rsidRPr="00D90C15" w:rsidRDefault="00A57D4D" w:rsidP="007B5725">
            <w:pPr>
              <w:pStyle w:val="TableHeading"/>
            </w:pPr>
          </w:p>
        </w:tc>
        <w:tc>
          <w:tcPr>
            <w:tcW w:w="674" w:type="pct"/>
          </w:tcPr>
          <w:p w14:paraId="1A96B490" w14:textId="77777777" w:rsidR="00A57D4D" w:rsidRPr="00D90C15" w:rsidRDefault="00A57D4D" w:rsidP="007B5725">
            <w:pPr>
              <w:pStyle w:val="TableHeading"/>
            </w:pPr>
          </w:p>
        </w:tc>
        <w:tc>
          <w:tcPr>
            <w:tcW w:w="674" w:type="pct"/>
          </w:tcPr>
          <w:p w14:paraId="2299B5FB" w14:textId="429C95E0" w:rsidR="00A57D4D" w:rsidRPr="00D90C15" w:rsidRDefault="00A57D4D" w:rsidP="007B5725">
            <w:pPr>
              <w:pStyle w:val="TableHeading"/>
            </w:pPr>
            <w:r w:rsidRPr="00D90C15">
              <w:t>Maturity dates</w:t>
            </w:r>
          </w:p>
        </w:tc>
        <w:tc>
          <w:tcPr>
            <w:tcW w:w="674" w:type="pct"/>
          </w:tcPr>
          <w:p w14:paraId="7DE72476" w14:textId="77777777" w:rsidR="00A57D4D" w:rsidRPr="00D90C15" w:rsidRDefault="00A57D4D" w:rsidP="007B5725">
            <w:pPr>
              <w:pStyle w:val="TableHeading"/>
            </w:pPr>
          </w:p>
        </w:tc>
        <w:tc>
          <w:tcPr>
            <w:tcW w:w="674" w:type="pct"/>
          </w:tcPr>
          <w:p w14:paraId="276ED19B" w14:textId="77777777" w:rsidR="00A57D4D" w:rsidRPr="00D90C15" w:rsidRDefault="00A57D4D" w:rsidP="007B5725">
            <w:pPr>
              <w:pStyle w:val="TableHeading"/>
            </w:pPr>
          </w:p>
        </w:tc>
        <w:tc>
          <w:tcPr>
            <w:tcW w:w="674" w:type="pct"/>
          </w:tcPr>
          <w:p w14:paraId="616C0232" w14:textId="77777777" w:rsidR="00A57D4D" w:rsidRPr="00D90C15" w:rsidRDefault="00A57D4D" w:rsidP="007B5725">
            <w:pPr>
              <w:pStyle w:val="TableHeading"/>
            </w:pPr>
          </w:p>
        </w:tc>
      </w:tr>
      <w:tr w:rsidR="005A008B" w:rsidRPr="00D90C15" w14:paraId="1DE80D24" w14:textId="77777777" w:rsidTr="0046794E">
        <w:trPr>
          <w:trHeight w:val="60"/>
          <w:tblHeader/>
        </w:trPr>
        <w:tc>
          <w:tcPr>
            <w:tcW w:w="957" w:type="pct"/>
          </w:tcPr>
          <w:p w14:paraId="28CBA593" w14:textId="77777777" w:rsidR="005A008B" w:rsidRPr="00D90C15" w:rsidRDefault="005A008B" w:rsidP="00CA36E9">
            <w:pPr>
              <w:pStyle w:val="TableHeading"/>
            </w:pPr>
            <w:r w:rsidRPr="00D90C15">
              <w:t>Maturity analysis of borrowings</w:t>
            </w:r>
          </w:p>
        </w:tc>
        <w:tc>
          <w:tcPr>
            <w:tcW w:w="674" w:type="pct"/>
          </w:tcPr>
          <w:p w14:paraId="279BB1B9" w14:textId="77777777" w:rsidR="005A008B" w:rsidRPr="00D90C15" w:rsidRDefault="005A008B" w:rsidP="007B5725">
            <w:pPr>
              <w:pStyle w:val="TableHeading"/>
            </w:pPr>
            <w:r w:rsidRPr="00D90C15">
              <w:t>Carrying amount</w:t>
            </w:r>
          </w:p>
        </w:tc>
        <w:tc>
          <w:tcPr>
            <w:tcW w:w="674" w:type="pct"/>
          </w:tcPr>
          <w:p w14:paraId="1AFDDE53" w14:textId="77777777" w:rsidR="005A008B" w:rsidRPr="00D90C15" w:rsidRDefault="005A008B" w:rsidP="007B5725">
            <w:pPr>
              <w:pStyle w:val="TableHeading"/>
            </w:pPr>
            <w:r w:rsidRPr="00D90C15">
              <w:t>Nominal amount</w:t>
            </w:r>
          </w:p>
        </w:tc>
        <w:tc>
          <w:tcPr>
            <w:tcW w:w="674" w:type="pct"/>
          </w:tcPr>
          <w:p w14:paraId="1846E102" w14:textId="77777777" w:rsidR="005A008B" w:rsidRPr="00D90C15" w:rsidRDefault="005A008B" w:rsidP="007B5725">
            <w:pPr>
              <w:pStyle w:val="TableHeading"/>
            </w:pPr>
            <w:r w:rsidRPr="00D90C15">
              <w:t>Less than 1 month</w:t>
            </w:r>
          </w:p>
        </w:tc>
        <w:tc>
          <w:tcPr>
            <w:tcW w:w="674" w:type="pct"/>
          </w:tcPr>
          <w:p w14:paraId="7232CECF" w14:textId="77777777" w:rsidR="005A008B" w:rsidRPr="00D90C15" w:rsidRDefault="005A008B" w:rsidP="007B5725">
            <w:pPr>
              <w:pStyle w:val="TableHeading"/>
            </w:pPr>
            <w:r w:rsidRPr="00D90C15">
              <w:t>1–3 months</w:t>
            </w:r>
          </w:p>
        </w:tc>
        <w:tc>
          <w:tcPr>
            <w:tcW w:w="674" w:type="pct"/>
          </w:tcPr>
          <w:p w14:paraId="2234C72C" w14:textId="77777777" w:rsidR="005A008B" w:rsidRPr="00D90C15" w:rsidRDefault="005A008B" w:rsidP="007B5725">
            <w:pPr>
              <w:pStyle w:val="TableHeading"/>
            </w:pPr>
            <w:r w:rsidRPr="00D90C15">
              <w:t>3 months – 1 year</w:t>
            </w:r>
          </w:p>
        </w:tc>
        <w:tc>
          <w:tcPr>
            <w:tcW w:w="674" w:type="pct"/>
          </w:tcPr>
          <w:p w14:paraId="5DC9B315" w14:textId="77777777" w:rsidR="005A008B" w:rsidRPr="00D90C15" w:rsidRDefault="005A008B" w:rsidP="007B5725">
            <w:pPr>
              <w:pStyle w:val="TableHeading"/>
            </w:pPr>
            <w:r w:rsidRPr="00D90C15">
              <w:t>1–5 years</w:t>
            </w:r>
          </w:p>
        </w:tc>
      </w:tr>
      <w:tr w:rsidR="005A008B" w:rsidRPr="00D90C15" w14:paraId="30B943AA" w14:textId="77777777" w:rsidTr="0046794E">
        <w:trPr>
          <w:trHeight w:val="60"/>
        </w:trPr>
        <w:tc>
          <w:tcPr>
            <w:tcW w:w="957" w:type="pct"/>
          </w:tcPr>
          <w:p w14:paraId="6A4CCFC1" w14:textId="77777777" w:rsidR="005A008B" w:rsidRPr="00E72391" w:rsidRDefault="005A008B" w:rsidP="00E72391">
            <w:pPr>
              <w:pStyle w:val="TableBody"/>
              <w:rPr>
                <w:b/>
                <w:bCs/>
              </w:rPr>
            </w:pPr>
            <w:r w:rsidRPr="00E72391">
              <w:rPr>
                <w:b/>
                <w:bCs/>
              </w:rPr>
              <w:t>2024</w:t>
            </w:r>
          </w:p>
        </w:tc>
        <w:tc>
          <w:tcPr>
            <w:tcW w:w="674" w:type="pct"/>
          </w:tcPr>
          <w:p w14:paraId="1FCB095D"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4B32FDFD"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7E46BE81"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7B0754C5"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634BF7C9" w14:textId="77777777" w:rsidR="005A008B" w:rsidRPr="00D90C15" w:rsidRDefault="005A008B" w:rsidP="004F187B">
            <w:pPr>
              <w:pStyle w:val="NoParagraphStyle"/>
              <w:spacing w:line="240" w:lineRule="auto"/>
              <w:textAlignment w:val="auto"/>
              <w:rPr>
                <w:rFonts w:cs="Times New Roman"/>
                <w:color w:val="auto"/>
                <w:lang w:val="en-AU"/>
              </w:rPr>
            </w:pPr>
          </w:p>
        </w:tc>
        <w:tc>
          <w:tcPr>
            <w:tcW w:w="674" w:type="pct"/>
          </w:tcPr>
          <w:p w14:paraId="746DBB59"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5DE9007C" w14:textId="77777777" w:rsidTr="0046794E">
        <w:trPr>
          <w:trHeight w:val="60"/>
        </w:trPr>
        <w:tc>
          <w:tcPr>
            <w:tcW w:w="957" w:type="pct"/>
          </w:tcPr>
          <w:p w14:paraId="4E658DD3" w14:textId="77777777" w:rsidR="005A008B" w:rsidRPr="00D90C15" w:rsidRDefault="005A008B" w:rsidP="00E82D64">
            <w:pPr>
              <w:pStyle w:val="TableBody"/>
            </w:pPr>
            <w:r w:rsidRPr="00D90C15">
              <w:t>Lease liabilities</w:t>
            </w:r>
          </w:p>
        </w:tc>
        <w:tc>
          <w:tcPr>
            <w:tcW w:w="674" w:type="pct"/>
          </w:tcPr>
          <w:p w14:paraId="28FEB2EB" w14:textId="77777777" w:rsidR="005A008B" w:rsidRPr="00D90C15" w:rsidRDefault="005A008B" w:rsidP="00CC3F1F">
            <w:pPr>
              <w:pStyle w:val="TableBody"/>
            </w:pPr>
            <w:r w:rsidRPr="00D90C15">
              <w:t xml:space="preserve">312,297 </w:t>
            </w:r>
          </w:p>
        </w:tc>
        <w:tc>
          <w:tcPr>
            <w:tcW w:w="674" w:type="pct"/>
          </w:tcPr>
          <w:p w14:paraId="4E229DFD" w14:textId="77777777" w:rsidR="005A008B" w:rsidRPr="00D90C15" w:rsidRDefault="005A008B" w:rsidP="00CC3F1F">
            <w:pPr>
              <w:pStyle w:val="TableBody"/>
            </w:pPr>
            <w:r w:rsidRPr="00D90C15">
              <w:t xml:space="preserve"> 312,297 </w:t>
            </w:r>
          </w:p>
        </w:tc>
        <w:tc>
          <w:tcPr>
            <w:tcW w:w="674" w:type="pct"/>
          </w:tcPr>
          <w:p w14:paraId="2113CABA" w14:textId="77777777" w:rsidR="005A008B" w:rsidRPr="00D90C15" w:rsidRDefault="005A008B" w:rsidP="00CC3F1F">
            <w:pPr>
              <w:pStyle w:val="TableBody"/>
            </w:pPr>
            <w:r w:rsidRPr="00D90C15">
              <w:t xml:space="preserve"> 9,516 </w:t>
            </w:r>
          </w:p>
        </w:tc>
        <w:tc>
          <w:tcPr>
            <w:tcW w:w="674" w:type="pct"/>
          </w:tcPr>
          <w:p w14:paraId="0F5516EB" w14:textId="77777777" w:rsidR="005A008B" w:rsidRPr="00D90C15" w:rsidRDefault="005A008B" w:rsidP="00CC3F1F">
            <w:pPr>
              <w:pStyle w:val="TableBody"/>
            </w:pPr>
            <w:r w:rsidRPr="00D90C15">
              <w:t xml:space="preserve"> 19,147 </w:t>
            </w:r>
          </w:p>
        </w:tc>
        <w:tc>
          <w:tcPr>
            <w:tcW w:w="674" w:type="pct"/>
          </w:tcPr>
          <w:p w14:paraId="4E5CE493" w14:textId="77777777" w:rsidR="005A008B" w:rsidRPr="00D90C15" w:rsidRDefault="005A008B" w:rsidP="00CC3F1F">
            <w:pPr>
              <w:pStyle w:val="TableBody"/>
            </w:pPr>
            <w:r w:rsidRPr="00D90C15">
              <w:t xml:space="preserve"> 88,106 </w:t>
            </w:r>
          </w:p>
        </w:tc>
        <w:tc>
          <w:tcPr>
            <w:tcW w:w="674" w:type="pct"/>
          </w:tcPr>
          <w:p w14:paraId="5CB9C5E0" w14:textId="77777777" w:rsidR="005A008B" w:rsidRPr="00D90C15" w:rsidRDefault="005A008B" w:rsidP="00CC3F1F">
            <w:pPr>
              <w:pStyle w:val="TableBody"/>
            </w:pPr>
            <w:r w:rsidRPr="00D90C15">
              <w:t xml:space="preserve"> 195,528 </w:t>
            </w:r>
          </w:p>
        </w:tc>
      </w:tr>
      <w:tr w:rsidR="005A008B" w:rsidRPr="00D90C15" w14:paraId="572DF57D" w14:textId="77777777" w:rsidTr="0046794E">
        <w:trPr>
          <w:trHeight w:val="60"/>
        </w:trPr>
        <w:tc>
          <w:tcPr>
            <w:tcW w:w="957" w:type="pct"/>
          </w:tcPr>
          <w:p w14:paraId="4EC47448" w14:textId="77777777" w:rsidR="005A008B" w:rsidRPr="00E72391" w:rsidRDefault="005A008B" w:rsidP="00E72391">
            <w:pPr>
              <w:pStyle w:val="TableBody"/>
              <w:rPr>
                <w:b/>
                <w:bCs/>
              </w:rPr>
            </w:pPr>
            <w:r w:rsidRPr="00E72391">
              <w:rPr>
                <w:b/>
                <w:bCs/>
              </w:rPr>
              <w:t xml:space="preserve">Total </w:t>
            </w:r>
          </w:p>
        </w:tc>
        <w:tc>
          <w:tcPr>
            <w:tcW w:w="674" w:type="pct"/>
          </w:tcPr>
          <w:p w14:paraId="61ADC2D3" w14:textId="77777777" w:rsidR="005A008B" w:rsidRPr="001F7031" w:rsidRDefault="005A008B" w:rsidP="001F7031">
            <w:pPr>
              <w:pStyle w:val="TableBody"/>
              <w:rPr>
                <w:b/>
                <w:bCs/>
              </w:rPr>
            </w:pPr>
            <w:r w:rsidRPr="001F7031">
              <w:rPr>
                <w:b/>
                <w:bCs/>
              </w:rPr>
              <w:t xml:space="preserve"> 312,297 </w:t>
            </w:r>
          </w:p>
        </w:tc>
        <w:tc>
          <w:tcPr>
            <w:tcW w:w="674" w:type="pct"/>
          </w:tcPr>
          <w:p w14:paraId="6217FC3B" w14:textId="77777777" w:rsidR="005A008B" w:rsidRPr="001F7031" w:rsidRDefault="005A008B" w:rsidP="001F7031">
            <w:pPr>
              <w:pStyle w:val="TableBody"/>
              <w:rPr>
                <w:b/>
                <w:bCs/>
              </w:rPr>
            </w:pPr>
            <w:r w:rsidRPr="001F7031">
              <w:rPr>
                <w:b/>
                <w:bCs/>
              </w:rPr>
              <w:t xml:space="preserve"> 312,297 </w:t>
            </w:r>
          </w:p>
        </w:tc>
        <w:tc>
          <w:tcPr>
            <w:tcW w:w="674" w:type="pct"/>
          </w:tcPr>
          <w:p w14:paraId="4D344CA2" w14:textId="77777777" w:rsidR="005A008B" w:rsidRPr="001F7031" w:rsidRDefault="005A008B" w:rsidP="001F7031">
            <w:pPr>
              <w:pStyle w:val="TableBody"/>
              <w:rPr>
                <w:b/>
                <w:bCs/>
              </w:rPr>
            </w:pPr>
            <w:r w:rsidRPr="001F7031">
              <w:rPr>
                <w:b/>
                <w:bCs/>
              </w:rPr>
              <w:t xml:space="preserve"> 9,516 </w:t>
            </w:r>
          </w:p>
        </w:tc>
        <w:tc>
          <w:tcPr>
            <w:tcW w:w="674" w:type="pct"/>
          </w:tcPr>
          <w:p w14:paraId="6A6CBD96" w14:textId="77777777" w:rsidR="005A008B" w:rsidRPr="001F7031" w:rsidRDefault="005A008B" w:rsidP="001F7031">
            <w:pPr>
              <w:pStyle w:val="TableBody"/>
              <w:rPr>
                <w:b/>
                <w:bCs/>
              </w:rPr>
            </w:pPr>
            <w:r w:rsidRPr="001F7031">
              <w:rPr>
                <w:b/>
                <w:bCs/>
              </w:rPr>
              <w:t xml:space="preserve"> 19,147 </w:t>
            </w:r>
          </w:p>
        </w:tc>
        <w:tc>
          <w:tcPr>
            <w:tcW w:w="674" w:type="pct"/>
          </w:tcPr>
          <w:p w14:paraId="68B2226B" w14:textId="77777777" w:rsidR="005A008B" w:rsidRPr="001F7031" w:rsidRDefault="005A008B" w:rsidP="001F7031">
            <w:pPr>
              <w:pStyle w:val="TableBody"/>
              <w:rPr>
                <w:b/>
                <w:bCs/>
              </w:rPr>
            </w:pPr>
            <w:r w:rsidRPr="001F7031">
              <w:rPr>
                <w:b/>
                <w:bCs/>
              </w:rPr>
              <w:t xml:space="preserve"> 88,106 </w:t>
            </w:r>
          </w:p>
        </w:tc>
        <w:tc>
          <w:tcPr>
            <w:tcW w:w="674" w:type="pct"/>
          </w:tcPr>
          <w:p w14:paraId="14DF578A" w14:textId="77777777" w:rsidR="005A008B" w:rsidRPr="001F7031" w:rsidRDefault="005A008B" w:rsidP="001F7031">
            <w:pPr>
              <w:pStyle w:val="TableBody"/>
              <w:rPr>
                <w:b/>
                <w:bCs/>
              </w:rPr>
            </w:pPr>
            <w:r w:rsidRPr="001F7031">
              <w:rPr>
                <w:b/>
                <w:bCs/>
              </w:rPr>
              <w:t xml:space="preserve"> 195,528 </w:t>
            </w:r>
          </w:p>
        </w:tc>
      </w:tr>
    </w:tbl>
    <w:p w14:paraId="54B1C3BF" w14:textId="77777777" w:rsidR="005A008B" w:rsidRPr="00D90C15" w:rsidRDefault="005A008B" w:rsidP="002822AC">
      <w:pPr>
        <w:pStyle w:val="Heading4"/>
      </w:pPr>
      <w:r w:rsidRPr="00D90C15">
        <w:t>6.1.2 Interest Expenses</w:t>
      </w:r>
    </w:p>
    <w:tbl>
      <w:tblPr>
        <w:tblStyle w:val="Table"/>
        <w:tblW w:w="5000" w:type="pct"/>
        <w:tblLook w:val="0020" w:firstRow="1" w:lastRow="0" w:firstColumn="0" w:lastColumn="0" w:noHBand="0" w:noVBand="0"/>
      </w:tblPr>
      <w:tblGrid>
        <w:gridCol w:w="4919"/>
        <w:gridCol w:w="2050"/>
        <w:gridCol w:w="2047"/>
      </w:tblGrid>
      <w:tr w:rsidR="005A008B" w:rsidRPr="00D90C15" w14:paraId="6CE824CE" w14:textId="77777777" w:rsidTr="0046794E">
        <w:trPr>
          <w:trHeight w:val="60"/>
          <w:tblHeader/>
        </w:trPr>
        <w:tc>
          <w:tcPr>
            <w:tcW w:w="2728" w:type="pct"/>
          </w:tcPr>
          <w:p w14:paraId="42AF4762" w14:textId="77777777" w:rsidR="005A008B" w:rsidRPr="00D90C15" w:rsidRDefault="005A008B" w:rsidP="00CA36E9">
            <w:pPr>
              <w:pStyle w:val="TableHeading"/>
            </w:pPr>
            <w:r w:rsidRPr="00D90C15">
              <w:t>Interest expense</w:t>
            </w:r>
          </w:p>
        </w:tc>
        <w:tc>
          <w:tcPr>
            <w:tcW w:w="1137" w:type="pct"/>
          </w:tcPr>
          <w:p w14:paraId="59526200" w14:textId="77777777" w:rsidR="005A008B" w:rsidRPr="00D90C15" w:rsidRDefault="005A008B" w:rsidP="007B5725">
            <w:pPr>
              <w:pStyle w:val="TableHeading"/>
            </w:pPr>
            <w:r w:rsidRPr="00D90C15">
              <w:t>2025</w:t>
            </w:r>
            <w:r w:rsidRPr="00D90C15">
              <w:br/>
              <w:t>$</w:t>
            </w:r>
          </w:p>
        </w:tc>
        <w:tc>
          <w:tcPr>
            <w:tcW w:w="1136" w:type="pct"/>
          </w:tcPr>
          <w:p w14:paraId="48868D50" w14:textId="77777777" w:rsidR="005A008B" w:rsidRPr="00D90C15" w:rsidRDefault="005A008B" w:rsidP="007B5725">
            <w:pPr>
              <w:pStyle w:val="TableHeading"/>
            </w:pPr>
            <w:r w:rsidRPr="00D90C15">
              <w:t>2024</w:t>
            </w:r>
            <w:r w:rsidRPr="00D90C15">
              <w:br/>
              <w:t>$</w:t>
            </w:r>
          </w:p>
        </w:tc>
      </w:tr>
      <w:tr w:rsidR="005A008B" w:rsidRPr="00D90C15" w14:paraId="28205D21" w14:textId="77777777" w:rsidTr="0046794E">
        <w:trPr>
          <w:trHeight w:val="60"/>
        </w:trPr>
        <w:tc>
          <w:tcPr>
            <w:tcW w:w="2728" w:type="pct"/>
          </w:tcPr>
          <w:p w14:paraId="20D8DE83" w14:textId="77777777" w:rsidR="005A008B" w:rsidRPr="00D90C15" w:rsidRDefault="005A008B" w:rsidP="00E82D64">
            <w:pPr>
              <w:pStyle w:val="TableBody"/>
            </w:pPr>
            <w:r w:rsidRPr="00D90C15">
              <w:t xml:space="preserve">Interest </w:t>
            </w:r>
            <w:proofErr w:type="gramStart"/>
            <w:r w:rsidRPr="00D90C15">
              <w:t>on</w:t>
            </w:r>
            <w:proofErr w:type="gramEnd"/>
            <w:r w:rsidRPr="00D90C15">
              <w:t xml:space="preserve"> lease liabilities</w:t>
            </w:r>
          </w:p>
        </w:tc>
        <w:tc>
          <w:tcPr>
            <w:tcW w:w="1137" w:type="pct"/>
          </w:tcPr>
          <w:p w14:paraId="3ADCFBD1" w14:textId="77777777" w:rsidR="005A008B" w:rsidRPr="00D90C15" w:rsidRDefault="005A008B" w:rsidP="00CC3F1F">
            <w:pPr>
              <w:pStyle w:val="TableBody"/>
            </w:pPr>
            <w:r w:rsidRPr="00D90C15">
              <w:t>12,606</w:t>
            </w:r>
          </w:p>
        </w:tc>
        <w:tc>
          <w:tcPr>
            <w:tcW w:w="1136" w:type="pct"/>
          </w:tcPr>
          <w:p w14:paraId="4AB54B8E" w14:textId="77777777" w:rsidR="005A008B" w:rsidRPr="00D90C15" w:rsidRDefault="005A008B" w:rsidP="00CC3F1F">
            <w:pPr>
              <w:pStyle w:val="TableBody"/>
            </w:pPr>
            <w:r w:rsidRPr="00D90C15">
              <w:t>18,024</w:t>
            </w:r>
          </w:p>
        </w:tc>
      </w:tr>
    </w:tbl>
    <w:p w14:paraId="5CA98844" w14:textId="77777777" w:rsidR="005A008B" w:rsidRPr="00D90C15" w:rsidRDefault="005A008B" w:rsidP="00234617">
      <w:r w:rsidRPr="00D90C15">
        <w:t>‘Interest expense’ includes the implicit interest component relating to the right-of-use lease liability repayments.</w:t>
      </w:r>
    </w:p>
    <w:p w14:paraId="6EDD7CE1" w14:textId="77777777" w:rsidR="005A008B" w:rsidRPr="00D90C15" w:rsidRDefault="005A008B" w:rsidP="002822AC">
      <w:pPr>
        <w:pStyle w:val="Heading3"/>
      </w:pPr>
      <w:bookmarkStart w:id="116" w:name="_Toc221113882"/>
      <w:r w:rsidRPr="00D90C15">
        <w:t>6.2 Leases</w:t>
      </w:r>
      <w:bookmarkEnd w:id="116"/>
    </w:p>
    <w:p w14:paraId="420CBE52" w14:textId="77777777" w:rsidR="005A008B" w:rsidRPr="00D90C15" w:rsidRDefault="005A008B" w:rsidP="006512A5">
      <w:r w:rsidRPr="00D90C15">
        <w:t>Information about leases for which the Council is a lessee is presented below.</w:t>
      </w:r>
    </w:p>
    <w:p w14:paraId="7DEE2FEB" w14:textId="77777777" w:rsidR="005A008B" w:rsidRPr="00D90C15" w:rsidRDefault="005A008B" w:rsidP="002822AC">
      <w:pPr>
        <w:pStyle w:val="Heading4"/>
      </w:pPr>
      <w:r w:rsidRPr="00D90C15">
        <w:t>The Council’s Leasing Activities</w:t>
      </w:r>
    </w:p>
    <w:p w14:paraId="35B14C4C" w14:textId="77777777" w:rsidR="005A008B" w:rsidRPr="00D90C15" w:rsidRDefault="005A008B" w:rsidP="00234617">
      <w:r w:rsidRPr="00D90C15">
        <w:t xml:space="preserve">The Council subleases its office space from the Victorian Law Reform Commission. The sublease contract for the office space was renegotiated to reflect market rentals for a three-and-a-half-year period commencing 1 July 2023. </w:t>
      </w:r>
    </w:p>
    <w:p w14:paraId="6DC8D83F" w14:textId="77777777" w:rsidR="005A008B" w:rsidRPr="00D90C15" w:rsidRDefault="005A008B" w:rsidP="00234617">
      <w:r w:rsidRPr="00D90C15">
        <w:t xml:space="preserve">As </w:t>
      </w:r>
      <w:proofErr w:type="gramStart"/>
      <w:r w:rsidRPr="00D90C15">
        <w:t>at</w:t>
      </w:r>
      <w:proofErr w:type="gramEnd"/>
      <w:r w:rsidRPr="00D90C15">
        <w:t xml:space="preserve"> 30 June 2025, the lease term had a further one and a half years to expire. </w:t>
      </w:r>
    </w:p>
    <w:p w14:paraId="4D1CE485" w14:textId="77777777" w:rsidR="005A008B" w:rsidRPr="00D90C15" w:rsidRDefault="005A008B" w:rsidP="002822AC">
      <w:pPr>
        <w:pStyle w:val="Heading4"/>
      </w:pPr>
      <w:r w:rsidRPr="00D90C15">
        <w:lastRenderedPageBreak/>
        <w:t xml:space="preserve">6.2.1 Right-of-Use Assets </w:t>
      </w:r>
    </w:p>
    <w:p w14:paraId="68779110" w14:textId="77777777" w:rsidR="005A008B" w:rsidRPr="00D90C15" w:rsidRDefault="005A008B" w:rsidP="00234617">
      <w:r w:rsidRPr="00D90C15">
        <w:t xml:space="preserve">Right-of-use assets are presented in Note 4.1. </w:t>
      </w:r>
    </w:p>
    <w:p w14:paraId="4E050F58" w14:textId="77777777" w:rsidR="005A008B" w:rsidRPr="00D90C15" w:rsidRDefault="005A008B" w:rsidP="002822AC">
      <w:pPr>
        <w:pStyle w:val="Heading4"/>
      </w:pPr>
      <w:r w:rsidRPr="00D90C15">
        <w:t xml:space="preserve">6.2.2 Recognition and Measurement of Leases as a Lessee </w:t>
      </w:r>
    </w:p>
    <w:p w14:paraId="332A7877" w14:textId="77777777" w:rsidR="005A008B" w:rsidRPr="00D90C15" w:rsidRDefault="005A008B" w:rsidP="002822AC">
      <w:pPr>
        <w:pStyle w:val="Heading4"/>
      </w:pPr>
      <w:r w:rsidRPr="00D90C15">
        <w:t>Lease Liability – Initial Measurement</w:t>
      </w:r>
    </w:p>
    <w:p w14:paraId="7F5C2A5E" w14:textId="77777777" w:rsidR="005A008B" w:rsidRPr="00D90C15" w:rsidRDefault="005A008B" w:rsidP="00234617">
      <w:r w:rsidRPr="00D90C15">
        <w:t xml:space="preserve">The lease liability is initially measured at the present value of the lease payments unpaid at the commencement date, discounted using the interest rate implicit in the lease if that rate is readily determinable or the Council’s incremental borrowing rate. </w:t>
      </w:r>
    </w:p>
    <w:p w14:paraId="0DD260BF" w14:textId="77777777" w:rsidR="005A008B" w:rsidRPr="00D90C15" w:rsidRDefault="005A008B" w:rsidP="006512A5">
      <w:r w:rsidRPr="00D90C15">
        <w:t>Lease payments included in the measurement of the lease liability comprise the following:</w:t>
      </w:r>
    </w:p>
    <w:p w14:paraId="5AD637F5" w14:textId="77777777" w:rsidR="005A008B" w:rsidRPr="00D90C15" w:rsidRDefault="005A008B" w:rsidP="00926C26">
      <w:pPr>
        <w:pStyle w:val="Bullets"/>
      </w:pPr>
      <w:r w:rsidRPr="00D90C15">
        <w:t>fixed payments (including in-substance fixed payments) less any lease incentive receivable</w:t>
      </w:r>
    </w:p>
    <w:p w14:paraId="672D9129" w14:textId="77777777" w:rsidR="005A008B" w:rsidRPr="00D90C15" w:rsidRDefault="005A008B" w:rsidP="00926C26">
      <w:pPr>
        <w:pStyle w:val="Bullets"/>
      </w:pPr>
      <w:r w:rsidRPr="00D90C15">
        <w:t>variable payments based on an index or rate, initially measured using the index or rate as at the commencement date</w:t>
      </w:r>
    </w:p>
    <w:p w14:paraId="5A26C5F5" w14:textId="77777777" w:rsidR="005A008B" w:rsidRPr="00D90C15" w:rsidRDefault="005A008B" w:rsidP="00926C26">
      <w:pPr>
        <w:pStyle w:val="Bullets"/>
      </w:pPr>
      <w:r w:rsidRPr="00D90C15">
        <w:t>amounts expected to be payable under a residual value guarantee and</w:t>
      </w:r>
    </w:p>
    <w:p w14:paraId="1C852FB5" w14:textId="77777777" w:rsidR="005A008B" w:rsidRPr="00D90C15" w:rsidRDefault="005A008B" w:rsidP="00926C26">
      <w:pPr>
        <w:pStyle w:val="Bullets"/>
      </w:pPr>
      <w:r w:rsidRPr="00D90C15">
        <w:t>payments arising from purchase and termination options reasonably certain to be exercised.</w:t>
      </w:r>
    </w:p>
    <w:p w14:paraId="3C83F537" w14:textId="77777777" w:rsidR="005A008B" w:rsidRPr="00D90C15" w:rsidRDefault="005A008B" w:rsidP="002822AC">
      <w:pPr>
        <w:pStyle w:val="Heading4"/>
      </w:pPr>
      <w:r w:rsidRPr="00D90C15">
        <w:t>Lease Liability – Subsequent Measurement</w:t>
      </w:r>
    </w:p>
    <w:p w14:paraId="2D631D3E" w14:textId="77777777" w:rsidR="005A008B" w:rsidRPr="00D90C15" w:rsidRDefault="005A008B" w:rsidP="00234617">
      <w:proofErr w:type="gramStart"/>
      <w:r w:rsidRPr="00D90C15">
        <w:t>Subsequent to</w:t>
      </w:r>
      <w:proofErr w:type="gramEnd"/>
      <w:r w:rsidRPr="00D90C15">
        <w:t xml:space="preserve"> initial measurement, the liability will be reduced for payments made and increased for interest. It is remeasured to reflect any reassessment or modification, or if there are changes in-substance fixed payments. </w:t>
      </w:r>
    </w:p>
    <w:p w14:paraId="4E659A55" w14:textId="77777777" w:rsidR="005A008B" w:rsidRPr="00D90C15" w:rsidRDefault="005A008B" w:rsidP="006512A5">
      <w:r w:rsidRPr="00D90C15">
        <w:t xml:space="preserve">When the lease liability is remeasured, the corresponding adjustment is reflected in the right-of-use asset, or profit and loss if the right-of-use asset is already reduced to zero. </w:t>
      </w:r>
    </w:p>
    <w:p w14:paraId="2ADE7B4F" w14:textId="77777777" w:rsidR="005A008B" w:rsidRPr="00D90C15" w:rsidRDefault="005A008B" w:rsidP="002822AC">
      <w:pPr>
        <w:pStyle w:val="Heading4"/>
      </w:pPr>
      <w:r w:rsidRPr="00D90C15">
        <w:t>Presentation of Right-of-Use Assets and Lease Liabilities</w:t>
      </w:r>
    </w:p>
    <w:p w14:paraId="342D43AA" w14:textId="77777777" w:rsidR="005A008B" w:rsidRPr="00D90C15" w:rsidRDefault="005A008B" w:rsidP="00234617">
      <w:r w:rsidRPr="00D90C15">
        <w:t xml:space="preserve">The Council presents right-of-use assets as ‘property, plant and equipment’ in the balance sheet. Lease liabilities are presented as ‘borrowings’ in the balance sheet. </w:t>
      </w:r>
    </w:p>
    <w:p w14:paraId="4789B2EA" w14:textId="77777777" w:rsidR="005A008B" w:rsidRPr="00D90C15" w:rsidRDefault="005A008B" w:rsidP="002822AC">
      <w:pPr>
        <w:pStyle w:val="Heading3"/>
      </w:pPr>
      <w:bookmarkStart w:id="117" w:name="_Toc221113883"/>
      <w:r w:rsidRPr="00D90C15">
        <w:lastRenderedPageBreak/>
        <w:t>6.3 Cash Equivalent Balances</w:t>
      </w:r>
      <w:bookmarkEnd w:id="117"/>
    </w:p>
    <w:p w14:paraId="08A192E7" w14:textId="77777777" w:rsidR="005A008B" w:rsidRPr="00D90C15" w:rsidRDefault="005A008B" w:rsidP="00234617">
      <w:r w:rsidRPr="00D90C15">
        <w:t xml:space="preserve">The table below shows the cash equivalent balances controlled by the Council which are maintained by the Department of Justice and Community Safety within their General Trust Fund. </w:t>
      </w:r>
    </w:p>
    <w:tbl>
      <w:tblPr>
        <w:tblStyle w:val="Table"/>
        <w:tblW w:w="5000" w:type="pct"/>
        <w:tblLook w:val="0020" w:firstRow="1" w:lastRow="0" w:firstColumn="0" w:lastColumn="0" w:noHBand="0" w:noVBand="0"/>
      </w:tblPr>
      <w:tblGrid>
        <w:gridCol w:w="1285"/>
        <w:gridCol w:w="941"/>
        <w:gridCol w:w="933"/>
        <w:gridCol w:w="1068"/>
        <w:gridCol w:w="933"/>
        <w:gridCol w:w="941"/>
        <w:gridCol w:w="914"/>
        <w:gridCol w:w="1068"/>
        <w:gridCol w:w="933"/>
      </w:tblGrid>
      <w:tr w:rsidR="005A008B" w:rsidRPr="00D90C15" w14:paraId="1E9E1B24" w14:textId="77777777" w:rsidTr="0046794E">
        <w:trPr>
          <w:trHeight w:val="60"/>
          <w:tblHeader/>
        </w:trPr>
        <w:tc>
          <w:tcPr>
            <w:tcW w:w="674" w:type="pct"/>
          </w:tcPr>
          <w:p w14:paraId="486D1CE5" w14:textId="77777777" w:rsidR="005A008B" w:rsidRPr="00D90C15" w:rsidRDefault="005A008B" w:rsidP="00CA36E9">
            <w:pPr>
              <w:pStyle w:val="TableHeading"/>
            </w:pPr>
            <w:r w:rsidRPr="00D90C15">
              <w:t>Cash and cash equivalents and investments</w:t>
            </w:r>
          </w:p>
        </w:tc>
        <w:tc>
          <w:tcPr>
            <w:tcW w:w="534" w:type="pct"/>
          </w:tcPr>
          <w:p w14:paraId="1CFA4B32" w14:textId="77777777" w:rsidR="005A008B" w:rsidRPr="00D90C15" w:rsidRDefault="005A008B" w:rsidP="007B5725">
            <w:pPr>
              <w:pStyle w:val="TableHeading"/>
            </w:pPr>
            <w:r w:rsidRPr="00D90C15">
              <w:t xml:space="preserve">Opening balance as </w:t>
            </w:r>
            <w:proofErr w:type="gramStart"/>
            <w:r w:rsidRPr="00D90C15">
              <w:t>at</w:t>
            </w:r>
            <w:proofErr w:type="gramEnd"/>
            <w:r w:rsidRPr="00D90C15">
              <w:t xml:space="preserve"> 1 July 2024</w:t>
            </w:r>
          </w:p>
        </w:tc>
        <w:tc>
          <w:tcPr>
            <w:tcW w:w="478" w:type="pct"/>
          </w:tcPr>
          <w:p w14:paraId="49237403" w14:textId="77777777" w:rsidR="005A008B" w:rsidRPr="00D90C15" w:rsidRDefault="005A008B" w:rsidP="007B5725">
            <w:pPr>
              <w:pStyle w:val="TableHeading"/>
            </w:pPr>
            <w:r w:rsidRPr="00D90C15">
              <w:t>Total receipts</w:t>
            </w:r>
          </w:p>
        </w:tc>
        <w:tc>
          <w:tcPr>
            <w:tcW w:w="590" w:type="pct"/>
          </w:tcPr>
          <w:p w14:paraId="70266F6D" w14:textId="77777777" w:rsidR="005A008B" w:rsidRPr="00D90C15" w:rsidRDefault="005A008B" w:rsidP="007B5725">
            <w:pPr>
              <w:pStyle w:val="TableHeading"/>
            </w:pPr>
            <w:r w:rsidRPr="00D90C15">
              <w:t>Total payments</w:t>
            </w:r>
          </w:p>
        </w:tc>
        <w:tc>
          <w:tcPr>
            <w:tcW w:w="562" w:type="pct"/>
          </w:tcPr>
          <w:p w14:paraId="0D8DAEB9" w14:textId="6E902CA5" w:rsidR="005A008B" w:rsidRPr="00D90C15" w:rsidRDefault="00382DD5" w:rsidP="007B5725">
            <w:pPr>
              <w:pStyle w:val="TableHeading"/>
            </w:pPr>
            <w:r w:rsidRPr="00D90C15">
              <w:t>2025</w:t>
            </w:r>
            <w:r>
              <w:br/>
            </w:r>
            <w:r w:rsidR="005A008B" w:rsidRPr="00D90C15">
              <w:t xml:space="preserve">Closing balance as </w:t>
            </w:r>
            <w:proofErr w:type="gramStart"/>
            <w:r w:rsidR="005A008B" w:rsidRPr="00D90C15">
              <w:t>at</w:t>
            </w:r>
            <w:proofErr w:type="gramEnd"/>
            <w:r w:rsidR="005A008B" w:rsidRPr="00D90C15">
              <w:t xml:space="preserve"> 30 June 2025</w:t>
            </w:r>
          </w:p>
        </w:tc>
        <w:tc>
          <w:tcPr>
            <w:tcW w:w="534" w:type="pct"/>
          </w:tcPr>
          <w:p w14:paraId="0F74A815" w14:textId="77777777" w:rsidR="005A008B" w:rsidRPr="00D90C15" w:rsidRDefault="005A008B" w:rsidP="007B5725">
            <w:pPr>
              <w:pStyle w:val="TableHeading"/>
            </w:pPr>
            <w:r w:rsidRPr="00D90C15">
              <w:t xml:space="preserve">Opening balance as </w:t>
            </w:r>
            <w:proofErr w:type="gramStart"/>
            <w:r w:rsidRPr="00D90C15">
              <w:t>at</w:t>
            </w:r>
            <w:proofErr w:type="gramEnd"/>
            <w:r w:rsidRPr="00D90C15">
              <w:t xml:space="preserve"> 1 July 2023</w:t>
            </w:r>
          </w:p>
        </w:tc>
        <w:tc>
          <w:tcPr>
            <w:tcW w:w="478" w:type="pct"/>
          </w:tcPr>
          <w:p w14:paraId="0960DBF0" w14:textId="77777777" w:rsidR="005A008B" w:rsidRPr="00D90C15" w:rsidRDefault="005A008B" w:rsidP="007B5725">
            <w:pPr>
              <w:pStyle w:val="TableHeading"/>
            </w:pPr>
            <w:r w:rsidRPr="00D90C15">
              <w:t>Total receipts</w:t>
            </w:r>
          </w:p>
        </w:tc>
        <w:tc>
          <w:tcPr>
            <w:tcW w:w="590" w:type="pct"/>
          </w:tcPr>
          <w:p w14:paraId="63E24367" w14:textId="77777777" w:rsidR="005A008B" w:rsidRPr="00D90C15" w:rsidRDefault="005A008B" w:rsidP="007B5725">
            <w:pPr>
              <w:pStyle w:val="TableHeading"/>
            </w:pPr>
            <w:r w:rsidRPr="00D90C15">
              <w:t>Total payments</w:t>
            </w:r>
          </w:p>
        </w:tc>
        <w:tc>
          <w:tcPr>
            <w:tcW w:w="562" w:type="pct"/>
          </w:tcPr>
          <w:p w14:paraId="7A40AF9D" w14:textId="55FE9D03" w:rsidR="005A008B" w:rsidRPr="00D90C15" w:rsidRDefault="00382DD5" w:rsidP="007B5725">
            <w:pPr>
              <w:pStyle w:val="TableHeading"/>
            </w:pPr>
            <w:r w:rsidRPr="00D90C15">
              <w:t>2024</w:t>
            </w:r>
            <w:r>
              <w:br/>
            </w:r>
            <w:r w:rsidR="005A008B" w:rsidRPr="00D90C15">
              <w:t xml:space="preserve">Closing balance as </w:t>
            </w:r>
            <w:proofErr w:type="gramStart"/>
            <w:r w:rsidR="005A008B" w:rsidRPr="00D90C15">
              <w:t>at</w:t>
            </w:r>
            <w:proofErr w:type="gramEnd"/>
            <w:r w:rsidR="005A008B" w:rsidRPr="00D90C15">
              <w:t xml:space="preserve"> 30 June 2024</w:t>
            </w:r>
          </w:p>
        </w:tc>
      </w:tr>
      <w:tr w:rsidR="005A008B" w:rsidRPr="00D90C15" w14:paraId="27DFED68" w14:textId="77777777" w:rsidTr="0046794E">
        <w:trPr>
          <w:trHeight w:val="60"/>
        </w:trPr>
        <w:tc>
          <w:tcPr>
            <w:tcW w:w="674" w:type="pct"/>
          </w:tcPr>
          <w:p w14:paraId="3283E65B" w14:textId="77777777" w:rsidR="005A008B" w:rsidRPr="00D90C15" w:rsidRDefault="005A008B" w:rsidP="004F187B">
            <w:pPr>
              <w:pStyle w:val="NoParagraphStyle"/>
              <w:spacing w:line="240" w:lineRule="auto"/>
              <w:textAlignment w:val="auto"/>
              <w:rPr>
                <w:rFonts w:cs="Times New Roman"/>
                <w:color w:val="auto"/>
                <w:lang w:val="en-AU"/>
              </w:rPr>
            </w:pPr>
          </w:p>
        </w:tc>
        <w:tc>
          <w:tcPr>
            <w:tcW w:w="534" w:type="pct"/>
          </w:tcPr>
          <w:p w14:paraId="09290655" w14:textId="77777777" w:rsidR="005A008B" w:rsidRPr="00D90C15" w:rsidRDefault="005A008B" w:rsidP="007B5725">
            <w:pPr>
              <w:pStyle w:val="TableHeading"/>
            </w:pPr>
            <w:r w:rsidRPr="00D90C15">
              <w:t>$</w:t>
            </w:r>
          </w:p>
        </w:tc>
        <w:tc>
          <w:tcPr>
            <w:tcW w:w="478" w:type="pct"/>
          </w:tcPr>
          <w:p w14:paraId="05E4931F" w14:textId="77777777" w:rsidR="005A008B" w:rsidRPr="00D90C15" w:rsidRDefault="005A008B" w:rsidP="007B5725">
            <w:pPr>
              <w:pStyle w:val="TableHeading"/>
            </w:pPr>
            <w:r w:rsidRPr="00D90C15">
              <w:t>$</w:t>
            </w:r>
          </w:p>
        </w:tc>
        <w:tc>
          <w:tcPr>
            <w:tcW w:w="590" w:type="pct"/>
          </w:tcPr>
          <w:p w14:paraId="2CECAE21" w14:textId="77777777" w:rsidR="005A008B" w:rsidRPr="00D90C15" w:rsidRDefault="005A008B" w:rsidP="007B5725">
            <w:pPr>
              <w:pStyle w:val="TableHeading"/>
            </w:pPr>
            <w:r w:rsidRPr="00D90C15">
              <w:t>$</w:t>
            </w:r>
          </w:p>
        </w:tc>
        <w:tc>
          <w:tcPr>
            <w:tcW w:w="562" w:type="pct"/>
          </w:tcPr>
          <w:p w14:paraId="0EE105BA" w14:textId="77777777" w:rsidR="005A008B" w:rsidRPr="00D90C15" w:rsidRDefault="005A008B" w:rsidP="007B5725">
            <w:pPr>
              <w:pStyle w:val="TableHeading"/>
            </w:pPr>
            <w:r w:rsidRPr="00D90C15">
              <w:t>$</w:t>
            </w:r>
          </w:p>
        </w:tc>
        <w:tc>
          <w:tcPr>
            <w:tcW w:w="534" w:type="pct"/>
          </w:tcPr>
          <w:p w14:paraId="69A56CF6" w14:textId="77777777" w:rsidR="005A008B" w:rsidRPr="00D90C15" w:rsidRDefault="005A008B" w:rsidP="007B5725">
            <w:pPr>
              <w:pStyle w:val="TableHeading"/>
            </w:pPr>
            <w:r w:rsidRPr="00D90C15">
              <w:t>$</w:t>
            </w:r>
          </w:p>
        </w:tc>
        <w:tc>
          <w:tcPr>
            <w:tcW w:w="478" w:type="pct"/>
          </w:tcPr>
          <w:p w14:paraId="0A5202A5" w14:textId="77777777" w:rsidR="005A008B" w:rsidRPr="00D90C15" w:rsidRDefault="005A008B" w:rsidP="007B5725">
            <w:pPr>
              <w:pStyle w:val="TableHeading"/>
            </w:pPr>
            <w:r w:rsidRPr="00D90C15">
              <w:t>$</w:t>
            </w:r>
          </w:p>
        </w:tc>
        <w:tc>
          <w:tcPr>
            <w:tcW w:w="590" w:type="pct"/>
          </w:tcPr>
          <w:p w14:paraId="073C2F4A" w14:textId="77777777" w:rsidR="005A008B" w:rsidRPr="00D90C15" w:rsidRDefault="005A008B" w:rsidP="007B5725">
            <w:pPr>
              <w:pStyle w:val="TableHeading"/>
            </w:pPr>
            <w:r w:rsidRPr="00D90C15">
              <w:t>$</w:t>
            </w:r>
          </w:p>
        </w:tc>
        <w:tc>
          <w:tcPr>
            <w:tcW w:w="562" w:type="pct"/>
          </w:tcPr>
          <w:p w14:paraId="2AEED7F7" w14:textId="77777777" w:rsidR="005A008B" w:rsidRPr="00D90C15" w:rsidRDefault="005A008B" w:rsidP="007B5725">
            <w:pPr>
              <w:pStyle w:val="TableHeading"/>
            </w:pPr>
            <w:r w:rsidRPr="00D90C15">
              <w:t>$</w:t>
            </w:r>
          </w:p>
        </w:tc>
      </w:tr>
      <w:tr w:rsidR="005A008B" w:rsidRPr="00D90C15" w14:paraId="7AE0DE2C" w14:textId="77777777" w:rsidTr="0046794E">
        <w:trPr>
          <w:trHeight w:val="60"/>
        </w:trPr>
        <w:tc>
          <w:tcPr>
            <w:tcW w:w="674" w:type="pct"/>
          </w:tcPr>
          <w:p w14:paraId="54A37DFB" w14:textId="77777777" w:rsidR="005A008B" w:rsidRPr="00D90C15" w:rsidRDefault="005A008B" w:rsidP="00E82D64">
            <w:pPr>
              <w:pStyle w:val="TableBody"/>
            </w:pPr>
            <w:r w:rsidRPr="00D90C15">
              <w:t>Controlled trust</w:t>
            </w:r>
          </w:p>
        </w:tc>
        <w:tc>
          <w:tcPr>
            <w:tcW w:w="534" w:type="pct"/>
          </w:tcPr>
          <w:p w14:paraId="1F24DFCD" w14:textId="77777777" w:rsidR="005A008B" w:rsidRPr="00D90C15" w:rsidRDefault="005A008B" w:rsidP="004F187B">
            <w:pPr>
              <w:pStyle w:val="NoParagraphStyle"/>
              <w:spacing w:line="240" w:lineRule="auto"/>
              <w:textAlignment w:val="auto"/>
              <w:rPr>
                <w:rFonts w:cs="Times New Roman"/>
                <w:color w:val="auto"/>
                <w:lang w:val="en-AU"/>
              </w:rPr>
            </w:pPr>
          </w:p>
        </w:tc>
        <w:tc>
          <w:tcPr>
            <w:tcW w:w="478" w:type="pct"/>
          </w:tcPr>
          <w:p w14:paraId="64AA783D" w14:textId="77777777" w:rsidR="005A008B" w:rsidRPr="00D90C15" w:rsidRDefault="005A008B" w:rsidP="004F187B">
            <w:pPr>
              <w:pStyle w:val="NoParagraphStyle"/>
              <w:spacing w:line="240" w:lineRule="auto"/>
              <w:textAlignment w:val="auto"/>
              <w:rPr>
                <w:rFonts w:cs="Times New Roman"/>
                <w:color w:val="auto"/>
                <w:lang w:val="en-AU"/>
              </w:rPr>
            </w:pPr>
          </w:p>
        </w:tc>
        <w:tc>
          <w:tcPr>
            <w:tcW w:w="590" w:type="pct"/>
          </w:tcPr>
          <w:p w14:paraId="7AD3A1E9"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23F75B1C" w14:textId="77777777" w:rsidR="005A008B" w:rsidRPr="00D90C15" w:rsidRDefault="005A008B" w:rsidP="004F187B">
            <w:pPr>
              <w:pStyle w:val="NoParagraphStyle"/>
              <w:spacing w:line="240" w:lineRule="auto"/>
              <w:textAlignment w:val="auto"/>
              <w:rPr>
                <w:rFonts w:cs="Times New Roman"/>
                <w:color w:val="auto"/>
                <w:lang w:val="en-AU"/>
              </w:rPr>
            </w:pPr>
          </w:p>
        </w:tc>
        <w:tc>
          <w:tcPr>
            <w:tcW w:w="534" w:type="pct"/>
          </w:tcPr>
          <w:p w14:paraId="636F1790" w14:textId="77777777" w:rsidR="005A008B" w:rsidRPr="00D90C15" w:rsidRDefault="005A008B" w:rsidP="004F187B">
            <w:pPr>
              <w:pStyle w:val="NoParagraphStyle"/>
              <w:spacing w:line="240" w:lineRule="auto"/>
              <w:textAlignment w:val="auto"/>
              <w:rPr>
                <w:rFonts w:cs="Times New Roman"/>
                <w:color w:val="auto"/>
                <w:lang w:val="en-AU"/>
              </w:rPr>
            </w:pPr>
          </w:p>
        </w:tc>
        <w:tc>
          <w:tcPr>
            <w:tcW w:w="478" w:type="pct"/>
          </w:tcPr>
          <w:p w14:paraId="37E7D9B6" w14:textId="77777777" w:rsidR="005A008B" w:rsidRPr="00D90C15" w:rsidRDefault="005A008B" w:rsidP="004F187B">
            <w:pPr>
              <w:pStyle w:val="NoParagraphStyle"/>
              <w:spacing w:line="240" w:lineRule="auto"/>
              <w:textAlignment w:val="auto"/>
              <w:rPr>
                <w:rFonts w:cs="Times New Roman"/>
                <w:color w:val="auto"/>
                <w:lang w:val="en-AU"/>
              </w:rPr>
            </w:pPr>
          </w:p>
        </w:tc>
        <w:tc>
          <w:tcPr>
            <w:tcW w:w="590" w:type="pct"/>
          </w:tcPr>
          <w:p w14:paraId="5497F242" w14:textId="77777777" w:rsidR="005A008B" w:rsidRPr="00D90C15" w:rsidRDefault="005A008B" w:rsidP="004F187B">
            <w:pPr>
              <w:pStyle w:val="NoParagraphStyle"/>
              <w:spacing w:line="240" w:lineRule="auto"/>
              <w:textAlignment w:val="auto"/>
              <w:rPr>
                <w:rFonts w:cs="Times New Roman"/>
                <w:color w:val="auto"/>
                <w:lang w:val="en-AU"/>
              </w:rPr>
            </w:pPr>
          </w:p>
        </w:tc>
        <w:tc>
          <w:tcPr>
            <w:tcW w:w="562" w:type="pct"/>
          </w:tcPr>
          <w:p w14:paraId="6435B154"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99CFF1C" w14:textId="77777777" w:rsidTr="0046794E">
        <w:trPr>
          <w:trHeight w:val="60"/>
        </w:trPr>
        <w:tc>
          <w:tcPr>
            <w:tcW w:w="674" w:type="pct"/>
          </w:tcPr>
          <w:p w14:paraId="1FB82517" w14:textId="77777777" w:rsidR="005A008B" w:rsidRPr="00D90C15" w:rsidRDefault="005A008B" w:rsidP="00E82D64">
            <w:pPr>
              <w:pStyle w:val="TableBody"/>
            </w:pPr>
            <w:r w:rsidRPr="00D90C15">
              <w:t>SAC Trust Fund</w:t>
            </w:r>
            <w:r w:rsidRPr="00D90C15">
              <w:rPr>
                <w:rStyle w:val="Superscript"/>
              </w:rPr>
              <w:t>(a)</w:t>
            </w:r>
          </w:p>
        </w:tc>
        <w:tc>
          <w:tcPr>
            <w:tcW w:w="534" w:type="pct"/>
          </w:tcPr>
          <w:p w14:paraId="7673946E" w14:textId="77777777" w:rsidR="005A008B" w:rsidRPr="00D90C15" w:rsidRDefault="005A008B" w:rsidP="00CC3F1F">
            <w:pPr>
              <w:pStyle w:val="TableBody"/>
            </w:pPr>
            <w:r w:rsidRPr="00D90C15">
              <w:t>688,940</w:t>
            </w:r>
          </w:p>
        </w:tc>
        <w:tc>
          <w:tcPr>
            <w:tcW w:w="478" w:type="pct"/>
          </w:tcPr>
          <w:p w14:paraId="4B123F30" w14:textId="77777777" w:rsidR="005A008B" w:rsidRPr="00D90C15" w:rsidRDefault="005A008B" w:rsidP="00CC3F1F">
            <w:pPr>
              <w:pStyle w:val="TableBody"/>
            </w:pPr>
            <w:r w:rsidRPr="00D90C15">
              <w:t>466,200</w:t>
            </w:r>
          </w:p>
        </w:tc>
        <w:tc>
          <w:tcPr>
            <w:tcW w:w="590" w:type="pct"/>
          </w:tcPr>
          <w:p w14:paraId="160EFEC3" w14:textId="77777777" w:rsidR="005A008B" w:rsidRPr="00D90C15" w:rsidRDefault="005A008B" w:rsidP="00CC3F1F">
            <w:pPr>
              <w:pStyle w:val="TableBody"/>
            </w:pPr>
            <w:r w:rsidRPr="00D90C15">
              <w:t>388,789</w:t>
            </w:r>
          </w:p>
        </w:tc>
        <w:tc>
          <w:tcPr>
            <w:tcW w:w="562" w:type="pct"/>
          </w:tcPr>
          <w:p w14:paraId="58504F03" w14:textId="77777777" w:rsidR="005A008B" w:rsidRPr="00D90C15" w:rsidRDefault="005A008B" w:rsidP="00CC3F1F">
            <w:pPr>
              <w:pStyle w:val="TableBody"/>
            </w:pPr>
            <w:r w:rsidRPr="00D90C15">
              <w:t>766,351</w:t>
            </w:r>
          </w:p>
        </w:tc>
        <w:tc>
          <w:tcPr>
            <w:tcW w:w="534" w:type="pct"/>
          </w:tcPr>
          <w:p w14:paraId="1BF40D91" w14:textId="77777777" w:rsidR="005A008B" w:rsidRPr="00D90C15" w:rsidRDefault="005A008B" w:rsidP="00CC3F1F">
            <w:pPr>
              <w:pStyle w:val="TableBody"/>
            </w:pPr>
            <w:r w:rsidRPr="00D90C15">
              <w:t>120,000</w:t>
            </w:r>
          </w:p>
        </w:tc>
        <w:tc>
          <w:tcPr>
            <w:tcW w:w="478" w:type="pct"/>
          </w:tcPr>
          <w:p w14:paraId="7CB94798" w14:textId="77777777" w:rsidR="005A008B" w:rsidRPr="00D90C15" w:rsidRDefault="005A008B" w:rsidP="00CC3F1F">
            <w:pPr>
              <w:pStyle w:val="TableBody"/>
            </w:pPr>
            <w:r w:rsidRPr="00D90C15">
              <w:t xml:space="preserve">800,000 </w:t>
            </w:r>
          </w:p>
        </w:tc>
        <w:tc>
          <w:tcPr>
            <w:tcW w:w="590" w:type="pct"/>
          </w:tcPr>
          <w:p w14:paraId="6AFC7CD7" w14:textId="77777777" w:rsidR="005A008B" w:rsidRPr="00D90C15" w:rsidRDefault="005A008B" w:rsidP="00CC3F1F">
            <w:pPr>
              <w:pStyle w:val="TableBody"/>
            </w:pPr>
            <w:r w:rsidRPr="00D90C15">
              <w:t xml:space="preserve"> 231,060 </w:t>
            </w:r>
          </w:p>
        </w:tc>
        <w:tc>
          <w:tcPr>
            <w:tcW w:w="562" w:type="pct"/>
          </w:tcPr>
          <w:p w14:paraId="734E3039" w14:textId="77777777" w:rsidR="005A008B" w:rsidRPr="00D90C15" w:rsidRDefault="005A008B" w:rsidP="00CC3F1F">
            <w:pPr>
              <w:pStyle w:val="TableBody"/>
            </w:pPr>
            <w:r w:rsidRPr="00D90C15">
              <w:t>688,940</w:t>
            </w:r>
          </w:p>
        </w:tc>
      </w:tr>
      <w:tr w:rsidR="005A008B" w:rsidRPr="00D90C15" w14:paraId="157FAE85" w14:textId="77777777" w:rsidTr="0046794E">
        <w:trPr>
          <w:trHeight w:val="824"/>
        </w:trPr>
        <w:tc>
          <w:tcPr>
            <w:tcW w:w="674" w:type="pct"/>
          </w:tcPr>
          <w:p w14:paraId="36F38726" w14:textId="77777777" w:rsidR="005A008B" w:rsidRPr="00E72391" w:rsidRDefault="005A008B" w:rsidP="00E72391">
            <w:pPr>
              <w:pStyle w:val="TableBody"/>
              <w:rPr>
                <w:b/>
                <w:bCs/>
              </w:rPr>
            </w:pPr>
            <w:r w:rsidRPr="00E72391">
              <w:rPr>
                <w:b/>
                <w:bCs/>
              </w:rPr>
              <w:t>Total controlled trust</w:t>
            </w:r>
          </w:p>
        </w:tc>
        <w:tc>
          <w:tcPr>
            <w:tcW w:w="534" w:type="pct"/>
          </w:tcPr>
          <w:p w14:paraId="37949C90" w14:textId="77777777" w:rsidR="005A008B" w:rsidRPr="001F7031" w:rsidRDefault="005A008B" w:rsidP="001F7031">
            <w:pPr>
              <w:pStyle w:val="TableBody"/>
              <w:rPr>
                <w:b/>
                <w:bCs/>
              </w:rPr>
            </w:pPr>
            <w:r w:rsidRPr="001F7031">
              <w:rPr>
                <w:b/>
                <w:bCs/>
              </w:rPr>
              <w:t>688,940</w:t>
            </w:r>
          </w:p>
        </w:tc>
        <w:tc>
          <w:tcPr>
            <w:tcW w:w="478" w:type="pct"/>
          </w:tcPr>
          <w:p w14:paraId="5B471F65" w14:textId="77777777" w:rsidR="005A008B" w:rsidRPr="001F7031" w:rsidRDefault="005A008B" w:rsidP="001F7031">
            <w:pPr>
              <w:pStyle w:val="TableBody"/>
              <w:rPr>
                <w:b/>
                <w:bCs/>
              </w:rPr>
            </w:pPr>
            <w:r w:rsidRPr="001F7031">
              <w:rPr>
                <w:b/>
                <w:bCs/>
              </w:rPr>
              <w:t>466,200</w:t>
            </w:r>
          </w:p>
        </w:tc>
        <w:tc>
          <w:tcPr>
            <w:tcW w:w="590" w:type="pct"/>
          </w:tcPr>
          <w:p w14:paraId="528C52C9" w14:textId="77777777" w:rsidR="005A008B" w:rsidRPr="001F7031" w:rsidRDefault="005A008B" w:rsidP="001F7031">
            <w:pPr>
              <w:pStyle w:val="TableBody"/>
              <w:rPr>
                <w:b/>
                <w:bCs/>
              </w:rPr>
            </w:pPr>
            <w:r w:rsidRPr="001F7031">
              <w:rPr>
                <w:b/>
                <w:bCs/>
              </w:rPr>
              <w:t>388,789</w:t>
            </w:r>
          </w:p>
        </w:tc>
        <w:tc>
          <w:tcPr>
            <w:tcW w:w="562" w:type="pct"/>
          </w:tcPr>
          <w:p w14:paraId="6C50D4D7" w14:textId="77777777" w:rsidR="005A008B" w:rsidRPr="001F7031" w:rsidRDefault="005A008B" w:rsidP="001F7031">
            <w:pPr>
              <w:pStyle w:val="TableBody"/>
              <w:rPr>
                <w:b/>
                <w:bCs/>
              </w:rPr>
            </w:pPr>
            <w:r w:rsidRPr="001F7031">
              <w:rPr>
                <w:b/>
                <w:bCs/>
              </w:rPr>
              <w:t>766,351</w:t>
            </w:r>
          </w:p>
        </w:tc>
        <w:tc>
          <w:tcPr>
            <w:tcW w:w="534" w:type="pct"/>
          </w:tcPr>
          <w:p w14:paraId="7402248D" w14:textId="77777777" w:rsidR="005A008B" w:rsidRPr="001F7031" w:rsidRDefault="005A008B" w:rsidP="001F7031">
            <w:pPr>
              <w:pStyle w:val="TableBody"/>
              <w:rPr>
                <w:b/>
                <w:bCs/>
              </w:rPr>
            </w:pPr>
            <w:r w:rsidRPr="001F7031">
              <w:rPr>
                <w:b/>
                <w:bCs/>
              </w:rPr>
              <w:t>120,000</w:t>
            </w:r>
          </w:p>
        </w:tc>
        <w:tc>
          <w:tcPr>
            <w:tcW w:w="478" w:type="pct"/>
          </w:tcPr>
          <w:p w14:paraId="11413D85" w14:textId="77777777" w:rsidR="005A008B" w:rsidRPr="00D90C15" w:rsidRDefault="005A008B" w:rsidP="00CC3F1F">
            <w:pPr>
              <w:pStyle w:val="TableBody"/>
            </w:pPr>
            <w:r w:rsidRPr="00D90C15">
              <w:t xml:space="preserve">800,000 </w:t>
            </w:r>
          </w:p>
        </w:tc>
        <w:tc>
          <w:tcPr>
            <w:tcW w:w="590" w:type="pct"/>
          </w:tcPr>
          <w:p w14:paraId="0EE1DA61" w14:textId="77777777" w:rsidR="005A008B" w:rsidRPr="00D90C15" w:rsidRDefault="005A008B" w:rsidP="00CC3F1F">
            <w:pPr>
              <w:pStyle w:val="TableBody"/>
            </w:pPr>
            <w:r w:rsidRPr="00D90C15">
              <w:t xml:space="preserve"> 231,060 </w:t>
            </w:r>
          </w:p>
        </w:tc>
        <w:tc>
          <w:tcPr>
            <w:tcW w:w="562" w:type="pct"/>
          </w:tcPr>
          <w:p w14:paraId="09838486" w14:textId="77777777" w:rsidR="005A008B" w:rsidRPr="001F7031" w:rsidRDefault="005A008B" w:rsidP="001F7031">
            <w:pPr>
              <w:pStyle w:val="TableBody"/>
              <w:rPr>
                <w:b/>
                <w:bCs/>
              </w:rPr>
            </w:pPr>
            <w:r w:rsidRPr="001F7031">
              <w:rPr>
                <w:b/>
                <w:bCs/>
              </w:rPr>
              <w:t>688,940</w:t>
            </w:r>
          </w:p>
        </w:tc>
      </w:tr>
    </w:tbl>
    <w:p w14:paraId="48D1882E" w14:textId="79CA9CAD" w:rsidR="005A008B" w:rsidRPr="00D90C15" w:rsidRDefault="005A008B" w:rsidP="0041306A">
      <w:pPr>
        <w:pStyle w:val="ListParagraph"/>
        <w:numPr>
          <w:ilvl w:val="0"/>
          <w:numId w:val="30"/>
        </w:numPr>
      </w:pPr>
      <w:r w:rsidRPr="00D90C15">
        <w:t xml:space="preserve">The SAC controlled cash equivalents are contained within the General Trust Fund </w:t>
      </w:r>
      <w:r w:rsidRPr="0041306A">
        <w:t>maintained</w:t>
      </w:r>
      <w:r w:rsidRPr="00B540F0">
        <w:t xml:space="preserve"> by the Department of Justice and Community Safety. Refer to Note 2.1.2 </w:t>
      </w:r>
      <w:r w:rsidRPr="00D90C15">
        <w:t>for details of grant funds received from the Victorian Legal Services Board.</w:t>
      </w:r>
    </w:p>
    <w:p w14:paraId="2962237B" w14:textId="77777777" w:rsidR="005A008B" w:rsidRPr="00D90C15" w:rsidRDefault="005A008B" w:rsidP="002822AC">
      <w:pPr>
        <w:pStyle w:val="Heading3"/>
      </w:pPr>
      <w:bookmarkStart w:id="118" w:name="_Toc221113884"/>
      <w:r w:rsidRPr="00D90C15">
        <w:t>6.4 Commitments for Expenditure</w:t>
      </w:r>
      <w:bookmarkEnd w:id="118"/>
    </w:p>
    <w:p w14:paraId="34F7E633" w14:textId="77777777" w:rsidR="005A008B" w:rsidRPr="00D90C15" w:rsidRDefault="005A008B" w:rsidP="00234617">
      <w:r w:rsidRPr="00D90C15">
        <w:t>Commitments for future expenditure include operating and capital commitments arising from contracts. These commitments are recorded at their nominal value and inclusive of GST. These future expenditures cease to be disclosed as commitments once the related liabilities are recognised in the balance sheet.</w:t>
      </w:r>
    </w:p>
    <w:p w14:paraId="2546F511" w14:textId="77777777" w:rsidR="005A008B" w:rsidRPr="00D90C15" w:rsidRDefault="005A008B" w:rsidP="00234617">
      <w:r w:rsidRPr="00D90C15">
        <w:t xml:space="preserve">There were no commitments for operating or capital expenditure as </w:t>
      </w:r>
      <w:proofErr w:type="gramStart"/>
      <w:r w:rsidRPr="00D90C15">
        <w:t>at</w:t>
      </w:r>
      <w:proofErr w:type="gramEnd"/>
      <w:r w:rsidRPr="00D90C15">
        <w:t xml:space="preserve"> 30 June 2025 ($nil – 2024).</w:t>
      </w:r>
    </w:p>
    <w:p w14:paraId="2E344C0B" w14:textId="3E7B05EF" w:rsidR="005A008B" w:rsidRPr="00D90C15" w:rsidRDefault="00091FB2" w:rsidP="002822AC">
      <w:pPr>
        <w:pStyle w:val="Heading1"/>
      </w:pPr>
      <w:bookmarkStart w:id="119" w:name="_Toc221113885"/>
      <w:r>
        <w:lastRenderedPageBreak/>
        <w:t xml:space="preserve">7 </w:t>
      </w:r>
      <w:r w:rsidR="002822AC" w:rsidRPr="00D90C15">
        <w:t xml:space="preserve">Risk Contingencies </w:t>
      </w:r>
      <w:proofErr w:type="gramStart"/>
      <w:r w:rsidR="002822AC" w:rsidRPr="00D90C15">
        <w:t>And</w:t>
      </w:r>
      <w:proofErr w:type="gramEnd"/>
      <w:r w:rsidR="002822AC" w:rsidRPr="00D90C15">
        <w:t xml:space="preserve"> Valuation Judgements</w:t>
      </w:r>
      <w:bookmarkEnd w:id="119"/>
    </w:p>
    <w:p w14:paraId="275604AF" w14:textId="77777777" w:rsidR="005A008B" w:rsidRPr="00D90C15" w:rsidRDefault="005A008B" w:rsidP="00926C26">
      <w:pPr>
        <w:pStyle w:val="Heading2"/>
      </w:pPr>
      <w:bookmarkStart w:id="120" w:name="_Toc221113886"/>
      <w:r w:rsidRPr="00D90C15">
        <w:t>Introduction</w:t>
      </w:r>
      <w:bookmarkEnd w:id="120"/>
    </w:p>
    <w:p w14:paraId="29FE7A61" w14:textId="77777777" w:rsidR="005A008B" w:rsidRPr="00D90C15" w:rsidRDefault="005A008B" w:rsidP="00234617">
      <w:r w:rsidRPr="00D90C15">
        <w:t xml:space="preserve">The Sentencing Advisory Council is exposed to risk from its activities and outside factors. In addition, it is often necessary to make judgements and estimates associated with recognition and measurement of items in the financial statements. </w:t>
      </w:r>
    </w:p>
    <w:p w14:paraId="22A995AF" w14:textId="77777777" w:rsidR="005A008B" w:rsidRPr="00D90C15" w:rsidRDefault="005A008B" w:rsidP="00234617">
      <w:r w:rsidRPr="00D90C15">
        <w:t xml:space="preserve">This section sets out financial instrument specific information (including exposures to financial risks) as well as those items that are contingent in nature or require a higher level of judgement to be applied. Financial instruments arise out of contractual agreements that give rise to a financial asset of one entity and a financial liability or equity instrument of another entity. </w:t>
      </w:r>
    </w:p>
    <w:p w14:paraId="5EE02820" w14:textId="77777777" w:rsidR="005A008B" w:rsidRPr="00D90C15" w:rsidRDefault="005A008B" w:rsidP="00926C26">
      <w:pPr>
        <w:pStyle w:val="Heading2"/>
      </w:pPr>
      <w:bookmarkStart w:id="121" w:name="_Toc221113887"/>
      <w:r w:rsidRPr="00D90C15">
        <w:t>Structure</w:t>
      </w:r>
      <w:bookmarkEnd w:id="121"/>
    </w:p>
    <w:p w14:paraId="58702D63" w14:textId="220814C6" w:rsidR="005A008B" w:rsidRPr="00D90C15" w:rsidRDefault="005A008B" w:rsidP="006512A5">
      <w:r w:rsidRPr="00D90C15">
        <w:t>7.1 Financial Instruments Specific Disclosures</w:t>
      </w:r>
    </w:p>
    <w:p w14:paraId="628A2008" w14:textId="6273D363" w:rsidR="005A008B" w:rsidRPr="00D90C15" w:rsidRDefault="005A008B" w:rsidP="006512A5">
      <w:r w:rsidRPr="00D90C15">
        <w:t>7.2 Contingent Assets and Contingent Liabilities</w:t>
      </w:r>
    </w:p>
    <w:p w14:paraId="67FBB06A" w14:textId="4E2B0027" w:rsidR="005A008B" w:rsidRPr="00D90C15" w:rsidRDefault="005A008B" w:rsidP="00234617">
      <w:r w:rsidRPr="00D90C15">
        <w:t>7.3 Fair Value Determination</w:t>
      </w:r>
    </w:p>
    <w:p w14:paraId="3DABC6B9" w14:textId="77777777" w:rsidR="005A008B" w:rsidRPr="00D90C15" w:rsidRDefault="005A008B" w:rsidP="002822AC">
      <w:pPr>
        <w:pStyle w:val="Heading3"/>
      </w:pPr>
      <w:bookmarkStart w:id="122" w:name="_Toc221113888"/>
      <w:r w:rsidRPr="00D90C15">
        <w:t>7.1 Financial Instruments Specific Disclosures</w:t>
      </w:r>
      <w:bookmarkEnd w:id="122"/>
    </w:p>
    <w:p w14:paraId="01F3767C" w14:textId="77777777" w:rsidR="005A008B" w:rsidRPr="00D90C15" w:rsidRDefault="005A008B" w:rsidP="002822AC">
      <w:pPr>
        <w:pStyle w:val="Heading4"/>
      </w:pPr>
      <w:r w:rsidRPr="00D90C15">
        <w:t>Introduction</w:t>
      </w:r>
    </w:p>
    <w:p w14:paraId="74152D43" w14:textId="77777777" w:rsidR="005A008B" w:rsidRPr="00D90C15" w:rsidRDefault="005A008B" w:rsidP="00234617">
      <w:r w:rsidRPr="00D90C15">
        <w:t xml:space="preserve">Financial instruments arise out of contractual agreements that give rise to a financial asset of one entity and a financial liability or equity instrument of another entity. Due to the nature of the Council’s activities, certain financial assets and financial liabilities arise under statute rather than a contract (e.g. taxes, fines and penalties). Such assets and liabilities do not meet the definition of financial instruments in AASB 132 </w:t>
      </w:r>
      <w:r w:rsidRPr="004A331A">
        <w:rPr>
          <w:i/>
          <w:iCs/>
        </w:rPr>
        <w:t>Financial Instruments: Presentation</w:t>
      </w:r>
      <w:r w:rsidRPr="00D90C15">
        <w:t>.</w:t>
      </w:r>
    </w:p>
    <w:p w14:paraId="6B7668B6" w14:textId="77777777" w:rsidR="005A008B" w:rsidRPr="00D90C15" w:rsidRDefault="005A008B" w:rsidP="006512A5">
      <w:r w:rsidRPr="00D90C15">
        <w:t xml:space="preserve">The Council applies AASB 9 and classifies all its financial assets based on the business model for managing the assets and the asset’s contractual terms. </w:t>
      </w:r>
    </w:p>
    <w:p w14:paraId="389C0B53" w14:textId="77777777" w:rsidR="005A008B" w:rsidRPr="00D90C15" w:rsidRDefault="005A008B" w:rsidP="002822AC">
      <w:pPr>
        <w:pStyle w:val="Heading4"/>
      </w:pPr>
      <w:r w:rsidRPr="00D90C15">
        <w:lastRenderedPageBreak/>
        <w:t xml:space="preserve">Categories of Financial Liabilities </w:t>
      </w:r>
    </w:p>
    <w:p w14:paraId="556B36B5" w14:textId="77777777" w:rsidR="005A008B" w:rsidRPr="00D90C15" w:rsidRDefault="005A008B" w:rsidP="006512A5">
      <w:r w:rsidRPr="00D90C15">
        <w:t xml:space="preserve">Financial liabilities at amortised cost are initially recognised on the date they are originated. They are initially measured at fair value plus any directly attributable transaction costs. </w:t>
      </w:r>
      <w:proofErr w:type="gramStart"/>
      <w:r w:rsidRPr="00D90C15">
        <w:t>Subsequent to</w:t>
      </w:r>
      <w:proofErr w:type="gramEnd"/>
      <w:r w:rsidRPr="00D90C15">
        <w:t xml:space="preserve"> initial recognition, these financial instruments are measured at amortised cost with any difference between the initial recognised amount and the redemption value being recognised in profit and loss over the period of the interest-bearing liability, using the effective interest rate method. The Council recognises the following liabilities in this category:</w:t>
      </w:r>
    </w:p>
    <w:p w14:paraId="0D1EA981" w14:textId="77777777" w:rsidR="005A008B" w:rsidRPr="00D90C15" w:rsidRDefault="005A008B" w:rsidP="00926C26">
      <w:pPr>
        <w:pStyle w:val="Bullets"/>
      </w:pPr>
      <w:r w:rsidRPr="00D90C15">
        <w:t>payables (excluding statutory payables) and</w:t>
      </w:r>
    </w:p>
    <w:p w14:paraId="6C5974FB" w14:textId="77777777" w:rsidR="005A008B" w:rsidRPr="00D90C15" w:rsidRDefault="005A008B" w:rsidP="00926C26">
      <w:pPr>
        <w:pStyle w:val="Bullets"/>
      </w:pPr>
      <w:r w:rsidRPr="00D90C15">
        <w:t>borrowings (including lease liabilities).</w:t>
      </w:r>
    </w:p>
    <w:p w14:paraId="3EE9A716" w14:textId="77777777" w:rsidR="005A008B" w:rsidRPr="00D90C15" w:rsidRDefault="005A008B" w:rsidP="00234617">
      <w:r w:rsidRPr="006512A5">
        <w:rPr>
          <w:rStyle w:val="Bold"/>
        </w:rPr>
        <w:t>Derecognition of financial liabilities</w:t>
      </w:r>
      <w:r w:rsidRPr="00D90C15">
        <w:t>: A financial liability is derecognised when the obligation under the liability is discharged, is cancelled or expires.</w:t>
      </w:r>
    </w:p>
    <w:p w14:paraId="24BBD208" w14:textId="77777777" w:rsidR="005A008B" w:rsidRPr="00D90C15" w:rsidRDefault="005A008B" w:rsidP="002822AC">
      <w:pPr>
        <w:pStyle w:val="Heading4"/>
      </w:pPr>
      <w:r w:rsidRPr="00D90C15">
        <w:t>7.1.1 Financial Instruments – Net Holding Gain/(Loss) on Financial Instruments by Category</w:t>
      </w:r>
    </w:p>
    <w:p w14:paraId="54754AFB" w14:textId="77777777" w:rsidR="005A008B" w:rsidRPr="00D90C15" w:rsidRDefault="005A008B" w:rsidP="00234617">
      <w:r w:rsidRPr="00D90C15">
        <w:t>There were no net holding gains (losses) on financial instruments during 2024–25.</w:t>
      </w:r>
    </w:p>
    <w:tbl>
      <w:tblPr>
        <w:tblStyle w:val="Table"/>
        <w:tblW w:w="5000" w:type="pct"/>
        <w:tblLook w:val="0020" w:firstRow="1" w:lastRow="0" w:firstColumn="0" w:lastColumn="0" w:noHBand="0" w:noVBand="0"/>
      </w:tblPr>
      <w:tblGrid>
        <w:gridCol w:w="2736"/>
        <w:gridCol w:w="1722"/>
        <w:gridCol w:w="1520"/>
        <w:gridCol w:w="1520"/>
        <w:gridCol w:w="1518"/>
      </w:tblGrid>
      <w:tr w:rsidR="005A008B" w:rsidRPr="00D90C15" w14:paraId="0B44D8A7" w14:textId="77777777" w:rsidTr="0046794E">
        <w:trPr>
          <w:trHeight w:val="60"/>
          <w:tblHeader/>
        </w:trPr>
        <w:tc>
          <w:tcPr>
            <w:tcW w:w="1517" w:type="pct"/>
          </w:tcPr>
          <w:p w14:paraId="32CA635D" w14:textId="77777777" w:rsidR="005A008B" w:rsidRPr="00D90C15" w:rsidRDefault="005A008B" w:rsidP="00CA36E9">
            <w:pPr>
              <w:pStyle w:val="TableHeading"/>
            </w:pPr>
            <w:r w:rsidRPr="00D90C15">
              <w:t>2025</w:t>
            </w:r>
          </w:p>
        </w:tc>
        <w:tc>
          <w:tcPr>
            <w:tcW w:w="955" w:type="pct"/>
          </w:tcPr>
          <w:p w14:paraId="1952BB02" w14:textId="77777777" w:rsidR="005A008B" w:rsidRPr="00D90C15" w:rsidRDefault="005A008B" w:rsidP="007B5725">
            <w:pPr>
              <w:pStyle w:val="TableHeading"/>
            </w:pPr>
            <w:r w:rsidRPr="00D90C15">
              <w:t>Weighted average interest rate (%)</w:t>
            </w:r>
          </w:p>
        </w:tc>
        <w:tc>
          <w:tcPr>
            <w:tcW w:w="843" w:type="pct"/>
          </w:tcPr>
          <w:p w14:paraId="15DCF580" w14:textId="77777777" w:rsidR="005A008B" w:rsidRPr="00D90C15" w:rsidRDefault="005A008B" w:rsidP="007B5725">
            <w:pPr>
              <w:pStyle w:val="TableHeading"/>
            </w:pPr>
            <w:r w:rsidRPr="00D90C15">
              <w:t>Carrying amount</w:t>
            </w:r>
            <w:r w:rsidRPr="00D90C15">
              <w:rPr>
                <w:rStyle w:val="Superscript"/>
              </w:rPr>
              <w:t>(a)</w:t>
            </w:r>
          </w:p>
        </w:tc>
        <w:tc>
          <w:tcPr>
            <w:tcW w:w="843" w:type="pct"/>
          </w:tcPr>
          <w:p w14:paraId="58C2E4B3" w14:textId="77777777" w:rsidR="005A008B" w:rsidRPr="00D90C15" w:rsidRDefault="005A008B" w:rsidP="007B5725">
            <w:pPr>
              <w:pStyle w:val="TableHeading"/>
            </w:pPr>
            <w:r w:rsidRPr="00D90C15">
              <w:t>Fixed interest rate</w:t>
            </w:r>
          </w:p>
        </w:tc>
        <w:tc>
          <w:tcPr>
            <w:tcW w:w="842" w:type="pct"/>
          </w:tcPr>
          <w:p w14:paraId="47CC7F84" w14:textId="77777777" w:rsidR="005A008B" w:rsidRPr="00D90C15" w:rsidRDefault="005A008B" w:rsidP="007B5725">
            <w:pPr>
              <w:pStyle w:val="TableHeading"/>
            </w:pPr>
            <w:r w:rsidRPr="00D90C15">
              <w:t>Non-interest bearing</w:t>
            </w:r>
          </w:p>
        </w:tc>
      </w:tr>
      <w:tr w:rsidR="005A008B" w:rsidRPr="00D90C15" w14:paraId="15F9B969" w14:textId="77777777" w:rsidTr="0046794E">
        <w:trPr>
          <w:trHeight w:val="60"/>
        </w:trPr>
        <w:tc>
          <w:tcPr>
            <w:tcW w:w="1517" w:type="pct"/>
          </w:tcPr>
          <w:p w14:paraId="6B382F25" w14:textId="77777777" w:rsidR="005A008B" w:rsidRPr="00E72391" w:rsidRDefault="005A008B" w:rsidP="00E72391">
            <w:pPr>
              <w:pStyle w:val="TableBody"/>
              <w:rPr>
                <w:b/>
                <w:bCs/>
              </w:rPr>
            </w:pPr>
            <w:r w:rsidRPr="00E72391">
              <w:rPr>
                <w:b/>
                <w:bCs/>
              </w:rPr>
              <w:t>Financial liabilities</w:t>
            </w:r>
          </w:p>
        </w:tc>
        <w:tc>
          <w:tcPr>
            <w:tcW w:w="955" w:type="pct"/>
          </w:tcPr>
          <w:p w14:paraId="65758C49" w14:textId="77777777" w:rsidR="005A008B" w:rsidRPr="00D90C15" w:rsidRDefault="005A008B" w:rsidP="00CC3F1F">
            <w:pPr>
              <w:pStyle w:val="TableBody"/>
            </w:pPr>
            <w:r w:rsidRPr="00D90C15">
              <w:t xml:space="preserve"> </w:t>
            </w:r>
          </w:p>
        </w:tc>
        <w:tc>
          <w:tcPr>
            <w:tcW w:w="843" w:type="pct"/>
          </w:tcPr>
          <w:p w14:paraId="6993B172"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20B55F4" w14:textId="77777777" w:rsidR="005A008B" w:rsidRPr="00D90C15" w:rsidRDefault="005A008B" w:rsidP="00CC3F1F">
            <w:pPr>
              <w:pStyle w:val="TableBody"/>
            </w:pPr>
            <w:r w:rsidRPr="00D90C15">
              <w:t xml:space="preserve"> </w:t>
            </w:r>
          </w:p>
        </w:tc>
        <w:tc>
          <w:tcPr>
            <w:tcW w:w="842" w:type="pct"/>
          </w:tcPr>
          <w:p w14:paraId="67ED4EED" w14:textId="77777777" w:rsidR="005A008B" w:rsidRPr="00D90C15" w:rsidRDefault="005A008B" w:rsidP="00CC3F1F">
            <w:pPr>
              <w:pStyle w:val="TableBody"/>
            </w:pPr>
            <w:r w:rsidRPr="00D90C15">
              <w:t xml:space="preserve"> </w:t>
            </w:r>
          </w:p>
        </w:tc>
      </w:tr>
      <w:tr w:rsidR="005A008B" w:rsidRPr="00D90C15" w14:paraId="080365F6" w14:textId="77777777" w:rsidTr="0046794E">
        <w:trPr>
          <w:trHeight w:val="60"/>
        </w:trPr>
        <w:tc>
          <w:tcPr>
            <w:tcW w:w="1517" w:type="pct"/>
          </w:tcPr>
          <w:p w14:paraId="284AA66C" w14:textId="77777777" w:rsidR="005A008B" w:rsidRPr="00D90C15" w:rsidRDefault="005A008B" w:rsidP="00AA1CB0">
            <w:pPr>
              <w:pStyle w:val="TableBody"/>
            </w:pPr>
            <w:r w:rsidRPr="00D90C15">
              <w:t>Supplies and services</w:t>
            </w:r>
          </w:p>
        </w:tc>
        <w:tc>
          <w:tcPr>
            <w:tcW w:w="955" w:type="pct"/>
          </w:tcPr>
          <w:p w14:paraId="52DF3654"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8341E17" w14:textId="77777777" w:rsidR="005A008B" w:rsidRPr="00D90C15" w:rsidRDefault="005A008B" w:rsidP="00CC3F1F">
            <w:pPr>
              <w:pStyle w:val="TableBody"/>
            </w:pPr>
            <w:r w:rsidRPr="00D90C15">
              <w:t xml:space="preserve">32,900 </w:t>
            </w:r>
          </w:p>
        </w:tc>
        <w:tc>
          <w:tcPr>
            <w:tcW w:w="843" w:type="pct"/>
          </w:tcPr>
          <w:p w14:paraId="62732F92"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77F4DE5C" w14:textId="77777777" w:rsidR="005A008B" w:rsidRPr="00D90C15" w:rsidRDefault="005A008B" w:rsidP="00CC3F1F">
            <w:pPr>
              <w:pStyle w:val="TableBody"/>
            </w:pPr>
            <w:r w:rsidRPr="00D90C15">
              <w:t xml:space="preserve"> 32,900 </w:t>
            </w:r>
          </w:p>
        </w:tc>
      </w:tr>
      <w:tr w:rsidR="005A008B" w:rsidRPr="00D90C15" w14:paraId="4A0A6CF9" w14:textId="77777777" w:rsidTr="0046794E">
        <w:trPr>
          <w:trHeight w:val="60"/>
        </w:trPr>
        <w:tc>
          <w:tcPr>
            <w:tcW w:w="1517" w:type="pct"/>
          </w:tcPr>
          <w:p w14:paraId="056B4FA2" w14:textId="77777777" w:rsidR="005A008B" w:rsidRPr="00D90C15" w:rsidRDefault="005A008B" w:rsidP="00AA1CB0">
            <w:pPr>
              <w:pStyle w:val="TableBody"/>
            </w:pPr>
            <w:r w:rsidRPr="00D90C15">
              <w:t>Other payables</w:t>
            </w:r>
          </w:p>
        </w:tc>
        <w:tc>
          <w:tcPr>
            <w:tcW w:w="955" w:type="pct"/>
          </w:tcPr>
          <w:p w14:paraId="00DAB559"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16BD359" w14:textId="77777777" w:rsidR="005A008B" w:rsidRPr="00D90C15" w:rsidRDefault="005A008B" w:rsidP="00CC3F1F">
            <w:pPr>
              <w:pStyle w:val="TableBody"/>
            </w:pPr>
            <w:r w:rsidRPr="00D90C15">
              <w:t xml:space="preserve">10,398 </w:t>
            </w:r>
          </w:p>
        </w:tc>
        <w:tc>
          <w:tcPr>
            <w:tcW w:w="843" w:type="pct"/>
          </w:tcPr>
          <w:p w14:paraId="0097EA22"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5EFDCF66" w14:textId="77777777" w:rsidR="005A008B" w:rsidRPr="00D90C15" w:rsidRDefault="005A008B" w:rsidP="00CC3F1F">
            <w:pPr>
              <w:pStyle w:val="TableBody"/>
            </w:pPr>
            <w:r w:rsidRPr="00D90C15">
              <w:t xml:space="preserve"> 10,398 </w:t>
            </w:r>
          </w:p>
        </w:tc>
      </w:tr>
      <w:tr w:rsidR="005A008B" w:rsidRPr="00D90C15" w14:paraId="42ADA7DE" w14:textId="77777777" w:rsidTr="0046794E">
        <w:trPr>
          <w:trHeight w:val="60"/>
        </w:trPr>
        <w:tc>
          <w:tcPr>
            <w:tcW w:w="1517" w:type="pct"/>
          </w:tcPr>
          <w:p w14:paraId="0D036780" w14:textId="77777777" w:rsidR="005A008B" w:rsidRPr="00D90C15" w:rsidRDefault="005A008B" w:rsidP="00AA1CB0">
            <w:pPr>
              <w:pStyle w:val="TableBody"/>
            </w:pPr>
            <w:r w:rsidRPr="00D90C15">
              <w:t>Lease liabilities</w:t>
            </w:r>
          </w:p>
        </w:tc>
        <w:tc>
          <w:tcPr>
            <w:tcW w:w="955" w:type="pct"/>
          </w:tcPr>
          <w:p w14:paraId="56A64136" w14:textId="77777777" w:rsidR="005A008B" w:rsidRPr="00D90C15" w:rsidRDefault="005A008B" w:rsidP="00CC3F1F">
            <w:pPr>
              <w:pStyle w:val="TableBody"/>
            </w:pPr>
            <w:r w:rsidRPr="00D90C15">
              <w:t>4.97</w:t>
            </w:r>
          </w:p>
        </w:tc>
        <w:tc>
          <w:tcPr>
            <w:tcW w:w="843" w:type="pct"/>
          </w:tcPr>
          <w:p w14:paraId="432098CC" w14:textId="77777777" w:rsidR="005A008B" w:rsidRPr="00D90C15" w:rsidRDefault="005A008B" w:rsidP="00CC3F1F">
            <w:pPr>
              <w:pStyle w:val="TableBody"/>
            </w:pPr>
            <w:r w:rsidRPr="00D90C15">
              <w:t xml:space="preserve">195,528 </w:t>
            </w:r>
          </w:p>
        </w:tc>
        <w:tc>
          <w:tcPr>
            <w:tcW w:w="843" w:type="pct"/>
          </w:tcPr>
          <w:p w14:paraId="54929E54" w14:textId="77777777" w:rsidR="005A008B" w:rsidRPr="00D90C15" w:rsidRDefault="005A008B" w:rsidP="00CC3F1F">
            <w:pPr>
              <w:pStyle w:val="TableBody"/>
            </w:pPr>
            <w:r w:rsidRPr="00D90C15">
              <w:t xml:space="preserve"> 195,528 </w:t>
            </w:r>
          </w:p>
        </w:tc>
        <w:tc>
          <w:tcPr>
            <w:tcW w:w="842" w:type="pct"/>
          </w:tcPr>
          <w:p w14:paraId="17D0DCA7"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022FF4E" w14:textId="77777777" w:rsidTr="0046794E">
        <w:trPr>
          <w:trHeight w:val="60"/>
        </w:trPr>
        <w:tc>
          <w:tcPr>
            <w:tcW w:w="1517" w:type="pct"/>
          </w:tcPr>
          <w:p w14:paraId="1B0DC824" w14:textId="77777777" w:rsidR="005A008B" w:rsidRPr="00E72391" w:rsidRDefault="005A008B" w:rsidP="00E72391">
            <w:pPr>
              <w:pStyle w:val="TableBody"/>
              <w:rPr>
                <w:b/>
                <w:bCs/>
              </w:rPr>
            </w:pPr>
            <w:r w:rsidRPr="00E72391">
              <w:rPr>
                <w:b/>
                <w:bCs/>
              </w:rPr>
              <w:t>Total financial liabilities</w:t>
            </w:r>
          </w:p>
        </w:tc>
        <w:tc>
          <w:tcPr>
            <w:tcW w:w="955" w:type="pct"/>
          </w:tcPr>
          <w:p w14:paraId="7AC3D468"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45B896FD" w14:textId="77777777" w:rsidR="005A008B" w:rsidRPr="001F7031" w:rsidRDefault="005A008B" w:rsidP="001F7031">
            <w:pPr>
              <w:pStyle w:val="TableBody"/>
              <w:rPr>
                <w:b/>
                <w:bCs/>
              </w:rPr>
            </w:pPr>
            <w:r w:rsidRPr="001F7031">
              <w:rPr>
                <w:b/>
                <w:bCs/>
              </w:rPr>
              <w:t xml:space="preserve">238,826 </w:t>
            </w:r>
          </w:p>
        </w:tc>
        <w:tc>
          <w:tcPr>
            <w:tcW w:w="843" w:type="pct"/>
          </w:tcPr>
          <w:p w14:paraId="55852F77" w14:textId="77777777" w:rsidR="005A008B" w:rsidRPr="001F7031" w:rsidRDefault="005A008B" w:rsidP="001F7031">
            <w:pPr>
              <w:pStyle w:val="TableBody"/>
              <w:rPr>
                <w:b/>
                <w:bCs/>
              </w:rPr>
            </w:pPr>
            <w:r w:rsidRPr="001F7031">
              <w:rPr>
                <w:b/>
                <w:bCs/>
              </w:rPr>
              <w:t>195,528</w:t>
            </w:r>
          </w:p>
        </w:tc>
        <w:tc>
          <w:tcPr>
            <w:tcW w:w="842" w:type="pct"/>
          </w:tcPr>
          <w:p w14:paraId="717AD3FA" w14:textId="77777777" w:rsidR="005A008B" w:rsidRPr="001F7031" w:rsidRDefault="005A008B" w:rsidP="001F7031">
            <w:pPr>
              <w:pStyle w:val="TableBody"/>
              <w:rPr>
                <w:b/>
                <w:bCs/>
              </w:rPr>
            </w:pPr>
            <w:r w:rsidRPr="001F7031">
              <w:rPr>
                <w:b/>
                <w:bCs/>
              </w:rPr>
              <w:t>43,298</w:t>
            </w:r>
          </w:p>
        </w:tc>
      </w:tr>
    </w:tbl>
    <w:p w14:paraId="5648D648" w14:textId="41F9FEC7" w:rsidR="005A008B" w:rsidRPr="00D90C15" w:rsidRDefault="005A008B" w:rsidP="0041306A">
      <w:pPr>
        <w:pStyle w:val="ListParagraph"/>
        <w:numPr>
          <w:ilvl w:val="0"/>
          <w:numId w:val="28"/>
        </w:numPr>
      </w:pPr>
      <w:r w:rsidRPr="00D90C15">
        <w:t xml:space="preserve">The carrying amounts disclosed here exclude statutory amounts (e.g. </w:t>
      </w:r>
      <w:r w:rsidRPr="0041306A">
        <w:t>amounts</w:t>
      </w:r>
      <w:r w:rsidRPr="00D90C15">
        <w:t xml:space="preserve"> owing from Victorian Government and GST input tax credit recoverable).</w:t>
      </w:r>
    </w:p>
    <w:tbl>
      <w:tblPr>
        <w:tblStyle w:val="Table"/>
        <w:tblW w:w="5000" w:type="pct"/>
        <w:tblLook w:val="0020" w:firstRow="1" w:lastRow="0" w:firstColumn="0" w:lastColumn="0" w:noHBand="0" w:noVBand="0"/>
      </w:tblPr>
      <w:tblGrid>
        <w:gridCol w:w="2736"/>
        <w:gridCol w:w="1722"/>
        <w:gridCol w:w="1520"/>
        <w:gridCol w:w="1520"/>
        <w:gridCol w:w="1518"/>
      </w:tblGrid>
      <w:tr w:rsidR="005A008B" w:rsidRPr="00D90C15" w14:paraId="25D35A03" w14:textId="77777777" w:rsidTr="0046794E">
        <w:trPr>
          <w:trHeight w:val="60"/>
          <w:tblHeader/>
        </w:trPr>
        <w:tc>
          <w:tcPr>
            <w:tcW w:w="1517" w:type="pct"/>
          </w:tcPr>
          <w:p w14:paraId="43517879" w14:textId="77777777" w:rsidR="005A008B" w:rsidRPr="00D90C15" w:rsidRDefault="005A008B" w:rsidP="00CA36E9">
            <w:pPr>
              <w:pStyle w:val="TableHeading"/>
            </w:pPr>
            <w:r w:rsidRPr="00D90C15">
              <w:t>2024</w:t>
            </w:r>
          </w:p>
        </w:tc>
        <w:tc>
          <w:tcPr>
            <w:tcW w:w="955" w:type="pct"/>
          </w:tcPr>
          <w:p w14:paraId="27879E83" w14:textId="77777777" w:rsidR="005A008B" w:rsidRPr="00D90C15" w:rsidRDefault="005A008B" w:rsidP="007B5725">
            <w:pPr>
              <w:pStyle w:val="TableHeading"/>
            </w:pPr>
            <w:r w:rsidRPr="00D90C15">
              <w:t>Weighted average interest rate (%)</w:t>
            </w:r>
          </w:p>
        </w:tc>
        <w:tc>
          <w:tcPr>
            <w:tcW w:w="843" w:type="pct"/>
          </w:tcPr>
          <w:p w14:paraId="18D8D84A" w14:textId="77777777" w:rsidR="005A008B" w:rsidRPr="00D90C15" w:rsidRDefault="005A008B" w:rsidP="007B5725">
            <w:pPr>
              <w:pStyle w:val="TableHeading"/>
            </w:pPr>
            <w:r w:rsidRPr="00D90C15">
              <w:t>Carrying amount</w:t>
            </w:r>
            <w:r w:rsidRPr="00D90C15">
              <w:rPr>
                <w:rStyle w:val="Superscript"/>
              </w:rPr>
              <w:t>(a)</w:t>
            </w:r>
          </w:p>
        </w:tc>
        <w:tc>
          <w:tcPr>
            <w:tcW w:w="843" w:type="pct"/>
          </w:tcPr>
          <w:p w14:paraId="51EE5A69" w14:textId="77777777" w:rsidR="005A008B" w:rsidRPr="00D90C15" w:rsidRDefault="005A008B" w:rsidP="007B5725">
            <w:pPr>
              <w:pStyle w:val="TableHeading"/>
            </w:pPr>
            <w:r w:rsidRPr="00D90C15">
              <w:t>Fixed interest rate</w:t>
            </w:r>
          </w:p>
        </w:tc>
        <w:tc>
          <w:tcPr>
            <w:tcW w:w="842" w:type="pct"/>
          </w:tcPr>
          <w:p w14:paraId="400F4B95" w14:textId="77777777" w:rsidR="005A008B" w:rsidRPr="00D90C15" w:rsidRDefault="005A008B" w:rsidP="007B5725">
            <w:pPr>
              <w:pStyle w:val="TableHeading"/>
            </w:pPr>
            <w:r w:rsidRPr="00D90C15">
              <w:t>Non-interest bearing</w:t>
            </w:r>
          </w:p>
        </w:tc>
      </w:tr>
      <w:tr w:rsidR="005A008B" w:rsidRPr="00D90C15" w14:paraId="3F5E0521" w14:textId="77777777" w:rsidTr="0046794E">
        <w:trPr>
          <w:trHeight w:val="60"/>
        </w:trPr>
        <w:tc>
          <w:tcPr>
            <w:tcW w:w="1517" w:type="pct"/>
          </w:tcPr>
          <w:p w14:paraId="3830F87C" w14:textId="77777777" w:rsidR="005A008B" w:rsidRPr="00E72391" w:rsidRDefault="005A008B" w:rsidP="00E72391">
            <w:pPr>
              <w:pStyle w:val="TableBody"/>
              <w:rPr>
                <w:b/>
                <w:bCs/>
              </w:rPr>
            </w:pPr>
            <w:r w:rsidRPr="00E72391">
              <w:rPr>
                <w:b/>
                <w:bCs/>
              </w:rPr>
              <w:t>Financial liabilities</w:t>
            </w:r>
          </w:p>
        </w:tc>
        <w:tc>
          <w:tcPr>
            <w:tcW w:w="955" w:type="pct"/>
          </w:tcPr>
          <w:p w14:paraId="49B98D41" w14:textId="77777777" w:rsidR="005A008B" w:rsidRPr="00D90C15" w:rsidRDefault="005A008B" w:rsidP="00CC3F1F">
            <w:pPr>
              <w:pStyle w:val="TableBody"/>
            </w:pPr>
            <w:r w:rsidRPr="00D90C15">
              <w:t xml:space="preserve"> </w:t>
            </w:r>
          </w:p>
        </w:tc>
        <w:tc>
          <w:tcPr>
            <w:tcW w:w="843" w:type="pct"/>
          </w:tcPr>
          <w:p w14:paraId="6E6CD924"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0D334CF" w14:textId="77777777" w:rsidR="005A008B" w:rsidRPr="00D90C15" w:rsidRDefault="005A008B" w:rsidP="00CC3F1F">
            <w:pPr>
              <w:pStyle w:val="TableBody"/>
            </w:pPr>
            <w:r w:rsidRPr="00D90C15">
              <w:t xml:space="preserve"> </w:t>
            </w:r>
          </w:p>
        </w:tc>
        <w:tc>
          <w:tcPr>
            <w:tcW w:w="842" w:type="pct"/>
          </w:tcPr>
          <w:p w14:paraId="219DD76C" w14:textId="77777777" w:rsidR="005A008B" w:rsidRPr="00D90C15" w:rsidRDefault="005A008B" w:rsidP="00CC3F1F">
            <w:pPr>
              <w:pStyle w:val="TableBody"/>
            </w:pPr>
            <w:r w:rsidRPr="00D90C15">
              <w:t xml:space="preserve"> </w:t>
            </w:r>
          </w:p>
        </w:tc>
      </w:tr>
      <w:tr w:rsidR="005A008B" w:rsidRPr="00D90C15" w14:paraId="19024813" w14:textId="77777777" w:rsidTr="0046794E">
        <w:trPr>
          <w:trHeight w:val="60"/>
        </w:trPr>
        <w:tc>
          <w:tcPr>
            <w:tcW w:w="1517" w:type="pct"/>
          </w:tcPr>
          <w:p w14:paraId="14F793FD" w14:textId="77777777" w:rsidR="005A008B" w:rsidRPr="00D90C15" w:rsidRDefault="005A008B" w:rsidP="00AA1CB0">
            <w:pPr>
              <w:pStyle w:val="TableBody"/>
            </w:pPr>
            <w:r w:rsidRPr="00D90C15">
              <w:t>Supplies and services</w:t>
            </w:r>
          </w:p>
        </w:tc>
        <w:tc>
          <w:tcPr>
            <w:tcW w:w="955" w:type="pct"/>
          </w:tcPr>
          <w:p w14:paraId="78F511F2"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6CBE643A" w14:textId="77777777" w:rsidR="005A008B" w:rsidRPr="00D90C15" w:rsidRDefault="005A008B" w:rsidP="00CC3F1F">
            <w:pPr>
              <w:pStyle w:val="TableBody"/>
            </w:pPr>
            <w:r w:rsidRPr="00D90C15">
              <w:t xml:space="preserve">40,664 </w:t>
            </w:r>
          </w:p>
        </w:tc>
        <w:tc>
          <w:tcPr>
            <w:tcW w:w="843" w:type="pct"/>
          </w:tcPr>
          <w:p w14:paraId="5F17F3E3"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34F43E2E" w14:textId="77777777" w:rsidR="005A008B" w:rsidRPr="00D90C15" w:rsidRDefault="005A008B" w:rsidP="00CC3F1F">
            <w:pPr>
              <w:pStyle w:val="TableBody"/>
            </w:pPr>
            <w:r w:rsidRPr="00D90C15">
              <w:t xml:space="preserve"> 40,664 </w:t>
            </w:r>
          </w:p>
        </w:tc>
      </w:tr>
      <w:tr w:rsidR="005A008B" w:rsidRPr="00D90C15" w14:paraId="06CE9147" w14:textId="77777777" w:rsidTr="0046794E">
        <w:trPr>
          <w:trHeight w:val="60"/>
        </w:trPr>
        <w:tc>
          <w:tcPr>
            <w:tcW w:w="1517" w:type="pct"/>
          </w:tcPr>
          <w:p w14:paraId="0793C0D2" w14:textId="77777777" w:rsidR="005A008B" w:rsidRPr="00D90C15" w:rsidRDefault="005A008B" w:rsidP="00AA1CB0">
            <w:pPr>
              <w:pStyle w:val="TableBody"/>
            </w:pPr>
            <w:r w:rsidRPr="00D90C15">
              <w:t>Other payables</w:t>
            </w:r>
          </w:p>
        </w:tc>
        <w:tc>
          <w:tcPr>
            <w:tcW w:w="955" w:type="pct"/>
          </w:tcPr>
          <w:p w14:paraId="4A58E971"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500073E2" w14:textId="77777777" w:rsidR="005A008B" w:rsidRPr="00D90C15" w:rsidRDefault="005A008B" w:rsidP="00CC3F1F">
            <w:pPr>
              <w:pStyle w:val="TableBody"/>
            </w:pPr>
            <w:r w:rsidRPr="00D90C15">
              <w:t xml:space="preserve">5,962 </w:t>
            </w:r>
          </w:p>
        </w:tc>
        <w:tc>
          <w:tcPr>
            <w:tcW w:w="843" w:type="pct"/>
          </w:tcPr>
          <w:p w14:paraId="3C6A8B28" w14:textId="77777777" w:rsidR="005A008B" w:rsidRPr="00D90C15" w:rsidRDefault="005A008B" w:rsidP="004F187B">
            <w:pPr>
              <w:pStyle w:val="NoParagraphStyle"/>
              <w:spacing w:line="240" w:lineRule="auto"/>
              <w:textAlignment w:val="auto"/>
              <w:rPr>
                <w:rFonts w:cs="Times New Roman"/>
                <w:color w:val="auto"/>
                <w:lang w:val="en-AU"/>
              </w:rPr>
            </w:pPr>
          </w:p>
        </w:tc>
        <w:tc>
          <w:tcPr>
            <w:tcW w:w="842" w:type="pct"/>
          </w:tcPr>
          <w:p w14:paraId="5E694024" w14:textId="77777777" w:rsidR="005A008B" w:rsidRPr="00D90C15" w:rsidRDefault="005A008B" w:rsidP="00CC3F1F">
            <w:pPr>
              <w:pStyle w:val="TableBody"/>
            </w:pPr>
            <w:r w:rsidRPr="00D90C15">
              <w:t xml:space="preserve"> 5,962 </w:t>
            </w:r>
          </w:p>
        </w:tc>
      </w:tr>
      <w:tr w:rsidR="005A008B" w:rsidRPr="00D90C15" w14:paraId="0A55ACEE" w14:textId="77777777" w:rsidTr="0046794E">
        <w:trPr>
          <w:trHeight w:val="60"/>
        </w:trPr>
        <w:tc>
          <w:tcPr>
            <w:tcW w:w="1517" w:type="pct"/>
          </w:tcPr>
          <w:p w14:paraId="3DA80F5C" w14:textId="77777777" w:rsidR="005A008B" w:rsidRPr="00D90C15" w:rsidRDefault="005A008B" w:rsidP="00AA1CB0">
            <w:pPr>
              <w:pStyle w:val="TableBody"/>
            </w:pPr>
            <w:r w:rsidRPr="00D90C15">
              <w:t>Lease Liabilities</w:t>
            </w:r>
          </w:p>
        </w:tc>
        <w:tc>
          <w:tcPr>
            <w:tcW w:w="955" w:type="pct"/>
          </w:tcPr>
          <w:p w14:paraId="73620998" w14:textId="77777777" w:rsidR="005A008B" w:rsidRPr="00D90C15" w:rsidRDefault="005A008B" w:rsidP="00CC3F1F">
            <w:pPr>
              <w:pStyle w:val="TableBody"/>
            </w:pPr>
            <w:r w:rsidRPr="00D90C15">
              <w:t>4.97</w:t>
            </w:r>
          </w:p>
        </w:tc>
        <w:tc>
          <w:tcPr>
            <w:tcW w:w="843" w:type="pct"/>
          </w:tcPr>
          <w:p w14:paraId="13170FDF" w14:textId="77777777" w:rsidR="005A008B" w:rsidRPr="00D90C15" w:rsidRDefault="005A008B" w:rsidP="00CC3F1F">
            <w:pPr>
              <w:pStyle w:val="TableBody"/>
            </w:pPr>
            <w:r w:rsidRPr="00D90C15">
              <w:t xml:space="preserve">312,297 </w:t>
            </w:r>
          </w:p>
        </w:tc>
        <w:tc>
          <w:tcPr>
            <w:tcW w:w="843" w:type="pct"/>
          </w:tcPr>
          <w:p w14:paraId="76C89707" w14:textId="77777777" w:rsidR="005A008B" w:rsidRPr="00D90C15" w:rsidRDefault="005A008B" w:rsidP="00CC3F1F">
            <w:pPr>
              <w:pStyle w:val="TableBody"/>
            </w:pPr>
            <w:r w:rsidRPr="00D90C15">
              <w:t xml:space="preserve"> 312,297 </w:t>
            </w:r>
          </w:p>
        </w:tc>
        <w:tc>
          <w:tcPr>
            <w:tcW w:w="842" w:type="pct"/>
          </w:tcPr>
          <w:p w14:paraId="0856F084"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1F3F2915" w14:textId="77777777" w:rsidTr="0046794E">
        <w:trPr>
          <w:trHeight w:val="60"/>
        </w:trPr>
        <w:tc>
          <w:tcPr>
            <w:tcW w:w="1517" w:type="pct"/>
          </w:tcPr>
          <w:p w14:paraId="13D7EA0D" w14:textId="77777777" w:rsidR="005A008B" w:rsidRPr="00E72391" w:rsidRDefault="005A008B" w:rsidP="00E72391">
            <w:pPr>
              <w:pStyle w:val="TableBody"/>
              <w:rPr>
                <w:b/>
                <w:bCs/>
              </w:rPr>
            </w:pPr>
            <w:r w:rsidRPr="00E72391">
              <w:rPr>
                <w:b/>
                <w:bCs/>
              </w:rPr>
              <w:lastRenderedPageBreak/>
              <w:t>Total financial liabilities</w:t>
            </w:r>
          </w:p>
        </w:tc>
        <w:tc>
          <w:tcPr>
            <w:tcW w:w="955" w:type="pct"/>
          </w:tcPr>
          <w:p w14:paraId="5D3AA20E" w14:textId="77777777" w:rsidR="005A008B" w:rsidRPr="00D90C15" w:rsidRDefault="005A008B" w:rsidP="004F187B">
            <w:pPr>
              <w:pStyle w:val="NoParagraphStyle"/>
              <w:spacing w:line="240" w:lineRule="auto"/>
              <w:textAlignment w:val="auto"/>
              <w:rPr>
                <w:rFonts w:cs="Times New Roman"/>
                <w:color w:val="auto"/>
                <w:lang w:val="en-AU"/>
              </w:rPr>
            </w:pPr>
          </w:p>
        </w:tc>
        <w:tc>
          <w:tcPr>
            <w:tcW w:w="843" w:type="pct"/>
          </w:tcPr>
          <w:p w14:paraId="2D67C8CE" w14:textId="77777777" w:rsidR="005A008B" w:rsidRPr="001F7031" w:rsidRDefault="005A008B" w:rsidP="001F7031">
            <w:pPr>
              <w:pStyle w:val="TableBody"/>
              <w:rPr>
                <w:b/>
                <w:bCs/>
              </w:rPr>
            </w:pPr>
            <w:r w:rsidRPr="001F7031">
              <w:rPr>
                <w:b/>
                <w:bCs/>
              </w:rPr>
              <w:t xml:space="preserve">358,924 </w:t>
            </w:r>
          </w:p>
        </w:tc>
        <w:tc>
          <w:tcPr>
            <w:tcW w:w="843" w:type="pct"/>
          </w:tcPr>
          <w:p w14:paraId="018F58E3" w14:textId="77777777" w:rsidR="005A008B" w:rsidRPr="001F7031" w:rsidRDefault="005A008B" w:rsidP="001F7031">
            <w:pPr>
              <w:pStyle w:val="TableBody"/>
              <w:rPr>
                <w:b/>
                <w:bCs/>
              </w:rPr>
            </w:pPr>
            <w:r w:rsidRPr="001F7031">
              <w:rPr>
                <w:b/>
                <w:bCs/>
              </w:rPr>
              <w:t>312,297</w:t>
            </w:r>
          </w:p>
        </w:tc>
        <w:tc>
          <w:tcPr>
            <w:tcW w:w="842" w:type="pct"/>
          </w:tcPr>
          <w:p w14:paraId="7351ABF7" w14:textId="77777777" w:rsidR="005A008B" w:rsidRPr="001F7031" w:rsidRDefault="005A008B" w:rsidP="001F7031">
            <w:pPr>
              <w:pStyle w:val="TableBody"/>
              <w:rPr>
                <w:b/>
                <w:bCs/>
              </w:rPr>
            </w:pPr>
            <w:r w:rsidRPr="001F7031">
              <w:rPr>
                <w:b/>
                <w:bCs/>
              </w:rPr>
              <w:t xml:space="preserve">46,626 </w:t>
            </w:r>
          </w:p>
        </w:tc>
      </w:tr>
    </w:tbl>
    <w:p w14:paraId="0ACDE485" w14:textId="77777777" w:rsidR="005A008B" w:rsidRPr="00D90C15" w:rsidRDefault="005A008B" w:rsidP="002822AC">
      <w:pPr>
        <w:pStyle w:val="Heading3"/>
      </w:pPr>
      <w:bookmarkStart w:id="123" w:name="_Toc221113889"/>
      <w:r w:rsidRPr="00D90C15">
        <w:t>7.2 Contingent Assets and Contingent Liabilities</w:t>
      </w:r>
      <w:bookmarkEnd w:id="123"/>
    </w:p>
    <w:p w14:paraId="17C46FF3" w14:textId="77777777" w:rsidR="005A008B" w:rsidRPr="00D90C15" w:rsidRDefault="005A008B" w:rsidP="00234617">
      <w:r w:rsidRPr="00D90C15">
        <w:t>Contingent assets and contingent liabilities are not recognised in the balance sheet but are disclosed and, if quantifiable, are measured at nominal value.</w:t>
      </w:r>
    </w:p>
    <w:p w14:paraId="66078881" w14:textId="77777777" w:rsidR="005A008B" w:rsidRPr="00D90C15" w:rsidRDefault="005A008B" w:rsidP="00234617">
      <w:r w:rsidRPr="00D90C15">
        <w:t xml:space="preserve">The Council had no contingent assets or liabilities </w:t>
      </w:r>
      <w:proofErr w:type="gramStart"/>
      <w:r w:rsidRPr="00D90C15">
        <w:t>at</w:t>
      </w:r>
      <w:proofErr w:type="gramEnd"/>
      <w:r w:rsidRPr="00D90C15">
        <w:t xml:space="preserve"> 30 June 2025 (no contingent assets or liabilities </w:t>
      </w:r>
      <w:proofErr w:type="gramStart"/>
      <w:r w:rsidRPr="00D90C15">
        <w:t>at</w:t>
      </w:r>
      <w:proofErr w:type="gramEnd"/>
      <w:r w:rsidRPr="00D90C15">
        <w:t xml:space="preserve"> 30 June 2024).</w:t>
      </w:r>
    </w:p>
    <w:p w14:paraId="4A0CA4CA" w14:textId="77777777" w:rsidR="005A008B" w:rsidRPr="00D90C15" w:rsidRDefault="005A008B" w:rsidP="002822AC">
      <w:pPr>
        <w:pStyle w:val="Heading3"/>
      </w:pPr>
      <w:bookmarkStart w:id="124" w:name="_Toc221113890"/>
      <w:r w:rsidRPr="00D90C15">
        <w:t>7.3 Fair Value Determination</w:t>
      </w:r>
      <w:bookmarkEnd w:id="124"/>
    </w:p>
    <w:p w14:paraId="621AB0BF" w14:textId="77777777" w:rsidR="005A008B" w:rsidRPr="00D90C15" w:rsidRDefault="005A008B" w:rsidP="00234617">
      <w:r w:rsidRPr="00D90C15">
        <w:t xml:space="preserve">This section sets out information on how the Council determined fair value for financial reporting purposes. Fair value is the price that would be received to sell an asset or paid to transfer a liability in an orderly transaction between market participants at the measurement date. </w:t>
      </w:r>
    </w:p>
    <w:p w14:paraId="34FB87A6" w14:textId="77777777" w:rsidR="005A008B" w:rsidRPr="00D90C15" w:rsidRDefault="005A008B" w:rsidP="006512A5">
      <w:r w:rsidRPr="00D90C15">
        <w:t xml:space="preserve">The following assets and liabilities are carried at fair value: </w:t>
      </w:r>
    </w:p>
    <w:p w14:paraId="308FB33D" w14:textId="77777777" w:rsidR="005A008B" w:rsidRPr="00D90C15" w:rsidRDefault="005A008B" w:rsidP="00926C26">
      <w:pPr>
        <w:pStyle w:val="Bullets"/>
      </w:pPr>
      <w:r w:rsidRPr="00D90C15">
        <w:t>financial assets and liabilities at fair value through operating result.</w:t>
      </w:r>
    </w:p>
    <w:p w14:paraId="13DBED06" w14:textId="77777777" w:rsidR="005A008B" w:rsidRPr="00D90C15" w:rsidRDefault="005A008B" w:rsidP="00234617">
      <w:r w:rsidRPr="00D90C15">
        <w:t>The Council monitors changes in the fair value of each asset and liability through relevant data sources to determine whether revaluation is required.</w:t>
      </w:r>
    </w:p>
    <w:p w14:paraId="7720CC0E" w14:textId="77777777" w:rsidR="005A008B" w:rsidRPr="00D90C15" w:rsidRDefault="005A008B" w:rsidP="006512A5">
      <w:r w:rsidRPr="00D90C15">
        <w:t>For those assets and liabilities for which fair values are determined, the following disclosures are provided:</w:t>
      </w:r>
    </w:p>
    <w:p w14:paraId="40411CDD" w14:textId="77777777" w:rsidR="005A008B" w:rsidRPr="00D90C15" w:rsidRDefault="005A008B" w:rsidP="00926C26">
      <w:pPr>
        <w:pStyle w:val="Bullets"/>
      </w:pPr>
      <w:r w:rsidRPr="00D90C15">
        <w:t>valuation techniques</w:t>
      </w:r>
    </w:p>
    <w:p w14:paraId="1CFD13CB" w14:textId="77777777" w:rsidR="005A008B" w:rsidRPr="00D90C15" w:rsidRDefault="005A008B" w:rsidP="00926C26">
      <w:pPr>
        <w:pStyle w:val="Bullets"/>
      </w:pPr>
      <w:r w:rsidRPr="00D90C15">
        <w:t>details of significant assumptions used in the fair value determination.</w:t>
      </w:r>
    </w:p>
    <w:p w14:paraId="33ED0D7E" w14:textId="77777777" w:rsidR="005A008B" w:rsidRPr="00D90C15" w:rsidRDefault="005A008B" w:rsidP="002822AC">
      <w:pPr>
        <w:pStyle w:val="Heading4"/>
      </w:pPr>
      <w:r w:rsidRPr="00D90C15">
        <w:t>Fair Value Determination of Financial Assets and Liabilities</w:t>
      </w:r>
    </w:p>
    <w:p w14:paraId="282B5DD6" w14:textId="77777777" w:rsidR="005A008B" w:rsidRPr="00D90C15" w:rsidRDefault="005A008B" w:rsidP="00234617">
      <w:r w:rsidRPr="00D90C15">
        <w:t xml:space="preserve">The Council currently holds a range of financial instruments that are recorded in the financial statements where the carrying amounts approximate to fair value, due to their short-term nature or with the expectation that they will be paid in full by the end of the 2024–25 reporting period. </w:t>
      </w:r>
    </w:p>
    <w:p w14:paraId="22BBA406" w14:textId="77777777" w:rsidR="005A008B" w:rsidRPr="00D90C15" w:rsidRDefault="005A008B" w:rsidP="00234617">
      <w:r w:rsidRPr="00D90C15">
        <w:t xml:space="preserve">These financial instruments include payables for supplies and services, lease liabilities and other payables. </w:t>
      </w:r>
    </w:p>
    <w:p w14:paraId="13904663" w14:textId="77777777" w:rsidR="005A008B" w:rsidRPr="00D90C15" w:rsidRDefault="005A008B" w:rsidP="00234617">
      <w:r w:rsidRPr="00D90C15">
        <w:lastRenderedPageBreak/>
        <w:t>For all assets measured at fair value, the Council considers that the current use is the highest and best use.</w:t>
      </w:r>
    </w:p>
    <w:p w14:paraId="20E8ED07" w14:textId="3E237EBA" w:rsidR="005A008B" w:rsidRPr="00D90C15" w:rsidRDefault="00C64E0E" w:rsidP="002822AC">
      <w:pPr>
        <w:pStyle w:val="Heading1"/>
      </w:pPr>
      <w:bookmarkStart w:id="125" w:name="_Toc221113891"/>
      <w:r>
        <w:lastRenderedPageBreak/>
        <w:t xml:space="preserve">8 </w:t>
      </w:r>
      <w:r w:rsidR="002822AC" w:rsidRPr="00D90C15">
        <w:t>Other Disclosures</w:t>
      </w:r>
      <w:bookmarkEnd w:id="125"/>
    </w:p>
    <w:p w14:paraId="22D9EDB3" w14:textId="77777777" w:rsidR="005A008B" w:rsidRPr="00D90C15" w:rsidRDefault="005A008B" w:rsidP="00926C26">
      <w:pPr>
        <w:pStyle w:val="Heading2"/>
      </w:pPr>
      <w:bookmarkStart w:id="126" w:name="_Toc221113892"/>
      <w:r w:rsidRPr="00D90C15">
        <w:t>Introduction</w:t>
      </w:r>
      <w:bookmarkEnd w:id="126"/>
    </w:p>
    <w:p w14:paraId="1D80C2CC" w14:textId="77777777" w:rsidR="005A008B" w:rsidRPr="00D90C15" w:rsidRDefault="005A008B" w:rsidP="00234617">
      <w:r w:rsidRPr="00D90C15">
        <w:t>This section includes additional material disclosures required by accounting standards or otherwise, for the understanding of this financial report.</w:t>
      </w:r>
    </w:p>
    <w:p w14:paraId="6FBDCC9F" w14:textId="77777777" w:rsidR="005A008B" w:rsidRPr="00D90C15" w:rsidRDefault="005A008B" w:rsidP="00926C26">
      <w:pPr>
        <w:pStyle w:val="Heading2"/>
      </w:pPr>
      <w:bookmarkStart w:id="127" w:name="_Toc221113893"/>
      <w:r w:rsidRPr="00D90C15">
        <w:t>Structure</w:t>
      </w:r>
      <w:bookmarkEnd w:id="127"/>
    </w:p>
    <w:p w14:paraId="5F5FD8A9" w14:textId="77777777" w:rsidR="005A008B" w:rsidRPr="00D90C15" w:rsidRDefault="005A008B" w:rsidP="006512A5">
      <w:r w:rsidRPr="00D90C15">
        <w:t>8.1 Other Economic Flows Included in Net Results</w:t>
      </w:r>
      <w:r w:rsidRPr="00D90C15">
        <w:t> </w:t>
      </w:r>
      <w:r w:rsidRPr="00D90C15">
        <w:t>64</w:t>
      </w:r>
    </w:p>
    <w:p w14:paraId="7B07B09F" w14:textId="77777777" w:rsidR="005A008B" w:rsidRPr="00D90C15" w:rsidRDefault="005A008B" w:rsidP="006512A5">
      <w:r w:rsidRPr="00D90C15">
        <w:t>8.2 Responsible Persons</w:t>
      </w:r>
      <w:r w:rsidRPr="00D90C15">
        <w:t> </w:t>
      </w:r>
      <w:r w:rsidRPr="00D90C15">
        <w:t>64</w:t>
      </w:r>
    </w:p>
    <w:p w14:paraId="710FACCF" w14:textId="77777777" w:rsidR="005A008B" w:rsidRPr="00D90C15" w:rsidRDefault="005A008B" w:rsidP="006512A5">
      <w:r w:rsidRPr="00D90C15">
        <w:t>8.3 Remuneration of Executives</w:t>
      </w:r>
      <w:r w:rsidRPr="00D90C15">
        <w:t> </w:t>
      </w:r>
      <w:r w:rsidRPr="00D90C15">
        <w:t>65</w:t>
      </w:r>
    </w:p>
    <w:p w14:paraId="01657485" w14:textId="77777777" w:rsidR="005A008B" w:rsidRPr="00D90C15" w:rsidRDefault="005A008B" w:rsidP="006512A5">
      <w:r w:rsidRPr="00D90C15">
        <w:t>8.4 Related Parties</w:t>
      </w:r>
      <w:r w:rsidRPr="00D90C15">
        <w:t> </w:t>
      </w:r>
      <w:r w:rsidRPr="00D90C15">
        <w:t>65</w:t>
      </w:r>
    </w:p>
    <w:p w14:paraId="2C33B469" w14:textId="77777777" w:rsidR="005A008B" w:rsidRPr="00D90C15" w:rsidRDefault="005A008B" w:rsidP="006512A5">
      <w:r w:rsidRPr="00D90C15">
        <w:t>8.5 Remuneration of Auditors</w:t>
      </w:r>
      <w:r w:rsidRPr="00D90C15">
        <w:t> </w:t>
      </w:r>
      <w:r w:rsidRPr="00D90C15">
        <w:t>68</w:t>
      </w:r>
    </w:p>
    <w:p w14:paraId="569CEC6C" w14:textId="77777777" w:rsidR="005A008B" w:rsidRPr="00D90C15" w:rsidRDefault="005A008B" w:rsidP="006512A5">
      <w:r w:rsidRPr="00D90C15">
        <w:t>8.6 Subsequent Events</w:t>
      </w:r>
      <w:r w:rsidRPr="00D90C15">
        <w:t> </w:t>
      </w:r>
      <w:r w:rsidRPr="00D90C15">
        <w:t>68</w:t>
      </w:r>
    </w:p>
    <w:p w14:paraId="5D26CD20" w14:textId="77777777" w:rsidR="005A008B" w:rsidRPr="00D90C15" w:rsidRDefault="005A008B" w:rsidP="006512A5">
      <w:r w:rsidRPr="00D90C15">
        <w:t>8.7 Glossary of Technical Terms</w:t>
      </w:r>
      <w:r w:rsidRPr="00D90C15">
        <w:t> </w:t>
      </w:r>
      <w:r w:rsidRPr="00D90C15">
        <w:t>68</w:t>
      </w:r>
    </w:p>
    <w:p w14:paraId="34983DB6" w14:textId="77777777" w:rsidR="005A008B" w:rsidRPr="00D90C15" w:rsidRDefault="005A008B" w:rsidP="00234617">
      <w:r w:rsidRPr="00D90C15">
        <w:t>8.8 Style Conventions</w:t>
      </w:r>
      <w:r w:rsidRPr="00D90C15">
        <w:t> </w:t>
      </w:r>
      <w:r w:rsidRPr="00D90C15">
        <w:t>70</w:t>
      </w:r>
    </w:p>
    <w:p w14:paraId="4F8436F9" w14:textId="77777777" w:rsidR="005A008B" w:rsidRPr="00D90C15" w:rsidRDefault="005A008B" w:rsidP="002822AC">
      <w:pPr>
        <w:pStyle w:val="Heading3"/>
      </w:pPr>
      <w:bookmarkStart w:id="128" w:name="_Toc221113894"/>
      <w:r w:rsidRPr="00D90C15">
        <w:t>8.1 Other Economic Flows Included in Net Results</w:t>
      </w:r>
      <w:bookmarkEnd w:id="128"/>
    </w:p>
    <w:p w14:paraId="1E3DCFB7" w14:textId="77777777" w:rsidR="005A008B" w:rsidRPr="00D90C15" w:rsidRDefault="005A008B" w:rsidP="006512A5">
      <w:r w:rsidRPr="00D90C15">
        <w:t>Other economic flows are changes in the volume or value of an asset or liability that do not result from transactions. Other gains/(losses) from other economic flows include the gains or losses from:</w:t>
      </w:r>
    </w:p>
    <w:p w14:paraId="4456707A" w14:textId="77777777" w:rsidR="005A008B" w:rsidRPr="00D90C15" w:rsidRDefault="005A008B" w:rsidP="00926C26">
      <w:pPr>
        <w:pStyle w:val="Bullets"/>
      </w:pPr>
      <w:r w:rsidRPr="00D90C15">
        <w:t>the revaluation of the present value of the long service leave liability due to changes in the bond interest rates.</w:t>
      </w:r>
    </w:p>
    <w:tbl>
      <w:tblPr>
        <w:tblStyle w:val="Table"/>
        <w:tblW w:w="5000" w:type="pct"/>
        <w:tblLook w:val="0020" w:firstRow="1" w:lastRow="0" w:firstColumn="0" w:lastColumn="0" w:noHBand="0" w:noVBand="0"/>
      </w:tblPr>
      <w:tblGrid>
        <w:gridCol w:w="6284"/>
        <w:gridCol w:w="1367"/>
        <w:gridCol w:w="1365"/>
      </w:tblGrid>
      <w:tr w:rsidR="005A008B" w:rsidRPr="00D90C15" w14:paraId="2ADA131A" w14:textId="77777777" w:rsidTr="0046794E">
        <w:trPr>
          <w:trHeight w:val="60"/>
          <w:tblHeader/>
        </w:trPr>
        <w:tc>
          <w:tcPr>
            <w:tcW w:w="3485" w:type="pct"/>
          </w:tcPr>
          <w:p w14:paraId="4325DFB9" w14:textId="77777777" w:rsidR="005A008B" w:rsidRPr="00D90C15" w:rsidRDefault="005A008B" w:rsidP="004F187B">
            <w:pPr>
              <w:pStyle w:val="NoParagraphStyle"/>
              <w:spacing w:line="240" w:lineRule="auto"/>
              <w:textAlignment w:val="auto"/>
              <w:rPr>
                <w:rFonts w:cs="Times New Roman"/>
                <w:color w:val="auto"/>
                <w:lang w:val="en-AU"/>
              </w:rPr>
            </w:pPr>
          </w:p>
        </w:tc>
        <w:tc>
          <w:tcPr>
            <w:tcW w:w="758" w:type="pct"/>
          </w:tcPr>
          <w:p w14:paraId="1F048929" w14:textId="77777777" w:rsidR="005A008B" w:rsidRPr="00D90C15" w:rsidRDefault="005A008B" w:rsidP="007B5725">
            <w:pPr>
              <w:pStyle w:val="TableHeading"/>
            </w:pPr>
            <w:r w:rsidRPr="00D90C15">
              <w:t>2025</w:t>
            </w:r>
            <w:r w:rsidRPr="00D90C15">
              <w:br/>
              <w:t>$</w:t>
            </w:r>
          </w:p>
        </w:tc>
        <w:tc>
          <w:tcPr>
            <w:tcW w:w="757" w:type="pct"/>
          </w:tcPr>
          <w:p w14:paraId="0C0EB247" w14:textId="77777777" w:rsidR="005A008B" w:rsidRPr="00D90C15" w:rsidRDefault="005A008B" w:rsidP="007B5725">
            <w:pPr>
              <w:pStyle w:val="TableHeading"/>
            </w:pPr>
            <w:r w:rsidRPr="00D90C15">
              <w:t>2024</w:t>
            </w:r>
            <w:r w:rsidRPr="00D90C15">
              <w:br/>
              <w:t>$</w:t>
            </w:r>
          </w:p>
        </w:tc>
      </w:tr>
      <w:tr w:rsidR="005A008B" w:rsidRPr="00D90C15" w14:paraId="3F7A54DA" w14:textId="77777777" w:rsidTr="0046794E">
        <w:trPr>
          <w:trHeight w:val="60"/>
        </w:trPr>
        <w:tc>
          <w:tcPr>
            <w:tcW w:w="3485" w:type="pct"/>
          </w:tcPr>
          <w:p w14:paraId="0B1BA6F6" w14:textId="77777777" w:rsidR="005A008B" w:rsidRPr="00D90C15" w:rsidRDefault="005A008B" w:rsidP="00E82D64">
            <w:pPr>
              <w:pStyle w:val="TableBody"/>
            </w:pPr>
            <w:r w:rsidRPr="00D90C15">
              <w:t xml:space="preserve">Net </w:t>
            </w:r>
            <w:proofErr w:type="gramStart"/>
            <w:r w:rsidRPr="00D90C15">
              <w:t>gain/(</w:t>
            </w:r>
            <w:proofErr w:type="gramEnd"/>
            <w:r w:rsidRPr="00D90C15">
              <w:t>loss) arising from revaluation of long service leave liability</w:t>
            </w:r>
          </w:p>
        </w:tc>
        <w:tc>
          <w:tcPr>
            <w:tcW w:w="758" w:type="pct"/>
          </w:tcPr>
          <w:p w14:paraId="3EE0EF07" w14:textId="77777777" w:rsidR="005A008B" w:rsidRPr="00D90C15" w:rsidRDefault="005A008B" w:rsidP="00CC3F1F">
            <w:pPr>
              <w:pStyle w:val="TableBody"/>
            </w:pPr>
            <w:r w:rsidRPr="00D90C15">
              <w:t>(958)</w:t>
            </w:r>
          </w:p>
        </w:tc>
        <w:tc>
          <w:tcPr>
            <w:tcW w:w="757" w:type="pct"/>
          </w:tcPr>
          <w:p w14:paraId="563EBA35" w14:textId="77777777" w:rsidR="005A008B" w:rsidRPr="00D90C15" w:rsidRDefault="005A008B" w:rsidP="00CC3F1F">
            <w:pPr>
              <w:pStyle w:val="TableBody"/>
            </w:pPr>
            <w:r w:rsidRPr="00D90C15">
              <w:t xml:space="preserve">5,096 </w:t>
            </w:r>
          </w:p>
        </w:tc>
      </w:tr>
      <w:tr w:rsidR="005A008B" w:rsidRPr="00D90C15" w14:paraId="44926CB4" w14:textId="77777777" w:rsidTr="0046794E">
        <w:trPr>
          <w:trHeight w:val="60"/>
        </w:trPr>
        <w:tc>
          <w:tcPr>
            <w:tcW w:w="3485" w:type="pct"/>
          </w:tcPr>
          <w:p w14:paraId="5316019E" w14:textId="77777777" w:rsidR="005A008B" w:rsidRPr="00E72391" w:rsidRDefault="005A008B" w:rsidP="00E72391">
            <w:pPr>
              <w:pStyle w:val="TableBody"/>
              <w:rPr>
                <w:b/>
                <w:bCs/>
              </w:rPr>
            </w:pPr>
            <w:r w:rsidRPr="00E72391">
              <w:rPr>
                <w:b/>
                <w:bCs/>
              </w:rPr>
              <w:t xml:space="preserve">Total other </w:t>
            </w:r>
            <w:proofErr w:type="gramStart"/>
            <w:r w:rsidRPr="00E72391">
              <w:rPr>
                <w:b/>
                <w:bCs/>
              </w:rPr>
              <w:t>gains/(</w:t>
            </w:r>
            <w:proofErr w:type="gramEnd"/>
            <w:r w:rsidRPr="00E72391">
              <w:rPr>
                <w:b/>
                <w:bCs/>
              </w:rPr>
              <w:t>losses) from other economic flows</w:t>
            </w:r>
          </w:p>
        </w:tc>
        <w:tc>
          <w:tcPr>
            <w:tcW w:w="758" w:type="pct"/>
          </w:tcPr>
          <w:p w14:paraId="0E48DCBF" w14:textId="77777777" w:rsidR="005A008B" w:rsidRPr="001F7031" w:rsidRDefault="005A008B" w:rsidP="001F7031">
            <w:pPr>
              <w:pStyle w:val="TableBody"/>
              <w:rPr>
                <w:b/>
                <w:bCs/>
              </w:rPr>
            </w:pPr>
            <w:r w:rsidRPr="001F7031">
              <w:rPr>
                <w:b/>
                <w:bCs/>
              </w:rPr>
              <w:t>(958)</w:t>
            </w:r>
          </w:p>
        </w:tc>
        <w:tc>
          <w:tcPr>
            <w:tcW w:w="757" w:type="pct"/>
          </w:tcPr>
          <w:p w14:paraId="1C4956C4" w14:textId="77777777" w:rsidR="005A008B" w:rsidRPr="00D90C15" w:rsidRDefault="005A008B" w:rsidP="00CC3F1F">
            <w:pPr>
              <w:pStyle w:val="TableBody"/>
            </w:pPr>
            <w:r w:rsidRPr="00D90C15">
              <w:t xml:space="preserve">5,096 </w:t>
            </w:r>
          </w:p>
        </w:tc>
      </w:tr>
    </w:tbl>
    <w:p w14:paraId="64F70E99" w14:textId="77777777" w:rsidR="005A008B" w:rsidRPr="00D90C15" w:rsidRDefault="005A008B" w:rsidP="002822AC">
      <w:pPr>
        <w:pStyle w:val="Heading3"/>
      </w:pPr>
      <w:bookmarkStart w:id="129" w:name="_Toc221113895"/>
      <w:r w:rsidRPr="00D90C15">
        <w:t>8.2 Responsible Persons</w:t>
      </w:r>
      <w:bookmarkEnd w:id="129"/>
      <w:r w:rsidRPr="00D90C15">
        <w:t xml:space="preserve"> </w:t>
      </w:r>
    </w:p>
    <w:p w14:paraId="74F7EAD5" w14:textId="77777777" w:rsidR="005A008B" w:rsidRPr="009A485A" w:rsidRDefault="005A008B" w:rsidP="00234617">
      <w:r w:rsidRPr="00D90C15">
        <w:t xml:space="preserve">In accordance with the Ministerial Directions issued by the Assistant Treasurer under the </w:t>
      </w:r>
      <w:r w:rsidRPr="004A331A">
        <w:rPr>
          <w:i/>
          <w:iCs/>
        </w:rPr>
        <w:t>Financial Management Act 1994</w:t>
      </w:r>
      <w:r w:rsidRPr="00D90C15">
        <w:t xml:space="preserve"> (FMA), the following </w:t>
      </w:r>
      <w:r w:rsidRPr="009A485A">
        <w:t>disclosures are made regarding Responsible Persons for the reporting period.</w:t>
      </w:r>
    </w:p>
    <w:p w14:paraId="65F8D2C1" w14:textId="77777777" w:rsidR="005A008B" w:rsidRPr="00D90C15" w:rsidRDefault="005A008B" w:rsidP="00234617">
      <w:r w:rsidRPr="00D90C15">
        <w:t>The persons who held the position of Ministers of the Council are as follows:</w:t>
      </w:r>
    </w:p>
    <w:tbl>
      <w:tblPr>
        <w:tblStyle w:val="Table"/>
        <w:tblW w:w="5000" w:type="pct"/>
        <w:tblLook w:val="0020" w:firstRow="1" w:lastRow="0" w:firstColumn="0" w:lastColumn="0" w:noHBand="0" w:noVBand="0"/>
      </w:tblPr>
      <w:tblGrid>
        <w:gridCol w:w="2502"/>
        <w:gridCol w:w="2792"/>
        <w:gridCol w:w="3722"/>
      </w:tblGrid>
      <w:tr w:rsidR="005A008B" w:rsidRPr="00D90C15" w14:paraId="3BA45A72" w14:textId="77777777" w:rsidTr="0046794E">
        <w:trPr>
          <w:trHeight w:val="60"/>
          <w:tblHeader/>
        </w:trPr>
        <w:tc>
          <w:tcPr>
            <w:tcW w:w="1387" w:type="pct"/>
          </w:tcPr>
          <w:p w14:paraId="15BA2D2D" w14:textId="77777777" w:rsidR="005A008B" w:rsidRPr="00D11517" w:rsidRDefault="005A008B" w:rsidP="00D11517">
            <w:pPr>
              <w:pStyle w:val="TableHeading"/>
            </w:pPr>
            <w:r w:rsidRPr="00D11517">
              <w:lastRenderedPageBreak/>
              <w:t>Position</w:t>
            </w:r>
          </w:p>
        </w:tc>
        <w:tc>
          <w:tcPr>
            <w:tcW w:w="1548" w:type="pct"/>
          </w:tcPr>
          <w:p w14:paraId="2263E2E1" w14:textId="77777777" w:rsidR="005A008B" w:rsidRPr="00D11517" w:rsidRDefault="005A008B" w:rsidP="00D11517">
            <w:pPr>
              <w:pStyle w:val="TableHeading"/>
            </w:pPr>
            <w:r w:rsidRPr="00D11517">
              <w:t>Office holder</w:t>
            </w:r>
          </w:p>
        </w:tc>
        <w:tc>
          <w:tcPr>
            <w:tcW w:w="2064" w:type="pct"/>
          </w:tcPr>
          <w:p w14:paraId="6D0388CF" w14:textId="77777777" w:rsidR="005A008B" w:rsidRPr="00D11517" w:rsidRDefault="005A008B" w:rsidP="00D11517">
            <w:pPr>
              <w:pStyle w:val="TableHeading"/>
            </w:pPr>
            <w:r w:rsidRPr="00D11517">
              <w:t>Date</w:t>
            </w:r>
          </w:p>
        </w:tc>
      </w:tr>
      <w:tr w:rsidR="005A008B" w:rsidRPr="00D90C15" w14:paraId="7B99D8D5" w14:textId="77777777" w:rsidTr="0046794E">
        <w:trPr>
          <w:trHeight w:val="60"/>
        </w:trPr>
        <w:tc>
          <w:tcPr>
            <w:tcW w:w="1387" w:type="pct"/>
          </w:tcPr>
          <w:p w14:paraId="2B2E9AF6" w14:textId="77777777" w:rsidR="005A008B" w:rsidRPr="00E72391" w:rsidRDefault="005A008B" w:rsidP="00E72391">
            <w:pPr>
              <w:pStyle w:val="TableBody"/>
              <w:rPr>
                <w:b/>
                <w:bCs/>
              </w:rPr>
            </w:pPr>
            <w:r w:rsidRPr="00E72391">
              <w:rPr>
                <w:b/>
                <w:bCs/>
              </w:rPr>
              <w:t>Attorney-General</w:t>
            </w:r>
          </w:p>
        </w:tc>
        <w:tc>
          <w:tcPr>
            <w:tcW w:w="1548" w:type="pct"/>
          </w:tcPr>
          <w:p w14:paraId="35FB9726" w14:textId="77777777" w:rsidR="005A008B" w:rsidRPr="00D90C15" w:rsidRDefault="005A008B" w:rsidP="00E82D64">
            <w:pPr>
              <w:pStyle w:val="TableBody"/>
            </w:pPr>
            <w:r w:rsidRPr="00D90C15">
              <w:t>The Hon. Jaclyn Symes, MP</w:t>
            </w:r>
          </w:p>
        </w:tc>
        <w:tc>
          <w:tcPr>
            <w:tcW w:w="2064" w:type="pct"/>
          </w:tcPr>
          <w:p w14:paraId="0FE26719" w14:textId="77777777" w:rsidR="005A008B" w:rsidRPr="00D90C15" w:rsidRDefault="005A008B" w:rsidP="00E82D64">
            <w:pPr>
              <w:pStyle w:val="TableBody"/>
            </w:pPr>
            <w:r w:rsidRPr="00D90C15">
              <w:t>1 July 2024 to 18 December 2024</w:t>
            </w:r>
          </w:p>
        </w:tc>
      </w:tr>
      <w:tr w:rsidR="005A008B" w:rsidRPr="00D90C15" w14:paraId="1F28233D" w14:textId="77777777" w:rsidTr="0046794E">
        <w:trPr>
          <w:trHeight w:val="60"/>
        </w:trPr>
        <w:tc>
          <w:tcPr>
            <w:tcW w:w="1387" w:type="pct"/>
          </w:tcPr>
          <w:p w14:paraId="582070C4" w14:textId="77777777" w:rsidR="005A008B" w:rsidRPr="00D90C15" w:rsidRDefault="005A008B" w:rsidP="004F187B">
            <w:pPr>
              <w:pStyle w:val="NoParagraphStyle"/>
              <w:spacing w:line="240" w:lineRule="auto"/>
              <w:textAlignment w:val="auto"/>
              <w:rPr>
                <w:rFonts w:cs="Times New Roman"/>
                <w:color w:val="auto"/>
                <w:lang w:val="en-AU"/>
              </w:rPr>
            </w:pPr>
          </w:p>
        </w:tc>
        <w:tc>
          <w:tcPr>
            <w:tcW w:w="1548" w:type="pct"/>
          </w:tcPr>
          <w:p w14:paraId="6F93061D" w14:textId="77777777" w:rsidR="005A008B" w:rsidRPr="00D90C15" w:rsidRDefault="005A008B" w:rsidP="00E82D64">
            <w:pPr>
              <w:pStyle w:val="TableBody"/>
            </w:pPr>
            <w:r w:rsidRPr="00D90C15">
              <w:t>The Hon. Sonya Kilkenny, MP</w:t>
            </w:r>
          </w:p>
        </w:tc>
        <w:tc>
          <w:tcPr>
            <w:tcW w:w="2064" w:type="pct"/>
          </w:tcPr>
          <w:p w14:paraId="765E6A7D" w14:textId="77777777" w:rsidR="005A008B" w:rsidRPr="00D90C15" w:rsidRDefault="005A008B" w:rsidP="00E82D64">
            <w:pPr>
              <w:pStyle w:val="TableBody"/>
            </w:pPr>
            <w:r w:rsidRPr="00D90C15">
              <w:t>19 December 2024 to 30 June 2025</w:t>
            </w:r>
          </w:p>
        </w:tc>
      </w:tr>
      <w:tr w:rsidR="005A008B" w:rsidRPr="00D90C15" w14:paraId="613CF530" w14:textId="77777777" w:rsidTr="0046794E">
        <w:trPr>
          <w:trHeight w:val="60"/>
        </w:trPr>
        <w:tc>
          <w:tcPr>
            <w:tcW w:w="1387" w:type="pct"/>
          </w:tcPr>
          <w:p w14:paraId="61DCAF4E" w14:textId="77777777" w:rsidR="005A008B" w:rsidRPr="00E72391" w:rsidRDefault="005A008B" w:rsidP="00E72391">
            <w:pPr>
              <w:pStyle w:val="TableBody"/>
              <w:rPr>
                <w:b/>
                <w:bCs/>
              </w:rPr>
            </w:pPr>
            <w:r w:rsidRPr="00E72391">
              <w:rPr>
                <w:b/>
                <w:bCs/>
              </w:rPr>
              <w:t>Acting Attorney-General</w:t>
            </w:r>
          </w:p>
        </w:tc>
        <w:tc>
          <w:tcPr>
            <w:tcW w:w="1548" w:type="pct"/>
          </w:tcPr>
          <w:p w14:paraId="6A3E1C80" w14:textId="77777777" w:rsidR="005A008B" w:rsidRPr="00D90C15" w:rsidRDefault="005A008B" w:rsidP="00E82D64">
            <w:pPr>
              <w:pStyle w:val="TableBody"/>
            </w:pPr>
            <w:r w:rsidRPr="00D90C15">
              <w:t>The Hon. Enver Erdogan, MP</w:t>
            </w:r>
          </w:p>
        </w:tc>
        <w:tc>
          <w:tcPr>
            <w:tcW w:w="2064" w:type="pct"/>
          </w:tcPr>
          <w:p w14:paraId="6BD83A2E" w14:textId="77777777" w:rsidR="005A008B" w:rsidRPr="00D90C15" w:rsidRDefault="005A008B" w:rsidP="00E82D64">
            <w:pPr>
              <w:pStyle w:val="TableBody"/>
            </w:pPr>
            <w:r w:rsidRPr="00D90C15">
              <w:t>1 November 2024 to 5 November 2024</w:t>
            </w:r>
          </w:p>
        </w:tc>
      </w:tr>
    </w:tbl>
    <w:p w14:paraId="133FA91E" w14:textId="77777777" w:rsidR="005A008B" w:rsidRPr="00D90C15" w:rsidRDefault="005A008B" w:rsidP="00234617">
      <w:r w:rsidRPr="00D90C15">
        <w:t>The persons who were Responsible Persons of the Council for the reporting period are as follows:</w:t>
      </w:r>
    </w:p>
    <w:tbl>
      <w:tblPr>
        <w:tblStyle w:val="Table"/>
        <w:tblW w:w="5000" w:type="pct"/>
        <w:tblLook w:val="0020" w:firstRow="1" w:lastRow="0" w:firstColumn="0" w:lastColumn="0" w:noHBand="0" w:noVBand="0"/>
      </w:tblPr>
      <w:tblGrid>
        <w:gridCol w:w="2808"/>
        <w:gridCol w:w="3013"/>
        <w:gridCol w:w="3195"/>
      </w:tblGrid>
      <w:tr w:rsidR="00B30E2A" w:rsidRPr="00D90C15" w14:paraId="6965740C" w14:textId="77777777" w:rsidTr="0046794E">
        <w:trPr>
          <w:trHeight w:val="60"/>
          <w:tblHeader/>
        </w:trPr>
        <w:tc>
          <w:tcPr>
            <w:tcW w:w="1557" w:type="pct"/>
          </w:tcPr>
          <w:p w14:paraId="7FEDD3DE" w14:textId="590E4BF5" w:rsidR="00B30E2A" w:rsidRPr="00B30E2A" w:rsidRDefault="00B30E2A" w:rsidP="00B30E2A">
            <w:pPr>
              <w:pStyle w:val="TableHeading"/>
            </w:pPr>
            <w:r w:rsidRPr="00B30E2A">
              <w:t>Position</w:t>
            </w:r>
          </w:p>
        </w:tc>
        <w:tc>
          <w:tcPr>
            <w:tcW w:w="1671" w:type="pct"/>
          </w:tcPr>
          <w:p w14:paraId="61E5E2EF" w14:textId="424F2265" w:rsidR="00B30E2A" w:rsidRPr="00B30E2A" w:rsidRDefault="00B30E2A" w:rsidP="00B30E2A">
            <w:pPr>
              <w:pStyle w:val="TableHeading"/>
            </w:pPr>
            <w:r w:rsidRPr="00B30E2A">
              <w:t>Office holder</w:t>
            </w:r>
          </w:p>
        </w:tc>
        <w:tc>
          <w:tcPr>
            <w:tcW w:w="1772" w:type="pct"/>
          </w:tcPr>
          <w:p w14:paraId="4B3FCB42" w14:textId="3C94AD20" w:rsidR="00B30E2A" w:rsidRPr="00B30E2A" w:rsidRDefault="00B30E2A" w:rsidP="00B30E2A">
            <w:pPr>
              <w:pStyle w:val="TableHeading"/>
            </w:pPr>
            <w:r w:rsidRPr="00B30E2A">
              <w:t>Date</w:t>
            </w:r>
          </w:p>
        </w:tc>
      </w:tr>
      <w:tr w:rsidR="00B30E2A" w:rsidRPr="00D90C15" w14:paraId="4593228D" w14:textId="77777777" w:rsidTr="0046794E">
        <w:trPr>
          <w:trHeight w:val="60"/>
        </w:trPr>
        <w:tc>
          <w:tcPr>
            <w:tcW w:w="1557" w:type="pct"/>
          </w:tcPr>
          <w:p w14:paraId="7E75F64E" w14:textId="77777777" w:rsidR="00B30E2A" w:rsidRPr="00E72391" w:rsidRDefault="00B30E2A" w:rsidP="00B30E2A">
            <w:pPr>
              <w:pStyle w:val="TableBody"/>
              <w:rPr>
                <w:b/>
                <w:bCs/>
              </w:rPr>
            </w:pPr>
            <w:r w:rsidRPr="00E72391">
              <w:rPr>
                <w:b/>
                <w:bCs/>
              </w:rPr>
              <w:t>Chief Executive Officer</w:t>
            </w:r>
          </w:p>
        </w:tc>
        <w:tc>
          <w:tcPr>
            <w:tcW w:w="1671" w:type="pct"/>
          </w:tcPr>
          <w:p w14:paraId="0E770985" w14:textId="77777777" w:rsidR="00B30E2A" w:rsidRPr="00D90C15" w:rsidRDefault="00B30E2A" w:rsidP="00B30E2A">
            <w:pPr>
              <w:pStyle w:val="TableBody"/>
            </w:pPr>
            <w:r w:rsidRPr="00D90C15">
              <w:t>Dr Paul McGorrery</w:t>
            </w:r>
          </w:p>
        </w:tc>
        <w:tc>
          <w:tcPr>
            <w:tcW w:w="1772" w:type="pct"/>
          </w:tcPr>
          <w:p w14:paraId="07B4FE79" w14:textId="77777777" w:rsidR="00B30E2A" w:rsidRPr="00D90C15" w:rsidRDefault="00B30E2A" w:rsidP="00B30E2A">
            <w:pPr>
              <w:pStyle w:val="TableBody"/>
            </w:pPr>
            <w:r w:rsidRPr="00D90C15">
              <w:t>1 July 2024 to 30 June 2025</w:t>
            </w:r>
          </w:p>
        </w:tc>
      </w:tr>
      <w:tr w:rsidR="00B30E2A" w:rsidRPr="00D90C15" w14:paraId="20874960" w14:textId="77777777" w:rsidTr="0046794E">
        <w:trPr>
          <w:trHeight w:val="60"/>
        </w:trPr>
        <w:tc>
          <w:tcPr>
            <w:tcW w:w="1557" w:type="pct"/>
          </w:tcPr>
          <w:p w14:paraId="38A156B6" w14:textId="77777777" w:rsidR="00B30E2A" w:rsidRPr="00E72391" w:rsidRDefault="00B30E2A" w:rsidP="00B30E2A">
            <w:pPr>
              <w:pStyle w:val="TableBody"/>
              <w:rPr>
                <w:b/>
                <w:bCs/>
              </w:rPr>
            </w:pPr>
            <w:r w:rsidRPr="00E72391">
              <w:rPr>
                <w:b/>
                <w:bCs/>
              </w:rPr>
              <w:t>Chairperson</w:t>
            </w:r>
          </w:p>
        </w:tc>
        <w:tc>
          <w:tcPr>
            <w:tcW w:w="1671" w:type="pct"/>
          </w:tcPr>
          <w:p w14:paraId="208855A4" w14:textId="77777777" w:rsidR="00B30E2A" w:rsidRPr="00D90C15" w:rsidRDefault="00B30E2A" w:rsidP="00B30E2A">
            <w:pPr>
              <w:pStyle w:val="TableBody"/>
            </w:pPr>
            <w:r w:rsidRPr="00D90C15">
              <w:t>Vacant</w:t>
            </w:r>
          </w:p>
        </w:tc>
        <w:tc>
          <w:tcPr>
            <w:tcW w:w="1772" w:type="pct"/>
          </w:tcPr>
          <w:p w14:paraId="294A4008" w14:textId="77777777" w:rsidR="00B30E2A" w:rsidRPr="00D90C15" w:rsidRDefault="00B30E2A" w:rsidP="00B30E2A">
            <w:pPr>
              <w:pStyle w:val="NoParagraphStyle"/>
              <w:spacing w:line="240" w:lineRule="auto"/>
              <w:textAlignment w:val="auto"/>
              <w:rPr>
                <w:rFonts w:cs="Times New Roman"/>
                <w:color w:val="auto"/>
                <w:lang w:val="en-AU"/>
              </w:rPr>
            </w:pPr>
          </w:p>
        </w:tc>
      </w:tr>
      <w:tr w:rsidR="00B30E2A" w:rsidRPr="00D90C15" w14:paraId="53C4FF7D" w14:textId="77777777" w:rsidTr="0046794E">
        <w:trPr>
          <w:trHeight w:val="60"/>
        </w:trPr>
        <w:tc>
          <w:tcPr>
            <w:tcW w:w="1557" w:type="pct"/>
          </w:tcPr>
          <w:p w14:paraId="0116B2E2" w14:textId="77777777" w:rsidR="00B30E2A" w:rsidRPr="00E72391" w:rsidRDefault="00B30E2A" w:rsidP="00B30E2A">
            <w:pPr>
              <w:pStyle w:val="TableBody"/>
              <w:rPr>
                <w:b/>
                <w:bCs/>
              </w:rPr>
            </w:pPr>
            <w:r w:rsidRPr="00E72391">
              <w:rPr>
                <w:b/>
                <w:bCs/>
              </w:rPr>
              <w:t>Other Board Members</w:t>
            </w:r>
          </w:p>
        </w:tc>
        <w:tc>
          <w:tcPr>
            <w:tcW w:w="1671" w:type="pct"/>
          </w:tcPr>
          <w:p w14:paraId="5ED934C2" w14:textId="77777777" w:rsidR="00B30E2A" w:rsidRPr="00D90C15" w:rsidRDefault="00B30E2A" w:rsidP="00B30E2A">
            <w:pPr>
              <w:pStyle w:val="TableBody"/>
            </w:pPr>
            <w:proofErr w:type="spellStart"/>
            <w:r w:rsidRPr="00D90C15">
              <w:t>Ms</w:t>
            </w:r>
            <w:proofErr w:type="spellEnd"/>
            <w:r w:rsidRPr="00D90C15">
              <w:t xml:space="preserve"> Kate Bundrock</w:t>
            </w:r>
          </w:p>
        </w:tc>
        <w:tc>
          <w:tcPr>
            <w:tcW w:w="1772" w:type="pct"/>
          </w:tcPr>
          <w:p w14:paraId="4DC9DA35" w14:textId="77777777" w:rsidR="00B30E2A" w:rsidRPr="00D90C15" w:rsidRDefault="00B30E2A" w:rsidP="00B30E2A">
            <w:pPr>
              <w:pStyle w:val="TableBody"/>
            </w:pPr>
            <w:r w:rsidRPr="00D90C15">
              <w:t>13 May 2025 to 30 June 2025</w:t>
            </w:r>
          </w:p>
        </w:tc>
      </w:tr>
      <w:tr w:rsidR="00B30E2A" w:rsidRPr="00D90C15" w14:paraId="0916831A" w14:textId="77777777" w:rsidTr="0046794E">
        <w:trPr>
          <w:trHeight w:val="60"/>
        </w:trPr>
        <w:tc>
          <w:tcPr>
            <w:tcW w:w="1557" w:type="pct"/>
          </w:tcPr>
          <w:p w14:paraId="478A4F41"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200F3939" w14:textId="77777777" w:rsidR="00B30E2A" w:rsidRPr="00D90C15" w:rsidRDefault="00B30E2A" w:rsidP="00B30E2A">
            <w:pPr>
              <w:pStyle w:val="TableBody"/>
            </w:pPr>
            <w:proofErr w:type="spellStart"/>
            <w:r w:rsidRPr="00D90C15">
              <w:t>Ms</w:t>
            </w:r>
            <w:proofErr w:type="spellEnd"/>
            <w:r w:rsidRPr="00D90C15">
              <w:t xml:space="preserve"> Fiona Dowsley</w:t>
            </w:r>
          </w:p>
        </w:tc>
        <w:tc>
          <w:tcPr>
            <w:tcW w:w="1772" w:type="pct"/>
          </w:tcPr>
          <w:p w14:paraId="0312F390" w14:textId="77777777" w:rsidR="00B30E2A" w:rsidRPr="00D90C15" w:rsidRDefault="00B30E2A" w:rsidP="00B30E2A">
            <w:pPr>
              <w:pStyle w:val="TableBody"/>
            </w:pPr>
            <w:r w:rsidRPr="00D90C15">
              <w:t>1 July 2024 to 30 June 2025</w:t>
            </w:r>
          </w:p>
        </w:tc>
      </w:tr>
      <w:tr w:rsidR="00B30E2A" w:rsidRPr="00D90C15" w14:paraId="7416054B" w14:textId="77777777" w:rsidTr="0046794E">
        <w:trPr>
          <w:trHeight w:val="60"/>
        </w:trPr>
        <w:tc>
          <w:tcPr>
            <w:tcW w:w="1557" w:type="pct"/>
          </w:tcPr>
          <w:p w14:paraId="3FB0413B"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67C35B86" w14:textId="77777777" w:rsidR="00B30E2A" w:rsidRPr="00D90C15" w:rsidRDefault="00B30E2A" w:rsidP="00B30E2A">
            <w:pPr>
              <w:pStyle w:val="TableBody"/>
            </w:pPr>
            <w:proofErr w:type="spellStart"/>
            <w:r w:rsidRPr="00D90C15">
              <w:t>Mr</w:t>
            </w:r>
            <w:proofErr w:type="spellEnd"/>
            <w:r w:rsidRPr="00D90C15">
              <w:t xml:space="preserve"> David Glynn</w:t>
            </w:r>
          </w:p>
        </w:tc>
        <w:tc>
          <w:tcPr>
            <w:tcW w:w="1772" w:type="pct"/>
          </w:tcPr>
          <w:p w14:paraId="4C9B1233" w14:textId="77777777" w:rsidR="00B30E2A" w:rsidRPr="00D90C15" w:rsidRDefault="00B30E2A" w:rsidP="00B30E2A">
            <w:pPr>
              <w:pStyle w:val="TableBody"/>
            </w:pPr>
            <w:r w:rsidRPr="00D90C15">
              <w:t>1 July 2024 to 30 June 2025</w:t>
            </w:r>
          </w:p>
        </w:tc>
      </w:tr>
      <w:tr w:rsidR="00B30E2A" w:rsidRPr="00D90C15" w14:paraId="2CF2E134" w14:textId="77777777" w:rsidTr="0046794E">
        <w:trPr>
          <w:trHeight w:val="60"/>
        </w:trPr>
        <w:tc>
          <w:tcPr>
            <w:tcW w:w="1557" w:type="pct"/>
          </w:tcPr>
          <w:p w14:paraId="0BD5F520"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2A298F3D" w14:textId="77777777" w:rsidR="00B30E2A" w:rsidRPr="00D90C15" w:rsidRDefault="00B30E2A" w:rsidP="00B30E2A">
            <w:pPr>
              <w:pStyle w:val="TableBody"/>
            </w:pPr>
            <w:proofErr w:type="spellStart"/>
            <w:r w:rsidRPr="00D90C15">
              <w:t>Ms</w:t>
            </w:r>
            <w:proofErr w:type="spellEnd"/>
            <w:r w:rsidRPr="00D90C15">
              <w:t xml:space="preserve"> Anoushka Jeronimus</w:t>
            </w:r>
          </w:p>
        </w:tc>
        <w:tc>
          <w:tcPr>
            <w:tcW w:w="1772" w:type="pct"/>
          </w:tcPr>
          <w:p w14:paraId="1768DCFF" w14:textId="77777777" w:rsidR="00B30E2A" w:rsidRPr="00D90C15" w:rsidRDefault="00B30E2A" w:rsidP="00B30E2A">
            <w:pPr>
              <w:pStyle w:val="TableBody"/>
            </w:pPr>
            <w:r w:rsidRPr="00D90C15">
              <w:t>1 July 2024 to 30 June 2025</w:t>
            </w:r>
          </w:p>
        </w:tc>
      </w:tr>
      <w:tr w:rsidR="00B30E2A" w:rsidRPr="00D90C15" w14:paraId="65DA29EE" w14:textId="77777777" w:rsidTr="0046794E">
        <w:trPr>
          <w:trHeight w:val="60"/>
        </w:trPr>
        <w:tc>
          <w:tcPr>
            <w:tcW w:w="1557" w:type="pct"/>
          </w:tcPr>
          <w:p w14:paraId="7CB65510"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79EA4A75" w14:textId="77777777" w:rsidR="00B30E2A" w:rsidRPr="00D90C15" w:rsidRDefault="00B30E2A" w:rsidP="00B30E2A">
            <w:pPr>
              <w:pStyle w:val="TableBody"/>
            </w:pPr>
            <w:proofErr w:type="spellStart"/>
            <w:r w:rsidRPr="00D90C15">
              <w:t>Ms</w:t>
            </w:r>
            <w:proofErr w:type="spellEnd"/>
            <w:r w:rsidRPr="00D90C15">
              <w:t xml:space="preserve"> Jana </w:t>
            </w:r>
            <w:proofErr w:type="spellStart"/>
            <w:r w:rsidRPr="00D90C15">
              <w:t>Katerinskaja</w:t>
            </w:r>
            <w:proofErr w:type="spellEnd"/>
          </w:p>
        </w:tc>
        <w:tc>
          <w:tcPr>
            <w:tcW w:w="1772" w:type="pct"/>
          </w:tcPr>
          <w:p w14:paraId="2C377041" w14:textId="77777777" w:rsidR="00B30E2A" w:rsidRPr="00D90C15" w:rsidRDefault="00B30E2A" w:rsidP="00B30E2A">
            <w:pPr>
              <w:pStyle w:val="TableBody"/>
            </w:pPr>
            <w:r w:rsidRPr="00D90C15">
              <w:t>1 July 2024 to 30 June 2025</w:t>
            </w:r>
          </w:p>
        </w:tc>
      </w:tr>
      <w:tr w:rsidR="00B30E2A" w:rsidRPr="00D90C15" w14:paraId="6F3FB8E3" w14:textId="77777777" w:rsidTr="0046794E">
        <w:trPr>
          <w:trHeight w:val="60"/>
        </w:trPr>
        <w:tc>
          <w:tcPr>
            <w:tcW w:w="1557" w:type="pct"/>
          </w:tcPr>
          <w:p w14:paraId="7D8771C3"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50245208" w14:textId="77777777" w:rsidR="00B30E2A" w:rsidRPr="00D90C15" w:rsidRDefault="00B30E2A" w:rsidP="00B30E2A">
            <w:pPr>
              <w:pStyle w:val="TableBody"/>
            </w:pPr>
            <w:r w:rsidRPr="00D90C15">
              <w:t>Professor Marilyn McMahon</w:t>
            </w:r>
          </w:p>
        </w:tc>
        <w:tc>
          <w:tcPr>
            <w:tcW w:w="1772" w:type="pct"/>
          </w:tcPr>
          <w:p w14:paraId="1C6BD10E" w14:textId="77777777" w:rsidR="00B30E2A" w:rsidRPr="00D90C15" w:rsidRDefault="00B30E2A" w:rsidP="00B30E2A">
            <w:pPr>
              <w:pStyle w:val="TableBody"/>
            </w:pPr>
            <w:r w:rsidRPr="00D90C15">
              <w:t>1 July 2024 to 30 June 2025</w:t>
            </w:r>
          </w:p>
        </w:tc>
      </w:tr>
      <w:tr w:rsidR="00B30E2A" w:rsidRPr="00D90C15" w14:paraId="43A574B3" w14:textId="77777777" w:rsidTr="0046794E">
        <w:trPr>
          <w:trHeight w:val="60"/>
        </w:trPr>
        <w:tc>
          <w:tcPr>
            <w:tcW w:w="1557" w:type="pct"/>
          </w:tcPr>
          <w:p w14:paraId="7AA4BC25"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1CD2D5FF" w14:textId="77777777" w:rsidR="00B30E2A" w:rsidRPr="00D90C15" w:rsidRDefault="00B30E2A" w:rsidP="00B30E2A">
            <w:pPr>
              <w:pStyle w:val="TableBody"/>
            </w:pPr>
            <w:proofErr w:type="spellStart"/>
            <w:r w:rsidRPr="00D90C15">
              <w:t>Ms</w:t>
            </w:r>
            <w:proofErr w:type="spellEnd"/>
            <w:r w:rsidRPr="00D90C15">
              <w:t xml:space="preserve"> Anne O'Brien</w:t>
            </w:r>
          </w:p>
        </w:tc>
        <w:tc>
          <w:tcPr>
            <w:tcW w:w="1772" w:type="pct"/>
          </w:tcPr>
          <w:p w14:paraId="5F686988" w14:textId="77777777" w:rsidR="00B30E2A" w:rsidRPr="00D90C15" w:rsidRDefault="00B30E2A" w:rsidP="00B30E2A">
            <w:pPr>
              <w:pStyle w:val="TableBody"/>
            </w:pPr>
            <w:r w:rsidRPr="00D90C15">
              <w:t>1 July 2024 to 30 June 2025</w:t>
            </w:r>
          </w:p>
        </w:tc>
      </w:tr>
      <w:tr w:rsidR="00B30E2A" w:rsidRPr="00D90C15" w14:paraId="04F6E6DF" w14:textId="77777777" w:rsidTr="0046794E">
        <w:trPr>
          <w:trHeight w:val="60"/>
        </w:trPr>
        <w:tc>
          <w:tcPr>
            <w:tcW w:w="1557" w:type="pct"/>
          </w:tcPr>
          <w:p w14:paraId="3D7ADF41"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2DD38D7E" w14:textId="77777777" w:rsidR="00B30E2A" w:rsidRPr="00D90C15" w:rsidRDefault="00B30E2A" w:rsidP="00B30E2A">
            <w:pPr>
              <w:pStyle w:val="TableBody"/>
            </w:pPr>
            <w:proofErr w:type="spellStart"/>
            <w:r w:rsidRPr="00D90C15">
              <w:t>Mr</w:t>
            </w:r>
            <w:proofErr w:type="spellEnd"/>
            <w:r w:rsidRPr="00D90C15">
              <w:t xml:space="preserve"> Paul Smallwood</w:t>
            </w:r>
          </w:p>
        </w:tc>
        <w:tc>
          <w:tcPr>
            <w:tcW w:w="1772" w:type="pct"/>
          </w:tcPr>
          <w:p w14:paraId="27E7DC30" w14:textId="77777777" w:rsidR="00B30E2A" w:rsidRPr="00D90C15" w:rsidRDefault="00B30E2A" w:rsidP="00B30E2A">
            <w:pPr>
              <w:pStyle w:val="TableBody"/>
            </w:pPr>
            <w:r w:rsidRPr="00D90C15">
              <w:t>1 July 2024 to 30 June 2025</w:t>
            </w:r>
          </w:p>
        </w:tc>
      </w:tr>
      <w:tr w:rsidR="00B30E2A" w:rsidRPr="00D90C15" w14:paraId="143982DB" w14:textId="77777777" w:rsidTr="0046794E">
        <w:trPr>
          <w:trHeight w:val="60"/>
        </w:trPr>
        <w:tc>
          <w:tcPr>
            <w:tcW w:w="1557" w:type="pct"/>
          </w:tcPr>
          <w:p w14:paraId="0F03ACCA"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1B088891" w14:textId="77777777" w:rsidR="00B30E2A" w:rsidRPr="00D90C15" w:rsidRDefault="00B30E2A" w:rsidP="00B30E2A">
            <w:pPr>
              <w:pStyle w:val="TableBody"/>
            </w:pPr>
            <w:proofErr w:type="spellStart"/>
            <w:r w:rsidRPr="00D90C15">
              <w:t>Ms</w:t>
            </w:r>
            <w:proofErr w:type="spellEnd"/>
            <w:r w:rsidRPr="00D90C15">
              <w:t xml:space="preserve"> Wendy Steendam</w:t>
            </w:r>
          </w:p>
        </w:tc>
        <w:tc>
          <w:tcPr>
            <w:tcW w:w="1772" w:type="pct"/>
          </w:tcPr>
          <w:p w14:paraId="316BEB95" w14:textId="77777777" w:rsidR="00B30E2A" w:rsidRPr="00D90C15" w:rsidRDefault="00B30E2A" w:rsidP="00B30E2A">
            <w:pPr>
              <w:pStyle w:val="TableBody"/>
            </w:pPr>
            <w:r w:rsidRPr="00D90C15">
              <w:t>1 July 2024 to 30 June 2025</w:t>
            </w:r>
          </w:p>
        </w:tc>
      </w:tr>
      <w:tr w:rsidR="00B30E2A" w:rsidRPr="00D90C15" w14:paraId="273C5A18" w14:textId="77777777" w:rsidTr="0046794E">
        <w:trPr>
          <w:trHeight w:val="60"/>
        </w:trPr>
        <w:tc>
          <w:tcPr>
            <w:tcW w:w="1557" w:type="pct"/>
          </w:tcPr>
          <w:p w14:paraId="7D5DC939"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11FD7C5B" w14:textId="77777777" w:rsidR="00B30E2A" w:rsidRPr="00D90C15" w:rsidRDefault="00B30E2A" w:rsidP="00B30E2A">
            <w:pPr>
              <w:pStyle w:val="TableBody"/>
            </w:pPr>
            <w:r w:rsidRPr="00D90C15">
              <w:t>Dr Danny Sullivan</w:t>
            </w:r>
          </w:p>
        </w:tc>
        <w:tc>
          <w:tcPr>
            <w:tcW w:w="1772" w:type="pct"/>
          </w:tcPr>
          <w:p w14:paraId="44987138" w14:textId="77777777" w:rsidR="00B30E2A" w:rsidRPr="00D90C15" w:rsidRDefault="00B30E2A" w:rsidP="00B30E2A">
            <w:pPr>
              <w:pStyle w:val="TableBody"/>
            </w:pPr>
            <w:r w:rsidRPr="00D90C15">
              <w:t>1 July 2024 to 30 June 2025</w:t>
            </w:r>
          </w:p>
        </w:tc>
      </w:tr>
      <w:tr w:rsidR="00B30E2A" w:rsidRPr="00D90C15" w14:paraId="7735037F" w14:textId="77777777" w:rsidTr="0046794E">
        <w:trPr>
          <w:trHeight w:val="60"/>
        </w:trPr>
        <w:tc>
          <w:tcPr>
            <w:tcW w:w="1557" w:type="pct"/>
          </w:tcPr>
          <w:p w14:paraId="51592202"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637A9804" w14:textId="77777777" w:rsidR="00B30E2A" w:rsidRPr="00D90C15" w:rsidRDefault="00B30E2A" w:rsidP="00B30E2A">
            <w:pPr>
              <w:pStyle w:val="TableBody"/>
            </w:pPr>
            <w:proofErr w:type="spellStart"/>
            <w:r w:rsidRPr="00D90C15">
              <w:t>Mr</w:t>
            </w:r>
            <w:proofErr w:type="spellEnd"/>
            <w:r w:rsidRPr="00D90C15">
              <w:t xml:space="preserve"> Nathan Watt</w:t>
            </w:r>
          </w:p>
        </w:tc>
        <w:tc>
          <w:tcPr>
            <w:tcW w:w="1772" w:type="pct"/>
          </w:tcPr>
          <w:p w14:paraId="7126C3DE" w14:textId="77777777" w:rsidR="00B30E2A" w:rsidRPr="00D90C15" w:rsidRDefault="00B30E2A" w:rsidP="00B30E2A">
            <w:pPr>
              <w:pStyle w:val="TableBody"/>
            </w:pPr>
            <w:r w:rsidRPr="00D90C15">
              <w:t>1 July 2024 to 30 June 2025</w:t>
            </w:r>
          </w:p>
        </w:tc>
      </w:tr>
      <w:tr w:rsidR="00B30E2A" w:rsidRPr="00D90C15" w14:paraId="33D2610C" w14:textId="77777777" w:rsidTr="0046794E">
        <w:trPr>
          <w:trHeight w:val="60"/>
        </w:trPr>
        <w:tc>
          <w:tcPr>
            <w:tcW w:w="1557" w:type="pct"/>
          </w:tcPr>
          <w:p w14:paraId="47D4160C" w14:textId="77777777" w:rsidR="00B30E2A" w:rsidRPr="00D90C15" w:rsidRDefault="00B30E2A" w:rsidP="00B30E2A">
            <w:pPr>
              <w:pStyle w:val="NoParagraphStyle"/>
              <w:spacing w:line="240" w:lineRule="auto"/>
              <w:textAlignment w:val="auto"/>
              <w:rPr>
                <w:rFonts w:cs="Times New Roman"/>
                <w:color w:val="auto"/>
                <w:lang w:val="en-AU"/>
              </w:rPr>
            </w:pPr>
          </w:p>
        </w:tc>
        <w:tc>
          <w:tcPr>
            <w:tcW w:w="1671" w:type="pct"/>
          </w:tcPr>
          <w:p w14:paraId="2E5EAE64" w14:textId="77777777" w:rsidR="00B30E2A" w:rsidRPr="00D90C15" w:rsidRDefault="00B30E2A" w:rsidP="00B30E2A">
            <w:pPr>
              <w:pStyle w:val="TableBody"/>
            </w:pPr>
            <w:proofErr w:type="spellStart"/>
            <w:r w:rsidRPr="00D90C15">
              <w:t>Mr</w:t>
            </w:r>
            <w:proofErr w:type="spellEnd"/>
            <w:r w:rsidRPr="00D90C15">
              <w:t xml:space="preserve"> Stan Winford</w:t>
            </w:r>
          </w:p>
        </w:tc>
        <w:tc>
          <w:tcPr>
            <w:tcW w:w="1772" w:type="pct"/>
          </w:tcPr>
          <w:p w14:paraId="0154F89D" w14:textId="77777777" w:rsidR="00B30E2A" w:rsidRPr="00D90C15" w:rsidRDefault="00B30E2A" w:rsidP="00B30E2A">
            <w:pPr>
              <w:pStyle w:val="TableBody"/>
            </w:pPr>
            <w:r w:rsidRPr="00D90C15">
              <w:t>1 July 2024 to 30 June 2025</w:t>
            </w:r>
          </w:p>
        </w:tc>
      </w:tr>
    </w:tbl>
    <w:p w14:paraId="28E1E42D" w14:textId="77777777" w:rsidR="005A008B" w:rsidRPr="00D90C15" w:rsidRDefault="005A008B" w:rsidP="00E82D64">
      <w:pPr>
        <w:pStyle w:val="TableBody"/>
      </w:pPr>
    </w:p>
    <w:p w14:paraId="7CFB5704" w14:textId="77777777" w:rsidR="005A008B" w:rsidRPr="00D90C15" w:rsidRDefault="005A008B" w:rsidP="002822AC">
      <w:pPr>
        <w:pStyle w:val="Heading4"/>
      </w:pPr>
      <w:r w:rsidRPr="00D90C15">
        <w:t>8.2.1 Remuneration of Responsible Persons</w:t>
      </w:r>
    </w:p>
    <w:p w14:paraId="514633A5" w14:textId="77777777" w:rsidR="005A008B" w:rsidRPr="00D90C15" w:rsidRDefault="005A008B" w:rsidP="00234617">
      <w:r w:rsidRPr="00D90C15">
        <w:t xml:space="preserve">Total remuneration during the reporting period for statutory office holders and accountable officers amounted to $269,106 (2023–24: $251,128). </w:t>
      </w:r>
    </w:p>
    <w:p w14:paraId="0D38147D" w14:textId="77777777" w:rsidR="005A008B" w:rsidRPr="00D90C15" w:rsidRDefault="005A008B" w:rsidP="00234617">
      <w:r w:rsidRPr="00D90C15">
        <w:t xml:space="preserve">Remuneration received or receivable by the Accountable Officer in connection with the management of the Council during the reporting period was in the range $240,000 – $249,999. </w:t>
      </w:r>
    </w:p>
    <w:p w14:paraId="3B76C731" w14:textId="77777777" w:rsidR="005A008B" w:rsidRPr="00D90C15" w:rsidRDefault="005A008B" w:rsidP="002822AC">
      <w:pPr>
        <w:pStyle w:val="Heading3"/>
      </w:pPr>
      <w:bookmarkStart w:id="130" w:name="_Toc221113896"/>
      <w:r w:rsidRPr="00D90C15">
        <w:t>8.3 Remuneration of Executives</w:t>
      </w:r>
      <w:bookmarkEnd w:id="130"/>
    </w:p>
    <w:p w14:paraId="56C47D17" w14:textId="77777777" w:rsidR="005A008B" w:rsidRPr="00D90C15" w:rsidRDefault="005A008B" w:rsidP="00234617">
      <w:r w:rsidRPr="00D90C15">
        <w:t>There were no executive officers, other than the accountable officer (2023–24: nil).</w:t>
      </w:r>
    </w:p>
    <w:p w14:paraId="4AFFB079" w14:textId="77777777" w:rsidR="005A008B" w:rsidRPr="00D90C15" w:rsidRDefault="005A008B" w:rsidP="002822AC">
      <w:pPr>
        <w:pStyle w:val="Heading3"/>
      </w:pPr>
      <w:bookmarkStart w:id="131" w:name="_Toc221113897"/>
      <w:r w:rsidRPr="00D90C15">
        <w:t>8.4 Related Parties</w:t>
      </w:r>
      <w:bookmarkEnd w:id="131"/>
      <w:r w:rsidRPr="00D90C15">
        <w:t xml:space="preserve"> </w:t>
      </w:r>
    </w:p>
    <w:p w14:paraId="4E21F8FC" w14:textId="77777777" w:rsidR="005A008B" w:rsidRPr="00D90C15" w:rsidRDefault="005A008B" w:rsidP="00234617">
      <w:r w:rsidRPr="00D90C15">
        <w:t xml:space="preserve">The Council is an independent government-funded body established under Part 9A of the </w:t>
      </w:r>
      <w:r w:rsidRPr="004A331A">
        <w:rPr>
          <w:i/>
          <w:iCs/>
        </w:rPr>
        <w:t>Sentencing Act 1991</w:t>
      </w:r>
      <w:r w:rsidRPr="00D90C15">
        <w:t xml:space="preserve">. It is a wholly owned and controlled entity of the State of Victoria. </w:t>
      </w:r>
    </w:p>
    <w:p w14:paraId="0859AC06" w14:textId="77777777" w:rsidR="005A008B" w:rsidRPr="00D90C15" w:rsidRDefault="005A008B" w:rsidP="006512A5">
      <w:r w:rsidRPr="00D90C15">
        <w:lastRenderedPageBreak/>
        <w:t>Related parties of the Council include:</w:t>
      </w:r>
    </w:p>
    <w:p w14:paraId="732918CD" w14:textId="77777777" w:rsidR="005A008B" w:rsidRPr="00D90C15" w:rsidRDefault="005A008B" w:rsidP="00926C26">
      <w:pPr>
        <w:pStyle w:val="Bullets"/>
      </w:pPr>
      <w:r w:rsidRPr="00D90C15">
        <w:t>all key management personnel and their close family members and personal business interests (controlled entities, joint ventures and entities that they have significant influence over)</w:t>
      </w:r>
    </w:p>
    <w:p w14:paraId="0AA95A46" w14:textId="77777777" w:rsidR="005A008B" w:rsidRPr="00D90C15" w:rsidRDefault="005A008B" w:rsidP="00926C26">
      <w:pPr>
        <w:pStyle w:val="Bullets"/>
      </w:pPr>
      <w:r w:rsidRPr="00D90C15">
        <w:t>all cabinet ministers and their close family members and</w:t>
      </w:r>
    </w:p>
    <w:p w14:paraId="1DF8F531" w14:textId="77777777" w:rsidR="005A008B" w:rsidRPr="00D90C15" w:rsidRDefault="005A008B" w:rsidP="00926C26">
      <w:pPr>
        <w:pStyle w:val="Bullets"/>
      </w:pPr>
      <w:r w:rsidRPr="00D90C15">
        <w:t>all departments and public sector entities that are controlled and consolidated into the whole of state consolidated financial statements.</w:t>
      </w:r>
    </w:p>
    <w:p w14:paraId="72E31065" w14:textId="77777777" w:rsidR="005A008B" w:rsidRPr="00D90C15" w:rsidRDefault="005A008B" w:rsidP="006512A5">
      <w:r w:rsidRPr="00D90C15">
        <w:t>All related party transactions have been entered into on an arm’s length basis.</w:t>
      </w:r>
    </w:p>
    <w:p w14:paraId="0BF8EA5B" w14:textId="77777777" w:rsidR="005A008B" w:rsidRPr="00D90C15" w:rsidRDefault="005A008B" w:rsidP="002822AC">
      <w:pPr>
        <w:pStyle w:val="Heading4"/>
      </w:pPr>
      <w:r w:rsidRPr="00D90C15">
        <w:t xml:space="preserve">Significant Transactions with Government-Related Entities </w:t>
      </w:r>
    </w:p>
    <w:p w14:paraId="67435BAE" w14:textId="77777777" w:rsidR="005A008B" w:rsidRPr="00D90C15" w:rsidRDefault="005A008B" w:rsidP="00234617">
      <w:r w:rsidRPr="00D90C15">
        <w:t>The Council received funding of $1.65 million (2024: $1.58 million) from the Department of Justice and Community Safety. Payments of $198,998 (2024: $165,733) were made to the Victorian Law Reform Commission for accommodation and outgoings for the right-of-use lease.</w:t>
      </w:r>
    </w:p>
    <w:p w14:paraId="1E210C03" w14:textId="77777777" w:rsidR="005A008B" w:rsidRPr="00D90C15" w:rsidRDefault="005A008B" w:rsidP="00234617">
      <w:r w:rsidRPr="00D90C15">
        <w:t xml:space="preserve">Other payments made to Victorian Government related entities amounted to $158,494 (2024: $106,708). </w:t>
      </w:r>
    </w:p>
    <w:p w14:paraId="74D694D8" w14:textId="77777777" w:rsidR="005A008B" w:rsidRPr="00D90C15" w:rsidRDefault="005A008B" w:rsidP="00234617">
      <w:r w:rsidRPr="00D90C15">
        <w:t>Amounts recognised as a receivable from the Department of Justice and Community Safety represent funding for all commitments incurred and are drawn from the Consolidated Fund as the commitments fall due; this balance is $817,357 (2024: $785,301), refer to Note 5.1.</w:t>
      </w:r>
    </w:p>
    <w:p w14:paraId="671926CA" w14:textId="77777777" w:rsidR="005A008B" w:rsidRPr="00D90C15" w:rsidRDefault="005A008B" w:rsidP="006512A5">
      <w:r w:rsidRPr="006512A5">
        <w:rPr>
          <w:rStyle w:val="Bold"/>
        </w:rPr>
        <w:t>Key management personnel</w:t>
      </w:r>
      <w:r w:rsidRPr="00D90C15">
        <w:t xml:space="preserve"> of the Council include the </w:t>
      </w:r>
      <w:proofErr w:type="gramStart"/>
      <w:r w:rsidRPr="00D90C15">
        <w:t>Portfolio Minister</w:t>
      </w:r>
      <w:proofErr w:type="gramEnd"/>
      <w:r w:rsidRPr="00D90C15">
        <w:t xml:space="preserve">, the Hon. Jaclyn Symes, MP, the Chairperson, Board Members, and the Chief Executive Officer, which include: </w:t>
      </w:r>
    </w:p>
    <w:tbl>
      <w:tblPr>
        <w:tblStyle w:val="Table"/>
        <w:tblW w:w="5000" w:type="pct"/>
        <w:tblLook w:val="0020" w:firstRow="1" w:lastRow="0" w:firstColumn="0" w:lastColumn="0" w:noHBand="0" w:noVBand="0"/>
      </w:tblPr>
      <w:tblGrid>
        <w:gridCol w:w="3578"/>
        <w:gridCol w:w="5438"/>
      </w:tblGrid>
      <w:tr w:rsidR="005A008B" w:rsidRPr="00D90C15" w14:paraId="327757E5" w14:textId="77777777" w:rsidTr="0046794E">
        <w:trPr>
          <w:trHeight w:val="60"/>
          <w:tblHeader/>
        </w:trPr>
        <w:tc>
          <w:tcPr>
            <w:tcW w:w="1984" w:type="pct"/>
          </w:tcPr>
          <w:p w14:paraId="4AF20B31" w14:textId="77777777" w:rsidR="005A008B" w:rsidRPr="00D90C15" w:rsidRDefault="005A008B" w:rsidP="00CA36E9">
            <w:pPr>
              <w:pStyle w:val="TableHeading"/>
            </w:pPr>
            <w:r w:rsidRPr="00D90C15">
              <w:t>Position title</w:t>
            </w:r>
          </w:p>
        </w:tc>
        <w:tc>
          <w:tcPr>
            <w:tcW w:w="3016" w:type="pct"/>
          </w:tcPr>
          <w:p w14:paraId="42A441A6" w14:textId="77777777" w:rsidR="005A008B" w:rsidRPr="00D90C15" w:rsidRDefault="005A008B" w:rsidP="00CA36E9">
            <w:pPr>
              <w:pStyle w:val="TableHeading"/>
            </w:pPr>
            <w:r w:rsidRPr="00D90C15">
              <w:t>Key management personnel</w:t>
            </w:r>
          </w:p>
        </w:tc>
      </w:tr>
      <w:tr w:rsidR="005A008B" w:rsidRPr="00D90C15" w14:paraId="3F10F95A" w14:textId="77777777" w:rsidTr="0046794E">
        <w:trPr>
          <w:trHeight w:val="60"/>
        </w:trPr>
        <w:tc>
          <w:tcPr>
            <w:tcW w:w="1984" w:type="pct"/>
          </w:tcPr>
          <w:p w14:paraId="2773B6D2" w14:textId="77777777" w:rsidR="005A008B" w:rsidRPr="00E72391" w:rsidRDefault="005A008B" w:rsidP="00E72391">
            <w:pPr>
              <w:pStyle w:val="TableBody"/>
              <w:rPr>
                <w:b/>
                <w:bCs/>
              </w:rPr>
            </w:pPr>
            <w:r w:rsidRPr="00E72391">
              <w:rPr>
                <w:b/>
                <w:bCs/>
              </w:rPr>
              <w:t>Chief Executive Officer</w:t>
            </w:r>
          </w:p>
        </w:tc>
        <w:tc>
          <w:tcPr>
            <w:tcW w:w="3016" w:type="pct"/>
          </w:tcPr>
          <w:p w14:paraId="1D396CD5" w14:textId="77777777" w:rsidR="005A008B" w:rsidRPr="00D90C15" w:rsidRDefault="005A008B" w:rsidP="00E82D64">
            <w:pPr>
              <w:pStyle w:val="TableBody"/>
            </w:pPr>
            <w:proofErr w:type="spellStart"/>
            <w:r w:rsidRPr="00D90C15">
              <w:t>Mr</w:t>
            </w:r>
            <w:proofErr w:type="spellEnd"/>
            <w:r w:rsidRPr="00D90C15">
              <w:t xml:space="preserve"> Paul McGorrery</w:t>
            </w:r>
          </w:p>
        </w:tc>
      </w:tr>
      <w:tr w:rsidR="005A008B" w:rsidRPr="00D90C15" w14:paraId="21511C68" w14:textId="77777777" w:rsidTr="0046794E">
        <w:trPr>
          <w:trHeight w:val="60"/>
        </w:trPr>
        <w:tc>
          <w:tcPr>
            <w:tcW w:w="1984" w:type="pct"/>
          </w:tcPr>
          <w:p w14:paraId="093AC099" w14:textId="77777777" w:rsidR="005A008B" w:rsidRPr="00E72391" w:rsidRDefault="005A008B" w:rsidP="00E72391">
            <w:pPr>
              <w:pStyle w:val="TableBody"/>
              <w:rPr>
                <w:b/>
                <w:bCs/>
              </w:rPr>
            </w:pPr>
            <w:r w:rsidRPr="00E72391">
              <w:rPr>
                <w:b/>
                <w:bCs/>
              </w:rPr>
              <w:t>Chairperson</w:t>
            </w:r>
          </w:p>
        </w:tc>
        <w:tc>
          <w:tcPr>
            <w:tcW w:w="3016" w:type="pct"/>
          </w:tcPr>
          <w:p w14:paraId="2DFB6B53" w14:textId="77777777" w:rsidR="005A008B" w:rsidRPr="00D90C15" w:rsidRDefault="005A008B" w:rsidP="00E82D64">
            <w:pPr>
              <w:pStyle w:val="TableBody"/>
            </w:pPr>
            <w:r w:rsidRPr="00D90C15">
              <w:t>Vacant</w:t>
            </w:r>
          </w:p>
        </w:tc>
      </w:tr>
      <w:tr w:rsidR="005A008B" w:rsidRPr="00D90C15" w14:paraId="6C0ED67E" w14:textId="77777777" w:rsidTr="0046794E">
        <w:trPr>
          <w:trHeight w:val="60"/>
        </w:trPr>
        <w:tc>
          <w:tcPr>
            <w:tcW w:w="1984" w:type="pct"/>
          </w:tcPr>
          <w:p w14:paraId="3FBB7FAC" w14:textId="77777777" w:rsidR="005A008B" w:rsidRPr="00E72391" w:rsidRDefault="005A008B" w:rsidP="00E72391">
            <w:pPr>
              <w:pStyle w:val="TableBody"/>
              <w:rPr>
                <w:b/>
                <w:bCs/>
              </w:rPr>
            </w:pPr>
            <w:r w:rsidRPr="00E72391">
              <w:rPr>
                <w:b/>
                <w:bCs/>
              </w:rPr>
              <w:t>Other Board Members</w:t>
            </w:r>
          </w:p>
        </w:tc>
        <w:tc>
          <w:tcPr>
            <w:tcW w:w="3016" w:type="pct"/>
          </w:tcPr>
          <w:p w14:paraId="171DC4AD" w14:textId="77777777" w:rsidR="005A008B" w:rsidRPr="00D90C15" w:rsidRDefault="005A008B" w:rsidP="00E82D64">
            <w:pPr>
              <w:pStyle w:val="TableBody"/>
            </w:pPr>
            <w:proofErr w:type="spellStart"/>
            <w:r w:rsidRPr="00D90C15">
              <w:t>Ms</w:t>
            </w:r>
            <w:proofErr w:type="spellEnd"/>
            <w:r w:rsidRPr="00D90C15">
              <w:t xml:space="preserve"> Kate Bundrock</w:t>
            </w:r>
          </w:p>
        </w:tc>
      </w:tr>
      <w:tr w:rsidR="005A008B" w:rsidRPr="00D90C15" w14:paraId="4C692EF9" w14:textId="77777777" w:rsidTr="0046794E">
        <w:trPr>
          <w:trHeight w:val="60"/>
        </w:trPr>
        <w:tc>
          <w:tcPr>
            <w:tcW w:w="1984" w:type="pct"/>
          </w:tcPr>
          <w:p w14:paraId="1047A214"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272187F3" w14:textId="77777777" w:rsidR="005A008B" w:rsidRPr="00D90C15" w:rsidRDefault="005A008B" w:rsidP="00E82D64">
            <w:pPr>
              <w:pStyle w:val="TableBody"/>
            </w:pPr>
            <w:proofErr w:type="spellStart"/>
            <w:r w:rsidRPr="00D90C15">
              <w:t>Ms</w:t>
            </w:r>
            <w:proofErr w:type="spellEnd"/>
            <w:r w:rsidRPr="00D90C15">
              <w:t xml:space="preserve"> Fiona Dowsley</w:t>
            </w:r>
          </w:p>
        </w:tc>
      </w:tr>
      <w:tr w:rsidR="005A008B" w:rsidRPr="00D90C15" w14:paraId="30E2D033" w14:textId="77777777" w:rsidTr="0046794E">
        <w:trPr>
          <w:trHeight w:val="60"/>
        </w:trPr>
        <w:tc>
          <w:tcPr>
            <w:tcW w:w="1984" w:type="pct"/>
          </w:tcPr>
          <w:p w14:paraId="7A3BDB0C"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654F5E55" w14:textId="77777777" w:rsidR="005A008B" w:rsidRPr="00D90C15" w:rsidRDefault="005A008B" w:rsidP="00E82D64">
            <w:pPr>
              <w:pStyle w:val="TableBody"/>
            </w:pPr>
            <w:proofErr w:type="spellStart"/>
            <w:r w:rsidRPr="00D90C15">
              <w:t>Mr</w:t>
            </w:r>
            <w:proofErr w:type="spellEnd"/>
            <w:r w:rsidRPr="00D90C15">
              <w:t xml:space="preserve"> David Glynn</w:t>
            </w:r>
          </w:p>
        </w:tc>
      </w:tr>
      <w:tr w:rsidR="005A008B" w:rsidRPr="00D90C15" w14:paraId="73341FE9" w14:textId="77777777" w:rsidTr="0046794E">
        <w:trPr>
          <w:trHeight w:val="60"/>
        </w:trPr>
        <w:tc>
          <w:tcPr>
            <w:tcW w:w="1984" w:type="pct"/>
          </w:tcPr>
          <w:p w14:paraId="085A0EE5"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01FA1CEB" w14:textId="77777777" w:rsidR="005A008B" w:rsidRPr="00D90C15" w:rsidRDefault="005A008B" w:rsidP="00E82D64">
            <w:pPr>
              <w:pStyle w:val="TableBody"/>
            </w:pPr>
            <w:proofErr w:type="spellStart"/>
            <w:r w:rsidRPr="00D90C15">
              <w:t>Ms</w:t>
            </w:r>
            <w:proofErr w:type="spellEnd"/>
            <w:r w:rsidRPr="00D90C15">
              <w:t xml:space="preserve"> Anoushka Jeronimus</w:t>
            </w:r>
          </w:p>
        </w:tc>
      </w:tr>
      <w:tr w:rsidR="005A008B" w:rsidRPr="00D90C15" w14:paraId="5B6A96AB" w14:textId="77777777" w:rsidTr="0046794E">
        <w:trPr>
          <w:trHeight w:val="60"/>
        </w:trPr>
        <w:tc>
          <w:tcPr>
            <w:tcW w:w="1984" w:type="pct"/>
          </w:tcPr>
          <w:p w14:paraId="31B924DC"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26C7D607" w14:textId="77777777" w:rsidR="005A008B" w:rsidRPr="00D90C15" w:rsidRDefault="005A008B" w:rsidP="00E82D64">
            <w:pPr>
              <w:pStyle w:val="TableBody"/>
            </w:pPr>
            <w:proofErr w:type="spellStart"/>
            <w:r w:rsidRPr="00D90C15">
              <w:t>Ms</w:t>
            </w:r>
            <w:proofErr w:type="spellEnd"/>
            <w:r w:rsidRPr="00D90C15">
              <w:t xml:space="preserve"> Jana </w:t>
            </w:r>
            <w:proofErr w:type="spellStart"/>
            <w:r w:rsidRPr="00D90C15">
              <w:t>Katerinskaja</w:t>
            </w:r>
            <w:proofErr w:type="spellEnd"/>
          </w:p>
        </w:tc>
      </w:tr>
      <w:tr w:rsidR="005A008B" w:rsidRPr="00D90C15" w14:paraId="28E7AC69" w14:textId="77777777" w:rsidTr="0046794E">
        <w:trPr>
          <w:trHeight w:val="60"/>
        </w:trPr>
        <w:tc>
          <w:tcPr>
            <w:tcW w:w="1984" w:type="pct"/>
          </w:tcPr>
          <w:p w14:paraId="23230CF1"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12B445D5" w14:textId="77777777" w:rsidR="005A008B" w:rsidRPr="00D90C15" w:rsidRDefault="005A008B" w:rsidP="00E82D64">
            <w:pPr>
              <w:pStyle w:val="TableBody"/>
            </w:pPr>
            <w:r w:rsidRPr="00D90C15">
              <w:t>Professor Marilyn McMahon</w:t>
            </w:r>
          </w:p>
        </w:tc>
      </w:tr>
      <w:tr w:rsidR="005A008B" w:rsidRPr="00D90C15" w14:paraId="41E1598D" w14:textId="77777777" w:rsidTr="0046794E">
        <w:trPr>
          <w:trHeight w:val="60"/>
        </w:trPr>
        <w:tc>
          <w:tcPr>
            <w:tcW w:w="1984" w:type="pct"/>
          </w:tcPr>
          <w:p w14:paraId="5ACDFC2E"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2B5047DB" w14:textId="77777777" w:rsidR="005A008B" w:rsidRPr="00D90C15" w:rsidRDefault="005A008B" w:rsidP="00E82D64">
            <w:pPr>
              <w:pStyle w:val="TableBody"/>
            </w:pPr>
            <w:proofErr w:type="spellStart"/>
            <w:r w:rsidRPr="00D90C15">
              <w:t>Ms</w:t>
            </w:r>
            <w:proofErr w:type="spellEnd"/>
            <w:r w:rsidRPr="00D90C15">
              <w:t xml:space="preserve"> Anne O'Brien</w:t>
            </w:r>
          </w:p>
        </w:tc>
      </w:tr>
      <w:tr w:rsidR="005A008B" w:rsidRPr="00D90C15" w14:paraId="2C619D87" w14:textId="77777777" w:rsidTr="0046794E">
        <w:trPr>
          <w:trHeight w:val="60"/>
        </w:trPr>
        <w:tc>
          <w:tcPr>
            <w:tcW w:w="1984" w:type="pct"/>
          </w:tcPr>
          <w:p w14:paraId="7D354A83"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0078910F" w14:textId="77777777" w:rsidR="005A008B" w:rsidRPr="00D90C15" w:rsidRDefault="005A008B" w:rsidP="00E82D64">
            <w:pPr>
              <w:pStyle w:val="TableBody"/>
            </w:pPr>
            <w:proofErr w:type="spellStart"/>
            <w:r w:rsidRPr="00D90C15">
              <w:t>Mr</w:t>
            </w:r>
            <w:proofErr w:type="spellEnd"/>
            <w:r w:rsidRPr="00D90C15">
              <w:t xml:space="preserve"> Paul Smallwood</w:t>
            </w:r>
          </w:p>
        </w:tc>
      </w:tr>
      <w:tr w:rsidR="005A008B" w:rsidRPr="00D90C15" w14:paraId="7D8CB8EC" w14:textId="77777777" w:rsidTr="0046794E">
        <w:trPr>
          <w:trHeight w:val="60"/>
        </w:trPr>
        <w:tc>
          <w:tcPr>
            <w:tcW w:w="1984" w:type="pct"/>
          </w:tcPr>
          <w:p w14:paraId="37E51CE9"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6B92E5F4" w14:textId="77777777" w:rsidR="005A008B" w:rsidRPr="00D90C15" w:rsidRDefault="005A008B" w:rsidP="00E82D64">
            <w:pPr>
              <w:pStyle w:val="TableBody"/>
            </w:pPr>
            <w:proofErr w:type="spellStart"/>
            <w:r w:rsidRPr="00D90C15">
              <w:t>Ms</w:t>
            </w:r>
            <w:proofErr w:type="spellEnd"/>
            <w:r w:rsidRPr="00D90C15">
              <w:t xml:space="preserve"> Wendy Steendam</w:t>
            </w:r>
          </w:p>
        </w:tc>
      </w:tr>
      <w:tr w:rsidR="005A008B" w:rsidRPr="00D90C15" w14:paraId="1DEF5C90" w14:textId="77777777" w:rsidTr="0046794E">
        <w:trPr>
          <w:trHeight w:val="60"/>
        </w:trPr>
        <w:tc>
          <w:tcPr>
            <w:tcW w:w="1984" w:type="pct"/>
          </w:tcPr>
          <w:p w14:paraId="1A9F3C88"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69E1FE8D" w14:textId="77777777" w:rsidR="005A008B" w:rsidRPr="00D90C15" w:rsidRDefault="005A008B" w:rsidP="00E82D64">
            <w:pPr>
              <w:pStyle w:val="TableBody"/>
            </w:pPr>
            <w:r w:rsidRPr="00D90C15">
              <w:t>Dr Danny Sullivan</w:t>
            </w:r>
          </w:p>
        </w:tc>
      </w:tr>
      <w:tr w:rsidR="005A008B" w:rsidRPr="00D90C15" w14:paraId="7144FB54" w14:textId="77777777" w:rsidTr="0046794E">
        <w:trPr>
          <w:trHeight w:val="60"/>
        </w:trPr>
        <w:tc>
          <w:tcPr>
            <w:tcW w:w="1984" w:type="pct"/>
          </w:tcPr>
          <w:p w14:paraId="02BEC507"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6B99404F" w14:textId="77777777" w:rsidR="005A008B" w:rsidRPr="00D90C15" w:rsidRDefault="005A008B" w:rsidP="00E82D64">
            <w:pPr>
              <w:pStyle w:val="TableBody"/>
            </w:pPr>
            <w:proofErr w:type="spellStart"/>
            <w:r w:rsidRPr="00D90C15">
              <w:t>Mr</w:t>
            </w:r>
            <w:proofErr w:type="spellEnd"/>
            <w:r w:rsidRPr="00D90C15">
              <w:t xml:space="preserve"> Nathan Watt</w:t>
            </w:r>
          </w:p>
        </w:tc>
      </w:tr>
      <w:tr w:rsidR="005A008B" w:rsidRPr="00D90C15" w14:paraId="3B90B7E0" w14:textId="77777777" w:rsidTr="0046794E">
        <w:trPr>
          <w:trHeight w:val="60"/>
        </w:trPr>
        <w:tc>
          <w:tcPr>
            <w:tcW w:w="1984" w:type="pct"/>
          </w:tcPr>
          <w:p w14:paraId="7E6AB42E" w14:textId="77777777" w:rsidR="005A008B" w:rsidRPr="00D90C15" w:rsidRDefault="005A008B" w:rsidP="004F187B">
            <w:pPr>
              <w:pStyle w:val="NoParagraphStyle"/>
              <w:spacing w:line="240" w:lineRule="auto"/>
              <w:textAlignment w:val="auto"/>
              <w:rPr>
                <w:rFonts w:cs="Times New Roman"/>
                <w:color w:val="auto"/>
                <w:lang w:val="en-AU"/>
              </w:rPr>
            </w:pPr>
          </w:p>
        </w:tc>
        <w:tc>
          <w:tcPr>
            <w:tcW w:w="3016" w:type="pct"/>
          </w:tcPr>
          <w:p w14:paraId="5E8F53DA" w14:textId="77777777" w:rsidR="005A008B" w:rsidRPr="00D90C15" w:rsidRDefault="005A008B" w:rsidP="00E82D64">
            <w:pPr>
              <w:pStyle w:val="TableBody"/>
            </w:pPr>
            <w:proofErr w:type="spellStart"/>
            <w:r w:rsidRPr="00D90C15">
              <w:t>Mr</w:t>
            </w:r>
            <w:proofErr w:type="spellEnd"/>
            <w:r w:rsidRPr="00D90C15">
              <w:t xml:space="preserve"> Stan Winford</w:t>
            </w:r>
          </w:p>
        </w:tc>
      </w:tr>
    </w:tbl>
    <w:p w14:paraId="009A9FAB" w14:textId="77777777" w:rsidR="005A008B" w:rsidRPr="00D90C15" w:rsidRDefault="005A008B" w:rsidP="002822AC">
      <w:pPr>
        <w:pStyle w:val="Heading4"/>
      </w:pPr>
      <w:r w:rsidRPr="00D90C15">
        <w:t>Remuneration of Key Management Personnel</w:t>
      </w:r>
    </w:p>
    <w:p w14:paraId="46EC1FD0" w14:textId="77777777" w:rsidR="005A008B" w:rsidRPr="00D90C15" w:rsidRDefault="005A008B" w:rsidP="00234617">
      <w:r w:rsidRPr="00D90C15">
        <w:t xml:space="preserve">Remuneration comprises employee benefits (as defined in AASB 119 </w:t>
      </w:r>
      <w:r w:rsidRPr="004A331A">
        <w:rPr>
          <w:i/>
          <w:iCs/>
        </w:rPr>
        <w:t>Employee Benefits</w:t>
      </w:r>
      <w:r w:rsidRPr="00D90C15">
        <w:t xml:space="preserve">) in all forms of consideration paid, payable or provided by the entity, or on behalf of the entity, in exchange for services rendered. Accordingly, remuneration is determined on an accrual basis and is disclosed in the following categories. </w:t>
      </w:r>
    </w:p>
    <w:p w14:paraId="6B8D4D58" w14:textId="77777777" w:rsidR="005A008B" w:rsidRPr="00D90C15" w:rsidRDefault="005A008B" w:rsidP="006512A5">
      <w:r w:rsidRPr="00D90C15">
        <w:t xml:space="preserve">The compensation detailed below excludes the responsible Minister’s remuneration and allowances as set by the </w:t>
      </w:r>
      <w:r w:rsidRPr="004A331A">
        <w:rPr>
          <w:i/>
          <w:iCs/>
        </w:rPr>
        <w:t>Parliamentary Salaries and Superannuation Act 1968</w:t>
      </w:r>
      <w:r w:rsidRPr="00D90C15">
        <w:t xml:space="preserve"> which is reported within the State’s Annual Financial Report.</w:t>
      </w:r>
    </w:p>
    <w:tbl>
      <w:tblPr>
        <w:tblStyle w:val="Table"/>
        <w:tblW w:w="5000" w:type="pct"/>
        <w:tblLook w:val="0020" w:firstRow="1" w:lastRow="0" w:firstColumn="0" w:lastColumn="0" w:noHBand="0" w:noVBand="0"/>
      </w:tblPr>
      <w:tblGrid>
        <w:gridCol w:w="4919"/>
        <w:gridCol w:w="2050"/>
        <w:gridCol w:w="2047"/>
      </w:tblGrid>
      <w:tr w:rsidR="005A008B" w:rsidRPr="00D90C15" w14:paraId="4B87BB0E" w14:textId="77777777" w:rsidTr="0046794E">
        <w:trPr>
          <w:trHeight w:val="60"/>
          <w:tblHeader/>
        </w:trPr>
        <w:tc>
          <w:tcPr>
            <w:tcW w:w="2728" w:type="pct"/>
          </w:tcPr>
          <w:p w14:paraId="26DD2C05" w14:textId="77777777" w:rsidR="005A008B" w:rsidRPr="00D90C15" w:rsidRDefault="005A008B" w:rsidP="00CA36E9">
            <w:pPr>
              <w:pStyle w:val="TableHeading"/>
            </w:pPr>
            <w:r w:rsidRPr="00D90C15">
              <w:t>Remuneration of KMPs</w:t>
            </w:r>
          </w:p>
        </w:tc>
        <w:tc>
          <w:tcPr>
            <w:tcW w:w="1137" w:type="pct"/>
          </w:tcPr>
          <w:p w14:paraId="0DEE89D2" w14:textId="77777777" w:rsidR="005A008B" w:rsidRPr="00D90C15" w:rsidRDefault="005A008B" w:rsidP="007B5725">
            <w:pPr>
              <w:pStyle w:val="TableHeading"/>
            </w:pPr>
            <w:r w:rsidRPr="00D90C15">
              <w:t>2025</w:t>
            </w:r>
          </w:p>
        </w:tc>
        <w:tc>
          <w:tcPr>
            <w:tcW w:w="1136" w:type="pct"/>
          </w:tcPr>
          <w:p w14:paraId="1329F424" w14:textId="77777777" w:rsidR="005A008B" w:rsidRPr="00D90C15" w:rsidRDefault="005A008B" w:rsidP="007B5725">
            <w:pPr>
              <w:pStyle w:val="TableHeading"/>
            </w:pPr>
            <w:r w:rsidRPr="00D90C15">
              <w:t>2024</w:t>
            </w:r>
          </w:p>
        </w:tc>
      </w:tr>
      <w:tr w:rsidR="005A008B" w:rsidRPr="00D90C15" w14:paraId="0B318D40" w14:textId="77777777" w:rsidTr="0046794E">
        <w:trPr>
          <w:trHeight w:val="60"/>
        </w:trPr>
        <w:tc>
          <w:tcPr>
            <w:tcW w:w="2728" w:type="pct"/>
          </w:tcPr>
          <w:p w14:paraId="311FE7D8" w14:textId="77777777" w:rsidR="005A008B" w:rsidRPr="00D90C15" w:rsidRDefault="005A008B" w:rsidP="00E82D64">
            <w:pPr>
              <w:pStyle w:val="TableBody"/>
            </w:pPr>
            <w:r w:rsidRPr="00D90C15">
              <w:t>Short-term employee benefits</w:t>
            </w:r>
          </w:p>
        </w:tc>
        <w:tc>
          <w:tcPr>
            <w:tcW w:w="1137" w:type="pct"/>
          </w:tcPr>
          <w:p w14:paraId="300E288E" w14:textId="77777777" w:rsidR="005A008B" w:rsidRPr="00D90C15" w:rsidRDefault="005A008B" w:rsidP="00CC3F1F">
            <w:pPr>
              <w:pStyle w:val="TableBody"/>
            </w:pPr>
            <w:r w:rsidRPr="00D90C15">
              <w:t>235,524</w:t>
            </w:r>
          </w:p>
        </w:tc>
        <w:tc>
          <w:tcPr>
            <w:tcW w:w="1136" w:type="pct"/>
          </w:tcPr>
          <w:p w14:paraId="2A369652" w14:textId="77777777" w:rsidR="005A008B" w:rsidRPr="00D90C15" w:rsidRDefault="005A008B" w:rsidP="00CC3F1F">
            <w:pPr>
              <w:pStyle w:val="TableBody"/>
            </w:pPr>
            <w:r w:rsidRPr="00D90C15">
              <w:t>212,172</w:t>
            </w:r>
          </w:p>
        </w:tc>
      </w:tr>
      <w:tr w:rsidR="005A008B" w:rsidRPr="00D90C15" w14:paraId="4D9C35C6" w14:textId="77777777" w:rsidTr="0046794E">
        <w:trPr>
          <w:trHeight w:val="60"/>
        </w:trPr>
        <w:tc>
          <w:tcPr>
            <w:tcW w:w="2728" w:type="pct"/>
          </w:tcPr>
          <w:p w14:paraId="07049257" w14:textId="77777777" w:rsidR="005A008B" w:rsidRPr="00D90C15" w:rsidRDefault="005A008B" w:rsidP="00E82D64">
            <w:pPr>
              <w:pStyle w:val="TableBody"/>
            </w:pPr>
            <w:r w:rsidRPr="00D90C15">
              <w:t>Post-employment benefits</w:t>
            </w:r>
          </w:p>
        </w:tc>
        <w:tc>
          <w:tcPr>
            <w:tcW w:w="1137" w:type="pct"/>
          </w:tcPr>
          <w:p w14:paraId="556ECF06" w14:textId="77777777" w:rsidR="005A008B" w:rsidRPr="00D90C15" w:rsidRDefault="005A008B" w:rsidP="00CC3F1F">
            <w:pPr>
              <w:pStyle w:val="TableBody"/>
            </w:pPr>
            <w:r w:rsidRPr="00D90C15">
              <w:t>27,085</w:t>
            </w:r>
          </w:p>
        </w:tc>
        <w:tc>
          <w:tcPr>
            <w:tcW w:w="1136" w:type="pct"/>
          </w:tcPr>
          <w:p w14:paraId="1708F498" w14:textId="77777777" w:rsidR="005A008B" w:rsidRPr="00D90C15" w:rsidRDefault="005A008B" w:rsidP="00CC3F1F">
            <w:pPr>
              <w:pStyle w:val="TableBody"/>
            </w:pPr>
            <w:r w:rsidRPr="00D90C15">
              <w:t>23,338</w:t>
            </w:r>
          </w:p>
        </w:tc>
      </w:tr>
      <w:tr w:rsidR="005A008B" w:rsidRPr="00D90C15" w14:paraId="25E8F98B" w14:textId="77777777" w:rsidTr="0046794E">
        <w:trPr>
          <w:trHeight w:val="60"/>
        </w:trPr>
        <w:tc>
          <w:tcPr>
            <w:tcW w:w="2728" w:type="pct"/>
          </w:tcPr>
          <w:p w14:paraId="7CC7BC80" w14:textId="77777777" w:rsidR="005A008B" w:rsidRPr="00D90C15" w:rsidRDefault="005A008B" w:rsidP="00E82D64">
            <w:pPr>
              <w:pStyle w:val="TableBody"/>
            </w:pPr>
            <w:r w:rsidRPr="00D90C15">
              <w:t xml:space="preserve">Other long-term benefits </w:t>
            </w:r>
          </w:p>
        </w:tc>
        <w:tc>
          <w:tcPr>
            <w:tcW w:w="1137" w:type="pct"/>
          </w:tcPr>
          <w:p w14:paraId="159776F5" w14:textId="77777777" w:rsidR="005A008B" w:rsidRPr="00D90C15" w:rsidRDefault="005A008B" w:rsidP="00CC3F1F">
            <w:pPr>
              <w:pStyle w:val="TableBody"/>
            </w:pPr>
            <w:r w:rsidRPr="00D90C15">
              <w:t>6,497</w:t>
            </w:r>
          </w:p>
        </w:tc>
        <w:tc>
          <w:tcPr>
            <w:tcW w:w="1136" w:type="pct"/>
          </w:tcPr>
          <w:p w14:paraId="6EBB639A" w14:textId="77777777" w:rsidR="005A008B" w:rsidRPr="00D90C15" w:rsidRDefault="005A008B" w:rsidP="00CC3F1F">
            <w:pPr>
              <w:pStyle w:val="TableBody"/>
            </w:pPr>
            <w:r w:rsidRPr="00D90C15">
              <w:t>15,618</w:t>
            </w:r>
          </w:p>
        </w:tc>
      </w:tr>
      <w:tr w:rsidR="005A008B" w:rsidRPr="00D90C15" w14:paraId="4932BED3" w14:textId="77777777" w:rsidTr="0046794E">
        <w:trPr>
          <w:trHeight w:val="60"/>
        </w:trPr>
        <w:tc>
          <w:tcPr>
            <w:tcW w:w="2728" w:type="pct"/>
          </w:tcPr>
          <w:p w14:paraId="75BA00DD" w14:textId="77777777" w:rsidR="005A008B" w:rsidRPr="00E72391" w:rsidRDefault="005A008B" w:rsidP="00E72391">
            <w:pPr>
              <w:pStyle w:val="TableBody"/>
              <w:rPr>
                <w:b/>
                <w:bCs/>
              </w:rPr>
            </w:pPr>
            <w:r w:rsidRPr="00E72391">
              <w:rPr>
                <w:b/>
                <w:bCs/>
              </w:rPr>
              <w:t>Total</w:t>
            </w:r>
          </w:p>
        </w:tc>
        <w:tc>
          <w:tcPr>
            <w:tcW w:w="1137" w:type="pct"/>
          </w:tcPr>
          <w:p w14:paraId="7BC02767" w14:textId="77777777" w:rsidR="005A008B" w:rsidRPr="001F7031" w:rsidRDefault="005A008B" w:rsidP="001F7031">
            <w:pPr>
              <w:pStyle w:val="TableBody"/>
              <w:rPr>
                <w:b/>
                <w:bCs/>
              </w:rPr>
            </w:pPr>
            <w:r w:rsidRPr="001F7031">
              <w:rPr>
                <w:b/>
                <w:bCs/>
              </w:rPr>
              <w:t>269,106</w:t>
            </w:r>
          </w:p>
        </w:tc>
        <w:tc>
          <w:tcPr>
            <w:tcW w:w="1136" w:type="pct"/>
          </w:tcPr>
          <w:p w14:paraId="15B483D8" w14:textId="77777777" w:rsidR="005A008B" w:rsidRPr="001F7031" w:rsidRDefault="005A008B" w:rsidP="001F7031">
            <w:pPr>
              <w:pStyle w:val="TableBody"/>
              <w:rPr>
                <w:b/>
                <w:bCs/>
              </w:rPr>
            </w:pPr>
            <w:r w:rsidRPr="001F7031">
              <w:rPr>
                <w:b/>
                <w:bCs/>
              </w:rPr>
              <w:t xml:space="preserve">251,128 </w:t>
            </w:r>
          </w:p>
        </w:tc>
      </w:tr>
    </w:tbl>
    <w:p w14:paraId="4434A4F5" w14:textId="77777777" w:rsidR="005A008B" w:rsidRPr="00D90C15" w:rsidRDefault="005A008B" w:rsidP="002822AC">
      <w:pPr>
        <w:pStyle w:val="Heading4"/>
      </w:pPr>
      <w:r w:rsidRPr="00D90C15">
        <w:t>Transactions and Balances with Key Management Personnel and Other Related Parties</w:t>
      </w:r>
    </w:p>
    <w:p w14:paraId="32A91389" w14:textId="77777777" w:rsidR="005A008B" w:rsidRPr="00D90C15" w:rsidRDefault="005A008B" w:rsidP="00234617">
      <w:r w:rsidRPr="00D90C15">
        <w:t xml:space="preserve">Given the breadth and depth of State Government activities, related parties transact with the Victorian public sector in a manner consistent with other members of the public, for example, stamp duty and other government fees and charges. Further employment of processes within the Victorian public sector occurs on terms and conditions consistent with the </w:t>
      </w:r>
      <w:r w:rsidRPr="004A331A">
        <w:rPr>
          <w:i/>
          <w:iCs/>
        </w:rPr>
        <w:t>Public Administration Act 2004</w:t>
      </w:r>
      <w:r w:rsidRPr="00D90C15">
        <w:t xml:space="preserve"> and Codes of Conduct and Standards issued by the Victorian Public Sector Council. Procurement processes occur on terms and conditions consistent with the Victorian Government Purchasing Board requirements. </w:t>
      </w:r>
    </w:p>
    <w:p w14:paraId="1B5F4204" w14:textId="77777777" w:rsidR="005A008B" w:rsidRPr="00D90C15" w:rsidRDefault="005A008B" w:rsidP="00234617">
      <w:r w:rsidRPr="00D90C15">
        <w:t>Outside of normal citizen type transactions with the Council, there were no related party transactions that involved key management personnel, their close family members and their personal business interests. No provision has been required, nor any expense recognised, for impairment of receivables from related parties.</w:t>
      </w:r>
    </w:p>
    <w:p w14:paraId="307465BA" w14:textId="77777777" w:rsidR="005A008B" w:rsidRPr="00D90C15" w:rsidRDefault="005A008B" w:rsidP="002822AC">
      <w:pPr>
        <w:pStyle w:val="Heading3"/>
      </w:pPr>
      <w:bookmarkStart w:id="132" w:name="_Toc221113898"/>
      <w:r w:rsidRPr="00D90C15">
        <w:lastRenderedPageBreak/>
        <w:t>8.5 Remuneration of Auditors</w:t>
      </w:r>
      <w:bookmarkEnd w:id="132"/>
    </w:p>
    <w:tbl>
      <w:tblPr>
        <w:tblStyle w:val="Table"/>
        <w:tblW w:w="5000" w:type="pct"/>
        <w:tblLook w:val="0020" w:firstRow="1" w:lastRow="0" w:firstColumn="0" w:lastColumn="0" w:noHBand="0" w:noVBand="0"/>
      </w:tblPr>
      <w:tblGrid>
        <w:gridCol w:w="4919"/>
        <w:gridCol w:w="2050"/>
        <w:gridCol w:w="2047"/>
      </w:tblGrid>
      <w:tr w:rsidR="005A008B" w:rsidRPr="00D90C15" w14:paraId="40C5BDA9" w14:textId="77777777" w:rsidTr="0046794E">
        <w:trPr>
          <w:trHeight w:val="60"/>
          <w:tblHeader/>
        </w:trPr>
        <w:tc>
          <w:tcPr>
            <w:tcW w:w="2728" w:type="pct"/>
          </w:tcPr>
          <w:p w14:paraId="7C6F54FA"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561BF4CD" w14:textId="77777777" w:rsidR="005A008B" w:rsidRPr="00D90C15" w:rsidRDefault="005A008B" w:rsidP="007B5725">
            <w:pPr>
              <w:pStyle w:val="TableHeading"/>
            </w:pPr>
            <w:r w:rsidRPr="00D90C15">
              <w:t>2025</w:t>
            </w:r>
            <w:r w:rsidRPr="00D90C15">
              <w:br/>
              <w:t>$</w:t>
            </w:r>
          </w:p>
        </w:tc>
        <w:tc>
          <w:tcPr>
            <w:tcW w:w="1136" w:type="pct"/>
          </w:tcPr>
          <w:p w14:paraId="098B5197" w14:textId="77777777" w:rsidR="005A008B" w:rsidRPr="00D90C15" w:rsidRDefault="005A008B" w:rsidP="007B5725">
            <w:pPr>
              <w:pStyle w:val="TableHeading"/>
            </w:pPr>
            <w:r w:rsidRPr="00D90C15">
              <w:t>2024</w:t>
            </w:r>
            <w:r w:rsidRPr="00D90C15">
              <w:br/>
              <w:t>$</w:t>
            </w:r>
          </w:p>
        </w:tc>
      </w:tr>
      <w:tr w:rsidR="005A008B" w:rsidRPr="00D90C15" w14:paraId="1AE71F17" w14:textId="77777777" w:rsidTr="0046794E">
        <w:trPr>
          <w:trHeight w:val="60"/>
        </w:trPr>
        <w:tc>
          <w:tcPr>
            <w:tcW w:w="2728" w:type="pct"/>
          </w:tcPr>
          <w:p w14:paraId="7D09D1E2" w14:textId="77777777" w:rsidR="005A008B" w:rsidRPr="00E72391" w:rsidRDefault="005A008B" w:rsidP="00E72391">
            <w:pPr>
              <w:pStyle w:val="TableBody"/>
              <w:rPr>
                <w:b/>
                <w:bCs/>
              </w:rPr>
            </w:pPr>
            <w:r w:rsidRPr="00E72391">
              <w:rPr>
                <w:b/>
                <w:bCs/>
              </w:rPr>
              <w:t>Victorian Auditor-General's Office</w:t>
            </w:r>
          </w:p>
        </w:tc>
        <w:tc>
          <w:tcPr>
            <w:tcW w:w="1137" w:type="pct"/>
          </w:tcPr>
          <w:p w14:paraId="7CC5D4F7" w14:textId="77777777" w:rsidR="005A008B" w:rsidRPr="00D90C15" w:rsidRDefault="005A008B" w:rsidP="004F187B">
            <w:pPr>
              <w:pStyle w:val="NoParagraphStyle"/>
              <w:spacing w:line="240" w:lineRule="auto"/>
              <w:textAlignment w:val="auto"/>
              <w:rPr>
                <w:rFonts w:cs="Times New Roman"/>
                <w:color w:val="auto"/>
                <w:lang w:val="en-AU"/>
              </w:rPr>
            </w:pPr>
          </w:p>
        </w:tc>
        <w:tc>
          <w:tcPr>
            <w:tcW w:w="1136" w:type="pct"/>
          </w:tcPr>
          <w:p w14:paraId="4C881053" w14:textId="77777777" w:rsidR="005A008B" w:rsidRPr="00D90C15" w:rsidRDefault="005A008B" w:rsidP="004F187B">
            <w:pPr>
              <w:pStyle w:val="NoParagraphStyle"/>
              <w:spacing w:line="240" w:lineRule="auto"/>
              <w:textAlignment w:val="auto"/>
              <w:rPr>
                <w:rFonts w:cs="Times New Roman"/>
                <w:color w:val="auto"/>
                <w:lang w:val="en-AU"/>
              </w:rPr>
            </w:pPr>
          </w:p>
        </w:tc>
      </w:tr>
      <w:tr w:rsidR="005A008B" w:rsidRPr="00D90C15" w14:paraId="63EEEE28" w14:textId="77777777" w:rsidTr="0046794E">
        <w:trPr>
          <w:trHeight w:val="60"/>
        </w:trPr>
        <w:tc>
          <w:tcPr>
            <w:tcW w:w="2728" w:type="pct"/>
          </w:tcPr>
          <w:p w14:paraId="2FA06E27" w14:textId="77777777" w:rsidR="005A008B" w:rsidRPr="00D90C15" w:rsidRDefault="005A008B" w:rsidP="00E82D64">
            <w:pPr>
              <w:pStyle w:val="TableBody"/>
            </w:pPr>
            <w:r w:rsidRPr="00D90C15">
              <w:t>Audit of the financial statements</w:t>
            </w:r>
          </w:p>
        </w:tc>
        <w:tc>
          <w:tcPr>
            <w:tcW w:w="1137" w:type="pct"/>
          </w:tcPr>
          <w:p w14:paraId="38AE9BDF" w14:textId="77777777" w:rsidR="005A008B" w:rsidRPr="00D90C15" w:rsidRDefault="005A008B" w:rsidP="00CC3F1F">
            <w:pPr>
              <w:pStyle w:val="TableBody"/>
            </w:pPr>
            <w:r w:rsidRPr="00D90C15">
              <w:t xml:space="preserve">24,400 </w:t>
            </w:r>
          </w:p>
        </w:tc>
        <w:tc>
          <w:tcPr>
            <w:tcW w:w="1136" w:type="pct"/>
          </w:tcPr>
          <w:p w14:paraId="1D9E7B5A" w14:textId="77777777" w:rsidR="005A008B" w:rsidRPr="00D90C15" w:rsidRDefault="005A008B" w:rsidP="00CC3F1F">
            <w:pPr>
              <w:pStyle w:val="TableBody"/>
            </w:pPr>
            <w:r w:rsidRPr="00D90C15">
              <w:t xml:space="preserve"> 22,000</w:t>
            </w:r>
          </w:p>
        </w:tc>
      </w:tr>
      <w:tr w:rsidR="005A008B" w:rsidRPr="00D90C15" w14:paraId="1B4B776C" w14:textId="77777777" w:rsidTr="0046794E">
        <w:trPr>
          <w:trHeight w:val="60"/>
        </w:trPr>
        <w:tc>
          <w:tcPr>
            <w:tcW w:w="2728" w:type="pct"/>
          </w:tcPr>
          <w:p w14:paraId="603352CA" w14:textId="77777777" w:rsidR="005A008B" w:rsidRPr="00D90C15" w:rsidRDefault="005A008B" w:rsidP="004F187B">
            <w:pPr>
              <w:pStyle w:val="NoParagraphStyle"/>
              <w:spacing w:line="240" w:lineRule="auto"/>
              <w:textAlignment w:val="auto"/>
              <w:rPr>
                <w:rFonts w:cs="Times New Roman"/>
                <w:color w:val="auto"/>
                <w:lang w:val="en-AU"/>
              </w:rPr>
            </w:pPr>
          </w:p>
        </w:tc>
        <w:tc>
          <w:tcPr>
            <w:tcW w:w="1137" w:type="pct"/>
          </w:tcPr>
          <w:p w14:paraId="2BFBFC8E" w14:textId="77777777" w:rsidR="005A008B" w:rsidRPr="001F7031" w:rsidRDefault="005A008B" w:rsidP="001F7031">
            <w:pPr>
              <w:pStyle w:val="TableBody"/>
              <w:rPr>
                <w:b/>
                <w:bCs/>
              </w:rPr>
            </w:pPr>
            <w:r w:rsidRPr="001F7031">
              <w:rPr>
                <w:b/>
                <w:bCs/>
              </w:rPr>
              <w:t xml:space="preserve"> 24,400</w:t>
            </w:r>
          </w:p>
        </w:tc>
        <w:tc>
          <w:tcPr>
            <w:tcW w:w="1136" w:type="pct"/>
          </w:tcPr>
          <w:p w14:paraId="7D14A002" w14:textId="77777777" w:rsidR="005A008B" w:rsidRPr="00D90C15" w:rsidRDefault="005A008B" w:rsidP="00CC3F1F">
            <w:pPr>
              <w:pStyle w:val="TableBody"/>
            </w:pPr>
            <w:r w:rsidRPr="00D90C15">
              <w:t xml:space="preserve"> 22,000 </w:t>
            </w:r>
          </w:p>
        </w:tc>
      </w:tr>
    </w:tbl>
    <w:p w14:paraId="2D8F924E" w14:textId="77777777" w:rsidR="005A008B" w:rsidRPr="00D90C15" w:rsidRDefault="005A008B" w:rsidP="002822AC">
      <w:pPr>
        <w:pStyle w:val="Heading3"/>
      </w:pPr>
      <w:bookmarkStart w:id="133" w:name="_Toc221113899"/>
      <w:r w:rsidRPr="00D90C15">
        <w:t>8.6 Subsequent Events</w:t>
      </w:r>
      <w:bookmarkEnd w:id="133"/>
      <w:r w:rsidRPr="00D90C15">
        <w:t xml:space="preserve"> </w:t>
      </w:r>
    </w:p>
    <w:p w14:paraId="77EC9286" w14:textId="77777777" w:rsidR="005A008B" w:rsidRPr="00D90C15" w:rsidRDefault="005A008B" w:rsidP="00234617">
      <w:r w:rsidRPr="00D90C15">
        <w:t xml:space="preserve">On the 22 August 2025, a contract for the upgrade of the </w:t>
      </w:r>
      <w:r w:rsidRPr="004A331A">
        <w:rPr>
          <w:i/>
          <w:iCs/>
        </w:rPr>
        <w:t>Virtual You Be the Judge</w:t>
      </w:r>
      <w:r w:rsidRPr="00D90C15">
        <w:t xml:space="preserve"> software program was signed and fully executed with the contract supplier. The contract was signed in accordance with the ICT Solution Delivery Panel arrangements which exist under the auspices of the Department of Justice and Community Safety who are assisting with management of the project. </w:t>
      </w:r>
      <w:r w:rsidRPr="004A331A">
        <w:rPr>
          <w:i/>
          <w:iCs/>
        </w:rPr>
        <w:t>Virtual You be the Judge</w:t>
      </w:r>
      <w:r w:rsidRPr="00D90C15">
        <w:t xml:space="preserve"> is an online educational product that informs students and the wider community about sentencing by allowing users to experience the sentencing process. The need for the upgrade relates to the existing tool losing functionality and not reflecting current sentencing practices.</w:t>
      </w:r>
    </w:p>
    <w:p w14:paraId="49BE16DD" w14:textId="77777777" w:rsidR="005A008B" w:rsidRPr="00D90C15" w:rsidRDefault="005A008B" w:rsidP="00234617">
      <w:r w:rsidRPr="00D90C15">
        <w:t>Work under the contract commenced on 1 September 2025, with the upgrade phase scheduled to be completed within one year of commencement. The total contract price over a three-year period amounts up to $236,773, inclusive of optional additional requirements and maintenance and support.</w:t>
      </w:r>
    </w:p>
    <w:p w14:paraId="1C80039D" w14:textId="77777777" w:rsidR="005A008B" w:rsidRPr="00D90C15" w:rsidRDefault="005A008B" w:rsidP="00234617">
      <w:r w:rsidRPr="00D90C15">
        <w:t xml:space="preserve">No other matters or circumstances have arisen since the end of the financial year which significantly affected or may affect the operations of the Council, the results of the operations or the </w:t>
      </w:r>
      <w:proofErr w:type="gramStart"/>
      <w:r w:rsidRPr="00D90C15">
        <w:t>state of affairs</w:t>
      </w:r>
      <w:proofErr w:type="gramEnd"/>
      <w:r w:rsidRPr="00D90C15">
        <w:t xml:space="preserve"> of the Council in the future financial years. </w:t>
      </w:r>
    </w:p>
    <w:p w14:paraId="76176404" w14:textId="77777777" w:rsidR="005A008B" w:rsidRPr="00D90C15" w:rsidRDefault="005A008B" w:rsidP="002822AC">
      <w:pPr>
        <w:pStyle w:val="Heading3"/>
      </w:pPr>
      <w:bookmarkStart w:id="134" w:name="_Toc221113900"/>
      <w:r w:rsidRPr="00D90C15">
        <w:t>8.7 Glossary of Technical Terms</w:t>
      </w:r>
      <w:bookmarkEnd w:id="134"/>
    </w:p>
    <w:p w14:paraId="7A64E051" w14:textId="77777777" w:rsidR="005A008B" w:rsidRPr="00D90C15" w:rsidRDefault="005A008B" w:rsidP="00234617">
      <w:r w:rsidRPr="00D90C15">
        <w:t>The following is a summary of the major technical terms used in this report.</w:t>
      </w:r>
    </w:p>
    <w:p w14:paraId="0AFE6ECD" w14:textId="77777777" w:rsidR="005A008B" w:rsidRPr="00D90C15" w:rsidRDefault="005A008B" w:rsidP="00234617">
      <w:r w:rsidRPr="006512A5">
        <w:rPr>
          <w:rStyle w:val="Bold"/>
        </w:rPr>
        <w:t>Borrowings</w:t>
      </w:r>
      <w:r w:rsidRPr="00D90C15">
        <w:t xml:space="preserve"> refer to lease liabilities and other interest-bearing arrangements. </w:t>
      </w:r>
    </w:p>
    <w:p w14:paraId="5DED6D30" w14:textId="77777777" w:rsidR="005A008B" w:rsidRPr="00D90C15" w:rsidRDefault="005A008B" w:rsidP="00234617">
      <w:r w:rsidRPr="006512A5">
        <w:rPr>
          <w:rStyle w:val="Bold"/>
        </w:rPr>
        <w:t>Commitments</w:t>
      </w:r>
      <w:r w:rsidRPr="00D90C15">
        <w:t xml:space="preserve"> include those operating, capital, and other outsourcing commitments arising from non-cancellable contractual or statutory sources.</w:t>
      </w:r>
    </w:p>
    <w:p w14:paraId="7882A58C" w14:textId="77777777" w:rsidR="005A008B" w:rsidRPr="00D90C15" w:rsidRDefault="005A008B" w:rsidP="00234617">
      <w:r w:rsidRPr="006512A5">
        <w:rPr>
          <w:rStyle w:val="Bold"/>
        </w:rPr>
        <w:t>Comprehensive result</w:t>
      </w:r>
      <w:r w:rsidRPr="00D90C15">
        <w:t xml:space="preserve"> is the amount included in the operating statement representing total change in net worth other than transactions with owners as owners.</w:t>
      </w:r>
    </w:p>
    <w:p w14:paraId="4715E744" w14:textId="77777777" w:rsidR="005A008B" w:rsidRPr="00D90C15" w:rsidRDefault="005A008B" w:rsidP="00234617">
      <w:r w:rsidRPr="006512A5">
        <w:rPr>
          <w:rStyle w:val="Bold"/>
        </w:rPr>
        <w:lastRenderedPageBreak/>
        <w:t>Controlled item</w:t>
      </w:r>
      <w:r w:rsidRPr="00D90C15">
        <w:t xml:space="preserve"> generally refers to the capacity of the Council to benefit from that item in the pursuit of the entity’s objectives and to deny or regulate the access of others to that benefit. </w:t>
      </w:r>
    </w:p>
    <w:p w14:paraId="2E55FBD6" w14:textId="77777777" w:rsidR="005A008B" w:rsidRPr="00D90C15" w:rsidRDefault="005A008B" w:rsidP="00234617">
      <w:r w:rsidRPr="006512A5">
        <w:rPr>
          <w:rStyle w:val="Bold"/>
        </w:rPr>
        <w:t>Current grants</w:t>
      </w:r>
      <w:r w:rsidRPr="00D90C15">
        <w:t xml:space="preserve"> are amounts payable or receivable for current purposes for which no economic benefits of equal value are receivable or payable in return.</w:t>
      </w:r>
    </w:p>
    <w:p w14:paraId="33AB1C4E" w14:textId="77777777" w:rsidR="005A008B" w:rsidRPr="00D90C15" w:rsidRDefault="005A008B" w:rsidP="006512A5">
      <w:r w:rsidRPr="006512A5">
        <w:rPr>
          <w:rStyle w:val="Bold"/>
        </w:rPr>
        <w:t>Financial asset</w:t>
      </w:r>
      <w:r w:rsidRPr="00D90C15">
        <w:t xml:space="preserve"> is any asset that is a contractual right:</w:t>
      </w:r>
    </w:p>
    <w:p w14:paraId="4669B4D4" w14:textId="77777777" w:rsidR="005A008B" w:rsidRPr="00D90C15" w:rsidRDefault="005A008B" w:rsidP="00926C26">
      <w:pPr>
        <w:pStyle w:val="Bullets"/>
      </w:pPr>
      <w:r w:rsidRPr="00D90C15">
        <w:t>to receive cash or another financial asset from another entity or</w:t>
      </w:r>
    </w:p>
    <w:p w14:paraId="604AF059" w14:textId="77777777" w:rsidR="005A008B" w:rsidRPr="00D90C15" w:rsidRDefault="005A008B" w:rsidP="00926C26">
      <w:pPr>
        <w:pStyle w:val="Bullets"/>
      </w:pPr>
      <w:r w:rsidRPr="00D90C15">
        <w:t>to exchange financial assets or financial liabilities with another entity under conditions that are potentially favourable to the entity.</w:t>
      </w:r>
    </w:p>
    <w:p w14:paraId="35F35D2D" w14:textId="77777777" w:rsidR="005A008B" w:rsidRPr="00D90C15" w:rsidRDefault="005A008B" w:rsidP="00234617">
      <w:r w:rsidRPr="006512A5">
        <w:rPr>
          <w:rStyle w:val="Bold"/>
        </w:rPr>
        <w:t>Financial instrument</w:t>
      </w:r>
      <w:r w:rsidRPr="00D90C15">
        <w:t xml:space="preserve"> is any contract that gives rise to a financial asset of one entity and a financial liability or equity instrument of another entity. </w:t>
      </w:r>
    </w:p>
    <w:p w14:paraId="544A4ED4" w14:textId="77777777" w:rsidR="005A008B" w:rsidRPr="00D90C15" w:rsidRDefault="005A008B" w:rsidP="006512A5">
      <w:r w:rsidRPr="006512A5">
        <w:rPr>
          <w:rStyle w:val="Bold"/>
        </w:rPr>
        <w:t>Financial liability</w:t>
      </w:r>
      <w:r w:rsidRPr="00D90C15">
        <w:t xml:space="preserve"> is any liability that is:</w:t>
      </w:r>
    </w:p>
    <w:p w14:paraId="41BEFFCB" w14:textId="77777777" w:rsidR="005A008B" w:rsidRPr="00AA1CB0" w:rsidRDefault="005A008B" w:rsidP="00AA1CB0">
      <w:pPr>
        <w:pStyle w:val="ListParagraph"/>
        <w:numPr>
          <w:ilvl w:val="0"/>
          <w:numId w:val="24"/>
        </w:numPr>
      </w:pPr>
      <w:r w:rsidRPr="00AA1CB0">
        <w:t>a contractual obligation:</w:t>
      </w:r>
    </w:p>
    <w:p w14:paraId="5767F459" w14:textId="75B11D86" w:rsidR="005A008B" w:rsidRPr="00AA1CB0" w:rsidRDefault="005A008B" w:rsidP="00AA1CB0">
      <w:pPr>
        <w:pStyle w:val="ListParagraph"/>
        <w:numPr>
          <w:ilvl w:val="0"/>
          <w:numId w:val="25"/>
        </w:numPr>
      </w:pPr>
      <w:r w:rsidRPr="00AA1CB0">
        <w:t>to deliver cash or another financial asset to another entity or</w:t>
      </w:r>
    </w:p>
    <w:p w14:paraId="4A15DFDC" w14:textId="77777777" w:rsidR="005A008B" w:rsidRPr="00AA1CB0" w:rsidRDefault="005A008B" w:rsidP="00AA1CB0">
      <w:pPr>
        <w:pStyle w:val="ListParagraph"/>
        <w:numPr>
          <w:ilvl w:val="0"/>
          <w:numId w:val="25"/>
        </w:numPr>
      </w:pPr>
      <w:r w:rsidRPr="00AA1CB0">
        <w:t>to exchange financial assets or financial liabilities with another entity under conditions that are potentially unfavourable to the entity.</w:t>
      </w:r>
    </w:p>
    <w:p w14:paraId="4439D97B" w14:textId="77777777" w:rsidR="005A008B" w:rsidRPr="00D90C15" w:rsidRDefault="005A008B" w:rsidP="006512A5">
      <w:r w:rsidRPr="006512A5">
        <w:rPr>
          <w:rStyle w:val="Bold"/>
        </w:rPr>
        <w:t xml:space="preserve">Financial statements </w:t>
      </w:r>
      <w:r w:rsidRPr="00D90C15">
        <w:t>in this report comprise:</w:t>
      </w:r>
    </w:p>
    <w:p w14:paraId="7A59265C" w14:textId="77777777" w:rsidR="005A008B" w:rsidRPr="008E311F" w:rsidRDefault="005A008B" w:rsidP="008E311F">
      <w:pPr>
        <w:pStyle w:val="ListParagraph"/>
        <w:numPr>
          <w:ilvl w:val="0"/>
          <w:numId w:val="26"/>
        </w:numPr>
      </w:pPr>
      <w:r w:rsidRPr="008E311F">
        <w:t>a balance sheet as at the end of the period</w:t>
      </w:r>
    </w:p>
    <w:p w14:paraId="4921A017" w14:textId="77777777" w:rsidR="005A008B" w:rsidRPr="008E311F" w:rsidRDefault="005A008B" w:rsidP="008E311F">
      <w:pPr>
        <w:pStyle w:val="ListParagraph"/>
        <w:numPr>
          <w:ilvl w:val="0"/>
          <w:numId w:val="26"/>
        </w:numPr>
      </w:pPr>
      <w:r w:rsidRPr="008E311F">
        <w:t>a comprehensive operating statement for the period</w:t>
      </w:r>
    </w:p>
    <w:p w14:paraId="2A07782F" w14:textId="17D65E63" w:rsidR="005A008B" w:rsidRPr="008E311F" w:rsidRDefault="005A008B" w:rsidP="008E311F">
      <w:pPr>
        <w:pStyle w:val="ListParagraph"/>
        <w:numPr>
          <w:ilvl w:val="0"/>
          <w:numId w:val="26"/>
        </w:numPr>
      </w:pPr>
      <w:r w:rsidRPr="008E311F">
        <w:t>a statement of changes in equity for the period</w:t>
      </w:r>
    </w:p>
    <w:p w14:paraId="7B9A7724" w14:textId="77777777" w:rsidR="005A008B" w:rsidRPr="008E311F" w:rsidRDefault="005A008B" w:rsidP="008E311F">
      <w:pPr>
        <w:pStyle w:val="ListParagraph"/>
        <w:numPr>
          <w:ilvl w:val="0"/>
          <w:numId w:val="26"/>
        </w:numPr>
      </w:pPr>
      <w:r w:rsidRPr="008E311F">
        <w:t>a cash flow statement for the period and</w:t>
      </w:r>
    </w:p>
    <w:p w14:paraId="6FD998A3" w14:textId="77777777" w:rsidR="005A008B" w:rsidRPr="008E311F" w:rsidRDefault="005A008B" w:rsidP="008E311F">
      <w:pPr>
        <w:pStyle w:val="ListParagraph"/>
        <w:numPr>
          <w:ilvl w:val="0"/>
          <w:numId w:val="26"/>
        </w:numPr>
      </w:pPr>
      <w:r w:rsidRPr="008E311F">
        <w:t xml:space="preserve">notes, comprising a summary of significant accounting policies and other explanatory information. </w:t>
      </w:r>
    </w:p>
    <w:p w14:paraId="09C18919" w14:textId="77777777" w:rsidR="005A008B" w:rsidRPr="00D90C15" w:rsidRDefault="005A008B" w:rsidP="00234617">
      <w:r w:rsidRPr="006512A5">
        <w:rPr>
          <w:rStyle w:val="Bold"/>
        </w:rPr>
        <w:t>Interest expense</w:t>
      </w:r>
      <w:r w:rsidRPr="00D90C15">
        <w:t xml:space="preserve"> represents costs incurred in connection with borrowings. It includes interest components of lease repayments, and amortisation of discounts or premiums in relation to borrowings.</w:t>
      </w:r>
    </w:p>
    <w:p w14:paraId="60B53C80" w14:textId="77777777" w:rsidR="005A008B" w:rsidRPr="00D90C15" w:rsidRDefault="005A008B" w:rsidP="00234617">
      <w:r w:rsidRPr="006512A5">
        <w:rPr>
          <w:rStyle w:val="Bold"/>
        </w:rPr>
        <w:t xml:space="preserve">Net result </w:t>
      </w:r>
      <w:r w:rsidRPr="00D90C15">
        <w:t xml:space="preserve">is a measure of financial performance of the operations for the period. It is the net result of items of revenue, gains and expenses (including losses) recognised for the period, excluding those classified as ‘other non-owner movements in equity’. </w:t>
      </w:r>
    </w:p>
    <w:p w14:paraId="23DEF216" w14:textId="77777777" w:rsidR="005A008B" w:rsidRPr="00D90C15" w:rsidRDefault="005A008B" w:rsidP="00234617">
      <w:r w:rsidRPr="006512A5">
        <w:rPr>
          <w:rStyle w:val="Bold"/>
        </w:rPr>
        <w:lastRenderedPageBreak/>
        <w:t>Net worth</w:t>
      </w:r>
      <w:r w:rsidRPr="00D90C15">
        <w:t xml:space="preserve"> is calculated as assets less liabilities, which is an economic measure of wealth. </w:t>
      </w:r>
    </w:p>
    <w:p w14:paraId="3AFA0BF0" w14:textId="77777777" w:rsidR="005A008B" w:rsidRPr="00D90C15" w:rsidRDefault="005A008B" w:rsidP="00234617">
      <w:r w:rsidRPr="006512A5">
        <w:rPr>
          <w:rStyle w:val="Bold"/>
        </w:rPr>
        <w:t>Other economic flows</w:t>
      </w:r>
      <w:r w:rsidRPr="00D90C15">
        <w:t xml:space="preserve"> included in net result are changes in the volume or value of an asset or liability that do not result from transactions. In simple terms, other economic flows are changes arising from market remeasurements. They include gains and losses from disposals, revaluations and impairments of non-current physical and intangible assets and fair value changes of financial instruments. </w:t>
      </w:r>
    </w:p>
    <w:p w14:paraId="25A8B6C7" w14:textId="77777777" w:rsidR="005A008B" w:rsidRPr="00D90C15" w:rsidRDefault="005A008B" w:rsidP="00234617">
      <w:r w:rsidRPr="006512A5">
        <w:rPr>
          <w:rStyle w:val="Bold"/>
        </w:rPr>
        <w:t>Payables</w:t>
      </w:r>
      <w:r w:rsidRPr="00D90C15">
        <w:t xml:space="preserve"> include short and long-term trade debt and accounts payable, grants, taxes and interest payable.</w:t>
      </w:r>
    </w:p>
    <w:p w14:paraId="5478B9CC" w14:textId="77777777" w:rsidR="005A008B" w:rsidRPr="00D90C15" w:rsidRDefault="005A008B" w:rsidP="00234617">
      <w:r w:rsidRPr="006512A5">
        <w:rPr>
          <w:rStyle w:val="Bold"/>
        </w:rPr>
        <w:t>Receivables</w:t>
      </w:r>
      <w:r w:rsidRPr="00D90C15">
        <w:t xml:space="preserve"> include amounts owing from government through appropriation receivable, short and long-term trade credit and accounts receivable, accrued investment income, grants, taxes and interest receivable.</w:t>
      </w:r>
    </w:p>
    <w:p w14:paraId="367CA838" w14:textId="77777777" w:rsidR="005A008B" w:rsidRPr="00D90C15" w:rsidRDefault="005A008B" w:rsidP="00234617">
      <w:r w:rsidRPr="006512A5">
        <w:rPr>
          <w:rStyle w:val="Bold"/>
        </w:rPr>
        <w:t>Supplies and services</w:t>
      </w:r>
      <w:r w:rsidRPr="00D90C15">
        <w:t xml:space="preserve"> generally represent the day-to-day running costs, including maintenance costs, incurred in the normal operations of the Council. </w:t>
      </w:r>
    </w:p>
    <w:p w14:paraId="674E2F67" w14:textId="77777777" w:rsidR="005A008B" w:rsidRPr="00D90C15" w:rsidRDefault="005A008B" w:rsidP="00234617">
      <w:r w:rsidRPr="006512A5">
        <w:rPr>
          <w:rStyle w:val="Bold"/>
        </w:rPr>
        <w:t>Transactions</w:t>
      </w:r>
      <w:r w:rsidRPr="00D90C15">
        <w:t xml:space="preserve"> are those economic flows that are considered to arise </w:t>
      </w:r>
      <w:proofErr w:type="gramStart"/>
      <w:r w:rsidRPr="00D90C15">
        <w:t>as a result of</w:t>
      </w:r>
      <w:proofErr w:type="gramEnd"/>
      <w:r w:rsidRPr="00D90C15">
        <w:t xml:space="preserve"> policy decisions, usually an interaction between two entities by mutual agreement. They also include flows into an entity such as depreciation, where the owner is simultaneously acting as the owner of the depreciating asset and as the consumer of the service provided by the asset. Transactions can be in kind (e.g. assets provided/given free of charge or for nominal consideration) or where the final consideration is cash. In simple terms, transactions arise from the policy decisions of the government.</w:t>
      </w:r>
    </w:p>
    <w:p w14:paraId="3D7D7210" w14:textId="77777777" w:rsidR="005A008B" w:rsidRPr="00D90C15" w:rsidRDefault="005A008B" w:rsidP="002822AC">
      <w:pPr>
        <w:pStyle w:val="Heading3"/>
      </w:pPr>
      <w:bookmarkStart w:id="135" w:name="_Toc221113901"/>
      <w:r w:rsidRPr="00D90C15">
        <w:t>8.8 Style Conventions</w:t>
      </w:r>
      <w:bookmarkEnd w:id="135"/>
    </w:p>
    <w:p w14:paraId="108D9C05" w14:textId="77777777" w:rsidR="005A008B" w:rsidRPr="00D90C15" w:rsidRDefault="005A008B" w:rsidP="00234617">
      <w:r w:rsidRPr="00D90C15">
        <w:t>Figures in the tables and in the text have been rounded. Discrepancies in tables between totals and sums of components reflect rounding. Percentage variations in all tables are based on the underlying unrounded amounts.</w:t>
      </w:r>
    </w:p>
    <w:p w14:paraId="23A714E1" w14:textId="77777777" w:rsidR="005A008B" w:rsidRPr="00D90C15" w:rsidRDefault="005A008B" w:rsidP="00234617">
      <w:r w:rsidRPr="00D90C15">
        <w:t xml:space="preserve">The financial statements and notes are presented based on the illustration for a government agency in the 2024–25 Tier 2 </w:t>
      </w:r>
      <w:r w:rsidRPr="004A331A">
        <w:rPr>
          <w:i/>
          <w:iCs/>
        </w:rPr>
        <w:t>Model Financial Report for Victorian Public Sector Agencies</w:t>
      </w:r>
      <w:r w:rsidRPr="00D90C15">
        <w:t>. The presentation of other disclosures is generally consistent with the other disclosures made in the Council’s annual reports.</w:t>
      </w:r>
    </w:p>
    <w:p w14:paraId="5BD8C3E5" w14:textId="579E5966" w:rsidR="005A008B" w:rsidRPr="002822AC" w:rsidRDefault="006B7598" w:rsidP="002822AC">
      <w:pPr>
        <w:pStyle w:val="Heading1"/>
      </w:pPr>
      <w:bookmarkStart w:id="136" w:name="_Toc221113902"/>
      <w:r w:rsidRPr="002822AC">
        <w:lastRenderedPageBreak/>
        <w:t>Disclosure Index</w:t>
      </w:r>
      <w:bookmarkEnd w:id="136"/>
    </w:p>
    <w:p w14:paraId="1D44E3E2" w14:textId="7DE940BC" w:rsidR="005A008B" w:rsidRPr="00E72391" w:rsidRDefault="005A008B" w:rsidP="00E72391">
      <w:r w:rsidRPr="00D90C15">
        <w:t>The annual report of the Council is prepared in accordance with all relevant Victorian legislations and pronouncements. This index has been prepared to facilitate identification of the Council’s compliance with statutory disclosure requirements.</w:t>
      </w:r>
    </w:p>
    <w:tbl>
      <w:tblPr>
        <w:tblStyle w:val="Table"/>
        <w:tblW w:w="5000" w:type="pct"/>
        <w:tblLook w:val="0020" w:firstRow="1" w:lastRow="0" w:firstColumn="0" w:lastColumn="0" w:noHBand="0" w:noVBand="0"/>
      </w:tblPr>
      <w:tblGrid>
        <w:gridCol w:w="1618"/>
        <w:gridCol w:w="5698"/>
        <w:gridCol w:w="1700"/>
      </w:tblGrid>
      <w:tr w:rsidR="005A008B" w:rsidRPr="00D90C15" w14:paraId="404DDF1E" w14:textId="77777777" w:rsidTr="0046794E">
        <w:trPr>
          <w:trHeight w:val="60"/>
        </w:trPr>
        <w:tc>
          <w:tcPr>
            <w:tcW w:w="897" w:type="pct"/>
          </w:tcPr>
          <w:p w14:paraId="76E717A3" w14:textId="77777777" w:rsidR="005A008B" w:rsidRPr="00D90C15" w:rsidRDefault="005A008B" w:rsidP="00CA36E9">
            <w:pPr>
              <w:pStyle w:val="TableHeading"/>
            </w:pPr>
            <w:r w:rsidRPr="00D90C15">
              <w:t>Legislation</w:t>
            </w:r>
          </w:p>
        </w:tc>
        <w:tc>
          <w:tcPr>
            <w:tcW w:w="3160" w:type="pct"/>
          </w:tcPr>
          <w:p w14:paraId="1A82AD72" w14:textId="77777777" w:rsidR="005A008B" w:rsidRPr="00D90C15" w:rsidRDefault="005A008B" w:rsidP="00CA36E9">
            <w:pPr>
              <w:pStyle w:val="TableHeading"/>
            </w:pPr>
            <w:r w:rsidRPr="00D90C15">
              <w:t>Requirement</w:t>
            </w:r>
          </w:p>
        </w:tc>
        <w:tc>
          <w:tcPr>
            <w:tcW w:w="943" w:type="pct"/>
          </w:tcPr>
          <w:p w14:paraId="2244B12D" w14:textId="5EF703EC" w:rsidR="005A008B" w:rsidRPr="00D90C15" w:rsidRDefault="005A008B" w:rsidP="003D59B8">
            <w:pPr>
              <w:pStyle w:val="TableHeading"/>
            </w:pPr>
            <w:r w:rsidRPr="00D90C15">
              <w:t>Page reference</w:t>
            </w:r>
            <w:r w:rsidR="00110E4E">
              <w:t xml:space="preserve"> </w:t>
            </w:r>
          </w:p>
        </w:tc>
      </w:tr>
      <w:tr w:rsidR="000709C1" w:rsidRPr="00D90C15" w14:paraId="7A43D6C6" w14:textId="77777777" w:rsidTr="0046794E">
        <w:trPr>
          <w:trHeight w:val="60"/>
        </w:trPr>
        <w:tc>
          <w:tcPr>
            <w:tcW w:w="897" w:type="pct"/>
          </w:tcPr>
          <w:p w14:paraId="764E9063" w14:textId="77777777" w:rsidR="000709C1" w:rsidRPr="00D90C15" w:rsidRDefault="000709C1" w:rsidP="00E82D64">
            <w:pPr>
              <w:pStyle w:val="TableBody"/>
            </w:pPr>
          </w:p>
        </w:tc>
        <w:tc>
          <w:tcPr>
            <w:tcW w:w="3160" w:type="pct"/>
          </w:tcPr>
          <w:p w14:paraId="3F0610BD" w14:textId="7F07BC9D" w:rsidR="000709C1" w:rsidRPr="00837399" w:rsidRDefault="000709C1" w:rsidP="00E82D64">
            <w:pPr>
              <w:pStyle w:val="TableBody"/>
              <w:rPr>
                <w:rStyle w:val="BoldItalic"/>
              </w:rPr>
            </w:pPr>
            <w:r w:rsidRPr="00837399">
              <w:rPr>
                <w:rStyle w:val="BoldItalic"/>
              </w:rPr>
              <w:t>Standing Directions and Financial Reporting Directions</w:t>
            </w:r>
          </w:p>
        </w:tc>
        <w:tc>
          <w:tcPr>
            <w:tcW w:w="943" w:type="pct"/>
          </w:tcPr>
          <w:p w14:paraId="66BCF65A" w14:textId="77777777" w:rsidR="000709C1" w:rsidRPr="00D90C15" w:rsidRDefault="000709C1" w:rsidP="00E82D64">
            <w:pPr>
              <w:pStyle w:val="TableBody"/>
            </w:pPr>
          </w:p>
        </w:tc>
      </w:tr>
      <w:tr w:rsidR="000709C1" w:rsidRPr="00D90C15" w14:paraId="4B0F6C5D" w14:textId="77777777" w:rsidTr="0046794E">
        <w:trPr>
          <w:trHeight w:val="60"/>
        </w:trPr>
        <w:tc>
          <w:tcPr>
            <w:tcW w:w="897" w:type="pct"/>
          </w:tcPr>
          <w:p w14:paraId="486492D8" w14:textId="77777777" w:rsidR="000709C1" w:rsidRPr="00D90C15" w:rsidRDefault="000709C1" w:rsidP="00E82D64">
            <w:pPr>
              <w:pStyle w:val="TableBody"/>
            </w:pPr>
          </w:p>
        </w:tc>
        <w:tc>
          <w:tcPr>
            <w:tcW w:w="3160" w:type="pct"/>
          </w:tcPr>
          <w:p w14:paraId="55625111" w14:textId="43163869" w:rsidR="000709C1" w:rsidRPr="00837399" w:rsidRDefault="000709C1" w:rsidP="00E82D64">
            <w:pPr>
              <w:pStyle w:val="TableBody"/>
              <w:rPr>
                <w:rStyle w:val="BoldItalic"/>
              </w:rPr>
            </w:pPr>
            <w:r w:rsidRPr="00837399">
              <w:rPr>
                <w:rStyle w:val="BoldItalic"/>
              </w:rPr>
              <w:t>Report of operations</w:t>
            </w:r>
          </w:p>
        </w:tc>
        <w:tc>
          <w:tcPr>
            <w:tcW w:w="943" w:type="pct"/>
          </w:tcPr>
          <w:p w14:paraId="37CCE8E5" w14:textId="77777777" w:rsidR="000709C1" w:rsidRPr="00D90C15" w:rsidRDefault="000709C1" w:rsidP="00E82D64">
            <w:pPr>
              <w:pStyle w:val="TableBody"/>
            </w:pPr>
          </w:p>
        </w:tc>
      </w:tr>
      <w:tr w:rsidR="000709C1" w:rsidRPr="00D90C15" w14:paraId="29DD39A9" w14:textId="77777777" w:rsidTr="0046794E">
        <w:trPr>
          <w:trHeight w:val="60"/>
        </w:trPr>
        <w:tc>
          <w:tcPr>
            <w:tcW w:w="897" w:type="pct"/>
          </w:tcPr>
          <w:p w14:paraId="58840C02" w14:textId="77777777" w:rsidR="000709C1" w:rsidRPr="00D90C15" w:rsidRDefault="000709C1" w:rsidP="00E82D64">
            <w:pPr>
              <w:pStyle w:val="TableBody"/>
            </w:pPr>
          </w:p>
        </w:tc>
        <w:tc>
          <w:tcPr>
            <w:tcW w:w="3160" w:type="pct"/>
          </w:tcPr>
          <w:p w14:paraId="5CCD7FDE" w14:textId="3AB3D6D0" w:rsidR="000709C1" w:rsidRPr="00D90C15" w:rsidRDefault="000709C1" w:rsidP="00E82D64">
            <w:pPr>
              <w:pStyle w:val="TableBody"/>
            </w:pPr>
            <w:r w:rsidRPr="00E72391">
              <w:rPr>
                <w:b/>
                <w:bCs/>
              </w:rPr>
              <w:t>Charter and purpose</w:t>
            </w:r>
          </w:p>
        </w:tc>
        <w:tc>
          <w:tcPr>
            <w:tcW w:w="943" w:type="pct"/>
          </w:tcPr>
          <w:p w14:paraId="52AF4B01" w14:textId="77777777" w:rsidR="000709C1" w:rsidRPr="00D90C15" w:rsidRDefault="000709C1" w:rsidP="00E82D64">
            <w:pPr>
              <w:pStyle w:val="TableBody"/>
            </w:pPr>
          </w:p>
        </w:tc>
      </w:tr>
      <w:tr w:rsidR="005A008B" w:rsidRPr="00D90C15" w14:paraId="445A3F31" w14:textId="77777777" w:rsidTr="0046794E">
        <w:trPr>
          <w:trHeight w:val="60"/>
        </w:trPr>
        <w:tc>
          <w:tcPr>
            <w:tcW w:w="897" w:type="pct"/>
          </w:tcPr>
          <w:p w14:paraId="2A63B207" w14:textId="77777777" w:rsidR="005A008B" w:rsidRPr="00D90C15" w:rsidRDefault="005A008B" w:rsidP="00E82D64">
            <w:pPr>
              <w:pStyle w:val="TableBody"/>
            </w:pPr>
            <w:r w:rsidRPr="00D90C15">
              <w:t>FRD 22</w:t>
            </w:r>
          </w:p>
        </w:tc>
        <w:tc>
          <w:tcPr>
            <w:tcW w:w="3160" w:type="pct"/>
          </w:tcPr>
          <w:p w14:paraId="4DB18897" w14:textId="77777777" w:rsidR="005A008B" w:rsidRPr="00D90C15" w:rsidRDefault="005A008B" w:rsidP="00E82D64">
            <w:pPr>
              <w:pStyle w:val="TableBody"/>
            </w:pPr>
            <w:r w:rsidRPr="00D90C15">
              <w:t>Manner of establishment and the relevant Ministers</w:t>
            </w:r>
          </w:p>
        </w:tc>
        <w:tc>
          <w:tcPr>
            <w:tcW w:w="943" w:type="pct"/>
          </w:tcPr>
          <w:p w14:paraId="2ED1DEBA" w14:textId="77777777" w:rsidR="005A008B" w:rsidRPr="00D90C15" w:rsidRDefault="005A008B" w:rsidP="00E82D64">
            <w:pPr>
              <w:pStyle w:val="TableBody"/>
            </w:pPr>
            <w:r w:rsidRPr="00D90C15">
              <w:t>7, 43, 64</w:t>
            </w:r>
          </w:p>
        </w:tc>
      </w:tr>
      <w:tr w:rsidR="005A008B" w:rsidRPr="00D90C15" w14:paraId="21F5B1C1" w14:textId="77777777" w:rsidTr="0046794E">
        <w:trPr>
          <w:trHeight w:val="60"/>
        </w:trPr>
        <w:tc>
          <w:tcPr>
            <w:tcW w:w="897" w:type="pct"/>
          </w:tcPr>
          <w:p w14:paraId="5537086D" w14:textId="77777777" w:rsidR="005A008B" w:rsidRPr="00D90C15" w:rsidRDefault="005A008B" w:rsidP="00E82D64">
            <w:pPr>
              <w:pStyle w:val="TableBody"/>
            </w:pPr>
            <w:r w:rsidRPr="00D90C15">
              <w:t>FRD 22</w:t>
            </w:r>
          </w:p>
        </w:tc>
        <w:tc>
          <w:tcPr>
            <w:tcW w:w="3160" w:type="pct"/>
          </w:tcPr>
          <w:p w14:paraId="3B4B1E55" w14:textId="77777777" w:rsidR="005A008B" w:rsidRPr="00D90C15" w:rsidRDefault="005A008B" w:rsidP="00E82D64">
            <w:pPr>
              <w:pStyle w:val="TableBody"/>
            </w:pPr>
            <w:r w:rsidRPr="00D90C15">
              <w:t>Purpose, functions, powers and duties</w:t>
            </w:r>
          </w:p>
        </w:tc>
        <w:tc>
          <w:tcPr>
            <w:tcW w:w="943" w:type="pct"/>
          </w:tcPr>
          <w:p w14:paraId="4BD76976" w14:textId="77777777" w:rsidR="005A008B" w:rsidRPr="00D90C15" w:rsidRDefault="005A008B" w:rsidP="00E82D64">
            <w:pPr>
              <w:pStyle w:val="TableBody"/>
            </w:pPr>
            <w:r w:rsidRPr="00D90C15">
              <w:t>7, 12, 15, 19, 28</w:t>
            </w:r>
          </w:p>
        </w:tc>
      </w:tr>
      <w:tr w:rsidR="005A008B" w:rsidRPr="00D90C15" w14:paraId="21D86065" w14:textId="77777777" w:rsidTr="0046794E">
        <w:trPr>
          <w:trHeight w:val="60"/>
        </w:trPr>
        <w:tc>
          <w:tcPr>
            <w:tcW w:w="897" w:type="pct"/>
          </w:tcPr>
          <w:p w14:paraId="69B10371" w14:textId="77777777" w:rsidR="005A008B" w:rsidRPr="00D90C15" w:rsidRDefault="005A008B" w:rsidP="00E82D64">
            <w:pPr>
              <w:pStyle w:val="TableBody"/>
            </w:pPr>
            <w:r w:rsidRPr="00D90C15">
              <w:t>FRD 8</w:t>
            </w:r>
          </w:p>
        </w:tc>
        <w:tc>
          <w:tcPr>
            <w:tcW w:w="3160" w:type="pct"/>
          </w:tcPr>
          <w:p w14:paraId="46DDE715" w14:textId="77777777" w:rsidR="005A008B" w:rsidRPr="00D90C15" w:rsidRDefault="005A008B" w:rsidP="00E82D64">
            <w:pPr>
              <w:pStyle w:val="TableBody"/>
            </w:pPr>
            <w:r w:rsidRPr="00D90C15">
              <w:t>Council objectives, indicators and outputs</w:t>
            </w:r>
          </w:p>
        </w:tc>
        <w:tc>
          <w:tcPr>
            <w:tcW w:w="943" w:type="pct"/>
          </w:tcPr>
          <w:p w14:paraId="49F6F316" w14:textId="77777777" w:rsidR="005A008B" w:rsidRPr="00D90C15" w:rsidRDefault="005A008B" w:rsidP="00E82D64">
            <w:pPr>
              <w:pStyle w:val="TableBody"/>
            </w:pPr>
            <w:r w:rsidRPr="00D90C15">
              <w:t>12–27</w:t>
            </w:r>
          </w:p>
        </w:tc>
      </w:tr>
      <w:tr w:rsidR="005A008B" w:rsidRPr="00D90C15" w14:paraId="06A33458" w14:textId="77777777" w:rsidTr="0046794E">
        <w:trPr>
          <w:trHeight w:val="60"/>
        </w:trPr>
        <w:tc>
          <w:tcPr>
            <w:tcW w:w="897" w:type="pct"/>
          </w:tcPr>
          <w:p w14:paraId="04F6CE86" w14:textId="77777777" w:rsidR="005A008B" w:rsidRPr="00D90C15" w:rsidRDefault="005A008B" w:rsidP="00E82D64">
            <w:pPr>
              <w:pStyle w:val="TableBody"/>
            </w:pPr>
            <w:r w:rsidRPr="00D90C15">
              <w:t>FRD 22</w:t>
            </w:r>
          </w:p>
        </w:tc>
        <w:tc>
          <w:tcPr>
            <w:tcW w:w="3160" w:type="pct"/>
          </w:tcPr>
          <w:p w14:paraId="0B5D9744" w14:textId="77777777" w:rsidR="005A008B" w:rsidRPr="00D90C15" w:rsidRDefault="005A008B" w:rsidP="00E82D64">
            <w:pPr>
              <w:pStyle w:val="TableBody"/>
            </w:pPr>
            <w:r w:rsidRPr="00D90C15">
              <w:t>Key initiatives and projects</w:t>
            </w:r>
          </w:p>
        </w:tc>
        <w:tc>
          <w:tcPr>
            <w:tcW w:w="943" w:type="pct"/>
          </w:tcPr>
          <w:p w14:paraId="2080C21A" w14:textId="77777777" w:rsidR="005A008B" w:rsidRPr="00D90C15" w:rsidRDefault="005A008B" w:rsidP="00E82D64">
            <w:pPr>
              <w:pStyle w:val="TableBody"/>
            </w:pPr>
            <w:r w:rsidRPr="00D90C15">
              <w:t>3, 4–6, 12–21</w:t>
            </w:r>
          </w:p>
        </w:tc>
      </w:tr>
      <w:tr w:rsidR="005A008B" w:rsidRPr="00D90C15" w14:paraId="27CAEBF2" w14:textId="77777777" w:rsidTr="0046794E">
        <w:trPr>
          <w:trHeight w:val="60"/>
        </w:trPr>
        <w:tc>
          <w:tcPr>
            <w:tcW w:w="897" w:type="pct"/>
          </w:tcPr>
          <w:p w14:paraId="3E1BBFBA" w14:textId="77777777" w:rsidR="005A008B" w:rsidRPr="00D90C15" w:rsidRDefault="005A008B" w:rsidP="00E82D64">
            <w:pPr>
              <w:pStyle w:val="TableBody"/>
            </w:pPr>
            <w:r w:rsidRPr="00D90C15">
              <w:t>FRD 22</w:t>
            </w:r>
          </w:p>
        </w:tc>
        <w:tc>
          <w:tcPr>
            <w:tcW w:w="3160" w:type="pct"/>
          </w:tcPr>
          <w:p w14:paraId="49971F68" w14:textId="77777777" w:rsidR="005A008B" w:rsidRPr="00D90C15" w:rsidRDefault="005A008B" w:rsidP="00E82D64">
            <w:pPr>
              <w:pStyle w:val="TableBody"/>
            </w:pPr>
            <w:r w:rsidRPr="00D90C15">
              <w:t>Nature and range of services provided</w:t>
            </w:r>
          </w:p>
        </w:tc>
        <w:tc>
          <w:tcPr>
            <w:tcW w:w="943" w:type="pct"/>
          </w:tcPr>
          <w:p w14:paraId="459CB4A5" w14:textId="77777777" w:rsidR="005A008B" w:rsidRPr="00D90C15" w:rsidRDefault="005A008B" w:rsidP="00E82D64">
            <w:pPr>
              <w:pStyle w:val="TableBody"/>
            </w:pPr>
            <w:r w:rsidRPr="00D90C15">
              <w:t>12, 15, 19, 28</w:t>
            </w:r>
          </w:p>
        </w:tc>
      </w:tr>
      <w:tr w:rsidR="00581B71" w:rsidRPr="00D90C15" w14:paraId="33AABC18" w14:textId="77777777" w:rsidTr="0046794E">
        <w:trPr>
          <w:trHeight w:val="60"/>
        </w:trPr>
        <w:tc>
          <w:tcPr>
            <w:tcW w:w="897" w:type="pct"/>
          </w:tcPr>
          <w:p w14:paraId="41B7C2D6" w14:textId="77777777" w:rsidR="00581B71" w:rsidRPr="00D90C15" w:rsidRDefault="00581B71" w:rsidP="00E82D64">
            <w:pPr>
              <w:pStyle w:val="TableBody"/>
            </w:pPr>
          </w:p>
        </w:tc>
        <w:tc>
          <w:tcPr>
            <w:tcW w:w="3160" w:type="pct"/>
          </w:tcPr>
          <w:p w14:paraId="41BA614F" w14:textId="245A3AFF" w:rsidR="00581B71" w:rsidRPr="00D90C15" w:rsidRDefault="00581B71" w:rsidP="00E82D64">
            <w:pPr>
              <w:pStyle w:val="TableBody"/>
            </w:pPr>
            <w:r w:rsidRPr="00E72391">
              <w:rPr>
                <w:b/>
                <w:bCs/>
              </w:rPr>
              <w:t>Management and structure</w:t>
            </w:r>
          </w:p>
        </w:tc>
        <w:tc>
          <w:tcPr>
            <w:tcW w:w="943" w:type="pct"/>
          </w:tcPr>
          <w:p w14:paraId="2633FE2D" w14:textId="77777777" w:rsidR="00581B71" w:rsidRPr="00D90C15" w:rsidRDefault="00581B71" w:rsidP="00E82D64">
            <w:pPr>
              <w:pStyle w:val="TableBody"/>
            </w:pPr>
          </w:p>
        </w:tc>
      </w:tr>
      <w:tr w:rsidR="005A008B" w:rsidRPr="00D90C15" w14:paraId="58607EF6" w14:textId="77777777" w:rsidTr="0046794E">
        <w:trPr>
          <w:trHeight w:val="60"/>
        </w:trPr>
        <w:tc>
          <w:tcPr>
            <w:tcW w:w="897" w:type="pct"/>
          </w:tcPr>
          <w:p w14:paraId="4C7524AD" w14:textId="77777777" w:rsidR="005A008B" w:rsidRPr="00D90C15" w:rsidRDefault="005A008B" w:rsidP="00E82D64">
            <w:pPr>
              <w:pStyle w:val="TableBody"/>
            </w:pPr>
            <w:r w:rsidRPr="00D90C15">
              <w:t>FRD 22</w:t>
            </w:r>
          </w:p>
        </w:tc>
        <w:tc>
          <w:tcPr>
            <w:tcW w:w="3160" w:type="pct"/>
          </w:tcPr>
          <w:p w14:paraId="450CEDF1" w14:textId="77777777" w:rsidR="005A008B" w:rsidRPr="00D90C15" w:rsidRDefault="005A008B" w:rsidP="00E82D64">
            <w:pPr>
              <w:pStyle w:val="TableBody"/>
            </w:pPr>
            <w:proofErr w:type="spellStart"/>
            <w:r w:rsidRPr="00D90C15">
              <w:t>Organisational</w:t>
            </w:r>
            <w:proofErr w:type="spellEnd"/>
            <w:r w:rsidRPr="00D90C15">
              <w:t xml:space="preserve"> structure</w:t>
            </w:r>
          </w:p>
        </w:tc>
        <w:tc>
          <w:tcPr>
            <w:tcW w:w="943" w:type="pct"/>
          </w:tcPr>
          <w:p w14:paraId="1C112260" w14:textId="77777777" w:rsidR="005A008B" w:rsidRPr="00D90C15" w:rsidRDefault="005A008B" w:rsidP="00E82D64">
            <w:pPr>
              <w:pStyle w:val="TableBody"/>
            </w:pPr>
            <w:r w:rsidRPr="00D90C15">
              <w:t>11</w:t>
            </w:r>
          </w:p>
        </w:tc>
      </w:tr>
      <w:tr w:rsidR="00B227B5" w:rsidRPr="00D90C15" w14:paraId="596E9CB7" w14:textId="77777777" w:rsidTr="0046794E">
        <w:trPr>
          <w:trHeight w:val="60"/>
        </w:trPr>
        <w:tc>
          <w:tcPr>
            <w:tcW w:w="897" w:type="pct"/>
          </w:tcPr>
          <w:p w14:paraId="500ABDED" w14:textId="77777777" w:rsidR="00B227B5" w:rsidRPr="00D90C15" w:rsidRDefault="00B227B5" w:rsidP="00E82D64">
            <w:pPr>
              <w:pStyle w:val="TableBody"/>
            </w:pPr>
          </w:p>
        </w:tc>
        <w:tc>
          <w:tcPr>
            <w:tcW w:w="3160" w:type="pct"/>
          </w:tcPr>
          <w:p w14:paraId="4725007E" w14:textId="3917789A" w:rsidR="00B227B5" w:rsidRPr="00D90C15" w:rsidRDefault="00B227B5" w:rsidP="00E82D64">
            <w:pPr>
              <w:pStyle w:val="TableBody"/>
            </w:pPr>
            <w:r w:rsidRPr="00E72391">
              <w:rPr>
                <w:b/>
                <w:bCs/>
              </w:rPr>
              <w:t>Financial and other information</w:t>
            </w:r>
          </w:p>
        </w:tc>
        <w:tc>
          <w:tcPr>
            <w:tcW w:w="943" w:type="pct"/>
          </w:tcPr>
          <w:p w14:paraId="7190C1FB" w14:textId="77777777" w:rsidR="00B227B5" w:rsidRPr="00D90C15" w:rsidRDefault="00B227B5" w:rsidP="00E82D64">
            <w:pPr>
              <w:pStyle w:val="TableBody"/>
            </w:pPr>
          </w:p>
        </w:tc>
      </w:tr>
      <w:tr w:rsidR="005A008B" w:rsidRPr="00D90C15" w14:paraId="088B2C12" w14:textId="77777777" w:rsidTr="0046794E">
        <w:trPr>
          <w:trHeight w:val="60"/>
        </w:trPr>
        <w:tc>
          <w:tcPr>
            <w:tcW w:w="897" w:type="pct"/>
          </w:tcPr>
          <w:p w14:paraId="49084B21" w14:textId="77777777" w:rsidR="005A008B" w:rsidRPr="00D90C15" w:rsidRDefault="005A008B" w:rsidP="00E82D64">
            <w:pPr>
              <w:pStyle w:val="TableBody"/>
            </w:pPr>
            <w:r w:rsidRPr="00D90C15">
              <w:t>FRD 8</w:t>
            </w:r>
          </w:p>
        </w:tc>
        <w:tc>
          <w:tcPr>
            <w:tcW w:w="3160" w:type="pct"/>
          </w:tcPr>
          <w:p w14:paraId="5E37128B" w14:textId="77777777" w:rsidR="005A008B" w:rsidRPr="00D90C15" w:rsidRDefault="005A008B" w:rsidP="00E82D64">
            <w:pPr>
              <w:pStyle w:val="TableBody"/>
            </w:pPr>
            <w:r w:rsidRPr="00D90C15">
              <w:t>Performance against output performance measures</w:t>
            </w:r>
          </w:p>
        </w:tc>
        <w:tc>
          <w:tcPr>
            <w:tcW w:w="943" w:type="pct"/>
          </w:tcPr>
          <w:p w14:paraId="01CF4B5F" w14:textId="77777777" w:rsidR="005A008B" w:rsidRPr="00D90C15" w:rsidRDefault="005A008B" w:rsidP="00E82D64">
            <w:pPr>
              <w:pStyle w:val="TableBody"/>
            </w:pPr>
            <w:r w:rsidRPr="00D90C15">
              <w:t>12–21</w:t>
            </w:r>
          </w:p>
        </w:tc>
      </w:tr>
      <w:tr w:rsidR="005A008B" w:rsidRPr="00D90C15" w14:paraId="5E23C21A" w14:textId="77777777" w:rsidTr="0046794E">
        <w:trPr>
          <w:trHeight w:val="60"/>
        </w:trPr>
        <w:tc>
          <w:tcPr>
            <w:tcW w:w="897" w:type="pct"/>
          </w:tcPr>
          <w:p w14:paraId="5E2656A0" w14:textId="77777777" w:rsidR="005A008B" w:rsidRPr="00D90C15" w:rsidRDefault="005A008B" w:rsidP="00E82D64">
            <w:pPr>
              <w:pStyle w:val="TableBody"/>
            </w:pPr>
            <w:r w:rsidRPr="00D90C15">
              <w:t>FRD 10</w:t>
            </w:r>
          </w:p>
        </w:tc>
        <w:tc>
          <w:tcPr>
            <w:tcW w:w="3160" w:type="pct"/>
          </w:tcPr>
          <w:p w14:paraId="7FD62FC6" w14:textId="77777777" w:rsidR="005A008B" w:rsidRPr="00D90C15" w:rsidRDefault="005A008B" w:rsidP="00E82D64">
            <w:pPr>
              <w:pStyle w:val="TableBody"/>
            </w:pPr>
            <w:r w:rsidRPr="00D90C15">
              <w:t>Disclosure index</w:t>
            </w:r>
          </w:p>
        </w:tc>
        <w:tc>
          <w:tcPr>
            <w:tcW w:w="943" w:type="pct"/>
          </w:tcPr>
          <w:p w14:paraId="56F3B2EB" w14:textId="77777777" w:rsidR="005A008B" w:rsidRPr="00D90C15" w:rsidRDefault="005A008B" w:rsidP="00E82D64">
            <w:pPr>
              <w:pStyle w:val="TableBody"/>
            </w:pPr>
            <w:r w:rsidRPr="00D90C15">
              <w:t>71–73</w:t>
            </w:r>
          </w:p>
        </w:tc>
      </w:tr>
      <w:tr w:rsidR="005A008B" w:rsidRPr="00D90C15" w14:paraId="4F6045BB" w14:textId="77777777" w:rsidTr="0046794E">
        <w:trPr>
          <w:trHeight w:val="60"/>
        </w:trPr>
        <w:tc>
          <w:tcPr>
            <w:tcW w:w="897" w:type="pct"/>
          </w:tcPr>
          <w:p w14:paraId="1CDA4C65" w14:textId="77777777" w:rsidR="005A008B" w:rsidRPr="00D90C15" w:rsidRDefault="005A008B" w:rsidP="00E82D64">
            <w:pPr>
              <w:pStyle w:val="TableBody"/>
            </w:pPr>
            <w:r w:rsidRPr="00D90C15">
              <w:t>FRD 12</w:t>
            </w:r>
          </w:p>
        </w:tc>
        <w:tc>
          <w:tcPr>
            <w:tcW w:w="3160" w:type="pct"/>
          </w:tcPr>
          <w:p w14:paraId="7DB17636" w14:textId="77777777" w:rsidR="005A008B" w:rsidRPr="00D90C15" w:rsidRDefault="005A008B" w:rsidP="00E82D64">
            <w:pPr>
              <w:pStyle w:val="TableBody"/>
            </w:pPr>
            <w:r w:rsidRPr="00D90C15">
              <w:t>Disclosure of major contracts</w:t>
            </w:r>
          </w:p>
        </w:tc>
        <w:tc>
          <w:tcPr>
            <w:tcW w:w="943" w:type="pct"/>
          </w:tcPr>
          <w:p w14:paraId="1C10E650" w14:textId="77777777" w:rsidR="005A008B" w:rsidRPr="00D90C15" w:rsidRDefault="005A008B" w:rsidP="00E82D64">
            <w:pPr>
              <w:pStyle w:val="TableBody"/>
            </w:pPr>
            <w:r w:rsidRPr="00D90C15">
              <w:t>30</w:t>
            </w:r>
          </w:p>
        </w:tc>
      </w:tr>
      <w:tr w:rsidR="005A008B" w:rsidRPr="00D90C15" w14:paraId="29A1A6CA" w14:textId="77777777" w:rsidTr="0046794E">
        <w:trPr>
          <w:trHeight w:val="60"/>
        </w:trPr>
        <w:tc>
          <w:tcPr>
            <w:tcW w:w="897" w:type="pct"/>
          </w:tcPr>
          <w:p w14:paraId="3B5FF964" w14:textId="77777777" w:rsidR="005A008B" w:rsidRPr="00D90C15" w:rsidRDefault="005A008B" w:rsidP="00E82D64">
            <w:pPr>
              <w:pStyle w:val="TableBody"/>
            </w:pPr>
            <w:r w:rsidRPr="00D90C15">
              <w:t>FRD 15</w:t>
            </w:r>
          </w:p>
        </w:tc>
        <w:tc>
          <w:tcPr>
            <w:tcW w:w="3160" w:type="pct"/>
          </w:tcPr>
          <w:p w14:paraId="6BEF3EBA" w14:textId="77777777" w:rsidR="005A008B" w:rsidRPr="00D90C15" w:rsidRDefault="005A008B" w:rsidP="00E82D64">
            <w:pPr>
              <w:pStyle w:val="TableBody"/>
            </w:pPr>
            <w:r w:rsidRPr="00D90C15">
              <w:t>Executive disclosures</w:t>
            </w:r>
          </w:p>
        </w:tc>
        <w:tc>
          <w:tcPr>
            <w:tcW w:w="943" w:type="pct"/>
          </w:tcPr>
          <w:p w14:paraId="544657C3" w14:textId="77777777" w:rsidR="005A008B" w:rsidRPr="00D90C15" w:rsidRDefault="005A008B" w:rsidP="00E82D64">
            <w:pPr>
              <w:pStyle w:val="TableBody"/>
            </w:pPr>
            <w:r w:rsidRPr="00D90C15">
              <w:t>64–67</w:t>
            </w:r>
          </w:p>
        </w:tc>
      </w:tr>
      <w:tr w:rsidR="005A008B" w:rsidRPr="00D90C15" w14:paraId="2526B5CF" w14:textId="77777777" w:rsidTr="0046794E">
        <w:trPr>
          <w:trHeight w:val="60"/>
        </w:trPr>
        <w:tc>
          <w:tcPr>
            <w:tcW w:w="897" w:type="pct"/>
          </w:tcPr>
          <w:p w14:paraId="398849C8" w14:textId="77777777" w:rsidR="005A008B" w:rsidRPr="00D90C15" w:rsidRDefault="005A008B" w:rsidP="00E82D64">
            <w:pPr>
              <w:pStyle w:val="TableBody"/>
            </w:pPr>
            <w:r w:rsidRPr="00D90C15">
              <w:t>FRD 22</w:t>
            </w:r>
          </w:p>
        </w:tc>
        <w:tc>
          <w:tcPr>
            <w:tcW w:w="3160" w:type="pct"/>
          </w:tcPr>
          <w:p w14:paraId="3C83528D" w14:textId="77777777" w:rsidR="005A008B" w:rsidRPr="00D90C15" w:rsidRDefault="005A008B" w:rsidP="00E82D64">
            <w:pPr>
              <w:pStyle w:val="TableBody"/>
            </w:pPr>
            <w:r w:rsidRPr="00D90C15">
              <w:t>Employment and conduct principles</w:t>
            </w:r>
          </w:p>
        </w:tc>
        <w:tc>
          <w:tcPr>
            <w:tcW w:w="943" w:type="pct"/>
          </w:tcPr>
          <w:p w14:paraId="1502BD59" w14:textId="77777777" w:rsidR="005A008B" w:rsidRPr="00D90C15" w:rsidRDefault="005A008B" w:rsidP="00E82D64">
            <w:pPr>
              <w:pStyle w:val="TableBody"/>
            </w:pPr>
            <w:r w:rsidRPr="00D90C15">
              <w:t>31</w:t>
            </w:r>
          </w:p>
        </w:tc>
      </w:tr>
      <w:tr w:rsidR="005A008B" w:rsidRPr="00D90C15" w14:paraId="395F3974" w14:textId="77777777" w:rsidTr="0046794E">
        <w:trPr>
          <w:trHeight w:val="60"/>
        </w:trPr>
        <w:tc>
          <w:tcPr>
            <w:tcW w:w="897" w:type="pct"/>
          </w:tcPr>
          <w:p w14:paraId="59197BB2" w14:textId="77777777" w:rsidR="005A008B" w:rsidRPr="00D90C15" w:rsidRDefault="005A008B" w:rsidP="00E82D64">
            <w:pPr>
              <w:pStyle w:val="TableBody"/>
            </w:pPr>
            <w:r w:rsidRPr="00D90C15">
              <w:t>FRD 22</w:t>
            </w:r>
          </w:p>
        </w:tc>
        <w:tc>
          <w:tcPr>
            <w:tcW w:w="3160" w:type="pct"/>
          </w:tcPr>
          <w:p w14:paraId="41AB5007" w14:textId="77777777" w:rsidR="005A008B" w:rsidRPr="00D90C15" w:rsidRDefault="005A008B" w:rsidP="00E82D64">
            <w:pPr>
              <w:pStyle w:val="TableBody"/>
            </w:pPr>
            <w:r w:rsidRPr="00D90C15">
              <w:t>Occupational health and safety policy</w:t>
            </w:r>
          </w:p>
        </w:tc>
        <w:tc>
          <w:tcPr>
            <w:tcW w:w="943" w:type="pct"/>
          </w:tcPr>
          <w:p w14:paraId="6429F9C0" w14:textId="77777777" w:rsidR="005A008B" w:rsidRPr="00D90C15" w:rsidRDefault="005A008B" w:rsidP="00E82D64">
            <w:pPr>
              <w:pStyle w:val="TableBody"/>
            </w:pPr>
            <w:r w:rsidRPr="00D90C15">
              <w:t>30</w:t>
            </w:r>
          </w:p>
        </w:tc>
      </w:tr>
      <w:tr w:rsidR="005A008B" w:rsidRPr="00D90C15" w14:paraId="7BBAC885" w14:textId="77777777" w:rsidTr="0046794E">
        <w:trPr>
          <w:trHeight w:val="60"/>
        </w:trPr>
        <w:tc>
          <w:tcPr>
            <w:tcW w:w="897" w:type="pct"/>
          </w:tcPr>
          <w:p w14:paraId="152BF6E7" w14:textId="77777777" w:rsidR="005A008B" w:rsidRPr="00D90C15" w:rsidRDefault="005A008B" w:rsidP="00E82D64">
            <w:pPr>
              <w:pStyle w:val="TableBody"/>
            </w:pPr>
            <w:r w:rsidRPr="00D90C15">
              <w:t>FRD 22</w:t>
            </w:r>
          </w:p>
        </w:tc>
        <w:tc>
          <w:tcPr>
            <w:tcW w:w="3160" w:type="pct"/>
          </w:tcPr>
          <w:p w14:paraId="52ABB4A3" w14:textId="77777777" w:rsidR="005A008B" w:rsidRPr="00D90C15" w:rsidRDefault="005A008B" w:rsidP="00E82D64">
            <w:pPr>
              <w:pStyle w:val="TableBody"/>
            </w:pPr>
            <w:r w:rsidRPr="00D90C15">
              <w:t>Summary of the financial results for the year</w:t>
            </w:r>
          </w:p>
        </w:tc>
        <w:tc>
          <w:tcPr>
            <w:tcW w:w="943" w:type="pct"/>
          </w:tcPr>
          <w:p w14:paraId="203DBE50" w14:textId="77777777" w:rsidR="005A008B" w:rsidRPr="00D90C15" w:rsidRDefault="005A008B" w:rsidP="00E82D64">
            <w:pPr>
              <w:pStyle w:val="TableBody"/>
            </w:pPr>
            <w:r w:rsidRPr="00D90C15">
              <w:t>33</w:t>
            </w:r>
          </w:p>
        </w:tc>
      </w:tr>
      <w:tr w:rsidR="005A008B" w:rsidRPr="00D90C15" w14:paraId="5CCB97B3" w14:textId="77777777" w:rsidTr="0046794E">
        <w:trPr>
          <w:trHeight w:val="60"/>
        </w:trPr>
        <w:tc>
          <w:tcPr>
            <w:tcW w:w="897" w:type="pct"/>
          </w:tcPr>
          <w:p w14:paraId="47AB7EC4" w14:textId="77777777" w:rsidR="005A008B" w:rsidRPr="00D90C15" w:rsidRDefault="005A008B" w:rsidP="00E82D64">
            <w:pPr>
              <w:pStyle w:val="TableBody"/>
            </w:pPr>
            <w:r w:rsidRPr="00D90C15">
              <w:t>FRD 22</w:t>
            </w:r>
          </w:p>
        </w:tc>
        <w:tc>
          <w:tcPr>
            <w:tcW w:w="3160" w:type="pct"/>
          </w:tcPr>
          <w:p w14:paraId="192B0723" w14:textId="77777777" w:rsidR="005A008B" w:rsidRPr="00D90C15" w:rsidRDefault="005A008B" w:rsidP="00E82D64">
            <w:pPr>
              <w:pStyle w:val="TableBody"/>
            </w:pPr>
            <w:r w:rsidRPr="00D90C15">
              <w:t>Significant changes in financial position during the year</w:t>
            </w:r>
          </w:p>
        </w:tc>
        <w:tc>
          <w:tcPr>
            <w:tcW w:w="943" w:type="pct"/>
          </w:tcPr>
          <w:p w14:paraId="22BD8CB4" w14:textId="77777777" w:rsidR="005A008B" w:rsidRPr="00D90C15" w:rsidRDefault="005A008B" w:rsidP="00E82D64">
            <w:pPr>
              <w:pStyle w:val="TableBody"/>
            </w:pPr>
            <w:r w:rsidRPr="00D90C15">
              <w:t>40</w:t>
            </w:r>
          </w:p>
        </w:tc>
      </w:tr>
      <w:tr w:rsidR="005A008B" w:rsidRPr="00D90C15" w14:paraId="41B6F100" w14:textId="77777777" w:rsidTr="0046794E">
        <w:trPr>
          <w:trHeight w:val="60"/>
        </w:trPr>
        <w:tc>
          <w:tcPr>
            <w:tcW w:w="897" w:type="pct"/>
          </w:tcPr>
          <w:p w14:paraId="0987A4B8" w14:textId="77777777" w:rsidR="005A008B" w:rsidRPr="00D90C15" w:rsidRDefault="005A008B" w:rsidP="00E82D64">
            <w:pPr>
              <w:pStyle w:val="TableBody"/>
            </w:pPr>
            <w:r w:rsidRPr="00D90C15">
              <w:t>FRD 22</w:t>
            </w:r>
          </w:p>
        </w:tc>
        <w:tc>
          <w:tcPr>
            <w:tcW w:w="3160" w:type="pct"/>
          </w:tcPr>
          <w:p w14:paraId="33C6CF88" w14:textId="77777777" w:rsidR="005A008B" w:rsidRPr="00D90C15" w:rsidRDefault="005A008B" w:rsidP="00E82D64">
            <w:pPr>
              <w:pStyle w:val="TableBody"/>
            </w:pPr>
            <w:r w:rsidRPr="00D90C15">
              <w:t>Major changes or factors affecting performance</w:t>
            </w:r>
          </w:p>
        </w:tc>
        <w:tc>
          <w:tcPr>
            <w:tcW w:w="943" w:type="pct"/>
          </w:tcPr>
          <w:p w14:paraId="6D146015" w14:textId="77777777" w:rsidR="005A008B" w:rsidRPr="00D90C15" w:rsidRDefault="005A008B" w:rsidP="00E82D64">
            <w:pPr>
              <w:pStyle w:val="TableBody"/>
            </w:pPr>
            <w:r w:rsidRPr="00D90C15">
              <w:t>6, 33</w:t>
            </w:r>
          </w:p>
        </w:tc>
      </w:tr>
      <w:tr w:rsidR="005A008B" w:rsidRPr="00D90C15" w14:paraId="57DB3437" w14:textId="77777777" w:rsidTr="0046794E">
        <w:trPr>
          <w:trHeight w:val="60"/>
        </w:trPr>
        <w:tc>
          <w:tcPr>
            <w:tcW w:w="897" w:type="pct"/>
          </w:tcPr>
          <w:p w14:paraId="22487215" w14:textId="77777777" w:rsidR="005A008B" w:rsidRPr="00D90C15" w:rsidRDefault="005A008B" w:rsidP="00E82D64">
            <w:pPr>
              <w:pStyle w:val="TableBody"/>
            </w:pPr>
            <w:r w:rsidRPr="00D90C15">
              <w:t>FRD 22</w:t>
            </w:r>
          </w:p>
        </w:tc>
        <w:tc>
          <w:tcPr>
            <w:tcW w:w="3160" w:type="pct"/>
          </w:tcPr>
          <w:p w14:paraId="504D4461" w14:textId="77777777" w:rsidR="005A008B" w:rsidRPr="00D90C15" w:rsidRDefault="005A008B" w:rsidP="00E82D64">
            <w:pPr>
              <w:pStyle w:val="TableBody"/>
            </w:pPr>
            <w:r w:rsidRPr="00D90C15">
              <w:t>Subsequent events</w:t>
            </w:r>
          </w:p>
        </w:tc>
        <w:tc>
          <w:tcPr>
            <w:tcW w:w="943" w:type="pct"/>
          </w:tcPr>
          <w:p w14:paraId="3F451248" w14:textId="77777777" w:rsidR="005A008B" w:rsidRPr="00D90C15" w:rsidRDefault="005A008B" w:rsidP="00E82D64">
            <w:pPr>
              <w:pStyle w:val="TableBody"/>
            </w:pPr>
            <w:r w:rsidRPr="00D90C15">
              <w:t>68</w:t>
            </w:r>
          </w:p>
        </w:tc>
      </w:tr>
      <w:tr w:rsidR="005A008B" w:rsidRPr="00D90C15" w14:paraId="574C4882" w14:textId="77777777" w:rsidTr="0046794E">
        <w:trPr>
          <w:trHeight w:val="60"/>
        </w:trPr>
        <w:tc>
          <w:tcPr>
            <w:tcW w:w="897" w:type="pct"/>
          </w:tcPr>
          <w:p w14:paraId="0F6EF694" w14:textId="77777777" w:rsidR="005A008B" w:rsidRPr="00D90C15" w:rsidRDefault="005A008B" w:rsidP="00E82D64">
            <w:pPr>
              <w:pStyle w:val="TableBody"/>
            </w:pPr>
            <w:r w:rsidRPr="00D90C15">
              <w:t>FRD 22</w:t>
            </w:r>
          </w:p>
        </w:tc>
        <w:tc>
          <w:tcPr>
            <w:tcW w:w="3160" w:type="pct"/>
          </w:tcPr>
          <w:p w14:paraId="2EF64204" w14:textId="77777777" w:rsidR="005A008B" w:rsidRPr="00D90C15" w:rsidRDefault="005A008B" w:rsidP="00E82D64">
            <w:pPr>
              <w:pStyle w:val="TableBody"/>
            </w:pPr>
            <w:r w:rsidRPr="00D90C15">
              <w:t xml:space="preserve">Application and operation of </w:t>
            </w:r>
            <w:r w:rsidRPr="002822AC">
              <w:rPr>
                <w:i/>
                <w:iCs/>
              </w:rPr>
              <w:t>Freedom of Information Act 1982</w:t>
            </w:r>
          </w:p>
        </w:tc>
        <w:tc>
          <w:tcPr>
            <w:tcW w:w="943" w:type="pct"/>
          </w:tcPr>
          <w:p w14:paraId="384F5A69" w14:textId="77777777" w:rsidR="005A008B" w:rsidRPr="00D90C15" w:rsidRDefault="005A008B" w:rsidP="00E82D64">
            <w:pPr>
              <w:pStyle w:val="TableBody"/>
            </w:pPr>
            <w:r w:rsidRPr="00D90C15">
              <w:t>31</w:t>
            </w:r>
          </w:p>
        </w:tc>
      </w:tr>
      <w:tr w:rsidR="005A008B" w:rsidRPr="00D90C15" w14:paraId="62775B03" w14:textId="77777777" w:rsidTr="0046794E">
        <w:trPr>
          <w:trHeight w:val="60"/>
        </w:trPr>
        <w:tc>
          <w:tcPr>
            <w:tcW w:w="897" w:type="pct"/>
          </w:tcPr>
          <w:p w14:paraId="24867F51" w14:textId="77777777" w:rsidR="005A008B" w:rsidRPr="00D90C15" w:rsidRDefault="005A008B" w:rsidP="00E82D64">
            <w:pPr>
              <w:pStyle w:val="TableBody"/>
            </w:pPr>
            <w:r w:rsidRPr="00D90C15">
              <w:t>FRD 22</w:t>
            </w:r>
          </w:p>
        </w:tc>
        <w:tc>
          <w:tcPr>
            <w:tcW w:w="3160" w:type="pct"/>
          </w:tcPr>
          <w:p w14:paraId="56CF02F7" w14:textId="77777777" w:rsidR="005A008B" w:rsidRPr="00D90C15" w:rsidRDefault="005A008B" w:rsidP="00E82D64">
            <w:pPr>
              <w:pStyle w:val="TableBody"/>
            </w:pPr>
            <w:r w:rsidRPr="00D90C15">
              <w:t xml:space="preserve">Compliance with building and maintenance provisions of </w:t>
            </w:r>
            <w:r w:rsidRPr="002822AC">
              <w:rPr>
                <w:i/>
                <w:iCs/>
              </w:rPr>
              <w:t>Building Act 1993</w:t>
            </w:r>
          </w:p>
        </w:tc>
        <w:tc>
          <w:tcPr>
            <w:tcW w:w="943" w:type="pct"/>
          </w:tcPr>
          <w:p w14:paraId="5EB1B4F1" w14:textId="77777777" w:rsidR="005A008B" w:rsidRPr="00D90C15" w:rsidRDefault="005A008B" w:rsidP="00E82D64">
            <w:pPr>
              <w:pStyle w:val="TableBody"/>
            </w:pPr>
            <w:r w:rsidRPr="00D90C15">
              <w:t>28</w:t>
            </w:r>
          </w:p>
        </w:tc>
      </w:tr>
      <w:tr w:rsidR="005A008B" w:rsidRPr="00D90C15" w14:paraId="66E6F27E" w14:textId="77777777" w:rsidTr="0046794E">
        <w:trPr>
          <w:trHeight w:val="60"/>
        </w:trPr>
        <w:tc>
          <w:tcPr>
            <w:tcW w:w="897" w:type="pct"/>
          </w:tcPr>
          <w:p w14:paraId="17EB7DA6" w14:textId="77777777" w:rsidR="005A008B" w:rsidRPr="00D90C15" w:rsidRDefault="005A008B" w:rsidP="00E82D64">
            <w:pPr>
              <w:pStyle w:val="TableBody"/>
            </w:pPr>
            <w:r w:rsidRPr="00D90C15">
              <w:t>FRD 22</w:t>
            </w:r>
          </w:p>
        </w:tc>
        <w:tc>
          <w:tcPr>
            <w:tcW w:w="3160" w:type="pct"/>
          </w:tcPr>
          <w:p w14:paraId="404010F0" w14:textId="77777777" w:rsidR="005A008B" w:rsidRPr="00D90C15" w:rsidRDefault="005A008B" w:rsidP="00E82D64">
            <w:pPr>
              <w:pStyle w:val="TableBody"/>
            </w:pPr>
            <w:r w:rsidRPr="00D90C15">
              <w:t>Statement on National Competition Policy</w:t>
            </w:r>
          </w:p>
        </w:tc>
        <w:tc>
          <w:tcPr>
            <w:tcW w:w="943" w:type="pct"/>
          </w:tcPr>
          <w:p w14:paraId="74D69389" w14:textId="77777777" w:rsidR="005A008B" w:rsidRPr="00D90C15" w:rsidRDefault="005A008B" w:rsidP="00E82D64">
            <w:pPr>
              <w:pStyle w:val="TableBody"/>
            </w:pPr>
            <w:r w:rsidRPr="00D90C15">
              <w:t>29</w:t>
            </w:r>
          </w:p>
        </w:tc>
      </w:tr>
      <w:tr w:rsidR="005A008B" w:rsidRPr="00D90C15" w14:paraId="7EC3C1BA" w14:textId="77777777" w:rsidTr="0046794E">
        <w:trPr>
          <w:trHeight w:val="60"/>
        </w:trPr>
        <w:tc>
          <w:tcPr>
            <w:tcW w:w="897" w:type="pct"/>
          </w:tcPr>
          <w:p w14:paraId="44F1B233" w14:textId="77777777" w:rsidR="005A008B" w:rsidRPr="00D90C15" w:rsidRDefault="005A008B" w:rsidP="00E82D64">
            <w:pPr>
              <w:pStyle w:val="TableBody"/>
            </w:pPr>
            <w:r w:rsidRPr="00D90C15">
              <w:t>FRD 22</w:t>
            </w:r>
          </w:p>
        </w:tc>
        <w:tc>
          <w:tcPr>
            <w:tcW w:w="3160" w:type="pct"/>
          </w:tcPr>
          <w:p w14:paraId="074E33FC" w14:textId="77777777" w:rsidR="005A008B" w:rsidRPr="00D90C15" w:rsidRDefault="005A008B" w:rsidP="00E82D64">
            <w:pPr>
              <w:pStyle w:val="TableBody"/>
            </w:pPr>
            <w:r w:rsidRPr="00D90C15">
              <w:t xml:space="preserve">Application and operation of the </w:t>
            </w:r>
            <w:r w:rsidRPr="002822AC">
              <w:rPr>
                <w:i/>
                <w:iCs/>
              </w:rPr>
              <w:t>Public Interest Disclosures Act 2012</w:t>
            </w:r>
          </w:p>
        </w:tc>
        <w:tc>
          <w:tcPr>
            <w:tcW w:w="943" w:type="pct"/>
          </w:tcPr>
          <w:p w14:paraId="5E2CFBC6" w14:textId="77777777" w:rsidR="005A008B" w:rsidRPr="00D90C15" w:rsidRDefault="005A008B" w:rsidP="00E82D64">
            <w:pPr>
              <w:pStyle w:val="TableBody"/>
            </w:pPr>
            <w:r w:rsidRPr="00D90C15">
              <w:t>29</w:t>
            </w:r>
          </w:p>
        </w:tc>
      </w:tr>
      <w:tr w:rsidR="005A008B" w:rsidRPr="00D90C15" w14:paraId="37EE1B42" w14:textId="77777777" w:rsidTr="0046794E">
        <w:trPr>
          <w:trHeight w:val="379"/>
        </w:trPr>
        <w:tc>
          <w:tcPr>
            <w:tcW w:w="897" w:type="pct"/>
          </w:tcPr>
          <w:p w14:paraId="36EC04DE" w14:textId="77777777" w:rsidR="005A008B" w:rsidRPr="00D90C15" w:rsidRDefault="005A008B" w:rsidP="00E82D64">
            <w:pPr>
              <w:pStyle w:val="TableBody"/>
            </w:pPr>
            <w:r w:rsidRPr="00D90C15">
              <w:t>FRD 22</w:t>
            </w:r>
          </w:p>
        </w:tc>
        <w:tc>
          <w:tcPr>
            <w:tcW w:w="3160" w:type="pct"/>
          </w:tcPr>
          <w:p w14:paraId="17837BB6" w14:textId="77777777" w:rsidR="005A008B" w:rsidRPr="00D90C15" w:rsidRDefault="005A008B" w:rsidP="00E82D64">
            <w:pPr>
              <w:pStyle w:val="TableBody"/>
            </w:pPr>
            <w:r w:rsidRPr="00D90C15">
              <w:t xml:space="preserve">Application and operation of the </w:t>
            </w:r>
            <w:r w:rsidRPr="002822AC">
              <w:rPr>
                <w:i/>
                <w:iCs/>
              </w:rPr>
              <w:t>Carers Recognition Act 2012</w:t>
            </w:r>
          </w:p>
        </w:tc>
        <w:tc>
          <w:tcPr>
            <w:tcW w:w="943" w:type="pct"/>
          </w:tcPr>
          <w:p w14:paraId="2A2DBE66" w14:textId="77777777" w:rsidR="005A008B" w:rsidRPr="00D90C15" w:rsidRDefault="005A008B" w:rsidP="00E82D64">
            <w:pPr>
              <w:pStyle w:val="TableBody"/>
            </w:pPr>
            <w:r w:rsidRPr="00D90C15">
              <w:t>28</w:t>
            </w:r>
          </w:p>
        </w:tc>
      </w:tr>
      <w:tr w:rsidR="005A008B" w:rsidRPr="00D90C15" w14:paraId="6CFEB77F" w14:textId="77777777" w:rsidTr="0046794E">
        <w:trPr>
          <w:trHeight w:val="60"/>
        </w:trPr>
        <w:tc>
          <w:tcPr>
            <w:tcW w:w="897" w:type="pct"/>
          </w:tcPr>
          <w:p w14:paraId="44988267" w14:textId="77777777" w:rsidR="005A008B" w:rsidRPr="00D90C15" w:rsidRDefault="005A008B" w:rsidP="00E82D64">
            <w:pPr>
              <w:pStyle w:val="TableBody"/>
            </w:pPr>
            <w:r w:rsidRPr="00D90C15">
              <w:t>FRD 22</w:t>
            </w:r>
          </w:p>
        </w:tc>
        <w:tc>
          <w:tcPr>
            <w:tcW w:w="3160" w:type="pct"/>
          </w:tcPr>
          <w:p w14:paraId="29CF7193" w14:textId="77777777" w:rsidR="005A008B" w:rsidRPr="00D90C15" w:rsidRDefault="005A008B" w:rsidP="00E82D64">
            <w:pPr>
              <w:pStyle w:val="TableBody"/>
            </w:pPr>
            <w:r w:rsidRPr="00D90C15">
              <w:t xml:space="preserve">Details of consultancies </w:t>
            </w:r>
            <w:proofErr w:type="gramStart"/>
            <w:r w:rsidRPr="00D90C15">
              <w:t>over</w:t>
            </w:r>
            <w:proofErr w:type="gramEnd"/>
            <w:r w:rsidRPr="00D90C15">
              <w:t xml:space="preserve"> $10,000</w:t>
            </w:r>
          </w:p>
        </w:tc>
        <w:tc>
          <w:tcPr>
            <w:tcW w:w="943" w:type="pct"/>
          </w:tcPr>
          <w:p w14:paraId="1644EB2C" w14:textId="77777777" w:rsidR="005A008B" w:rsidRPr="00D90C15" w:rsidRDefault="005A008B" w:rsidP="00E82D64">
            <w:pPr>
              <w:pStyle w:val="TableBody"/>
            </w:pPr>
            <w:r w:rsidRPr="00D90C15">
              <w:t>30</w:t>
            </w:r>
          </w:p>
        </w:tc>
      </w:tr>
      <w:tr w:rsidR="005A008B" w:rsidRPr="00D90C15" w14:paraId="2DE56C3E" w14:textId="77777777" w:rsidTr="0046794E">
        <w:trPr>
          <w:trHeight w:val="60"/>
        </w:trPr>
        <w:tc>
          <w:tcPr>
            <w:tcW w:w="897" w:type="pct"/>
          </w:tcPr>
          <w:p w14:paraId="02D26C0A" w14:textId="77777777" w:rsidR="005A008B" w:rsidRPr="00D90C15" w:rsidRDefault="005A008B" w:rsidP="00E82D64">
            <w:pPr>
              <w:pStyle w:val="TableBody"/>
            </w:pPr>
            <w:r w:rsidRPr="00D90C15">
              <w:t>FRD 22</w:t>
            </w:r>
          </w:p>
        </w:tc>
        <w:tc>
          <w:tcPr>
            <w:tcW w:w="3160" w:type="pct"/>
          </w:tcPr>
          <w:p w14:paraId="5D877A7F" w14:textId="77777777" w:rsidR="005A008B" w:rsidRPr="00D90C15" w:rsidRDefault="005A008B" w:rsidP="00E82D64">
            <w:pPr>
              <w:pStyle w:val="TableBody"/>
            </w:pPr>
            <w:r w:rsidRPr="00D90C15">
              <w:t xml:space="preserve">Details of </w:t>
            </w:r>
            <w:proofErr w:type="gramStart"/>
            <w:r w:rsidRPr="00D90C15">
              <w:t>consultancies</w:t>
            </w:r>
            <w:proofErr w:type="gramEnd"/>
            <w:r w:rsidRPr="00D90C15">
              <w:t xml:space="preserve"> under $10,000</w:t>
            </w:r>
          </w:p>
        </w:tc>
        <w:tc>
          <w:tcPr>
            <w:tcW w:w="943" w:type="pct"/>
          </w:tcPr>
          <w:p w14:paraId="31734331" w14:textId="77777777" w:rsidR="005A008B" w:rsidRPr="00D90C15" w:rsidRDefault="005A008B" w:rsidP="00E82D64">
            <w:pPr>
              <w:pStyle w:val="TableBody"/>
            </w:pPr>
            <w:r w:rsidRPr="00D90C15">
              <w:t>30</w:t>
            </w:r>
          </w:p>
        </w:tc>
      </w:tr>
      <w:tr w:rsidR="005A008B" w:rsidRPr="00D90C15" w14:paraId="6913FFBD" w14:textId="77777777" w:rsidTr="0046794E">
        <w:trPr>
          <w:trHeight w:val="60"/>
        </w:trPr>
        <w:tc>
          <w:tcPr>
            <w:tcW w:w="897" w:type="pct"/>
          </w:tcPr>
          <w:p w14:paraId="55765E43" w14:textId="77777777" w:rsidR="005A008B" w:rsidRPr="00D90C15" w:rsidRDefault="005A008B" w:rsidP="00E82D64">
            <w:pPr>
              <w:pStyle w:val="TableBody"/>
            </w:pPr>
            <w:r w:rsidRPr="00D90C15">
              <w:t>FRD 22</w:t>
            </w:r>
          </w:p>
        </w:tc>
        <w:tc>
          <w:tcPr>
            <w:tcW w:w="3160" w:type="pct"/>
          </w:tcPr>
          <w:p w14:paraId="390B2514" w14:textId="77777777" w:rsidR="005A008B" w:rsidRPr="00D90C15" w:rsidRDefault="005A008B" w:rsidP="00E82D64">
            <w:pPr>
              <w:pStyle w:val="TableBody"/>
            </w:pPr>
            <w:r w:rsidRPr="00D90C15">
              <w:t>Disclosure of government advertising expenditure</w:t>
            </w:r>
          </w:p>
        </w:tc>
        <w:tc>
          <w:tcPr>
            <w:tcW w:w="943" w:type="pct"/>
          </w:tcPr>
          <w:p w14:paraId="7B9A49F4" w14:textId="77777777" w:rsidR="005A008B" w:rsidRPr="00D90C15" w:rsidRDefault="005A008B" w:rsidP="00E82D64">
            <w:pPr>
              <w:pStyle w:val="TableBody"/>
            </w:pPr>
            <w:r w:rsidRPr="00D90C15">
              <w:t>30</w:t>
            </w:r>
          </w:p>
        </w:tc>
      </w:tr>
      <w:tr w:rsidR="005A008B" w:rsidRPr="00D90C15" w14:paraId="422BDE30" w14:textId="77777777" w:rsidTr="0046794E">
        <w:trPr>
          <w:trHeight w:val="60"/>
        </w:trPr>
        <w:tc>
          <w:tcPr>
            <w:tcW w:w="897" w:type="pct"/>
          </w:tcPr>
          <w:p w14:paraId="3F46D74B" w14:textId="77777777" w:rsidR="005A008B" w:rsidRPr="00D90C15" w:rsidRDefault="005A008B" w:rsidP="00E82D64">
            <w:pPr>
              <w:pStyle w:val="TableBody"/>
            </w:pPr>
            <w:r w:rsidRPr="00D90C15">
              <w:t>FRD 22</w:t>
            </w:r>
          </w:p>
        </w:tc>
        <w:tc>
          <w:tcPr>
            <w:tcW w:w="3160" w:type="pct"/>
          </w:tcPr>
          <w:p w14:paraId="1BBE25B9" w14:textId="77777777" w:rsidR="005A008B" w:rsidRPr="00D90C15" w:rsidRDefault="005A008B" w:rsidP="00E82D64">
            <w:pPr>
              <w:pStyle w:val="TableBody"/>
            </w:pPr>
            <w:r w:rsidRPr="00D90C15">
              <w:t>Disclosure of ICT expenditure</w:t>
            </w:r>
          </w:p>
        </w:tc>
        <w:tc>
          <w:tcPr>
            <w:tcW w:w="943" w:type="pct"/>
          </w:tcPr>
          <w:p w14:paraId="68B9FD00" w14:textId="77777777" w:rsidR="005A008B" w:rsidRPr="00D90C15" w:rsidRDefault="005A008B" w:rsidP="00E82D64">
            <w:pPr>
              <w:pStyle w:val="TableBody"/>
            </w:pPr>
            <w:r w:rsidRPr="00D90C15">
              <w:t>31</w:t>
            </w:r>
          </w:p>
        </w:tc>
      </w:tr>
      <w:tr w:rsidR="005A008B" w:rsidRPr="00D90C15" w14:paraId="2325F2E9" w14:textId="77777777" w:rsidTr="0046794E">
        <w:trPr>
          <w:trHeight w:val="60"/>
        </w:trPr>
        <w:tc>
          <w:tcPr>
            <w:tcW w:w="897" w:type="pct"/>
          </w:tcPr>
          <w:p w14:paraId="27F7B493" w14:textId="77777777" w:rsidR="005A008B" w:rsidRPr="00D90C15" w:rsidRDefault="005A008B" w:rsidP="00E82D64">
            <w:pPr>
              <w:pStyle w:val="TableBody"/>
            </w:pPr>
            <w:r w:rsidRPr="00D90C15">
              <w:t>FRD 22</w:t>
            </w:r>
          </w:p>
        </w:tc>
        <w:tc>
          <w:tcPr>
            <w:tcW w:w="3160" w:type="pct"/>
          </w:tcPr>
          <w:p w14:paraId="64D73CC6" w14:textId="77777777" w:rsidR="005A008B" w:rsidRPr="00D90C15" w:rsidRDefault="005A008B" w:rsidP="00E82D64">
            <w:pPr>
              <w:pStyle w:val="TableBody"/>
            </w:pPr>
            <w:r w:rsidRPr="00D90C15">
              <w:t>Statement of availability of other information</w:t>
            </w:r>
          </w:p>
        </w:tc>
        <w:tc>
          <w:tcPr>
            <w:tcW w:w="943" w:type="pct"/>
          </w:tcPr>
          <w:p w14:paraId="30435BCF" w14:textId="77777777" w:rsidR="005A008B" w:rsidRPr="00D90C15" w:rsidRDefault="005A008B" w:rsidP="00E82D64">
            <w:pPr>
              <w:pStyle w:val="TableBody"/>
            </w:pPr>
            <w:r w:rsidRPr="00D90C15">
              <w:t>34</w:t>
            </w:r>
          </w:p>
        </w:tc>
      </w:tr>
      <w:tr w:rsidR="005A008B" w:rsidRPr="00D90C15" w14:paraId="7A2870D9" w14:textId="77777777" w:rsidTr="0046794E">
        <w:trPr>
          <w:trHeight w:val="60"/>
        </w:trPr>
        <w:tc>
          <w:tcPr>
            <w:tcW w:w="897" w:type="pct"/>
          </w:tcPr>
          <w:p w14:paraId="01E49EE7" w14:textId="77777777" w:rsidR="005A008B" w:rsidRPr="00D90C15" w:rsidRDefault="005A008B" w:rsidP="00E82D64">
            <w:pPr>
              <w:pStyle w:val="TableBody"/>
            </w:pPr>
            <w:r w:rsidRPr="00D90C15">
              <w:t>FRD 22</w:t>
            </w:r>
          </w:p>
        </w:tc>
        <w:tc>
          <w:tcPr>
            <w:tcW w:w="3160" w:type="pct"/>
          </w:tcPr>
          <w:p w14:paraId="3AB0B79F" w14:textId="77777777" w:rsidR="005A008B" w:rsidRPr="00D90C15" w:rsidRDefault="005A008B" w:rsidP="00E82D64">
            <w:pPr>
              <w:pStyle w:val="TableBody"/>
            </w:pPr>
            <w:r w:rsidRPr="00D90C15">
              <w:t>Asset Management Accountability Framework (AMAF) maturity assessment</w:t>
            </w:r>
          </w:p>
        </w:tc>
        <w:tc>
          <w:tcPr>
            <w:tcW w:w="943" w:type="pct"/>
          </w:tcPr>
          <w:p w14:paraId="28810EFB" w14:textId="77777777" w:rsidR="005A008B" w:rsidRPr="00D90C15" w:rsidRDefault="005A008B" w:rsidP="00E82D64">
            <w:pPr>
              <w:pStyle w:val="TableBody"/>
            </w:pPr>
            <w:r w:rsidRPr="00D90C15">
              <w:t>30</w:t>
            </w:r>
          </w:p>
        </w:tc>
      </w:tr>
      <w:tr w:rsidR="005A008B" w:rsidRPr="00D90C15" w14:paraId="00403B83" w14:textId="77777777" w:rsidTr="0046794E">
        <w:trPr>
          <w:trHeight w:val="60"/>
        </w:trPr>
        <w:tc>
          <w:tcPr>
            <w:tcW w:w="897" w:type="pct"/>
          </w:tcPr>
          <w:p w14:paraId="7C7E217A" w14:textId="77777777" w:rsidR="005A008B" w:rsidRPr="00D90C15" w:rsidRDefault="005A008B" w:rsidP="00E82D64">
            <w:pPr>
              <w:pStyle w:val="TableBody"/>
            </w:pPr>
            <w:r w:rsidRPr="00D90C15">
              <w:t>FRD 22</w:t>
            </w:r>
          </w:p>
        </w:tc>
        <w:tc>
          <w:tcPr>
            <w:tcW w:w="3160" w:type="pct"/>
          </w:tcPr>
          <w:p w14:paraId="0DD72DD9" w14:textId="77777777" w:rsidR="005A008B" w:rsidRPr="00D90C15" w:rsidRDefault="005A008B" w:rsidP="00E82D64">
            <w:pPr>
              <w:pStyle w:val="TableBody"/>
            </w:pPr>
            <w:r w:rsidRPr="00D90C15">
              <w:t>Disclosure of emergency procurement</w:t>
            </w:r>
          </w:p>
        </w:tc>
        <w:tc>
          <w:tcPr>
            <w:tcW w:w="943" w:type="pct"/>
          </w:tcPr>
          <w:p w14:paraId="1306A04C" w14:textId="77777777" w:rsidR="005A008B" w:rsidRPr="00D90C15" w:rsidRDefault="005A008B" w:rsidP="00E82D64">
            <w:pPr>
              <w:pStyle w:val="TableBody"/>
            </w:pPr>
            <w:r w:rsidRPr="00D90C15">
              <w:t>–</w:t>
            </w:r>
          </w:p>
        </w:tc>
      </w:tr>
      <w:tr w:rsidR="005A008B" w:rsidRPr="00D90C15" w14:paraId="31E4AB9A" w14:textId="77777777" w:rsidTr="0046794E">
        <w:trPr>
          <w:trHeight w:val="60"/>
        </w:trPr>
        <w:tc>
          <w:tcPr>
            <w:tcW w:w="897" w:type="pct"/>
          </w:tcPr>
          <w:p w14:paraId="3B37B109" w14:textId="77777777" w:rsidR="005A008B" w:rsidRPr="00D90C15" w:rsidRDefault="005A008B" w:rsidP="00E82D64">
            <w:pPr>
              <w:pStyle w:val="TableBody"/>
            </w:pPr>
            <w:r w:rsidRPr="00D90C15">
              <w:t>FRD 24</w:t>
            </w:r>
          </w:p>
        </w:tc>
        <w:tc>
          <w:tcPr>
            <w:tcW w:w="3160" w:type="pct"/>
          </w:tcPr>
          <w:p w14:paraId="628F72B2" w14:textId="77777777" w:rsidR="005A008B" w:rsidRPr="00D90C15" w:rsidRDefault="005A008B" w:rsidP="00E82D64">
            <w:pPr>
              <w:pStyle w:val="TableBody"/>
            </w:pPr>
            <w:r w:rsidRPr="00D90C15">
              <w:t>Environmental reporting</w:t>
            </w:r>
          </w:p>
        </w:tc>
        <w:tc>
          <w:tcPr>
            <w:tcW w:w="943" w:type="pct"/>
          </w:tcPr>
          <w:p w14:paraId="34300961" w14:textId="77777777" w:rsidR="005A008B" w:rsidRPr="00D90C15" w:rsidRDefault="005A008B" w:rsidP="00E82D64">
            <w:pPr>
              <w:pStyle w:val="TableBody"/>
            </w:pPr>
            <w:r w:rsidRPr="00D90C15">
              <w:t>30</w:t>
            </w:r>
          </w:p>
        </w:tc>
      </w:tr>
      <w:tr w:rsidR="005A008B" w:rsidRPr="00D90C15" w14:paraId="7FA91D5D" w14:textId="77777777" w:rsidTr="0046794E">
        <w:trPr>
          <w:trHeight w:val="60"/>
        </w:trPr>
        <w:tc>
          <w:tcPr>
            <w:tcW w:w="897" w:type="pct"/>
          </w:tcPr>
          <w:p w14:paraId="2C97F2DC" w14:textId="77777777" w:rsidR="005A008B" w:rsidRPr="00D90C15" w:rsidRDefault="005A008B" w:rsidP="00E82D64">
            <w:pPr>
              <w:pStyle w:val="TableBody"/>
            </w:pPr>
            <w:r w:rsidRPr="00D90C15">
              <w:t>FRD 25</w:t>
            </w:r>
          </w:p>
        </w:tc>
        <w:tc>
          <w:tcPr>
            <w:tcW w:w="3160" w:type="pct"/>
          </w:tcPr>
          <w:p w14:paraId="5C4CB970" w14:textId="77777777" w:rsidR="005A008B" w:rsidRPr="00D90C15" w:rsidRDefault="005A008B" w:rsidP="00E82D64">
            <w:pPr>
              <w:pStyle w:val="TableBody"/>
            </w:pPr>
            <w:r w:rsidRPr="00D90C15">
              <w:t>Local Jobs First</w:t>
            </w:r>
          </w:p>
        </w:tc>
        <w:tc>
          <w:tcPr>
            <w:tcW w:w="943" w:type="pct"/>
          </w:tcPr>
          <w:p w14:paraId="0672DD86" w14:textId="77777777" w:rsidR="005A008B" w:rsidRPr="00D90C15" w:rsidRDefault="005A008B" w:rsidP="00E82D64">
            <w:pPr>
              <w:pStyle w:val="TableBody"/>
            </w:pPr>
            <w:r w:rsidRPr="00D90C15">
              <w:t>29</w:t>
            </w:r>
          </w:p>
        </w:tc>
      </w:tr>
      <w:tr w:rsidR="005A008B" w:rsidRPr="00D90C15" w14:paraId="7EF1F363" w14:textId="77777777" w:rsidTr="0046794E">
        <w:trPr>
          <w:trHeight w:val="60"/>
        </w:trPr>
        <w:tc>
          <w:tcPr>
            <w:tcW w:w="897" w:type="pct"/>
          </w:tcPr>
          <w:p w14:paraId="15D88820" w14:textId="77777777" w:rsidR="005A008B" w:rsidRPr="00D90C15" w:rsidRDefault="005A008B" w:rsidP="00E82D64">
            <w:pPr>
              <w:pStyle w:val="TableBody"/>
            </w:pPr>
            <w:r w:rsidRPr="00D90C15">
              <w:lastRenderedPageBreak/>
              <w:t>FRD 29</w:t>
            </w:r>
          </w:p>
        </w:tc>
        <w:tc>
          <w:tcPr>
            <w:tcW w:w="3160" w:type="pct"/>
          </w:tcPr>
          <w:p w14:paraId="2EEAF989" w14:textId="77777777" w:rsidR="005A008B" w:rsidRPr="00D90C15" w:rsidRDefault="005A008B" w:rsidP="00E82D64">
            <w:pPr>
              <w:pStyle w:val="TableBody"/>
            </w:pPr>
            <w:r w:rsidRPr="00D90C15">
              <w:t>Workforce data disclosures</w:t>
            </w:r>
          </w:p>
        </w:tc>
        <w:tc>
          <w:tcPr>
            <w:tcW w:w="943" w:type="pct"/>
          </w:tcPr>
          <w:p w14:paraId="0773C24F" w14:textId="77777777" w:rsidR="005A008B" w:rsidRPr="00D90C15" w:rsidRDefault="005A008B" w:rsidP="00E82D64">
            <w:pPr>
              <w:pStyle w:val="TableBody"/>
            </w:pPr>
            <w:r w:rsidRPr="00D90C15">
              <w:t>31, 32</w:t>
            </w:r>
          </w:p>
        </w:tc>
      </w:tr>
      <w:tr w:rsidR="005A008B" w:rsidRPr="00D90C15" w14:paraId="07883391" w14:textId="77777777" w:rsidTr="0046794E">
        <w:trPr>
          <w:trHeight w:val="60"/>
        </w:trPr>
        <w:tc>
          <w:tcPr>
            <w:tcW w:w="897" w:type="pct"/>
          </w:tcPr>
          <w:p w14:paraId="231320FE" w14:textId="77777777" w:rsidR="005A008B" w:rsidRPr="00D90C15" w:rsidRDefault="005A008B" w:rsidP="00E82D64">
            <w:pPr>
              <w:pStyle w:val="TableBody"/>
            </w:pPr>
            <w:r w:rsidRPr="00D90C15">
              <w:t>SD 5.2</w:t>
            </w:r>
          </w:p>
        </w:tc>
        <w:tc>
          <w:tcPr>
            <w:tcW w:w="3160" w:type="pct"/>
          </w:tcPr>
          <w:p w14:paraId="2FE565D9" w14:textId="77777777" w:rsidR="005A008B" w:rsidRPr="00D90C15" w:rsidRDefault="005A008B" w:rsidP="00E82D64">
            <w:pPr>
              <w:pStyle w:val="TableBody"/>
            </w:pPr>
            <w:r w:rsidRPr="00D90C15">
              <w:t>Specific requirements under Standing Direction 5.2</w:t>
            </w:r>
          </w:p>
        </w:tc>
        <w:tc>
          <w:tcPr>
            <w:tcW w:w="943" w:type="pct"/>
          </w:tcPr>
          <w:p w14:paraId="0E810ACE" w14:textId="77777777" w:rsidR="005A008B" w:rsidRPr="00D90C15" w:rsidRDefault="005A008B" w:rsidP="00E82D64">
            <w:pPr>
              <w:pStyle w:val="TableBody"/>
            </w:pPr>
            <w:r w:rsidRPr="00D90C15">
              <w:t>36</w:t>
            </w:r>
          </w:p>
        </w:tc>
      </w:tr>
      <w:tr w:rsidR="004C116B" w:rsidRPr="00D90C15" w14:paraId="22FBCA73" w14:textId="77777777" w:rsidTr="0046794E">
        <w:trPr>
          <w:trHeight w:val="60"/>
        </w:trPr>
        <w:tc>
          <w:tcPr>
            <w:tcW w:w="897" w:type="pct"/>
          </w:tcPr>
          <w:p w14:paraId="5CDE19DA" w14:textId="77777777" w:rsidR="004C116B" w:rsidRPr="00D90C15" w:rsidRDefault="004C116B" w:rsidP="00E82D64">
            <w:pPr>
              <w:pStyle w:val="TableBody"/>
            </w:pPr>
          </w:p>
        </w:tc>
        <w:tc>
          <w:tcPr>
            <w:tcW w:w="3160" w:type="pct"/>
          </w:tcPr>
          <w:p w14:paraId="4F92AAD1" w14:textId="732085DF" w:rsidR="004C116B" w:rsidRPr="00D90C15" w:rsidRDefault="004C116B" w:rsidP="00E82D64">
            <w:pPr>
              <w:pStyle w:val="TableBody"/>
            </w:pPr>
            <w:r w:rsidRPr="00E72391">
              <w:rPr>
                <w:b/>
                <w:bCs/>
              </w:rPr>
              <w:t>Compliance attestation and declaration</w:t>
            </w:r>
          </w:p>
        </w:tc>
        <w:tc>
          <w:tcPr>
            <w:tcW w:w="943" w:type="pct"/>
          </w:tcPr>
          <w:p w14:paraId="48AFFFF9" w14:textId="77777777" w:rsidR="004C116B" w:rsidRPr="00D90C15" w:rsidRDefault="004C116B" w:rsidP="00E82D64">
            <w:pPr>
              <w:pStyle w:val="TableBody"/>
            </w:pPr>
          </w:p>
        </w:tc>
      </w:tr>
      <w:tr w:rsidR="005A008B" w:rsidRPr="00D90C15" w14:paraId="09A47DBE" w14:textId="77777777" w:rsidTr="0046794E">
        <w:trPr>
          <w:trHeight w:val="60"/>
        </w:trPr>
        <w:tc>
          <w:tcPr>
            <w:tcW w:w="897" w:type="pct"/>
          </w:tcPr>
          <w:p w14:paraId="034ACA53" w14:textId="77777777" w:rsidR="005A008B" w:rsidRPr="00D90C15" w:rsidRDefault="005A008B" w:rsidP="00E82D64">
            <w:pPr>
              <w:pStyle w:val="TableBody"/>
            </w:pPr>
            <w:r w:rsidRPr="00D90C15">
              <w:t>SD 5.4.1</w:t>
            </w:r>
          </w:p>
        </w:tc>
        <w:tc>
          <w:tcPr>
            <w:tcW w:w="3160" w:type="pct"/>
          </w:tcPr>
          <w:p w14:paraId="67408600" w14:textId="77777777" w:rsidR="005A008B" w:rsidRPr="00D90C15" w:rsidRDefault="005A008B" w:rsidP="00E82D64">
            <w:pPr>
              <w:pStyle w:val="TableBody"/>
            </w:pPr>
            <w:r w:rsidRPr="00D90C15">
              <w:t>Attestation for compliance with Ministerial Standing Directions</w:t>
            </w:r>
          </w:p>
        </w:tc>
        <w:tc>
          <w:tcPr>
            <w:tcW w:w="943" w:type="pct"/>
          </w:tcPr>
          <w:p w14:paraId="3161A284" w14:textId="77777777" w:rsidR="005A008B" w:rsidRPr="00D90C15" w:rsidRDefault="005A008B" w:rsidP="00E82D64">
            <w:pPr>
              <w:pStyle w:val="TableBody"/>
            </w:pPr>
            <w:r w:rsidRPr="00D90C15">
              <w:t>34</w:t>
            </w:r>
          </w:p>
        </w:tc>
      </w:tr>
      <w:tr w:rsidR="005A008B" w:rsidRPr="00D90C15" w14:paraId="40A1EC06" w14:textId="77777777" w:rsidTr="0046794E">
        <w:trPr>
          <w:trHeight w:val="60"/>
        </w:trPr>
        <w:tc>
          <w:tcPr>
            <w:tcW w:w="897" w:type="pct"/>
          </w:tcPr>
          <w:p w14:paraId="0678A90F" w14:textId="77777777" w:rsidR="005A008B" w:rsidRPr="00D90C15" w:rsidRDefault="005A008B" w:rsidP="00E82D64">
            <w:pPr>
              <w:pStyle w:val="TableBody"/>
            </w:pPr>
            <w:r w:rsidRPr="00D90C15">
              <w:t>SD 5.2.3</w:t>
            </w:r>
          </w:p>
        </w:tc>
        <w:tc>
          <w:tcPr>
            <w:tcW w:w="3160" w:type="pct"/>
          </w:tcPr>
          <w:p w14:paraId="5DFA5F6B" w14:textId="77777777" w:rsidR="005A008B" w:rsidRPr="00D90C15" w:rsidRDefault="005A008B" w:rsidP="00E82D64">
            <w:pPr>
              <w:pStyle w:val="TableBody"/>
            </w:pPr>
            <w:r w:rsidRPr="00D90C15">
              <w:t>Declaration in report of operations</w:t>
            </w:r>
          </w:p>
        </w:tc>
        <w:tc>
          <w:tcPr>
            <w:tcW w:w="943" w:type="pct"/>
          </w:tcPr>
          <w:p w14:paraId="692B63D6" w14:textId="77777777" w:rsidR="005A008B" w:rsidRPr="00D90C15" w:rsidRDefault="005A008B" w:rsidP="00E82D64">
            <w:pPr>
              <w:pStyle w:val="TableBody"/>
            </w:pPr>
            <w:r w:rsidRPr="00D90C15">
              <w:t>34</w:t>
            </w:r>
          </w:p>
        </w:tc>
      </w:tr>
      <w:tr w:rsidR="00C16F94" w:rsidRPr="00D90C15" w14:paraId="6F56F35D" w14:textId="77777777" w:rsidTr="0046794E">
        <w:trPr>
          <w:trHeight w:val="377"/>
        </w:trPr>
        <w:tc>
          <w:tcPr>
            <w:tcW w:w="897" w:type="pct"/>
          </w:tcPr>
          <w:p w14:paraId="73163728" w14:textId="77777777" w:rsidR="00C16F94" w:rsidRPr="006512A5" w:rsidRDefault="00C16F94" w:rsidP="00E82D64">
            <w:pPr>
              <w:pStyle w:val="TableBody"/>
              <w:rPr>
                <w:rStyle w:val="Bold"/>
              </w:rPr>
            </w:pPr>
          </w:p>
        </w:tc>
        <w:tc>
          <w:tcPr>
            <w:tcW w:w="3160" w:type="pct"/>
          </w:tcPr>
          <w:p w14:paraId="364EE6A1" w14:textId="07BC0DFC" w:rsidR="00C16F94" w:rsidRPr="00837399" w:rsidRDefault="00C16F94" w:rsidP="00774C1D">
            <w:pPr>
              <w:pStyle w:val="TableBody"/>
              <w:rPr>
                <w:rStyle w:val="BoldItalic"/>
              </w:rPr>
            </w:pPr>
            <w:r w:rsidRPr="00837399">
              <w:rPr>
                <w:rStyle w:val="BoldItalic"/>
              </w:rPr>
              <w:t>Financial statements</w:t>
            </w:r>
          </w:p>
        </w:tc>
        <w:tc>
          <w:tcPr>
            <w:tcW w:w="943" w:type="pct"/>
          </w:tcPr>
          <w:p w14:paraId="0BF273F3" w14:textId="77777777" w:rsidR="00C16F94" w:rsidRPr="00D90C15" w:rsidRDefault="00C16F94" w:rsidP="004F187B">
            <w:pPr>
              <w:pStyle w:val="NoParagraphStyle"/>
              <w:spacing w:line="240" w:lineRule="auto"/>
              <w:textAlignment w:val="auto"/>
              <w:rPr>
                <w:rFonts w:cs="Times New Roman"/>
                <w:color w:val="auto"/>
                <w:lang w:val="en-AU"/>
              </w:rPr>
            </w:pPr>
          </w:p>
        </w:tc>
      </w:tr>
      <w:tr w:rsidR="00893EC0" w:rsidRPr="00D90C15" w14:paraId="23A144D5" w14:textId="77777777" w:rsidTr="0046794E">
        <w:trPr>
          <w:trHeight w:val="377"/>
        </w:trPr>
        <w:tc>
          <w:tcPr>
            <w:tcW w:w="897" w:type="pct"/>
          </w:tcPr>
          <w:p w14:paraId="5EF23DD6" w14:textId="3434BBDC" w:rsidR="00893EC0" w:rsidRPr="006512A5" w:rsidRDefault="00893EC0" w:rsidP="00893EC0">
            <w:pPr>
              <w:pStyle w:val="TableBody"/>
              <w:rPr>
                <w:rStyle w:val="Bold"/>
              </w:rPr>
            </w:pPr>
          </w:p>
        </w:tc>
        <w:tc>
          <w:tcPr>
            <w:tcW w:w="3160" w:type="pct"/>
          </w:tcPr>
          <w:p w14:paraId="0E3B133C" w14:textId="71E5E10F" w:rsidR="00893EC0" w:rsidRPr="00D90C15" w:rsidRDefault="00893EC0" w:rsidP="00893EC0">
            <w:pPr>
              <w:pStyle w:val="NoParagraphStyle"/>
              <w:spacing w:line="240" w:lineRule="auto"/>
              <w:textAlignment w:val="auto"/>
              <w:rPr>
                <w:rFonts w:cs="Times New Roman"/>
                <w:color w:val="auto"/>
                <w:lang w:val="en-AU"/>
              </w:rPr>
            </w:pPr>
            <w:r w:rsidRPr="006512A5">
              <w:rPr>
                <w:rStyle w:val="Bold"/>
              </w:rPr>
              <w:t>Declaration</w:t>
            </w:r>
          </w:p>
        </w:tc>
        <w:tc>
          <w:tcPr>
            <w:tcW w:w="943" w:type="pct"/>
          </w:tcPr>
          <w:p w14:paraId="0B5DAC22" w14:textId="77777777" w:rsidR="00893EC0" w:rsidRPr="00D90C15" w:rsidRDefault="00893EC0" w:rsidP="00893EC0">
            <w:pPr>
              <w:pStyle w:val="NoParagraphStyle"/>
              <w:spacing w:line="240" w:lineRule="auto"/>
              <w:textAlignment w:val="auto"/>
              <w:rPr>
                <w:rFonts w:cs="Times New Roman"/>
                <w:color w:val="auto"/>
                <w:lang w:val="en-AU"/>
              </w:rPr>
            </w:pPr>
          </w:p>
        </w:tc>
      </w:tr>
      <w:tr w:rsidR="00893EC0" w:rsidRPr="00D90C15" w14:paraId="564777E3" w14:textId="77777777" w:rsidTr="0046794E">
        <w:trPr>
          <w:trHeight w:val="60"/>
        </w:trPr>
        <w:tc>
          <w:tcPr>
            <w:tcW w:w="897" w:type="pct"/>
          </w:tcPr>
          <w:p w14:paraId="7CDA66DB" w14:textId="77777777" w:rsidR="00893EC0" w:rsidRPr="00D90C15" w:rsidRDefault="00893EC0" w:rsidP="00893EC0">
            <w:pPr>
              <w:pStyle w:val="TableBody"/>
            </w:pPr>
            <w:r w:rsidRPr="00D90C15">
              <w:t>SD 5.2.2</w:t>
            </w:r>
          </w:p>
        </w:tc>
        <w:tc>
          <w:tcPr>
            <w:tcW w:w="3160" w:type="pct"/>
          </w:tcPr>
          <w:p w14:paraId="61A8EAB3" w14:textId="77777777" w:rsidR="00893EC0" w:rsidRPr="00D90C15" w:rsidRDefault="00893EC0" w:rsidP="00893EC0">
            <w:pPr>
              <w:pStyle w:val="TableBody"/>
            </w:pPr>
            <w:r w:rsidRPr="00D90C15">
              <w:t>Declaration in financial statements</w:t>
            </w:r>
          </w:p>
        </w:tc>
        <w:tc>
          <w:tcPr>
            <w:tcW w:w="943" w:type="pct"/>
          </w:tcPr>
          <w:p w14:paraId="2840BAB5" w14:textId="77777777" w:rsidR="00893EC0" w:rsidRPr="00D90C15" w:rsidRDefault="00893EC0" w:rsidP="00893EC0">
            <w:pPr>
              <w:pStyle w:val="TableBody"/>
            </w:pPr>
            <w:r w:rsidRPr="00D90C15">
              <w:t>36</w:t>
            </w:r>
          </w:p>
        </w:tc>
      </w:tr>
      <w:tr w:rsidR="00893EC0" w:rsidRPr="00D90C15" w14:paraId="4AE58FB3" w14:textId="77777777" w:rsidTr="0046794E">
        <w:trPr>
          <w:trHeight w:val="60"/>
        </w:trPr>
        <w:tc>
          <w:tcPr>
            <w:tcW w:w="897" w:type="pct"/>
          </w:tcPr>
          <w:p w14:paraId="6E770427" w14:textId="77777777" w:rsidR="00893EC0" w:rsidRPr="00D90C15" w:rsidRDefault="00893EC0" w:rsidP="00893EC0">
            <w:pPr>
              <w:pStyle w:val="TableBody"/>
            </w:pPr>
          </w:p>
        </w:tc>
        <w:tc>
          <w:tcPr>
            <w:tcW w:w="3160" w:type="pct"/>
          </w:tcPr>
          <w:p w14:paraId="66E73AFC" w14:textId="4569CC98" w:rsidR="00893EC0" w:rsidRPr="00837399" w:rsidRDefault="00893EC0" w:rsidP="00893EC0">
            <w:pPr>
              <w:pStyle w:val="TableBody"/>
              <w:rPr>
                <w:rStyle w:val="BoldItalic"/>
              </w:rPr>
            </w:pPr>
            <w:r w:rsidRPr="00837399">
              <w:rPr>
                <w:rStyle w:val="BoldItalic"/>
              </w:rPr>
              <w:t>Standing Directions and Financial Reporting Directions</w:t>
            </w:r>
          </w:p>
        </w:tc>
        <w:tc>
          <w:tcPr>
            <w:tcW w:w="943" w:type="pct"/>
          </w:tcPr>
          <w:p w14:paraId="4FCEC843" w14:textId="77777777" w:rsidR="00893EC0" w:rsidRPr="00D90C15" w:rsidRDefault="00893EC0" w:rsidP="00893EC0">
            <w:pPr>
              <w:pStyle w:val="TableBody"/>
            </w:pPr>
          </w:p>
        </w:tc>
      </w:tr>
      <w:tr w:rsidR="00893EC0" w:rsidRPr="00D90C15" w14:paraId="19D5F271" w14:textId="77777777" w:rsidTr="0046794E">
        <w:trPr>
          <w:trHeight w:val="60"/>
        </w:trPr>
        <w:tc>
          <w:tcPr>
            <w:tcW w:w="897" w:type="pct"/>
          </w:tcPr>
          <w:p w14:paraId="672A2C08" w14:textId="77777777" w:rsidR="00893EC0" w:rsidRPr="00D90C15" w:rsidRDefault="00893EC0" w:rsidP="00893EC0">
            <w:pPr>
              <w:pStyle w:val="TableBody"/>
            </w:pPr>
          </w:p>
        </w:tc>
        <w:tc>
          <w:tcPr>
            <w:tcW w:w="3160" w:type="pct"/>
          </w:tcPr>
          <w:p w14:paraId="57E818C7" w14:textId="04538E43" w:rsidR="00893EC0" w:rsidRPr="00D90C15" w:rsidRDefault="00893EC0" w:rsidP="00893EC0">
            <w:pPr>
              <w:pStyle w:val="TableBody"/>
            </w:pPr>
            <w:r w:rsidRPr="00E72391">
              <w:rPr>
                <w:b/>
                <w:bCs/>
              </w:rPr>
              <w:t>Other requirements under Standing Directions 5.2</w:t>
            </w:r>
          </w:p>
        </w:tc>
        <w:tc>
          <w:tcPr>
            <w:tcW w:w="943" w:type="pct"/>
          </w:tcPr>
          <w:p w14:paraId="7E0B7D61" w14:textId="77777777" w:rsidR="00893EC0" w:rsidRPr="00D90C15" w:rsidRDefault="00893EC0" w:rsidP="00893EC0">
            <w:pPr>
              <w:pStyle w:val="TableBody"/>
            </w:pPr>
          </w:p>
        </w:tc>
      </w:tr>
      <w:tr w:rsidR="00893EC0" w:rsidRPr="00D90C15" w14:paraId="5C42CD74" w14:textId="77777777" w:rsidTr="0046794E">
        <w:trPr>
          <w:trHeight w:val="60"/>
        </w:trPr>
        <w:tc>
          <w:tcPr>
            <w:tcW w:w="897" w:type="pct"/>
          </w:tcPr>
          <w:p w14:paraId="08C7E21A" w14:textId="77777777" w:rsidR="00893EC0" w:rsidRPr="00D90C15" w:rsidRDefault="00893EC0" w:rsidP="00893EC0">
            <w:pPr>
              <w:pStyle w:val="TableBody"/>
            </w:pPr>
            <w:r w:rsidRPr="00D90C15">
              <w:t>SD 5.2.1(a)</w:t>
            </w:r>
          </w:p>
        </w:tc>
        <w:tc>
          <w:tcPr>
            <w:tcW w:w="3160" w:type="pct"/>
          </w:tcPr>
          <w:p w14:paraId="7739BA43" w14:textId="77777777" w:rsidR="00893EC0" w:rsidRPr="00D90C15" w:rsidRDefault="00893EC0" w:rsidP="00893EC0">
            <w:pPr>
              <w:pStyle w:val="TableBody"/>
            </w:pPr>
            <w:r w:rsidRPr="00D90C15">
              <w:t>Compliance with Australian Accounting Standards and other authoritative pronouncements</w:t>
            </w:r>
          </w:p>
        </w:tc>
        <w:tc>
          <w:tcPr>
            <w:tcW w:w="943" w:type="pct"/>
          </w:tcPr>
          <w:p w14:paraId="7CAB8CBB" w14:textId="77777777" w:rsidR="00893EC0" w:rsidRPr="00D90C15" w:rsidRDefault="00893EC0" w:rsidP="00893EC0">
            <w:pPr>
              <w:pStyle w:val="TableBody"/>
            </w:pPr>
            <w:r w:rsidRPr="00D90C15">
              <w:t>45</w:t>
            </w:r>
          </w:p>
        </w:tc>
      </w:tr>
      <w:tr w:rsidR="00893EC0" w:rsidRPr="00D90C15" w14:paraId="57AF20A2" w14:textId="77777777" w:rsidTr="0046794E">
        <w:trPr>
          <w:trHeight w:val="60"/>
        </w:trPr>
        <w:tc>
          <w:tcPr>
            <w:tcW w:w="897" w:type="pct"/>
          </w:tcPr>
          <w:p w14:paraId="09D0CE29" w14:textId="77777777" w:rsidR="00893EC0" w:rsidRPr="00D90C15" w:rsidRDefault="00893EC0" w:rsidP="00893EC0">
            <w:pPr>
              <w:pStyle w:val="TableBody"/>
            </w:pPr>
            <w:r w:rsidRPr="00D90C15">
              <w:t>SD 5.2.1(a)</w:t>
            </w:r>
          </w:p>
        </w:tc>
        <w:tc>
          <w:tcPr>
            <w:tcW w:w="3160" w:type="pct"/>
          </w:tcPr>
          <w:p w14:paraId="2A81A767" w14:textId="77777777" w:rsidR="00893EC0" w:rsidRPr="00D90C15" w:rsidRDefault="00893EC0" w:rsidP="00893EC0">
            <w:pPr>
              <w:pStyle w:val="TableBody"/>
            </w:pPr>
            <w:r w:rsidRPr="00D90C15">
              <w:t>Compliance with Standing Directions</w:t>
            </w:r>
          </w:p>
        </w:tc>
        <w:tc>
          <w:tcPr>
            <w:tcW w:w="943" w:type="pct"/>
          </w:tcPr>
          <w:p w14:paraId="4AFFF036" w14:textId="77777777" w:rsidR="00893EC0" w:rsidRPr="00D90C15" w:rsidRDefault="00893EC0" w:rsidP="00893EC0">
            <w:pPr>
              <w:pStyle w:val="TableBody"/>
            </w:pPr>
            <w:r w:rsidRPr="00D90C15">
              <w:t>34, 36</w:t>
            </w:r>
          </w:p>
        </w:tc>
      </w:tr>
      <w:tr w:rsidR="00893EC0" w:rsidRPr="00D90C15" w14:paraId="450130FA" w14:textId="77777777" w:rsidTr="0046794E">
        <w:trPr>
          <w:trHeight w:val="60"/>
        </w:trPr>
        <w:tc>
          <w:tcPr>
            <w:tcW w:w="897" w:type="pct"/>
          </w:tcPr>
          <w:p w14:paraId="7483B898" w14:textId="77777777" w:rsidR="00893EC0" w:rsidRPr="00D90C15" w:rsidRDefault="00893EC0" w:rsidP="00893EC0">
            <w:pPr>
              <w:pStyle w:val="TableBody"/>
            </w:pPr>
            <w:r w:rsidRPr="00D90C15">
              <w:t>SD 5.2.1(b)</w:t>
            </w:r>
          </w:p>
        </w:tc>
        <w:tc>
          <w:tcPr>
            <w:tcW w:w="3160" w:type="pct"/>
          </w:tcPr>
          <w:p w14:paraId="7C4DA5F0" w14:textId="77777777" w:rsidR="00893EC0" w:rsidRPr="00D90C15" w:rsidRDefault="00893EC0" w:rsidP="00893EC0">
            <w:pPr>
              <w:pStyle w:val="TableBody"/>
            </w:pPr>
            <w:r w:rsidRPr="00D90C15">
              <w:t>Compliance with Model Financial Report</w:t>
            </w:r>
          </w:p>
        </w:tc>
        <w:tc>
          <w:tcPr>
            <w:tcW w:w="943" w:type="pct"/>
          </w:tcPr>
          <w:p w14:paraId="49E3D8CE" w14:textId="77777777" w:rsidR="00893EC0" w:rsidRPr="00D90C15" w:rsidRDefault="00893EC0" w:rsidP="00893EC0">
            <w:pPr>
              <w:pStyle w:val="TableBody"/>
            </w:pPr>
            <w:r w:rsidRPr="00D90C15">
              <w:t>70</w:t>
            </w:r>
          </w:p>
        </w:tc>
      </w:tr>
      <w:tr w:rsidR="00893EC0" w:rsidRPr="00D90C15" w14:paraId="61BE6D93" w14:textId="77777777" w:rsidTr="0046794E">
        <w:trPr>
          <w:trHeight w:val="60"/>
        </w:trPr>
        <w:tc>
          <w:tcPr>
            <w:tcW w:w="897" w:type="pct"/>
          </w:tcPr>
          <w:p w14:paraId="35305646" w14:textId="77777777" w:rsidR="00893EC0" w:rsidRPr="00D90C15" w:rsidRDefault="00893EC0" w:rsidP="00893EC0">
            <w:pPr>
              <w:pStyle w:val="TableBody"/>
            </w:pPr>
          </w:p>
        </w:tc>
        <w:tc>
          <w:tcPr>
            <w:tcW w:w="3160" w:type="pct"/>
          </w:tcPr>
          <w:p w14:paraId="1A6A8F6D" w14:textId="620A1FEF" w:rsidR="00893EC0" w:rsidRPr="00D90C15" w:rsidRDefault="00893EC0" w:rsidP="00893EC0">
            <w:pPr>
              <w:pStyle w:val="TableBody"/>
            </w:pPr>
            <w:r w:rsidRPr="006512A5">
              <w:rPr>
                <w:rStyle w:val="Bold"/>
              </w:rPr>
              <w:t>Other disclosures as required by FRDs in notes to the financial statements(a)</w:t>
            </w:r>
          </w:p>
        </w:tc>
        <w:tc>
          <w:tcPr>
            <w:tcW w:w="943" w:type="pct"/>
          </w:tcPr>
          <w:p w14:paraId="050D13D4" w14:textId="77777777" w:rsidR="00893EC0" w:rsidRPr="00D90C15" w:rsidRDefault="00893EC0" w:rsidP="00893EC0">
            <w:pPr>
              <w:pStyle w:val="TableBody"/>
            </w:pPr>
          </w:p>
        </w:tc>
      </w:tr>
      <w:tr w:rsidR="00893EC0" w:rsidRPr="00D90C15" w14:paraId="18CD424B" w14:textId="77777777" w:rsidTr="0046794E">
        <w:trPr>
          <w:trHeight w:val="60"/>
        </w:trPr>
        <w:tc>
          <w:tcPr>
            <w:tcW w:w="897" w:type="pct"/>
          </w:tcPr>
          <w:p w14:paraId="2F86046A" w14:textId="77777777" w:rsidR="00893EC0" w:rsidRPr="00D90C15" w:rsidRDefault="00893EC0" w:rsidP="00893EC0">
            <w:pPr>
              <w:pStyle w:val="TableBody"/>
            </w:pPr>
            <w:r w:rsidRPr="00D90C15">
              <w:t>FRD 13</w:t>
            </w:r>
          </w:p>
        </w:tc>
        <w:tc>
          <w:tcPr>
            <w:tcW w:w="3160" w:type="pct"/>
          </w:tcPr>
          <w:p w14:paraId="43641CCA" w14:textId="77777777" w:rsidR="00893EC0" w:rsidRPr="00D90C15" w:rsidRDefault="00893EC0" w:rsidP="00893EC0">
            <w:pPr>
              <w:pStyle w:val="TableBody"/>
            </w:pPr>
            <w:r w:rsidRPr="00D90C15">
              <w:t>Disclosure of parliamentary appropriations</w:t>
            </w:r>
          </w:p>
        </w:tc>
        <w:tc>
          <w:tcPr>
            <w:tcW w:w="943" w:type="pct"/>
          </w:tcPr>
          <w:p w14:paraId="72B159C1" w14:textId="77777777" w:rsidR="00893EC0" w:rsidRPr="00D90C15" w:rsidRDefault="00893EC0" w:rsidP="00893EC0">
            <w:pPr>
              <w:pStyle w:val="TableBody"/>
            </w:pPr>
            <w:r w:rsidRPr="00D90C15">
              <w:t>46, 47</w:t>
            </w:r>
          </w:p>
        </w:tc>
      </w:tr>
      <w:tr w:rsidR="00893EC0" w:rsidRPr="00D90C15" w14:paraId="35F928A0" w14:textId="77777777" w:rsidTr="0046794E">
        <w:trPr>
          <w:trHeight w:val="60"/>
        </w:trPr>
        <w:tc>
          <w:tcPr>
            <w:tcW w:w="897" w:type="pct"/>
          </w:tcPr>
          <w:p w14:paraId="1574F06B" w14:textId="77777777" w:rsidR="00893EC0" w:rsidRPr="00D90C15" w:rsidRDefault="00893EC0" w:rsidP="00893EC0">
            <w:pPr>
              <w:pStyle w:val="TableBody"/>
            </w:pPr>
            <w:r w:rsidRPr="00D90C15">
              <w:t>FRD 21</w:t>
            </w:r>
          </w:p>
        </w:tc>
        <w:tc>
          <w:tcPr>
            <w:tcW w:w="3160" w:type="pct"/>
          </w:tcPr>
          <w:p w14:paraId="4238030D" w14:textId="77777777" w:rsidR="00893EC0" w:rsidRPr="00D90C15" w:rsidRDefault="00893EC0" w:rsidP="00893EC0">
            <w:pPr>
              <w:pStyle w:val="TableBody"/>
            </w:pPr>
            <w:r w:rsidRPr="00D90C15">
              <w:t xml:space="preserve">Disclosures of Responsible Persons, Executive Officers and other personnel </w:t>
            </w:r>
            <w:r w:rsidRPr="00D90C15">
              <w:br/>
              <w:t>(contractors with significant management responsibilities) in the financial report</w:t>
            </w:r>
          </w:p>
        </w:tc>
        <w:tc>
          <w:tcPr>
            <w:tcW w:w="943" w:type="pct"/>
          </w:tcPr>
          <w:p w14:paraId="79D9DCD1" w14:textId="77777777" w:rsidR="00893EC0" w:rsidRPr="00D90C15" w:rsidRDefault="00893EC0" w:rsidP="00893EC0">
            <w:pPr>
              <w:pStyle w:val="TableBody"/>
            </w:pPr>
            <w:r w:rsidRPr="00D90C15">
              <w:t>64–67</w:t>
            </w:r>
          </w:p>
        </w:tc>
      </w:tr>
      <w:tr w:rsidR="00893EC0" w:rsidRPr="00D90C15" w14:paraId="771DDBBC" w14:textId="77777777" w:rsidTr="0046794E">
        <w:trPr>
          <w:trHeight w:val="60"/>
        </w:trPr>
        <w:tc>
          <w:tcPr>
            <w:tcW w:w="897" w:type="pct"/>
          </w:tcPr>
          <w:p w14:paraId="32984EC7" w14:textId="77777777" w:rsidR="00893EC0" w:rsidRPr="00D90C15" w:rsidRDefault="00893EC0" w:rsidP="00893EC0">
            <w:pPr>
              <w:pStyle w:val="TableBody"/>
            </w:pPr>
            <w:r w:rsidRPr="00D90C15">
              <w:t>FRD 103</w:t>
            </w:r>
          </w:p>
        </w:tc>
        <w:tc>
          <w:tcPr>
            <w:tcW w:w="3160" w:type="pct"/>
          </w:tcPr>
          <w:p w14:paraId="1812FB2B" w14:textId="77777777" w:rsidR="00893EC0" w:rsidRPr="00D90C15" w:rsidRDefault="00893EC0" w:rsidP="00893EC0">
            <w:pPr>
              <w:pStyle w:val="TableBody"/>
            </w:pPr>
            <w:r w:rsidRPr="00D90C15">
              <w:t xml:space="preserve">Non-financial physical assets </w:t>
            </w:r>
          </w:p>
        </w:tc>
        <w:tc>
          <w:tcPr>
            <w:tcW w:w="943" w:type="pct"/>
          </w:tcPr>
          <w:p w14:paraId="2B3A500D" w14:textId="77777777" w:rsidR="00893EC0" w:rsidRPr="00D90C15" w:rsidRDefault="00893EC0" w:rsidP="00893EC0">
            <w:pPr>
              <w:pStyle w:val="TableBody"/>
            </w:pPr>
            <w:r w:rsidRPr="00D90C15">
              <w:t>52, 53</w:t>
            </w:r>
          </w:p>
        </w:tc>
      </w:tr>
      <w:tr w:rsidR="00893EC0" w:rsidRPr="00D90C15" w14:paraId="62D07917" w14:textId="77777777" w:rsidTr="0046794E">
        <w:trPr>
          <w:trHeight w:val="60"/>
        </w:trPr>
        <w:tc>
          <w:tcPr>
            <w:tcW w:w="897" w:type="pct"/>
          </w:tcPr>
          <w:p w14:paraId="4F83B368" w14:textId="77777777" w:rsidR="00893EC0" w:rsidRPr="00D90C15" w:rsidRDefault="00893EC0" w:rsidP="00893EC0">
            <w:pPr>
              <w:pStyle w:val="TableBody"/>
            </w:pPr>
            <w:r w:rsidRPr="00D90C15">
              <w:t xml:space="preserve">FRD 110 </w:t>
            </w:r>
          </w:p>
        </w:tc>
        <w:tc>
          <w:tcPr>
            <w:tcW w:w="3160" w:type="pct"/>
          </w:tcPr>
          <w:p w14:paraId="0A867D38" w14:textId="77777777" w:rsidR="00893EC0" w:rsidRPr="00D90C15" w:rsidRDefault="00893EC0" w:rsidP="00893EC0">
            <w:pPr>
              <w:pStyle w:val="TableBody"/>
            </w:pPr>
            <w:r w:rsidRPr="00D90C15">
              <w:t>Cash flow statements</w:t>
            </w:r>
          </w:p>
        </w:tc>
        <w:tc>
          <w:tcPr>
            <w:tcW w:w="943" w:type="pct"/>
          </w:tcPr>
          <w:p w14:paraId="647E780D" w14:textId="77777777" w:rsidR="00893EC0" w:rsidRPr="00D90C15" w:rsidRDefault="00893EC0" w:rsidP="00893EC0">
            <w:pPr>
              <w:pStyle w:val="TableBody"/>
            </w:pPr>
            <w:r w:rsidRPr="00D90C15">
              <w:t>41</w:t>
            </w:r>
          </w:p>
        </w:tc>
      </w:tr>
      <w:tr w:rsidR="00893EC0" w:rsidRPr="00D90C15" w14:paraId="1715BB3D" w14:textId="77777777" w:rsidTr="0046794E">
        <w:trPr>
          <w:trHeight w:val="60"/>
        </w:trPr>
        <w:tc>
          <w:tcPr>
            <w:tcW w:w="897" w:type="pct"/>
          </w:tcPr>
          <w:p w14:paraId="72C2568C" w14:textId="77777777" w:rsidR="00893EC0" w:rsidRPr="00D90C15" w:rsidRDefault="00893EC0" w:rsidP="00893EC0">
            <w:pPr>
              <w:pStyle w:val="TableBody"/>
            </w:pPr>
            <w:r w:rsidRPr="00D90C15">
              <w:t xml:space="preserve">FRD 114 </w:t>
            </w:r>
          </w:p>
        </w:tc>
        <w:tc>
          <w:tcPr>
            <w:tcW w:w="3160" w:type="pct"/>
          </w:tcPr>
          <w:p w14:paraId="247F27FB" w14:textId="77777777" w:rsidR="00893EC0" w:rsidRPr="00D90C15" w:rsidRDefault="00893EC0" w:rsidP="00893EC0">
            <w:pPr>
              <w:pStyle w:val="TableBody"/>
            </w:pPr>
            <w:r w:rsidRPr="00D90C15">
              <w:t>Financial instruments – general government entities and public non-financial corporations</w:t>
            </w:r>
          </w:p>
        </w:tc>
        <w:tc>
          <w:tcPr>
            <w:tcW w:w="943" w:type="pct"/>
          </w:tcPr>
          <w:p w14:paraId="3D2D8A0C" w14:textId="77777777" w:rsidR="00893EC0" w:rsidRPr="00D90C15" w:rsidRDefault="00893EC0" w:rsidP="00893EC0">
            <w:pPr>
              <w:pStyle w:val="TableBody"/>
            </w:pPr>
            <w:r w:rsidRPr="00D90C15">
              <w:t>61–62</w:t>
            </w:r>
          </w:p>
        </w:tc>
      </w:tr>
      <w:tr w:rsidR="00893EC0" w:rsidRPr="00D90C15" w14:paraId="481260A4" w14:textId="77777777" w:rsidTr="0046794E">
        <w:trPr>
          <w:trHeight w:val="60"/>
        </w:trPr>
        <w:tc>
          <w:tcPr>
            <w:tcW w:w="897" w:type="pct"/>
          </w:tcPr>
          <w:p w14:paraId="7D8A3325" w14:textId="77777777" w:rsidR="00893EC0" w:rsidRPr="00D90C15" w:rsidRDefault="00893EC0" w:rsidP="00893EC0">
            <w:pPr>
              <w:pStyle w:val="TableBody"/>
              <w:rPr>
                <w:rStyle w:val="BoldItalicSIZESIZEANDWEIGHT"/>
              </w:rPr>
            </w:pPr>
          </w:p>
        </w:tc>
        <w:tc>
          <w:tcPr>
            <w:tcW w:w="3160" w:type="pct"/>
          </w:tcPr>
          <w:p w14:paraId="79E4BD2A" w14:textId="77777777" w:rsidR="00893EC0" w:rsidRPr="00E72391" w:rsidRDefault="00893EC0" w:rsidP="00893EC0">
            <w:pPr>
              <w:pStyle w:val="TableBody"/>
              <w:rPr>
                <w:b/>
                <w:bCs/>
              </w:rPr>
            </w:pPr>
            <w:r w:rsidRPr="00E72391">
              <w:rPr>
                <w:b/>
                <w:bCs/>
              </w:rPr>
              <w:t xml:space="preserve">Note: </w:t>
            </w:r>
          </w:p>
          <w:p w14:paraId="39D90130" w14:textId="54362812" w:rsidR="00893EC0" w:rsidRPr="00D90C15" w:rsidRDefault="00893EC0" w:rsidP="00893EC0">
            <w:pPr>
              <w:pStyle w:val="TableBody"/>
              <w:rPr>
                <w:rFonts w:cs="Times New Roman"/>
                <w:color w:val="auto"/>
                <w:lang w:val="en-AU"/>
              </w:rPr>
            </w:pPr>
            <w:r w:rsidRPr="00D90C15">
              <w:t>(a)</w:t>
            </w:r>
            <w:r>
              <w:t xml:space="preserve"> </w:t>
            </w:r>
            <w:r w:rsidRPr="00D90C15">
              <w:t xml:space="preserve">References to FRDs have been removed from the Disclosure Index if the specific FRDs do not contain requirements that are </w:t>
            </w:r>
            <w:proofErr w:type="gramStart"/>
            <w:r w:rsidRPr="00D90C15">
              <w:t>in the nature of disclosure</w:t>
            </w:r>
            <w:proofErr w:type="gramEnd"/>
            <w:r w:rsidRPr="00D90C15">
              <w:t>.</w:t>
            </w:r>
          </w:p>
        </w:tc>
        <w:tc>
          <w:tcPr>
            <w:tcW w:w="943" w:type="pct"/>
          </w:tcPr>
          <w:p w14:paraId="550F53E5" w14:textId="77777777" w:rsidR="00893EC0" w:rsidRPr="00D90C15" w:rsidRDefault="00893EC0" w:rsidP="00893EC0">
            <w:pPr>
              <w:pStyle w:val="NoParagraphStyle"/>
              <w:spacing w:line="240" w:lineRule="auto"/>
              <w:textAlignment w:val="auto"/>
              <w:rPr>
                <w:rFonts w:cs="Times New Roman"/>
                <w:color w:val="auto"/>
                <w:lang w:val="en-AU"/>
              </w:rPr>
            </w:pPr>
          </w:p>
        </w:tc>
      </w:tr>
      <w:tr w:rsidR="00893EC0" w:rsidRPr="00D90C15" w14:paraId="5EF64EAC" w14:textId="77777777" w:rsidTr="0046794E">
        <w:trPr>
          <w:trHeight w:val="60"/>
        </w:trPr>
        <w:tc>
          <w:tcPr>
            <w:tcW w:w="897" w:type="pct"/>
          </w:tcPr>
          <w:p w14:paraId="29D7BA80" w14:textId="210ED6EF" w:rsidR="00893EC0" w:rsidRPr="00837399" w:rsidRDefault="00893EC0" w:rsidP="00893EC0">
            <w:pPr>
              <w:pStyle w:val="TableBody"/>
              <w:rPr>
                <w:rStyle w:val="BoldItalic"/>
              </w:rPr>
            </w:pPr>
          </w:p>
        </w:tc>
        <w:tc>
          <w:tcPr>
            <w:tcW w:w="3160" w:type="pct"/>
          </w:tcPr>
          <w:p w14:paraId="541A898E" w14:textId="515843F3" w:rsidR="00893EC0" w:rsidRPr="00D90C15" w:rsidRDefault="00400F12" w:rsidP="00893EC0">
            <w:pPr>
              <w:pStyle w:val="NoParagraphStyle"/>
              <w:spacing w:line="240" w:lineRule="auto"/>
              <w:textAlignment w:val="auto"/>
              <w:rPr>
                <w:rFonts w:cs="Times New Roman"/>
                <w:color w:val="auto"/>
                <w:lang w:val="en-AU"/>
              </w:rPr>
            </w:pPr>
            <w:r w:rsidRPr="00837399">
              <w:rPr>
                <w:rStyle w:val="BoldItalic"/>
              </w:rPr>
              <w:t>Legislation</w:t>
            </w:r>
          </w:p>
        </w:tc>
        <w:tc>
          <w:tcPr>
            <w:tcW w:w="943" w:type="pct"/>
          </w:tcPr>
          <w:p w14:paraId="191BEA40" w14:textId="77777777" w:rsidR="00893EC0" w:rsidRPr="00D90C15" w:rsidRDefault="00893EC0" w:rsidP="00893EC0">
            <w:pPr>
              <w:pStyle w:val="NoParagraphStyle"/>
              <w:spacing w:line="240" w:lineRule="auto"/>
              <w:textAlignment w:val="auto"/>
              <w:rPr>
                <w:rFonts w:cs="Times New Roman"/>
                <w:color w:val="auto"/>
                <w:lang w:val="en-AU"/>
              </w:rPr>
            </w:pPr>
          </w:p>
        </w:tc>
      </w:tr>
      <w:tr w:rsidR="00893EC0" w:rsidRPr="00D90C15" w14:paraId="12854381" w14:textId="77777777" w:rsidTr="0046794E">
        <w:trPr>
          <w:trHeight w:val="60"/>
        </w:trPr>
        <w:tc>
          <w:tcPr>
            <w:tcW w:w="897" w:type="pct"/>
          </w:tcPr>
          <w:p w14:paraId="342CDD92" w14:textId="77777777" w:rsidR="00893EC0" w:rsidRPr="00D90C15" w:rsidRDefault="00893EC0" w:rsidP="00893EC0">
            <w:pPr>
              <w:pStyle w:val="TableBody"/>
              <w:rPr>
                <w:rStyle w:val="BoldItalicSIZESIZEANDWEIGHT"/>
              </w:rPr>
            </w:pPr>
          </w:p>
        </w:tc>
        <w:tc>
          <w:tcPr>
            <w:tcW w:w="3160" w:type="pct"/>
          </w:tcPr>
          <w:p w14:paraId="383D0288" w14:textId="6E94B368" w:rsidR="00893EC0" w:rsidRPr="002822AC" w:rsidRDefault="00893EC0" w:rsidP="00893EC0">
            <w:pPr>
              <w:pStyle w:val="TableBody"/>
              <w:rPr>
                <w:i/>
                <w:iCs/>
              </w:rPr>
            </w:pPr>
            <w:r w:rsidRPr="002822AC">
              <w:rPr>
                <w:i/>
                <w:iCs/>
              </w:rPr>
              <w:t>Freedom of Information Act 1982</w:t>
            </w:r>
          </w:p>
        </w:tc>
        <w:tc>
          <w:tcPr>
            <w:tcW w:w="943" w:type="pct"/>
          </w:tcPr>
          <w:p w14:paraId="1796E2BE" w14:textId="59B38AB3" w:rsidR="00893EC0" w:rsidRPr="00D90C15" w:rsidRDefault="00893EC0" w:rsidP="00893EC0">
            <w:pPr>
              <w:pStyle w:val="TableBody"/>
              <w:rPr>
                <w:rFonts w:cs="Times New Roman"/>
                <w:color w:val="auto"/>
                <w:lang w:val="en-AU"/>
              </w:rPr>
            </w:pPr>
            <w:r w:rsidRPr="00D90C15">
              <w:t>31</w:t>
            </w:r>
          </w:p>
        </w:tc>
      </w:tr>
      <w:tr w:rsidR="00893EC0" w:rsidRPr="00D90C15" w14:paraId="052D710F" w14:textId="77777777" w:rsidTr="0046794E">
        <w:trPr>
          <w:trHeight w:val="60"/>
        </w:trPr>
        <w:tc>
          <w:tcPr>
            <w:tcW w:w="897" w:type="pct"/>
          </w:tcPr>
          <w:p w14:paraId="655EB670" w14:textId="77777777" w:rsidR="00893EC0" w:rsidRPr="00D90C15" w:rsidRDefault="00893EC0" w:rsidP="00893EC0">
            <w:pPr>
              <w:pStyle w:val="TableBody"/>
              <w:rPr>
                <w:rStyle w:val="BoldItalicSIZESIZEANDWEIGHT"/>
              </w:rPr>
            </w:pPr>
          </w:p>
        </w:tc>
        <w:tc>
          <w:tcPr>
            <w:tcW w:w="3160" w:type="pct"/>
          </w:tcPr>
          <w:p w14:paraId="7D89C53E" w14:textId="57DCE0D9" w:rsidR="00893EC0" w:rsidRPr="002822AC" w:rsidRDefault="00893EC0" w:rsidP="00893EC0">
            <w:pPr>
              <w:pStyle w:val="TableBody"/>
              <w:rPr>
                <w:i/>
                <w:iCs/>
              </w:rPr>
            </w:pPr>
            <w:r w:rsidRPr="002822AC">
              <w:rPr>
                <w:i/>
                <w:iCs/>
              </w:rPr>
              <w:t>Building Act 1993</w:t>
            </w:r>
          </w:p>
        </w:tc>
        <w:tc>
          <w:tcPr>
            <w:tcW w:w="943" w:type="pct"/>
          </w:tcPr>
          <w:p w14:paraId="2960E492" w14:textId="4FAACD48" w:rsidR="00893EC0" w:rsidRPr="00D90C15" w:rsidRDefault="00893EC0" w:rsidP="00893EC0">
            <w:pPr>
              <w:pStyle w:val="TableBody"/>
              <w:rPr>
                <w:rFonts w:cs="Times New Roman"/>
                <w:color w:val="auto"/>
                <w:lang w:val="en-AU"/>
              </w:rPr>
            </w:pPr>
            <w:r w:rsidRPr="00D90C15">
              <w:t>28</w:t>
            </w:r>
          </w:p>
        </w:tc>
      </w:tr>
      <w:tr w:rsidR="00893EC0" w:rsidRPr="00D90C15" w14:paraId="1CE57D78" w14:textId="77777777" w:rsidTr="0046794E">
        <w:trPr>
          <w:trHeight w:val="60"/>
        </w:trPr>
        <w:tc>
          <w:tcPr>
            <w:tcW w:w="897" w:type="pct"/>
          </w:tcPr>
          <w:p w14:paraId="4593A687" w14:textId="77777777" w:rsidR="00893EC0" w:rsidRPr="00D90C15" w:rsidRDefault="00893EC0" w:rsidP="00893EC0">
            <w:pPr>
              <w:pStyle w:val="TableBody"/>
              <w:rPr>
                <w:rStyle w:val="BoldItalicSIZESIZEANDWEIGHT"/>
              </w:rPr>
            </w:pPr>
          </w:p>
        </w:tc>
        <w:tc>
          <w:tcPr>
            <w:tcW w:w="3160" w:type="pct"/>
          </w:tcPr>
          <w:p w14:paraId="4C68728B" w14:textId="669224F0" w:rsidR="00893EC0" w:rsidRPr="002822AC" w:rsidRDefault="00893EC0" w:rsidP="00893EC0">
            <w:pPr>
              <w:pStyle w:val="TableBody"/>
              <w:rPr>
                <w:i/>
                <w:iCs/>
              </w:rPr>
            </w:pPr>
            <w:r w:rsidRPr="002822AC">
              <w:rPr>
                <w:i/>
                <w:iCs/>
              </w:rPr>
              <w:t>Public Interest Disclosures Act 2012</w:t>
            </w:r>
          </w:p>
        </w:tc>
        <w:tc>
          <w:tcPr>
            <w:tcW w:w="943" w:type="pct"/>
          </w:tcPr>
          <w:p w14:paraId="5DFF0EBE" w14:textId="0F9FE69A" w:rsidR="00893EC0" w:rsidRPr="00D90C15" w:rsidRDefault="00893EC0" w:rsidP="00893EC0">
            <w:pPr>
              <w:pStyle w:val="TableBody"/>
              <w:rPr>
                <w:rFonts w:cs="Times New Roman"/>
                <w:color w:val="auto"/>
                <w:lang w:val="en-AU"/>
              </w:rPr>
            </w:pPr>
            <w:r w:rsidRPr="00D90C15">
              <w:t>29</w:t>
            </w:r>
          </w:p>
        </w:tc>
      </w:tr>
      <w:tr w:rsidR="00893EC0" w:rsidRPr="00D90C15" w14:paraId="5601902B" w14:textId="77777777" w:rsidTr="0046794E">
        <w:trPr>
          <w:trHeight w:val="60"/>
        </w:trPr>
        <w:tc>
          <w:tcPr>
            <w:tcW w:w="897" w:type="pct"/>
          </w:tcPr>
          <w:p w14:paraId="65B73098" w14:textId="77777777" w:rsidR="00893EC0" w:rsidRPr="00D90C15" w:rsidRDefault="00893EC0" w:rsidP="00893EC0">
            <w:pPr>
              <w:pStyle w:val="TableBody"/>
              <w:rPr>
                <w:rStyle w:val="BoldItalicSIZESIZEANDWEIGHT"/>
              </w:rPr>
            </w:pPr>
          </w:p>
        </w:tc>
        <w:tc>
          <w:tcPr>
            <w:tcW w:w="3160" w:type="pct"/>
          </w:tcPr>
          <w:p w14:paraId="3FD03506" w14:textId="045E6C81" w:rsidR="00893EC0" w:rsidRPr="002822AC" w:rsidRDefault="00893EC0" w:rsidP="00893EC0">
            <w:pPr>
              <w:pStyle w:val="TableBody"/>
              <w:rPr>
                <w:i/>
                <w:iCs/>
              </w:rPr>
            </w:pPr>
            <w:r w:rsidRPr="002822AC">
              <w:rPr>
                <w:i/>
                <w:iCs/>
              </w:rPr>
              <w:t>Carers Recognition Act 2012</w:t>
            </w:r>
          </w:p>
        </w:tc>
        <w:tc>
          <w:tcPr>
            <w:tcW w:w="943" w:type="pct"/>
          </w:tcPr>
          <w:p w14:paraId="318F000C" w14:textId="35753A13" w:rsidR="00893EC0" w:rsidRPr="00D90C15" w:rsidRDefault="00893EC0" w:rsidP="00893EC0">
            <w:pPr>
              <w:pStyle w:val="TableBody"/>
              <w:rPr>
                <w:rFonts w:cs="Times New Roman"/>
                <w:color w:val="auto"/>
                <w:lang w:val="en-AU"/>
              </w:rPr>
            </w:pPr>
            <w:r w:rsidRPr="00D90C15">
              <w:t>28</w:t>
            </w:r>
          </w:p>
        </w:tc>
      </w:tr>
      <w:tr w:rsidR="00893EC0" w:rsidRPr="00D90C15" w14:paraId="017495AF" w14:textId="77777777" w:rsidTr="0046794E">
        <w:trPr>
          <w:trHeight w:val="60"/>
        </w:trPr>
        <w:tc>
          <w:tcPr>
            <w:tcW w:w="897" w:type="pct"/>
          </w:tcPr>
          <w:p w14:paraId="0CB42D01" w14:textId="77777777" w:rsidR="00893EC0" w:rsidRPr="00D90C15" w:rsidRDefault="00893EC0" w:rsidP="00893EC0">
            <w:pPr>
              <w:pStyle w:val="TableBody"/>
              <w:rPr>
                <w:rStyle w:val="BoldItalicSIZESIZEANDWEIGHT"/>
              </w:rPr>
            </w:pPr>
          </w:p>
        </w:tc>
        <w:tc>
          <w:tcPr>
            <w:tcW w:w="3160" w:type="pct"/>
          </w:tcPr>
          <w:p w14:paraId="772F2F77" w14:textId="6D41C0FE" w:rsidR="00893EC0" w:rsidRPr="002822AC" w:rsidRDefault="00893EC0" w:rsidP="00893EC0">
            <w:pPr>
              <w:pStyle w:val="TableBody"/>
              <w:rPr>
                <w:i/>
                <w:iCs/>
              </w:rPr>
            </w:pPr>
            <w:r w:rsidRPr="002822AC">
              <w:rPr>
                <w:i/>
                <w:iCs/>
              </w:rPr>
              <w:t>Disability Act 2006</w:t>
            </w:r>
          </w:p>
        </w:tc>
        <w:tc>
          <w:tcPr>
            <w:tcW w:w="943" w:type="pct"/>
          </w:tcPr>
          <w:p w14:paraId="683CD998" w14:textId="0E95C52A" w:rsidR="00893EC0" w:rsidRPr="00D90C15" w:rsidRDefault="00893EC0" w:rsidP="00893EC0">
            <w:pPr>
              <w:pStyle w:val="TableBody"/>
              <w:rPr>
                <w:rFonts w:cs="Times New Roman"/>
                <w:color w:val="auto"/>
                <w:lang w:val="en-AU"/>
              </w:rPr>
            </w:pPr>
            <w:r w:rsidRPr="00D90C15">
              <w:t>28</w:t>
            </w:r>
          </w:p>
        </w:tc>
      </w:tr>
      <w:tr w:rsidR="00893EC0" w:rsidRPr="00D90C15" w14:paraId="16A5F162" w14:textId="77777777" w:rsidTr="0046794E">
        <w:trPr>
          <w:trHeight w:val="60"/>
        </w:trPr>
        <w:tc>
          <w:tcPr>
            <w:tcW w:w="897" w:type="pct"/>
          </w:tcPr>
          <w:p w14:paraId="4C294B9D" w14:textId="77777777" w:rsidR="00893EC0" w:rsidRPr="00D90C15" w:rsidRDefault="00893EC0" w:rsidP="00893EC0">
            <w:pPr>
              <w:pStyle w:val="TableBody"/>
              <w:rPr>
                <w:rStyle w:val="BoldItalicSIZESIZEANDWEIGHT"/>
              </w:rPr>
            </w:pPr>
          </w:p>
        </w:tc>
        <w:tc>
          <w:tcPr>
            <w:tcW w:w="3160" w:type="pct"/>
          </w:tcPr>
          <w:p w14:paraId="6746AC76" w14:textId="22B99D86" w:rsidR="00893EC0" w:rsidRPr="002822AC" w:rsidRDefault="00893EC0" w:rsidP="00893EC0">
            <w:pPr>
              <w:pStyle w:val="TableBody"/>
              <w:rPr>
                <w:i/>
                <w:iCs/>
              </w:rPr>
            </w:pPr>
            <w:r w:rsidRPr="002822AC">
              <w:rPr>
                <w:i/>
                <w:iCs/>
              </w:rPr>
              <w:t>Local Jobs First Act 2003</w:t>
            </w:r>
          </w:p>
        </w:tc>
        <w:tc>
          <w:tcPr>
            <w:tcW w:w="943" w:type="pct"/>
          </w:tcPr>
          <w:p w14:paraId="1D531053" w14:textId="45DCD92C" w:rsidR="00893EC0" w:rsidRPr="00D90C15" w:rsidRDefault="00893EC0" w:rsidP="00893EC0">
            <w:pPr>
              <w:pStyle w:val="TableBody"/>
              <w:rPr>
                <w:rFonts w:cs="Times New Roman"/>
                <w:color w:val="auto"/>
                <w:lang w:val="en-AU"/>
              </w:rPr>
            </w:pPr>
            <w:r w:rsidRPr="00D90C15">
              <w:t>29</w:t>
            </w:r>
          </w:p>
        </w:tc>
      </w:tr>
      <w:tr w:rsidR="00893EC0" w:rsidRPr="00D90C15" w14:paraId="40094C29" w14:textId="77777777" w:rsidTr="0046794E">
        <w:trPr>
          <w:trHeight w:val="60"/>
        </w:trPr>
        <w:tc>
          <w:tcPr>
            <w:tcW w:w="897" w:type="pct"/>
          </w:tcPr>
          <w:p w14:paraId="789F9EF0" w14:textId="77777777" w:rsidR="00893EC0" w:rsidRPr="00D90C15" w:rsidRDefault="00893EC0" w:rsidP="00893EC0">
            <w:pPr>
              <w:pStyle w:val="TableBody"/>
              <w:rPr>
                <w:rStyle w:val="BoldItalicSIZESIZEANDWEIGHT"/>
              </w:rPr>
            </w:pPr>
          </w:p>
        </w:tc>
        <w:tc>
          <w:tcPr>
            <w:tcW w:w="3160" w:type="pct"/>
          </w:tcPr>
          <w:p w14:paraId="1EA14FC1" w14:textId="44844F5E" w:rsidR="00893EC0" w:rsidRPr="002822AC" w:rsidRDefault="00893EC0" w:rsidP="00893EC0">
            <w:pPr>
              <w:pStyle w:val="TableBody"/>
              <w:rPr>
                <w:i/>
                <w:iCs/>
              </w:rPr>
            </w:pPr>
            <w:r w:rsidRPr="002822AC">
              <w:rPr>
                <w:i/>
                <w:iCs/>
              </w:rPr>
              <w:t>Financial Management Act 1994</w:t>
            </w:r>
          </w:p>
        </w:tc>
        <w:tc>
          <w:tcPr>
            <w:tcW w:w="943" w:type="pct"/>
          </w:tcPr>
          <w:p w14:paraId="2D7D6E9D" w14:textId="22E58F95" w:rsidR="00893EC0" w:rsidRPr="00D90C15" w:rsidRDefault="00893EC0" w:rsidP="00893EC0">
            <w:pPr>
              <w:pStyle w:val="TableBody"/>
              <w:rPr>
                <w:rFonts w:cs="Times New Roman"/>
                <w:color w:val="auto"/>
                <w:lang w:val="en-AU"/>
              </w:rPr>
            </w:pPr>
            <w:r w:rsidRPr="00D90C15">
              <w:t>34, 36, 45</w:t>
            </w:r>
          </w:p>
        </w:tc>
      </w:tr>
    </w:tbl>
    <w:p w14:paraId="678B2557" w14:textId="77777777" w:rsidR="005A008B" w:rsidRPr="006512A5" w:rsidRDefault="005A008B" w:rsidP="006512A5"/>
    <w:sectPr w:rsidR="005A008B" w:rsidRPr="006512A5" w:rsidSect="00D6349A">
      <w:headerReference w:type="default" r:id="rId25"/>
      <w:footerReference w:type="default" r:id="rId26"/>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42A4" w14:textId="77777777" w:rsidR="007C1DCC" w:rsidRDefault="007C1DCC">
      <w:pPr>
        <w:spacing w:after="0" w:line="240" w:lineRule="auto"/>
      </w:pPr>
      <w:r>
        <w:separator/>
      </w:r>
    </w:p>
  </w:endnote>
  <w:endnote w:type="continuationSeparator" w:id="0">
    <w:p w14:paraId="64630F92" w14:textId="77777777" w:rsidR="007C1DCC" w:rsidRDefault="007C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panose1 w:val="020B0504030503020204"/>
    <w:charset w:val="00"/>
    <w:family w:val="swiss"/>
    <w:notTrueType/>
    <w:pitch w:val="variable"/>
    <w:sig w:usb0="800000AF" w:usb1="4000204A" w:usb2="00000000" w:usb3="00000000" w:csb0="00000001" w:csb1="00000000"/>
  </w:font>
  <w:font w:name="Poppins-Regular">
    <w:altName w:val="Poppins"/>
    <w:panose1 w:val="00000000000000000000"/>
    <w:charset w:val="00"/>
    <w:family w:val="auto"/>
    <w:notTrueType/>
    <w:pitch w:val="default"/>
    <w:sig w:usb0="00000003" w:usb1="00000000" w:usb2="00000000" w:usb3="00000000" w:csb0="00000001" w:csb1="00000000"/>
  </w:font>
  <w:font w:name="Poppins-Bold">
    <w:altName w:val="Poppins"/>
    <w:panose1 w:val="00000000000000000000"/>
    <w:charset w:val="00"/>
    <w:family w:val="auto"/>
    <w:notTrueType/>
    <w:pitch w:val="default"/>
    <w:sig w:usb0="00000003" w:usb1="00000000" w:usb2="00000000" w:usb3="00000000" w:csb0="00000001" w:csb1="00000000"/>
  </w:font>
  <w:font w:name="Poppins-Medium">
    <w:altName w:val="Poppins"/>
    <w:panose1 w:val="00000000000000000000"/>
    <w:charset w:val="00"/>
    <w:family w:val="auto"/>
    <w:notTrueType/>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IZSOVY+OpenSans-Semibold">
    <w:altName w:val="IZSOVY+OpenSans-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FD29" w14:textId="77777777" w:rsidR="00553AA8" w:rsidRDefault="00553AA8"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E90B" w14:textId="77777777" w:rsidR="007C1DCC" w:rsidRDefault="007C1DCC">
      <w:pPr>
        <w:spacing w:after="0" w:line="240" w:lineRule="auto"/>
      </w:pPr>
      <w:r>
        <w:separator/>
      </w:r>
    </w:p>
  </w:footnote>
  <w:footnote w:type="continuationSeparator" w:id="0">
    <w:p w14:paraId="7C93B830" w14:textId="77777777" w:rsidR="007C1DCC" w:rsidRDefault="007C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7715" w14:textId="1DF3A536" w:rsidR="00553AA8" w:rsidRPr="00251370" w:rsidRDefault="00251370" w:rsidP="00251370">
    <w:pPr>
      <w:rPr>
        <w:sz w:val="20"/>
        <w:szCs w:val="20"/>
      </w:rPr>
    </w:pPr>
    <w:r w:rsidRPr="00513800">
      <w:rPr>
        <w:i/>
        <w:iCs/>
        <w:sz w:val="20"/>
        <w:szCs w:val="20"/>
      </w:rPr>
      <w:t>Annual Report 2024–2025</w:t>
    </w:r>
    <w:r w:rsidRPr="00251370">
      <w:rPr>
        <w:sz w:val="20"/>
        <w:szCs w:val="20"/>
      </w:rPr>
      <w:t xml:space="preserve"> </w:t>
    </w:r>
    <w:r w:rsidR="00553AA8" w:rsidRPr="00251370">
      <w:rPr>
        <w:sz w:val="20"/>
        <w:szCs w:val="20"/>
      </w:rPr>
      <w:t xml:space="preserve">● </w:t>
    </w:r>
    <w:r w:rsidR="00AC49EB">
      <w:rPr>
        <w:sz w:val="20"/>
        <w:szCs w:val="20"/>
      </w:rPr>
      <w:t xml:space="preserve">February </w:t>
    </w:r>
    <w:r w:rsidR="00512E6C" w:rsidRPr="00251370">
      <w:rPr>
        <w:sz w:val="20"/>
        <w:szCs w:val="20"/>
      </w:rPr>
      <w:t>202</w:t>
    </w:r>
    <w:r w:rsidR="00CA3E0A" w:rsidRPr="00251370">
      <w:rPr>
        <w:sz w:val="20"/>
        <w:szCs w:val="20"/>
      </w:rPr>
      <w:t>6</w:t>
    </w:r>
    <w:r w:rsidR="00553AA8" w:rsidRPr="00251370">
      <w:rPr>
        <w:sz w:val="20"/>
        <w:szCs w:val="20"/>
      </w:rPr>
      <w:t xml:space="preserve"> ● Sentencing Advisory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84F5D"/>
    <w:multiLevelType w:val="hybridMultilevel"/>
    <w:tmpl w:val="EA7ACA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A3F5D"/>
    <w:multiLevelType w:val="hybridMultilevel"/>
    <w:tmpl w:val="AFEA111C"/>
    <w:lvl w:ilvl="0" w:tplc="C0E8F51A">
      <w:start w:val="1"/>
      <w:numFmt w:val="lowerLetter"/>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830A10"/>
    <w:multiLevelType w:val="hybridMultilevel"/>
    <w:tmpl w:val="8AE05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A12298"/>
    <w:multiLevelType w:val="hybridMultilevel"/>
    <w:tmpl w:val="99EEE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54241"/>
    <w:multiLevelType w:val="hybridMultilevel"/>
    <w:tmpl w:val="EAF451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460667"/>
    <w:multiLevelType w:val="hybridMultilevel"/>
    <w:tmpl w:val="70062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47BCD"/>
    <w:multiLevelType w:val="hybridMultilevel"/>
    <w:tmpl w:val="8BB4EC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CE7B6E"/>
    <w:multiLevelType w:val="hybridMultilevel"/>
    <w:tmpl w:val="08C02B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F6721C"/>
    <w:multiLevelType w:val="hybridMultilevel"/>
    <w:tmpl w:val="CCFECD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BC2350"/>
    <w:multiLevelType w:val="hybridMultilevel"/>
    <w:tmpl w:val="E11E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5" w15:restartNumberingAfterBreak="0">
    <w:nsid w:val="32FE6D65"/>
    <w:multiLevelType w:val="hybridMultilevel"/>
    <w:tmpl w:val="01DC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83209"/>
    <w:multiLevelType w:val="hybridMultilevel"/>
    <w:tmpl w:val="A5E867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B6B3202"/>
    <w:multiLevelType w:val="hybridMultilevel"/>
    <w:tmpl w:val="2E061484"/>
    <w:lvl w:ilvl="0" w:tplc="3BAA7092">
      <w:start w:val="1"/>
      <w:numFmt w:val="lowerLetter"/>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72BA3"/>
    <w:multiLevelType w:val="hybridMultilevel"/>
    <w:tmpl w:val="880A68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1300E9"/>
    <w:multiLevelType w:val="hybridMultilevel"/>
    <w:tmpl w:val="438A8E0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29185A"/>
    <w:multiLevelType w:val="hybridMultilevel"/>
    <w:tmpl w:val="AE5EEBE4"/>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412784"/>
    <w:multiLevelType w:val="hybridMultilevel"/>
    <w:tmpl w:val="4E9044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550330"/>
    <w:multiLevelType w:val="hybridMultilevel"/>
    <w:tmpl w:val="04741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3814CB"/>
    <w:multiLevelType w:val="hybridMultilevel"/>
    <w:tmpl w:val="C36449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67341EE"/>
    <w:multiLevelType w:val="hybridMultilevel"/>
    <w:tmpl w:val="2796F2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F32547C"/>
    <w:multiLevelType w:val="hybridMultilevel"/>
    <w:tmpl w:val="439AF650"/>
    <w:lvl w:ilvl="0" w:tplc="688893AA">
      <w:start w:val="1"/>
      <w:numFmt w:val="lowerLetter"/>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760379"/>
    <w:multiLevelType w:val="hybridMultilevel"/>
    <w:tmpl w:val="7BDC2F8E"/>
    <w:lvl w:ilvl="0" w:tplc="19EA7720">
      <w:start w:val="1"/>
      <w:numFmt w:val="lowerLetter"/>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DB03F9"/>
    <w:multiLevelType w:val="hybridMultilevel"/>
    <w:tmpl w:val="368ADF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7632D0"/>
    <w:multiLevelType w:val="hybridMultilevel"/>
    <w:tmpl w:val="0682E2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3403CC"/>
    <w:multiLevelType w:val="hybridMultilevel"/>
    <w:tmpl w:val="CC406D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E02FF7"/>
    <w:multiLevelType w:val="hybridMultilevel"/>
    <w:tmpl w:val="B1300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096C76"/>
    <w:multiLevelType w:val="hybridMultilevel"/>
    <w:tmpl w:val="711E00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F72DBB"/>
    <w:multiLevelType w:val="hybridMultilevel"/>
    <w:tmpl w:val="4156D9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733366">
    <w:abstractNumId w:val="25"/>
  </w:num>
  <w:num w:numId="2" w16cid:durableId="1178808608">
    <w:abstractNumId w:val="14"/>
  </w:num>
  <w:num w:numId="3" w16cid:durableId="851182792">
    <w:abstractNumId w:val="4"/>
  </w:num>
  <w:num w:numId="4" w16cid:durableId="944730292">
    <w:abstractNumId w:val="33"/>
  </w:num>
  <w:num w:numId="5" w16cid:durableId="1689671258">
    <w:abstractNumId w:val="0"/>
  </w:num>
  <w:num w:numId="6" w16cid:durableId="2038191338">
    <w:abstractNumId w:val="8"/>
  </w:num>
  <w:num w:numId="7" w16cid:durableId="1814717269">
    <w:abstractNumId w:val="13"/>
  </w:num>
  <w:num w:numId="8" w16cid:durableId="1548833423">
    <w:abstractNumId w:val="7"/>
  </w:num>
  <w:num w:numId="9" w16cid:durableId="190804964">
    <w:abstractNumId w:val="12"/>
  </w:num>
  <w:num w:numId="10" w16cid:durableId="1725373192">
    <w:abstractNumId w:val="15"/>
  </w:num>
  <w:num w:numId="11" w16cid:durableId="119230041">
    <w:abstractNumId w:val="11"/>
  </w:num>
  <w:num w:numId="12" w16cid:durableId="651913985">
    <w:abstractNumId w:val="31"/>
  </w:num>
  <w:num w:numId="13" w16cid:durableId="1798794308">
    <w:abstractNumId w:val="19"/>
  </w:num>
  <w:num w:numId="14" w16cid:durableId="1558858171">
    <w:abstractNumId w:val="24"/>
  </w:num>
  <w:num w:numId="15" w16cid:durableId="1420253112">
    <w:abstractNumId w:val="1"/>
  </w:num>
  <w:num w:numId="16" w16cid:durableId="1684437986">
    <w:abstractNumId w:val="20"/>
  </w:num>
  <w:num w:numId="17" w16cid:durableId="2122216550">
    <w:abstractNumId w:val="18"/>
  </w:num>
  <w:num w:numId="18" w16cid:durableId="552810262">
    <w:abstractNumId w:val="3"/>
  </w:num>
  <w:num w:numId="19" w16cid:durableId="436565301">
    <w:abstractNumId w:val="16"/>
  </w:num>
  <w:num w:numId="20" w16cid:durableId="1350914515">
    <w:abstractNumId w:val="28"/>
  </w:num>
  <w:num w:numId="21" w16cid:durableId="638263593">
    <w:abstractNumId w:val="22"/>
  </w:num>
  <w:num w:numId="22" w16cid:durableId="1333993071">
    <w:abstractNumId w:val="21"/>
  </w:num>
  <w:num w:numId="23" w16cid:durableId="684870331">
    <w:abstractNumId w:val="10"/>
  </w:num>
  <w:num w:numId="24" w16cid:durableId="2088652083">
    <w:abstractNumId w:val="30"/>
  </w:num>
  <w:num w:numId="25" w16cid:durableId="447551064">
    <w:abstractNumId w:val="23"/>
  </w:num>
  <w:num w:numId="26" w16cid:durableId="1283734300">
    <w:abstractNumId w:val="29"/>
  </w:num>
  <w:num w:numId="27" w16cid:durableId="580871224">
    <w:abstractNumId w:val="34"/>
  </w:num>
  <w:num w:numId="28" w16cid:durableId="975179386">
    <w:abstractNumId w:val="9"/>
  </w:num>
  <w:num w:numId="29" w16cid:durableId="1465005887">
    <w:abstractNumId w:val="17"/>
  </w:num>
  <w:num w:numId="30" w16cid:durableId="689337869">
    <w:abstractNumId w:val="5"/>
  </w:num>
  <w:num w:numId="31" w16cid:durableId="1352223341">
    <w:abstractNumId w:val="27"/>
  </w:num>
  <w:num w:numId="32" w16cid:durableId="1525634866">
    <w:abstractNumId w:val="32"/>
  </w:num>
  <w:num w:numId="33" w16cid:durableId="2095278825">
    <w:abstractNumId w:val="26"/>
  </w:num>
  <w:num w:numId="34" w16cid:durableId="793208535">
    <w:abstractNumId w:val="6"/>
  </w:num>
  <w:num w:numId="35" w16cid:durableId="3412032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992"/>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0A"/>
    <w:rsid w:val="0000534F"/>
    <w:rsid w:val="00005983"/>
    <w:rsid w:val="00005C26"/>
    <w:rsid w:val="00006DCD"/>
    <w:rsid w:val="00007C8C"/>
    <w:rsid w:val="00014E52"/>
    <w:rsid w:val="00014F2C"/>
    <w:rsid w:val="000171EF"/>
    <w:rsid w:val="000171F5"/>
    <w:rsid w:val="000223B8"/>
    <w:rsid w:val="00024B20"/>
    <w:rsid w:val="00024B73"/>
    <w:rsid w:val="00026071"/>
    <w:rsid w:val="000319F4"/>
    <w:rsid w:val="00031D5F"/>
    <w:rsid w:val="00034AE6"/>
    <w:rsid w:val="00034CE9"/>
    <w:rsid w:val="00035413"/>
    <w:rsid w:val="00036049"/>
    <w:rsid w:val="000427AA"/>
    <w:rsid w:val="00047CBD"/>
    <w:rsid w:val="00050B03"/>
    <w:rsid w:val="00050B8A"/>
    <w:rsid w:val="00050BF8"/>
    <w:rsid w:val="00050EE9"/>
    <w:rsid w:val="00053A2E"/>
    <w:rsid w:val="00055719"/>
    <w:rsid w:val="00057C77"/>
    <w:rsid w:val="0006596C"/>
    <w:rsid w:val="00066093"/>
    <w:rsid w:val="00066A46"/>
    <w:rsid w:val="00067FA5"/>
    <w:rsid w:val="000706AC"/>
    <w:rsid w:val="000709C1"/>
    <w:rsid w:val="00072BF5"/>
    <w:rsid w:val="0007307E"/>
    <w:rsid w:val="0007454B"/>
    <w:rsid w:val="00075ECD"/>
    <w:rsid w:val="000802AD"/>
    <w:rsid w:val="0008277F"/>
    <w:rsid w:val="00083BE5"/>
    <w:rsid w:val="000841B0"/>
    <w:rsid w:val="00084687"/>
    <w:rsid w:val="000853D4"/>
    <w:rsid w:val="00086F87"/>
    <w:rsid w:val="00087791"/>
    <w:rsid w:val="00090773"/>
    <w:rsid w:val="00091974"/>
    <w:rsid w:val="00091E82"/>
    <w:rsid w:val="00091FB2"/>
    <w:rsid w:val="00093A2C"/>
    <w:rsid w:val="00094B2B"/>
    <w:rsid w:val="000A3913"/>
    <w:rsid w:val="000A3FEA"/>
    <w:rsid w:val="000A5162"/>
    <w:rsid w:val="000B028C"/>
    <w:rsid w:val="000B1B6C"/>
    <w:rsid w:val="000B45FD"/>
    <w:rsid w:val="000B4859"/>
    <w:rsid w:val="000B4F53"/>
    <w:rsid w:val="000B5247"/>
    <w:rsid w:val="000B634A"/>
    <w:rsid w:val="000B65FF"/>
    <w:rsid w:val="000C2770"/>
    <w:rsid w:val="000C4075"/>
    <w:rsid w:val="000C5A4C"/>
    <w:rsid w:val="000C68BF"/>
    <w:rsid w:val="000D0266"/>
    <w:rsid w:val="000D1F9C"/>
    <w:rsid w:val="000D3D73"/>
    <w:rsid w:val="000D4AB1"/>
    <w:rsid w:val="000D4ACB"/>
    <w:rsid w:val="000E1D9C"/>
    <w:rsid w:val="000E1FF1"/>
    <w:rsid w:val="000E2235"/>
    <w:rsid w:val="000E2800"/>
    <w:rsid w:val="000E5182"/>
    <w:rsid w:val="000E5838"/>
    <w:rsid w:val="000F1A43"/>
    <w:rsid w:val="000F23AE"/>
    <w:rsid w:val="000F2928"/>
    <w:rsid w:val="000F454E"/>
    <w:rsid w:val="000F73E4"/>
    <w:rsid w:val="00100EA6"/>
    <w:rsid w:val="001053A9"/>
    <w:rsid w:val="00105B94"/>
    <w:rsid w:val="00106679"/>
    <w:rsid w:val="00107BCD"/>
    <w:rsid w:val="00110E4E"/>
    <w:rsid w:val="00111982"/>
    <w:rsid w:val="001123B9"/>
    <w:rsid w:val="00114896"/>
    <w:rsid w:val="00120452"/>
    <w:rsid w:val="00125046"/>
    <w:rsid w:val="0012507A"/>
    <w:rsid w:val="001259F0"/>
    <w:rsid w:val="00125E7F"/>
    <w:rsid w:val="0012645E"/>
    <w:rsid w:val="00131244"/>
    <w:rsid w:val="001342BF"/>
    <w:rsid w:val="00135356"/>
    <w:rsid w:val="00135C30"/>
    <w:rsid w:val="001405EA"/>
    <w:rsid w:val="0014068F"/>
    <w:rsid w:val="00142BD4"/>
    <w:rsid w:val="001446F6"/>
    <w:rsid w:val="001459BF"/>
    <w:rsid w:val="001463DE"/>
    <w:rsid w:val="00150C14"/>
    <w:rsid w:val="00150DBB"/>
    <w:rsid w:val="00152192"/>
    <w:rsid w:val="00160502"/>
    <w:rsid w:val="001615C7"/>
    <w:rsid w:val="00165B10"/>
    <w:rsid w:val="00171870"/>
    <w:rsid w:val="00171F86"/>
    <w:rsid w:val="00173049"/>
    <w:rsid w:val="00175A75"/>
    <w:rsid w:val="00175B23"/>
    <w:rsid w:val="0017665F"/>
    <w:rsid w:val="00177475"/>
    <w:rsid w:val="00177B78"/>
    <w:rsid w:val="00181117"/>
    <w:rsid w:val="001833B4"/>
    <w:rsid w:val="00183F42"/>
    <w:rsid w:val="0018415B"/>
    <w:rsid w:val="00190511"/>
    <w:rsid w:val="001917EB"/>
    <w:rsid w:val="00191E69"/>
    <w:rsid w:val="00193059"/>
    <w:rsid w:val="00193952"/>
    <w:rsid w:val="00196BD3"/>
    <w:rsid w:val="00196FF4"/>
    <w:rsid w:val="001970F5"/>
    <w:rsid w:val="001A0831"/>
    <w:rsid w:val="001A2E09"/>
    <w:rsid w:val="001A72C5"/>
    <w:rsid w:val="001B0B7D"/>
    <w:rsid w:val="001B2460"/>
    <w:rsid w:val="001B255C"/>
    <w:rsid w:val="001B6151"/>
    <w:rsid w:val="001B7F6F"/>
    <w:rsid w:val="001D0D7E"/>
    <w:rsid w:val="001D3B29"/>
    <w:rsid w:val="001D4674"/>
    <w:rsid w:val="001D54DB"/>
    <w:rsid w:val="001E0CC8"/>
    <w:rsid w:val="001E11EF"/>
    <w:rsid w:val="001E2554"/>
    <w:rsid w:val="001E3774"/>
    <w:rsid w:val="001E4E27"/>
    <w:rsid w:val="001E54C9"/>
    <w:rsid w:val="001E694E"/>
    <w:rsid w:val="001E6C0C"/>
    <w:rsid w:val="001F00B9"/>
    <w:rsid w:val="001F471E"/>
    <w:rsid w:val="001F7031"/>
    <w:rsid w:val="001F7595"/>
    <w:rsid w:val="001F7BAD"/>
    <w:rsid w:val="002018BC"/>
    <w:rsid w:val="00203831"/>
    <w:rsid w:val="00206AF3"/>
    <w:rsid w:val="00207E1C"/>
    <w:rsid w:val="00212F61"/>
    <w:rsid w:val="00217FD7"/>
    <w:rsid w:val="002209C8"/>
    <w:rsid w:val="00220B05"/>
    <w:rsid w:val="002220B3"/>
    <w:rsid w:val="002225C5"/>
    <w:rsid w:val="00225FA5"/>
    <w:rsid w:val="002310A8"/>
    <w:rsid w:val="002323A3"/>
    <w:rsid w:val="00234617"/>
    <w:rsid w:val="00236601"/>
    <w:rsid w:val="0023749F"/>
    <w:rsid w:val="00237CDC"/>
    <w:rsid w:val="0024372C"/>
    <w:rsid w:val="00251010"/>
    <w:rsid w:val="00251370"/>
    <w:rsid w:val="0025199A"/>
    <w:rsid w:val="00253A7E"/>
    <w:rsid w:val="002546D0"/>
    <w:rsid w:val="00255172"/>
    <w:rsid w:val="00257443"/>
    <w:rsid w:val="00260F01"/>
    <w:rsid w:val="00262338"/>
    <w:rsid w:val="00263161"/>
    <w:rsid w:val="00266788"/>
    <w:rsid w:val="00270C5B"/>
    <w:rsid w:val="00272532"/>
    <w:rsid w:val="00272FAB"/>
    <w:rsid w:val="00277903"/>
    <w:rsid w:val="002817A6"/>
    <w:rsid w:val="002822AC"/>
    <w:rsid w:val="00282BBF"/>
    <w:rsid w:val="00283226"/>
    <w:rsid w:val="00283254"/>
    <w:rsid w:val="00283685"/>
    <w:rsid w:val="00286947"/>
    <w:rsid w:val="00287374"/>
    <w:rsid w:val="0028752B"/>
    <w:rsid w:val="0029078C"/>
    <w:rsid w:val="00292143"/>
    <w:rsid w:val="002940A2"/>
    <w:rsid w:val="00294202"/>
    <w:rsid w:val="002A0E65"/>
    <w:rsid w:val="002A2B29"/>
    <w:rsid w:val="002A32E7"/>
    <w:rsid w:val="002A466E"/>
    <w:rsid w:val="002B0695"/>
    <w:rsid w:val="002B1984"/>
    <w:rsid w:val="002B19E1"/>
    <w:rsid w:val="002B2B70"/>
    <w:rsid w:val="002B73A2"/>
    <w:rsid w:val="002C2130"/>
    <w:rsid w:val="002C24B1"/>
    <w:rsid w:val="002C2CA7"/>
    <w:rsid w:val="002C2F57"/>
    <w:rsid w:val="002C3862"/>
    <w:rsid w:val="002C45AD"/>
    <w:rsid w:val="002C4F89"/>
    <w:rsid w:val="002C7B59"/>
    <w:rsid w:val="002D0B8A"/>
    <w:rsid w:val="002D322E"/>
    <w:rsid w:val="002D32D6"/>
    <w:rsid w:val="002D3764"/>
    <w:rsid w:val="002D579F"/>
    <w:rsid w:val="002D6557"/>
    <w:rsid w:val="002D6FF8"/>
    <w:rsid w:val="002E35E9"/>
    <w:rsid w:val="002E3DEE"/>
    <w:rsid w:val="002E564C"/>
    <w:rsid w:val="002E7B69"/>
    <w:rsid w:val="002F0146"/>
    <w:rsid w:val="002F0CCB"/>
    <w:rsid w:val="002F2DB3"/>
    <w:rsid w:val="002F48E4"/>
    <w:rsid w:val="002F630E"/>
    <w:rsid w:val="002F7907"/>
    <w:rsid w:val="003037D0"/>
    <w:rsid w:val="0030606D"/>
    <w:rsid w:val="00306BA2"/>
    <w:rsid w:val="00307BF1"/>
    <w:rsid w:val="00307F8D"/>
    <w:rsid w:val="00310445"/>
    <w:rsid w:val="0031200C"/>
    <w:rsid w:val="00314160"/>
    <w:rsid w:val="003151A4"/>
    <w:rsid w:val="00315385"/>
    <w:rsid w:val="00315675"/>
    <w:rsid w:val="00315FC2"/>
    <w:rsid w:val="003220B1"/>
    <w:rsid w:val="003245F2"/>
    <w:rsid w:val="0032633A"/>
    <w:rsid w:val="00330725"/>
    <w:rsid w:val="00331208"/>
    <w:rsid w:val="003316F3"/>
    <w:rsid w:val="00331878"/>
    <w:rsid w:val="003330BE"/>
    <w:rsid w:val="00334D30"/>
    <w:rsid w:val="00337A67"/>
    <w:rsid w:val="00337D45"/>
    <w:rsid w:val="00342CAB"/>
    <w:rsid w:val="00342EEB"/>
    <w:rsid w:val="003458F7"/>
    <w:rsid w:val="00346383"/>
    <w:rsid w:val="00346BAA"/>
    <w:rsid w:val="00347C2A"/>
    <w:rsid w:val="00350E89"/>
    <w:rsid w:val="00351B54"/>
    <w:rsid w:val="00351CF6"/>
    <w:rsid w:val="00352D71"/>
    <w:rsid w:val="003531D5"/>
    <w:rsid w:val="00354898"/>
    <w:rsid w:val="003564D1"/>
    <w:rsid w:val="00356882"/>
    <w:rsid w:val="0036597D"/>
    <w:rsid w:val="00365FDF"/>
    <w:rsid w:val="003700BC"/>
    <w:rsid w:val="00370D1B"/>
    <w:rsid w:val="0037242E"/>
    <w:rsid w:val="003724FA"/>
    <w:rsid w:val="00372C51"/>
    <w:rsid w:val="00373CB1"/>
    <w:rsid w:val="00375ED2"/>
    <w:rsid w:val="00377D92"/>
    <w:rsid w:val="00382DD5"/>
    <w:rsid w:val="00382F0D"/>
    <w:rsid w:val="00383796"/>
    <w:rsid w:val="0038711E"/>
    <w:rsid w:val="0039053D"/>
    <w:rsid w:val="00392E08"/>
    <w:rsid w:val="003948B9"/>
    <w:rsid w:val="00395F6D"/>
    <w:rsid w:val="00397C4D"/>
    <w:rsid w:val="003A4FC0"/>
    <w:rsid w:val="003A5A87"/>
    <w:rsid w:val="003B1611"/>
    <w:rsid w:val="003B1BD7"/>
    <w:rsid w:val="003B4163"/>
    <w:rsid w:val="003B442C"/>
    <w:rsid w:val="003B4F5C"/>
    <w:rsid w:val="003B6E5E"/>
    <w:rsid w:val="003C3218"/>
    <w:rsid w:val="003C3859"/>
    <w:rsid w:val="003C3B63"/>
    <w:rsid w:val="003C4A70"/>
    <w:rsid w:val="003C5193"/>
    <w:rsid w:val="003D59B8"/>
    <w:rsid w:val="003D5C43"/>
    <w:rsid w:val="003E0E21"/>
    <w:rsid w:val="003E347F"/>
    <w:rsid w:val="003F33A3"/>
    <w:rsid w:val="003F4090"/>
    <w:rsid w:val="003F42B1"/>
    <w:rsid w:val="003F790A"/>
    <w:rsid w:val="003F7D3A"/>
    <w:rsid w:val="00400CEB"/>
    <w:rsid w:val="00400F12"/>
    <w:rsid w:val="00401C3E"/>
    <w:rsid w:val="004055B5"/>
    <w:rsid w:val="00405F78"/>
    <w:rsid w:val="00407094"/>
    <w:rsid w:val="00407244"/>
    <w:rsid w:val="004106B3"/>
    <w:rsid w:val="0041306A"/>
    <w:rsid w:val="004137CE"/>
    <w:rsid w:val="00414B8F"/>
    <w:rsid w:val="00415FFD"/>
    <w:rsid w:val="0042101E"/>
    <w:rsid w:val="00423332"/>
    <w:rsid w:val="00423A48"/>
    <w:rsid w:val="00423B0F"/>
    <w:rsid w:val="004250D9"/>
    <w:rsid w:val="00426FD2"/>
    <w:rsid w:val="00433B52"/>
    <w:rsid w:val="00437797"/>
    <w:rsid w:val="00440A9C"/>
    <w:rsid w:val="00440E4C"/>
    <w:rsid w:val="004436DE"/>
    <w:rsid w:val="004520D1"/>
    <w:rsid w:val="004536B6"/>
    <w:rsid w:val="00457D97"/>
    <w:rsid w:val="00463CE9"/>
    <w:rsid w:val="004665B1"/>
    <w:rsid w:val="0046794E"/>
    <w:rsid w:val="00467B1C"/>
    <w:rsid w:val="00470753"/>
    <w:rsid w:val="0047446E"/>
    <w:rsid w:val="0047521D"/>
    <w:rsid w:val="00475FBD"/>
    <w:rsid w:val="00480D98"/>
    <w:rsid w:val="00481FD8"/>
    <w:rsid w:val="00482818"/>
    <w:rsid w:val="0048437A"/>
    <w:rsid w:val="004848D8"/>
    <w:rsid w:val="0048637D"/>
    <w:rsid w:val="00486BB8"/>
    <w:rsid w:val="00487398"/>
    <w:rsid w:val="00487F5F"/>
    <w:rsid w:val="00490430"/>
    <w:rsid w:val="0049264A"/>
    <w:rsid w:val="004936FB"/>
    <w:rsid w:val="00495415"/>
    <w:rsid w:val="00496282"/>
    <w:rsid w:val="00497483"/>
    <w:rsid w:val="004A0D39"/>
    <w:rsid w:val="004A2CF3"/>
    <w:rsid w:val="004A331A"/>
    <w:rsid w:val="004A358D"/>
    <w:rsid w:val="004A4D79"/>
    <w:rsid w:val="004A4FCC"/>
    <w:rsid w:val="004A62A0"/>
    <w:rsid w:val="004B068E"/>
    <w:rsid w:val="004B0C4E"/>
    <w:rsid w:val="004B0C75"/>
    <w:rsid w:val="004B12EE"/>
    <w:rsid w:val="004B3DC2"/>
    <w:rsid w:val="004B4B98"/>
    <w:rsid w:val="004B599A"/>
    <w:rsid w:val="004C116B"/>
    <w:rsid w:val="004C1909"/>
    <w:rsid w:val="004C4F65"/>
    <w:rsid w:val="004C52D3"/>
    <w:rsid w:val="004C686D"/>
    <w:rsid w:val="004D0185"/>
    <w:rsid w:val="004D055D"/>
    <w:rsid w:val="004D05B8"/>
    <w:rsid w:val="004D2CCF"/>
    <w:rsid w:val="004D43CF"/>
    <w:rsid w:val="004D5939"/>
    <w:rsid w:val="004D5EE2"/>
    <w:rsid w:val="004D77B3"/>
    <w:rsid w:val="004D7804"/>
    <w:rsid w:val="004E0049"/>
    <w:rsid w:val="004E307B"/>
    <w:rsid w:val="004E42C7"/>
    <w:rsid w:val="004E5E37"/>
    <w:rsid w:val="004E6367"/>
    <w:rsid w:val="004F0A44"/>
    <w:rsid w:val="004F3C92"/>
    <w:rsid w:val="004F6812"/>
    <w:rsid w:val="004F6910"/>
    <w:rsid w:val="004F73C6"/>
    <w:rsid w:val="004F73F4"/>
    <w:rsid w:val="005016C9"/>
    <w:rsid w:val="00501A0E"/>
    <w:rsid w:val="005033AB"/>
    <w:rsid w:val="00504E70"/>
    <w:rsid w:val="00506326"/>
    <w:rsid w:val="005079AE"/>
    <w:rsid w:val="00511AD3"/>
    <w:rsid w:val="00512E6C"/>
    <w:rsid w:val="00513540"/>
    <w:rsid w:val="00513800"/>
    <w:rsid w:val="00523664"/>
    <w:rsid w:val="00523CF1"/>
    <w:rsid w:val="005244BB"/>
    <w:rsid w:val="00526D86"/>
    <w:rsid w:val="00527848"/>
    <w:rsid w:val="00527C8C"/>
    <w:rsid w:val="00533377"/>
    <w:rsid w:val="005373CC"/>
    <w:rsid w:val="005415B5"/>
    <w:rsid w:val="00542BCC"/>
    <w:rsid w:val="00542D3B"/>
    <w:rsid w:val="00547947"/>
    <w:rsid w:val="00550862"/>
    <w:rsid w:val="00552ED1"/>
    <w:rsid w:val="00553AA8"/>
    <w:rsid w:val="00554B0F"/>
    <w:rsid w:val="0056002A"/>
    <w:rsid w:val="005644A6"/>
    <w:rsid w:val="0056637C"/>
    <w:rsid w:val="0056748A"/>
    <w:rsid w:val="0056750D"/>
    <w:rsid w:val="0057222A"/>
    <w:rsid w:val="00576EFD"/>
    <w:rsid w:val="00580AF1"/>
    <w:rsid w:val="00581B71"/>
    <w:rsid w:val="0058328D"/>
    <w:rsid w:val="00585E11"/>
    <w:rsid w:val="00586E60"/>
    <w:rsid w:val="0059183C"/>
    <w:rsid w:val="00596365"/>
    <w:rsid w:val="00597FC9"/>
    <w:rsid w:val="005A008B"/>
    <w:rsid w:val="005A1A70"/>
    <w:rsid w:val="005A2DD8"/>
    <w:rsid w:val="005A3418"/>
    <w:rsid w:val="005A3FCE"/>
    <w:rsid w:val="005A4851"/>
    <w:rsid w:val="005A5FC3"/>
    <w:rsid w:val="005A69E7"/>
    <w:rsid w:val="005A6AD2"/>
    <w:rsid w:val="005B328F"/>
    <w:rsid w:val="005B3F45"/>
    <w:rsid w:val="005B7138"/>
    <w:rsid w:val="005C16F8"/>
    <w:rsid w:val="005C7673"/>
    <w:rsid w:val="005D00F7"/>
    <w:rsid w:val="005D1C21"/>
    <w:rsid w:val="005D3C51"/>
    <w:rsid w:val="005D47B9"/>
    <w:rsid w:val="005D56D5"/>
    <w:rsid w:val="005D72E6"/>
    <w:rsid w:val="005D7FEE"/>
    <w:rsid w:val="005E03B9"/>
    <w:rsid w:val="005E08D5"/>
    <w:rsid w:val="005E1829"/>
    <w:rsid w:val="005E444F"/>
    <w:rsid w:val="005E70A1"/>
    <w:rsid w:val="005F13DF"/>
    <w:rsid w:val="005F2AE7"/>
    <w:rsid w:val="005F438A"/>
    <w:rsid w:val="005F6FA9"/>
    <w:rsid w:val="00600D96"/>
    <w:rsid w:val="00607191"/>
    <w:rsid w:val="00613286"/>
    <w:rsid w:val="00615D12"/>
    <w:rsid w:val="006171C6"/>
    <w:rsid w:val="00620DC8"/>
    <w:rsid w:val="00621735"/>
    <w:rsid w:val="0062388D"/>
    <w:rsid w:val="00623C6B"/>
    <w:rsid w:val="00625793"/>
    <w:rsid w:val="006267C3"/>
    <w:rsid w:val="006272EF"/>
    <w:rsid w:val="00630CA8"/>
    <w:rsid w:val="0063162A"/>
    <w:rsid w:val="00632D14"/>
    <w:rsid w:val="00633044"/>
    <w:rsid w:val="0063308C"/>
    <w:rsid w:val="00633BA5"/>
    <w:rsid w:val="00633FF7"/>
    <w:rsid w:val="00634244"/>
    <w:rsid w:val="00635F73"/>
    <w:rsid w:val="00636B72"/>
    <w:rsid w:val="00637285"/>
    <w:rsid w:val="0064076A"/>
    <w:rsid w:val="0064110C"/>
    <w:rsid w:val="00641DA6"/>
    <w:rsid w:val="006427FE"/>
    <w:rsid w:val="0064397B"/>
    <w:rsid w:val="00643AE3"/>
    <w:rsid w:val="0065042D"/>
    <w:rsid w:val="006512A5"/>
    <w:rsid w:val="00654B4A"/>
    <w:rsid w:val="00655103"/>
    <w:rsid w:val="00657CB1"/>
    <w:rsid w:val="00664763"/>
    <w:rsid w:val="00665523"/>
    <w:rsid w:val="006666D0"/>
    <w:rsid w:val="00672D86"/>
    <w:rsid w:val="00672E9A"/>
    <w:rsid w:val="00675B85"/>
    <w:rsid w:val="00683D32"/>
    <w:rsid w:val="006848BC"/>
    <w:rsid w:val="00685547"/>
    <w:rsid w:val="00685BD2"/>
    <w:rsid w:val="006871CA"/>
    <w:rsid w:val="00690765"/>
    <w:rsid w:val="00690FCB"/>
    <w:rsid w:val="006956E1"/>
    <w:rsid w:val="00696D03"/>
    <w:rsid w:val="006A0EDE"/>
    <w:rsid w:val="006A0F2A"/>
    <w:rsid w:val="006A24A4"/>
    <w:rsid w:val="006A51DA"/>
    <w:rsid w:val="006A5D8E"/>
    <w:rsid w:val="006B26BD"/>
    <w:rsid w:val="006B291B"/>
    <w:rsid w:val="006B72F4"/>
    <w:rsid w:val="006B7598"/>
    <w:rsid w:val="006D1BC1"/>
    <w:rsid w:val="006D1D12"/>
    <w:rsid w:val="006D202C"/>
    <w:rsid w:val="006D5104"/>
    <w:rsid w:val="006E68EC"/>
    <w:rsid w:val="006E77B6"/>
    <w:rsid w:val="006F3F36"/>
    <w:rsid w:val="006F4619"/>
    <w:rsid w:val="006F47E7"/>
    <w:rsid w:val="006F6A5C"/>
    <w:rsid w:val="006F77A5"/>
    <w:rsid w:val="007010B5"/>
    <w:rsid w:val="0070203B"/>
    <w:rsid w:val="00703380"/>
    <w:rsid w:val="007044B7"/>
    <w:rsid w:val="0070601D"/>
    <w:rsid w:val="00707B92"/>
    <w:rsid w:val="0071116E"/>
    <w:rsid w:val="00711AFB"/>
    <w:rsid w:val="00712490"/>
    <w:rsid w:val="00712BB0"/>
    <w:rsid w:val="00714D14"/>
    <w:rsid w:val="00716DAB"/>
    <w:rsid w:val="00720224"/>
    <w:rsid w:val="007203DA"/>
    <w:rsid w:val="007205A1"/>
    <w:rsid w:val="00720D8A"/>
    <w:rsid w:val="00720DFC"/>
    <w:rsid w:val="00721534"/>
    <w:rsid w:val="00721731"/>
    <w:rsid w:val="007238AB"/>
    <w:rsid w:val="007264F4"/>
    <w:rsid w:val="00727C4C"/>
    <w:rsid w:val="00730257"/>
    <w:rsid w:val="007333B8"/>
    <w:rsid w:val="00733B0D"/>
    <w:rsid w:val="007355EA"/>
    <w:rsid w:val="00735DF1"/>
    <w:rsid w:val="00741722"/>
    <w:rsid w:val="00741AD3"/>
    <w:rsid w:val="00742CAD"/>
    <w:rsid w:val="00744633"/>
    <w:rsid w:val="007455E8"/>
    <w:rsid w:val="007502C6"/>
    <w:rsid w:val="00750C7D"/>
    <w:rsid w:val="0075182F"/>
    <w:rsid w:val="0076421D"/>
    <w:rsid w:val="00764EE8"/>
    <w:rsid w:val="00767052"/>
    <w:rsid w:val="007715AB"/>
    <w:rsid w:val="00771A2E"/>
    <w:rsid w:val="00771DA7"/>
    <w:rsid w:val="00774C1D"/>
    <w:rsid w:val="00775DE8"/>
    <w:rsid w:val="00776366"/>
    <w:rsid w:val="00782856"/>
    <w:rsid w:val="00783902"/>
    <w:rsid w:val="00783F29"/>
    <w:rsid w:val="00784C00"/>
    <w:rsid w:val="00785F1D"/>
    <w:rsid w:val="0078661E"/>
    <w:rsid w:val="00786CC9"/>
    <w:rsid w:val="007906A8"/>
    <w:rsid w:val="00790C4F"/>
    <w:rsid w:val="00791C21"/>
    <w:rsid w:val="00792D4E"/>
    <w:rsid w:val="00794DFA"/>
    <w:rsid w:val="0079520A"/>
    <w:rsid w:val="00796554"/>
    <w:rsid w:val="0079735B"/>
    <w:rsid w:val="00797752"/>
    <w:rsid w:val="007977A7"/>
    <w:rsid w:val="007977AB"/>
    <w:rsid w:val="00797908"/>
    <w:rsid w:val="007B1693"/>
    <w:rsid w:val="007B298F"/>
    <w:rsid w:val="007B5725"/>
    <w:rsid w:val="007B61C8"/>
    <w:rsid w:val="007B6AFF"/>
    <w:rsid w:val="007B7B5A"/>
    <w:rsid w:val="007C1944"/>
    <w:rsid w:val="007C1DCC"/>
    <w:rsid w:val="007C2B98"/>
    <w:rsid w:val="007C43A6"/>
    <w:rsid w:val="007C4F31"/>
    <w:rsid w:val="007C667F"/>
    <w:rsid w:val="007D1915"/>
    <w:rsid w:val="007D570A"/>
    <w:rsid w:val="007E07CD"/>
    <w:rsid w:val="007E570C"/>
    <w:rsid w:val="007E5CA6"/>
    <w:rsid w:val="007E6020"/>
    <w:rsid w:val="007E7774"/>
    <w:rsid w:val="007F0220"/>
    <w:rsid w:val="007F1D0B"/>
    <w:rsid w:val="007F25B8"/>
    <w:rsid w:val="007F2D1D"/>
    <w:rsid w:val="007F3862"/>
    <w:rsid w:val="007F4552"/>
    <w:rsid w:val="007F486D"/>
    <w:rsid w:val="007F4973"/>
    <w:rsid w:val="007F4B2A"/>
    <w:rsid w:val="007F6F1F"/>
    <w:rsid w:val="007F788C"/>
    <w:rsid w:val="008018CA"/>
    <w:rsid w:val="0080436A"/>
    <w:rsid w:val="008066AB"/>
    <w:rsid w:val="00807D88"/>
    <w:rsid w:val="00810254"/>
    <w:rsid w:val="00810745"/>
    <w:rsid w:val="0081315E"/>
    <w:rsid w:val="00814C4B"/>
    <w:rsid w:val="00816FA3"/>
    <w:rsid w:val="008179EA"/>
    <w:rsid w:val="0082178B"/>
    <w:rsid w:val="0082359A"/>
    <w:rsid w:val="00826EE0"/>
    <w:rsid w:val="00831580"/>
    <w:rsid w:val="00831665"/>
    <w:rsid w:val="00831DDA"/>
    <w:rsid w:val="00834BC4"/>
    <w:rsid w:val="00837399"/>
    <w:rsid w:val="00840142"/>
    <w:rsid w:val="00842583"/>
    <w:rsid w:val="00844898"/>
    <w:rsid w:val="008479CF"/>
    <w:rsid w:val="00851822"/>
    <w:rsid w:val="00851E0C"/>
    <w:rsid w:val="00854871"/>
    <w:rsid w:val="00854A59"/>
    <w:rsid w:val="0085620F"/>
    <w:rsid w:val="00856D9A"/>
    <w:rsid w:val="00860690"/>
    <w:rsid w:val="00860986"/>
    <w:rsid w:val="008631EF"/>
    <w:rsid w:val="00866DDA"/>
    <w:rsid w:val="0086723D"/>
    <w:rsid w:val="00870A4C"/>
    <w:rsid w:val="00872369"/>
    <w:rsid w:val="00875A2F"/>
    <w:rsid w:val="00880689"/>
    <w:rsid w:val="0088343B"/>
    <w:rsid w:val="00885016"/>
    <w:rsid w:val="00885021"/>
    <w:rsid w:val="008864E7"/>
    <w:rsid w:val="0088705B"/>
    <w:rsid w:val="00893EC0"/>
    <w:rsid w:val="00894253"/>
    <w:rsid w:val="0089588C"/>
    <w:rsid w:val="00896433"/>
    <w:rsid w:val="0089673C"/>
    <w:rsid w:val="00896AE3"/>
    <w:rsid w:val="00896B8D"/>
    <w:rsid w:val="008A19D0"/>
    <w:rsid w:val="008A1C48"/>
    <w:rsid w:val="008A2083"/>
    <w:rsid w:val="008A365A"/>
    <w:rsid w:val="008A4241"/>
    <w:rsid w:val="008B2CBA"/>
    <w:rsid w:val="008B2E75"/>
    <w:rsid w:val="008B5525"/>
    <w:rsid w:val="008B5A86"/>
    <w:rsid w:val="008C0CC7"/>
    <w:rsid w:val="008C2429"/>
    <w:rsid w:val="008C52BC"/>
    <w:rsid w:val="008C5716"/>
    <w:rsid w:val="008C5B57"/>
    <w:rsid w:val="008D0DB8"/>
    <w:rsid w:val="008D152C"/>
    <w:rsid w:val="008D384B"/>
    <w:rsid w:val="008D4CA6"/>
    <w:rsid w:val="008D503F"/>
    <w:rsid w:val="008D512A"/>
    <w:rsid w:val="008E068C"/>
    <w:rsid w:val="008E0C9A"/>
    <w:rsid w:val="008E0CAB"/>
    <w:rsid w:val="008E23B0"/>
    <w:rsid w:val="008E311F"/>
    <w:rsid w:val="008E470B"/>
    <w:rsid w:val="008F0875"/>
    <w:rsid w:val="008F2266"/>
    <w:rsid w:val="008F42B4"/>
    <w:rsid w:val="008F608B"/>
    <w:rsid w:val="008F7BBD"/>
    <w:rsid w:val="00900627"/>
    <w:rsid w:val="00903B30"/>
    <w:rsid w:val="0090462C"/>
    <w:rsid w:val="009051A3"/>
    <w:rsid w:val="0091246C"/>
    <w:rsid w:val="00913345"/>
    <w:rsid w:val="00914BC1"/>
    <w:rsid w:val="00915C56"/>
    <w:rsid w:val="00924C82"/>
    <w:rsid w:val="00925344"/>
    <w:rsid w:val="009253CB"/>
    <w:rsid w:val="00926C26"/>
    <w:rsid w:val="0092766E"/>
    <w:rsid w:val="00934533"/>
    <w:rsid w:val="00934E7C"/>
    <w:rsid w:val="00941267"/>
    <w:rsid w:val="00944548"/>
    <w:rsid w:val="0094526B"/>
    <w:rsid w:val="0094576D"/>
    <w:rsid w:val="00946381"/>
    <w:rsid w:val="00946ACE"/>
    <w:rsid w:val="009503C4"/>
    <w:rsid w:val="00950F6A"/>
    <w:rsid w:val="00951DEC"/>
    <w:rsid w:val="00952035"/>
    <w:rsid w:val="009568AB"/>
    <w:rsid w:val="00957F3A"/>
    <w:rsid w:val="00960344"/>
    <w:rsid w:val="009603FA"/>
    <w:rsid w:val="00962272"/>
    <w:rsid w:val="00962ED1"/>
    <w:rsid w:val="00963820"/>
    <w:rsid w:val="00964354"/>
    <w:rsid w:val="00964755"/>
    <w:rsid w:val="00967087"/>
    <w:rsid w:val="00971658"/>
    <w:rsid w:val="00973F7B"/>
    <w:rsid w:val="0097436A"/>
    <w:rsid w:val="0097443C"/>
    <w:rsid w:val="00980B55"/>
    <w:rsid w:val="00980D06"/>
    <w:rsid w:val="00980EEB"/>
    <w:rsid w:val="00981F27"/>
    <w:rsid w:val="0098349A"/>
    <w:rsid w:val="00983D8C"/>
    <w:rsid w:val="0098431B"/>
    <w:rsid w:val="00984C57"/>
    <w:rsid w:val="00987F92"/>
    <w:rsid w:val="00991100"/>
    <w:rsid w:val="00992587"/>
    <w:rsid w:val="009939F2"/>
    <w:rsid w:val="00993C9B"/>
    <w:rsid w:val="009967EC"/>
    <w:rsid w:val="0099739A"/>
    <w:rsid w:val="009A0581"/>
    <w:rsid w:val="009A0D71"/>
    <w:rsid w:val="009A0E17"/>
    <w:rsid w:val="009A485A"/>
    <w:rsid w:val="009A49FB"/>
    <w:rsid w:val="009A5C69"/>
    <w:rsid w:val="009B167C"/>
    <w:rsid w:val="009B171E"/>
    <w:rsid w:val="009B1AE1"/>
    <w:rsid w:val="009B2C20"/>
    <w:rsid w:val="009B438E"/>
    <w:rsid w:val="009B45B9"/>
    <w:rsid w:val="009B4F1B"/>
    <w:rsid w:val="009B51BB"/>
    <w:rsid w:val="009B5DA7"/>
    <w:rsid w:val="009C01C5"/>
    <w:rsid w:val="009C07C4"/>
    <w:rsid w:val="009C21E2"/>
    <w:rsid w:val="009C2A37"/>
    <w:rsid w:val="009C2C77"/>
    <w:rsid w:val="009C32E2"/>
    <w:rsid w:val="009C630D"/>
    <w:rsid w:val="009C6CA9"/>
    <w:rsid w:val="009D0FD7"/>
    <w:rsid w:val="009D1FE4"/>
    <w:rsid w:val="009E504A"/>
    <w:rsid w:val="009E5334"/>
    <w:rsid w:val="009E6778"/>
    <w:rsid w:val="009F05B7"/>
    <w:rsid w:val="009F12CA"/>
    <w:rsid w:val="009F186F"/>
    <w:rsid w:val="009F2ADC"/>
    <w:rsid w:val="009F4196"/>
    <w:rsid w:val="009F489E"/>
    <w:rsid w:val="009F64B8"/>
    <w:rsid w:val="00A022F7"/>
    <w:rsid w:val="00A03A42"/>
    <w:rsid w:val="00A03AF9"/>
    <w:rsid w:val="00A042E9"/>
    <w:rsid w:val="00A051EB"/>
    <w:rsid w:val="00A06F72"/>
    <w:rsid w:val="00A16780"/>
    <w:rsid w:val="00A21EA0"/>
    <w:rsid w:val="00A24F20"/>
    <w:rsid w:val="00A258AC"/>
    <w:rsid w:val="00A27F38"/>
    <w:rsid w:val="00A319BF"/>
    <w:rsid w:val="00A323FF"/>
    <w:rsid w:val="00A43237"/>
    <w:rsid w:val="00A46CFB"/>
    <w:rsid w:val="00A5049B"/>
    <w:rsid w:val="00A51A6D"/>
    <w:rsid w:val="00A52977"/>
    <w:rsid w:val="00A53215"/>
    <w:rsid w:val="00A5383E"/>
    <w:rsid w:val="00A55A15"/>
    <w:rsid w:val="00A55C00"/>
    <w:rsid w:val="00A55E95"/>
    <w:rsid w:val="00A562D5"/>
    <w:rsid w:val="00A57141"/>
    <w:rsid w:val="00A57D4D"/>
    <w:rsid w:val="00A57DF2"/>
    <w:rsid w:val="00A607D3"/>
    <w:rsid w:val="00A615CD"/>
    <w:rsid w:val="00A63AA7"/>
    <w:rsid w:val="00A63FF8"/>
    <w:rsid w:val="00A64327"/>
    <w:rsid w:val="00A679FC"/>
    <w:rsid w:val="00A67FE8"/>
    <w:rsid w:val="00A72D40"/>
    <w:rsid w:val="00A72EC7"/>
    <w:rsid w:val="00A73E41"/>
    <w:rsid w:val="00A768EF"/>
    <w:rsid w:val="00A769F2"/>
    <w:rsid w:val="00A7779A"/>
    <w:rsid w:val="00A77C3A"/>
    <w:rsid w:val="00A813A8"/>
    <w:rsid w:val="00A82835"/>
    <w:rsid w:val="00A83355"/>
    <w:rsid w:val="00A83BE4"/>
    <w:rsid w:val="00A8473C"/>
    <w:rsid w:val="00A87980"/>
    <w:rsid w:val="00A901DA"/>
    <w:rsid w:val="00A92113"/>
    <w:rsid w:val="00A94AEB"/>
    <w:rsid w:val="00A96DDD"/>
    <w:rsid w:val="00AA1CB0"/>
    <w:rsid w:val="00AA2E6C"/>
    <w:rsid w:val="00AA4320"/>
    <w:rsid w:val="00AA4752"/>
    <w:rsid w:val="00AA4AB9"/>
    <w:rsid w:val="00AA507D"/>
    <w:rsid w:val="00AA58B1"/>
    <w:rsid w:val="00AB01E6"/>
    <w:rsid w:val="00AB18C4"/>
    <w:rsid w:val="00AB422F"/>
    <w:rsid w:val="00AB44EA"/>
    <w:rsid w:val="00AC09D3"/>
    <w:rsid w:val="00AC411F"/>
    <w:rsid w:val="00AC49EB"/>
    <w:rsid w:val="00AC54F2"/>
    <w:rsid w:val="00AC562F"/>
    <w:rsid w:val="00AD21D4"/>
    <w:rsid w:val="00AD52D1"/>
    <w:rsid w:val="00AE0DB0"/>
    <w:rsid w:val="00AE163C"/>
    <w:rsid w:val="00AE239B"/>
    <w:rsid w:val="00AE29F6"/>
    <w:rsid w:val="00AE3961"/>
    <w:rsid w:val="00AE45CF"/>
    <w:rsid w:val="00AE4821"/>
    <w:rsid w:val="00AE6277"/>
    <w:rsid w:val="00AE62CA"/>
    <w:rsid w:val="00AE709F"/>
    <w:rsid w:val="00AE75F2"/>
    <w:rsid w:val="00AF0E38"/>
    <w:rsid w:val="00AF1625"/>
    <w:rsid w:val="00AF3D37"/>
    <w:rsid w:val="00AF726C"/>
    <w:rsid w:val="00B01C53"/>
    <w:rsid w:val="00B01D1C"/>
    <w:rsid w:val="00B01E33"/>
    <w:rsid w:val="00B052EE"/>
    <w:rsid w:val="00B05780"/>
    <w:rsid w:val="00B060F0"/>
    <w:rsid w:val="00B063E0"/>
    <w:rsid w:val="00B07B3F"/>
    <w:rsid w:val="00B125D2"/>
    <w:rsid w:val="00B17325"/>
    <w:rsid w:val="00B17BF9"/>
    <w:rsid w:val="00B211B2"/>
    <w:rsid w:val="00B227B5"/>
    <w:rsid w:val="00B22E22"/>
    <w:rsid w:val="00B263DE"/>
    <w:rsid w:val="00B27213"/>
    <w:rsid w:val="00B30E2A"/>
    <w:rsid w:val="00B31474"/>
    <w:rsid w:val="00B32A86"/>
    <w:rsid w:val="00B32B20"/>
    <w:rsid w:val="00B33911"/>
    <w:rsid w:val="00B411B4"/>
    <w:rsid w:val="00B41AC0"/>
    <w:rsid w:val="00B42032"/>
    <w:rsid w:val="00B42639"/>
    <w:rsid w:val="00B453F8"/>
    <w:rsid w:val="00B45EF1"/>
    <w:rsid w:val="00B46C7E"/>
    <w:rsid w:val="00B535F9"/>
    <w:rsid w:val="00B540F0"/>
    <w:rsid w:val="00B5475A"/>
    <w:rsid w:val="00B54A0D"/>
    <w:rsid w:val="00B54C95"/>
    <w:rsid w:val="00B550BC"/>
    <w:rsid w:val="00B57D3D"/>
    <w:rsid w:val="00B6312C"/>
    <w:rsid w:val="00B6486F"/>
    <w:rsid w:val="00B64EB6"/>
    <w:rsid w:val="00B65462"/>
    <w:rsid w:val="00B76C60"/>
    <w:rsid w:val="00B77B46"/>
    <w:rsid w:val="00B8008B"/>
    <w:rsid w:val="00B8151B"/>
    <w:rsid w:val="00B816DB"/>
    <w:rsid w:val="00B81D74"/>
    <w:rsid w:val="00B83458"/>
    <w:rsid w:val="00B83708"/>
    <w:rsid w:val="00B83836"/>
    <w:rsid w:val="00B84113"/>
    <w:rsid w:val="00B85A6F"/>
    <w:rsid w:val="00B86C63"/>
    <w:rsid w:val="00B86FA5"/>
    <w:rsid w:val="00B9040C"/>
    <w:rsid w:val="00B908EC"/>
    <w:rsid w:val="00B916C0"/>
    <w:rsid w:val="00B96A98"/>
    <w:rsid w:val="00BA1423"/>
    <w:rsid w:val="00BA1D48"/>
    <w:rsid w:val="00BA2CFA"/>
    <w:rsid w:val="00BA3ED9"/>
    <w:rsid w:val="00BA67A0"/>
    <w:rsid w:val="00BA78E0"/>
    <w:rsid w:val="00BB2009"/>
    <w:rsid w:val="00BB2877"/>
    <w:rsid w:val="00BB426A"/>
    <w:rsid w:val="00BB74B5"/>
    <w:rsid w:val="00BC2F03"/>
    <w:rsid w:val="00BC75DB"/>
    <w:rsid w:val="00BD5932"/>
    <w:rsid w:val="00BD6763"/>
    <w:rsid w:val="00BD6F15"/>
    <w:rsid w:val="00BD77D4"/>
    <w:rsid w:val="00BE3DFA"/>
    <w:rsid w:val="00BE7636"/>
    <w:rsid w:val="00BF1330"/>
    <w:rsid w:val="00BF40A7"/>
    <w:rsid w:val="00BF5447"/>
    <w:rsid w:val="00BF776D"/>
    <w:rsid w:val="00BF7C3B"/>
    <w:rsid w:val="00C0128D"/>
    <w:rsid w:val="00C02165"/>
    <w:rsid w:val="00C027AD"/>
    <w:rsid w:val="00C03334"/>
    <w:rsid w:val="00C045F1"/>
    <w:rsid w:val="00C05CC1"/>
    <w:rsid w:val="00C0646D"/>
    <w:rsid w:val="00C107C1"/>
    <w:rsid w:val="00C11D78"/>
    <w:rsid w:val="00C14D08"/>
    <w:rsid w:val="00C16F94"/>
    <w:rsid w:val="00C1793F"/>
    <w:rsid w:val="00C17F57"/>
    <w:rsid w:val="00C20BBA"/>
    <w:rsid w:val="00C21D92"/>
    <w:rsid w:val="00C21DDF"/>
    <w:rsid w:val="00C22333"/>
    <w:rsid w:val="00C2337E"/>
    <w:rsid w:val="00C26E23"/>
    <w:rsid w:val="00C279BA"/>
    <w:rsid w:val="00C30CC5"/>
    <w:rsid w:val="00C33A79"/>
    <w:rsid w:val="00C33D37"/>
    <w:rsid w:val="00C41513"/>
    <w:rsid w:val="00C41B41"/>
    <w:rsid w:val="00C43F39"/>
    <w:rsid w:val="00C4698B"/>
    <w:rsid w:val="00C53469"/>
    <w:rsid w:val="00C54DC6"/>
    <w:rsid w:val="00C55373"/>
    <w:rsid w:val="00C63F33"/>
    <w:rsid w:val="00C643FA"/>
    <w:rsid w:val="00C64E0E"/>
    <w:rsid w:val="00C718DD"/>
    <w:rsid w:val="00C71FD8"/>
    <w:rsid w:val="00C7257B"/>
    <w:rsid w:val="00C75B09"/>
    <w:rsid w:val="00C75F41"/>
    <w:rsid w:val="00C81099"/>
    <w:rsid w:val="00C821A8"/>
    <w:rsid w:val="00C83123"/>
    <w:rsid w:val="00C854BC"/>
    <w:rsid w:val="00C8645E"/>
    <w:rsid w:val="00C90739"/>
    <w:rsid w:val="00C9259E"/>
    <w:rsid w:val="00C9412E"/>
    <w:rsid w:val="00C9506C"/>
    <w:rsid w:val="00C9725F"/>
    <w:rsid w:val="00CA128D"/>
    <w:rsid w:val="00CA202C"/>
    <w:rsid w:val="00CA24A7"/>
    <w:rsid w:val="00CA36E9"/>
    <w:rsid w:val="00CA3E0A"/>
    <w:rsid w:val="00CA4604"/>
    <w:rsid w:val="00CA4B44"/>
    <w:rsid w:val="00CA6965"/>
    <w:rsid w:val="00CA741A"/>
    <w:rsid w:val="00CB03C0"/>
    <w:rsid w:val="00CB1778"/>
    <w:rsid w:val="00CB26D4"/>
    <w:rsid w:val="00CB30E6"/>
    <w:rsid w:val="00CC349F"/>
    <w:rsid w:val="00CC3F1F"/>
    <w:rsid w:val="00CC48DF"/>
    <w:rsid w:val="00CD484B"/>
    <w:rsid w:val="00CD7B7B"/>
    <w:rsid w:val="00CE02E1"/>
    <w:rsid w:val="00CE1A93"/>
    <w:rsid w:val="00CE2625"/>
    <w:rsid w:val="00CE2DDE"/>
    <w:rsid w:val="00CE6502"/>
    <w:rsid w:val="00CE666D"/>
    <w:rsid w:val="00CE750F"/>
    <w:rsid w:val="00CF0E8D"/>
    <w:rsid w:val="00CF2128"/>
    <w:rsid w:val="00CF24A2"/>
    <w:rsid w:val="00CF2BE9"/>
    <w:rsid w:val="00CF601C"/>
    <w:rsid w:val="00CF6E79"/>
    <w:rsid w:val="00CF7FF2"/>
    <w:rsid w:val="00D0164B"/>
    <w:rsid w:val="00D01F24"/>
    <w:rsid w:val="00D02489"/>
    <w:rsid w:val="00D044F2"/>
    <w:rsid w:val="00D055AC"/>
    <w:rsid w:val="00D05B7A"/>
    <w:rsid w:val="00D10620"/>
    <w:rsid w:val="00D11517"/>
    <w:rsid w:val="00D148ED"/>
    <w:rsid w:val="00D17D3A"/>
    <w:rsid w:val="00D20260"/>
    <w:rsid w:val="00D20ED6"/>
    <w:rsid w:val="00D22FF4"/>
    <w:rsid w:val="00D2523E"/>
    <w:rsid w:val="00D267FD"/>
    <w:rsid w:val="00D27704"/>
    <w:rsid w:val="00D307AF"/>
    <w:rsid w:val="00D30D0B"/>
    <w:rsid w:val="00D31660"/>
    <w:rsid w:val="00D31CFD"/>
    <w:rsid w:val="00D31FD8"/>
    <w:rsid w:val="00D3245A"/>
    <w:rsid w:val="00D3251B"/>
    <w:rsid w:val="00D347C8"/>
    <w:rsid w:val="00D355C7"/>
    <w:rsid w:val="00D36673"/>
    <w:rsid w:val="00D41632"/>
    <w:rsid w:val="00D435FE"/>
    <w:rsid w:val="00D446E8"/>
    <w:rsid w:val="00D44EDE"/>
    <w:rsid w:val="00D45580"/>
    <w:rsid w:val="00D53537"/>
    <w:rsid w:val="00D54F40"/>
    <w:rsid w:val="00D5582E"/>
    <w:rsid w:val="00D603F8"/>
    <w:rsid w:val="00D60F99"/>
    <w:rsid w:val="00D614A0"/>
    <w:rsid w:val="00D61739"/>
    <w:rsid w:val="00D6349A"/>
    <w:rsid w:val="00D64E5E"/>
    <w:rsid w:val="00D660B5"/>
    <w:rsid w:val="00D71BB7"/>
    <w:rsid w:val="00D72302"/>
    <w:rsid w:val="00D7328F"/>
    <w:rsid w:val="00D74C8B"/>
    <w:rsid w:val="00D75BAA"/>
    <w:rsid w:val="00D76243"/>
    <w:rsid w:val="00D8020D"/>
    <w:rsid w:val="00D8626C"/>
    <w:rsid w:val="00D90C15"/>
    <w:rsid w:val="00D92AE8"/>
    <w:rsid w:val="00D9381D"/>
    <w:rsid w:val="00D93830"/>
    <w:rsid w:val="00D95E1D"/>
    <w:rsid w:val="00D962E1"/>
    <w:rsid w:val="00DA0C0B"/>
    <w:rsid w:val="00DA20CC"/>
    <w:rsid w:val="00DA2423"/>
    <w:rsid w:val="00DA2653"/>
    <w:rsid w:val="00DA32EE"/>
    <w:rsid w:val="00DA4CEF"/>
    <w:rsid w:val="00DA6CEB"/>
    <w:rsid w:val="00DB175D"/>
    <w:rsid w:val="00DB30FB"/>
    <w:rsid w:val="00DB3AA0"/>
    <w:rsid w:val="00DB3F3E"/>
    <w:rsid w:val="00DB57AC"/>
    <w:rsid w:val="00DB7446"/>
    <w:rsid w:val="00DC0AE0"/>
    <w:rsid w:val="00DC4EB8"/>
    <w:rsid w:val="00DD376F"/>
    <w:rsid w:val="00DD4A9F"/>
    <w:rsid w:val="00DD7C58"/>
    <w:rsid w:val="00DE0768"/>
    <w:rsid w:val="00DE2015"/>
    <w:rsid w:val="00DF104E"/>
    <w:rsid w:val="00DF2480"/>
    <w:rsid w:val="00DF49DB"/>
    <w:rsid w:val="00DF5708"/>
    <w:rsid w:val="00DF5A63"/>
    <w:rsid w:val="00DF5EED"/>
    <w:rsid w:val="00DF6519"/>
    <w:rsid w:val="00E032FC"/>
    <w:rsid w:val="00E04BA5"/>
    <w:rsid w:val="00E074D3"/>
    <w:rsid w:val="00E079F4"/>
    <w:rsid w:val="00E07D69"/>
    <w:rsid w:val="00E120A1"/>
    <w:rsid w:val="00E27776"/>
    <w:rsid w:val="00E3033C"/>
    <w:rsid w:val="00E30677"/>
    <w:rsid w:val="00E341AD"/>
    <w:rsid w:val="00E3517D"/>
    <w:rsid w:val="00E364D1"/>
    <w:rsid w:val="00E3672A"/>
    <w:rsid w:val="00E36735"/>
    <w:rsid w:val="00E442FB"/>
    <w:rsid w:val="00E458E1"/>
    <w:rsid w:val="00E52CBB"/>
    <w:rsid w:val="00E536D1"/>
    <w:rsid w:val="00E53ABC"/>
    <w:rsid w:val="00E54D22"/>
    <w:rsid w:val="00E556D9"/>
    <w:rsid w:val="00E55EDC"/>
    <w:rsid w:val="00E562BF"/>
    <w:rsid w:val="00E6020B"/>
    <w:rsid w:val="00E64525"/>
    <w:rsid w:val="00E64819"/>
    <w:rsid w:val="00E66128"/>
    <w:rsid w:val="00E6615D"/>
    <w:rsid w:val="00E705AE"/>
    <w:rsid w:val="00E712DD"/>
    <w:rsid w:val="00E715F0"/>
    <w:rsid w:val="00E72391"/>
    <w:rsid w:val="00E72956"/>
    <w:rsid w:val="00E736B3"/>
    <w:rsid w:val="00E73E8F"/>
    <w:rsid w:val="00E742E5"/>
    <w:rsid w:val="00E758B7"/>
    <w:rsid w:val="00E760E7"/>
    <w:rsid w:val="00E81091"/>
    <w:rsid w:val="00E82D64"/>
    <w:rsid w:val="00E848FE"/>
    <w:rsid w:val="00E90DBD"/>
    <w:rsid w:val="00E936D4"/>
    <w:rsid w:val="00E938F7"/>
    <w:rsid w:val="00E9593E"/>
    <w:rsid w:val="00E96286"/>
    <w:rsid w:val="00E972FA"/>
    <w:rsid w:val="00EA2313"/>
    <w:rsid w:val="00EA327A"/>
    <w:rsid w:val="00EA4146"/>
    <w:rsid w:val="00EA5225"/>
    <w:rsid w:val="00EA52C4"/>
    <w:rsid w:val="00EA7259"/>
    <w:rsid w:val="00EB06EB"/>
    <w:rsid w:val="00EB239C"/>
    <w:rsid w:val="00EB6BA1"/>
    <w:rsid w:val="00EC04C6"/>
    <w:rsid w:val="00EC1E20"/>
    <w:rsid w:val="00EC349E"/>
    <w:rsid w:val="00EC6912"/>
    <w:rsid w:val="00ED0899"/>
    <w:rsid w:val="00ED27C5"/>
    <w:rsid w:val="00ED4195"/>
    <w:rsid w:val="00ED45A5"/>
    <w:rsid w:val="00ED7DF3"/>
    <w:rsid w:val="00EE2658"/>
    <w:rsid w:val="00EE3EB0"/>
    <w:rsid w:val="00EE6FFE"/>
    <w:rsid w:val="00EF2BB6"/>
    <w:rsid w:val="00EF40CA"/>
    <w:rsid w:val="00EF6DA6"/>
    <w:rsid w:val="00EF7419"/>
    <w:rsid w:val="00EF7CE8"/>
    <w:rsid w:val="00F00867"/>
    <w:rsid w:val="00F06801"/>
    <w:rsid w:val="00F117AE"/>
    <w:rsid w:val="00F12314"/>
    <w:rsid w:val="00F12469"/>
    <w:rsid w:val="00F15302"/>
    <w:rsid w:val="00F15385"/>
    <w:rsid w:val="00F22BF4"/>
    <w:rsid w:val="00F237E6"/>
    <w:rsid w:val="00F24F16"/>
    <w:rsid w:val="00F270D1"/>
    <w:rsid w:val="00F27342"/>
    <w:rsid w:val="00F349F2"/>
    <w:rsid w:val="00F35A17"/>
    <w:rsid w:val="00F37A8D"/>
    <w:rsid w:val="00F401BE"/>
    <w:rsid w:val="00F42E96"/>
    <w:rsid w:val="00F42F27"/>
    <w:rsid w:val="00F4395F"/>
    <w:rsid w:val="00F52CA3"/>
    <w:rsid w:val="00F533A1"/>
    <w:rsid w:val="00F54D6A"/>
    <w:rsid w:val="00F56893"/>
    <w:rsid w:val="00F56A1A"/>
    <w:rsid w:val="00F57142"/>
    <w:rsid w:val="00F62D45"/>
    <w:rsid w:val="00F6506A"/>
    <w:rsid w:val="00F67BC8"/>
    <w:rsid w:val="00F71B9C"/>
    <w:rsid w:val="00F71E35"/>
    <w:rsid w:val="00F72229"/>
    <w:rsid w:val="00F733BF"/>
    <w:rsid w:val="00F74DDF"/>
    <w:rsid w:val="00F77AE6"/>
    <w:rsid w:val="00F77CB3"/>
    <w:rsid w:val="00F80959"/>
    <w:rsid w:val="00F874E4"/>
    <w:rsid w:val="00F876ED"/>
    <w:rsid w:val="00F91EE7"/>
    <w:rsid w:val="00F91FF2"/>
    <w:rsid w:val="00F935FB"/>
    <w:rsid w:val="00F93D7F"/>
    <w:rsid w:val="00F9594C"/>
    <w:rsid w:val="00F962AE"/>
    <w:rsid w:val="00FA4825"/>
    <w:rsid w:val="00FA491F"/>
    <w:rsid w:val="00FA702B"/>
    <w:rsid w:val="00FA7A0D"/>
    <w:rsid w:val="00FB3AFF"/>
    <w:rsid w:val="00FB43D0"/>
    <w:rsid w:val="00FB500B"/>
    <w:rsid w:val="00FC1272"/>
    <w:rsid w:val="00FC15FB"/>
    <w:rsid w:val="00FC23CF"/>
    <w:rsid w:val="00FC316D"/>
    <w:rsid w:val="00FC4C31"/>
    <w:rsid w:val="00FC6B69"/>
    <w:rsid w:val="00FD0F1C"/>
    <w:rsid w:val="00FD75DA"/>
    <w:rsid w:val="00FE0D28"/>
    <w:rsid w:val="00FE132B"/>
    <w:rsid w:val="00FE15BF"/>
    <w:rsid w:val="00FE3F4F"/>
    <w:rsid w:val="00FE4E31"/>
    <w:rsid w:val="00FE74B5"/>
    <w:rsid w:val="00FF1890"/>
    <w:rsid w:val="00FF6596"/>
    <w:rsid w:val="00FF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237C4"/>
  <w14:defaultImageDpi w14:val="96"/>
  <w15:docId w15:val="{C35EB689-A793-439A-B3D0-C308C7FB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7AE"/>
    <w:pPr>
      <w:suppressAutoHyphens/>
      <w:spacing w:before="160" w:after="160" w:line="360" w:lineRule="auto"/>
    </w:pPr>
  </w:style>
  <w:style w:type="paragraph" w:styleId="Heading1">
    <w:name w:val="heading 1"/>
    <w:basedOn w:val="Normal"/>
    <w:next w:val="Normal"/>
    <w:link w:val="Heading1Char"/>
    <w:uiPriority w:val="99"/>
    <w:qFormat/>
    <w:rsid w:val="00D92AE8"/>
    <w:pPr>
      <w:keepNext/>
      <w:pageBreakBefore/>
      <w:spacing w:before="240" w:after="60" w:line="240" w:lineRule="auto"/>
      <w:outlineLvl w:val="0"/>
    </w:pPr>
    <w:rPr>
      <w:b/>
      <w:bCs/>
      <w:kern w:val="32"/>
      <w:sz w:val="40"/>
      <w:szCs w:val="32"/>
    </w:rPr>
  </w:style>
  <w:style w:type="paragraph" w:styleId="Heading2">
    <w:name w:val="heading 2"/>
    <w:basedOn w:val="Normal"/>
    <w:next w:val="Normal"/>
    <w:link w:val="Heading2Char"/>
    <w:uiPriority w:val="99"/>
    <w:unhideWhenUsed/>
    <w:qFormat/>
    <w:rsid w:val="00173049"/>
    <w:pPr>
      <w:keepNext/>
      <w:spacing w:before="240" w:after="120" w:line="240" w:lineRule="auto"/>
      <w:outlineLvl w:val="1"/>
    </w:pPr>
    <w:rPr>
      <w:b/>
      <w:bCs/>
      <w:iCs/>
      <w:sz w:val="32"/>
      <w:szCs w:val="28"/>
    </w:rPr>
  </w:style>
  <w:style w:type="paragraph" w:styleId="Heading3">
    <w:name w:val="heading 3"/>
    <w:basedOn w:val="Normal"/>
    <w:next w:val="Normal"/>
    <w:link w:val="Heading3Char"/>
    <w:uiPriority w:val="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04E70"/>
    <w:pPr>
      <w:widowControl w:val="0"/>
      <w:autoSpaceDE w:val="0"/>
      <w:autoSpaceDN w:val="0"/>
      <w:adjustRightInd w:val="0"/>
      <w:spacing w:line="288" w:lineRule="auto"/>
      <w:textAlignment w:val="center"/>
    </w:pPr>
    <w:rPr>
      <w:rFonts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1B0B7D"/>
    <w:pPr>
      <w:spacing w:before="0" w:after="0"/>
    </w:pPr>
    <w:rPr>
      <w:rFonts w:cstheme="majorHAnsi"/>
      <w:bCs/>
      <w:caps/>
      <w:szCs w:val="24"/>
    </w:r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D92AE8"/>
    <w:rPr>
      <w:b/>
      <w:bCs/>
      <w:kern w:val="32"/>
      <w:sz w:val="40"/>
      <w:szCs w:val="32"/>
    </w:rPr>
  </w:style>
  <w:style w:type="paragraph" w:styleId="Title">
    <w:name w:val="Title"/>
    <w:basedOn w:val="Normal"/>
    <w:next w:val="Normal"/>
    <w:link w:val="TitleChar"/>
    <w:uiPriority w:val="99"/>
    <w:qFormat/>
    <w:rsid w:val="009F186F"/>
    <w:pPr>
      <w:spacing w:before="120" w:after="240" w:line="240" w:lineRule="auto"/>
      <w:outlineLvl w:val="0"/>
    </w:pPr>
    <w:rPr>
      <w:b/>
      <w:bCs/>
      <w:kern w:val="28"/>
      <w:sz w:val="48"/>
      <w:szCs w:val="32"/>
    </w:rPr>
  </w:style>
  <w:style w:type="character" w:customStyle="1" w:styleId="TitleChar">
    <w:name w:val="Title Char"/>
    <w:link w:val="Title"/>
    <w:uiPriority w:val="10"/>
    <w:rsid w:val="009F186F"/>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9"/>
    <w:rsid w:val="00173049"/>
    <w:rPr>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C9725F"/>
    <w:pPr>
      <w:pageBreakBefore/>
      <w:numPr>
        <w:numId w:val="1"/>
      </w:numPr>
      <w:tabs>
        <w:tab w:val="left" w:pos="992"/>
      </w:tabs>
      <w:suppressAutoHyphens/>
      <w:spacing w:after="240"/>
      <w:ind w:left="992" w:hanging="992"/>
    </w:pPr>
    <w:rPr>
      <w:b/>
      <w:bCs/>
      <w:kern w:val="32"/>
      <w:sz w:val="48"/>
      <w:szCs w:val="32"/>
    </w:rPr>
  </w:style>
  <w:style w:type="paragraph" w:customStyle="1" w:styleId="Bullets">
    <w:name w:val="Bullets"/>
    <w:basedOn w:val="Normal"/>
    <w:qFormat/>
    <w:rsid w:val="00860986"/>
    <w:pPr>
      <w:numPr>
        <w:numId w:val="2"/>
      </w:numPr>
      <w:spacing w:before="60" w:after="60"/>
      <w:ind w:left="924" w:hanging="357"/>
    </w:pPr>
  </w:style>
  <w:style w:type="character" w:customStyle="1" w:styleId="Heading1NumberedChar">
    <w:name w:val="Heading 1 Numbered Char"/>
    <w:link w:val="Heading1Numbered"/>
    <w:rsid w:val="00C9725F"/>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2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9A49FB"/>
    <w:pPr>
      <w:tabs>
        <w:tab w:val="left" w:pos="454"/>
      </w:tabs>
      <w:suppressAutoHyphens/>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E709F"/>
    <w:pPr>
      <w:spacing w:before="0" w:after="0"/>
      <w:ind w:left="220"/>
    </w:pPr>
    <w:rPr>
      <w:rFonts w:asciiTheme="minorHAnsi" w:hAnsiTheme="minorHAnsi" w:cstheme="minorHAnsi"/>
      <w:sz w:val="20"/>
      <w:szCs w:val="20"/>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semiHidden/>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TableNoteABCGeneralStyles">
    <w:name w:val="Table Note ABC (General Styles)"/>
    <w:basedOn w:val="NoParagraphStyle"/>
    <w:uiPriority w:val="99"/>
    <w:rsid w:val="005A3418"/>
    <w:pPr>
      <w:tabs>
        <w:tab w:val="left" w:pos="283"/>
        <w:tab w:val="left" w:pos="360"/>
      </w:tabs>
      <w:suppressAutoHyphens/>
      <w:spacing w:after="20" w:line="200" w:lineRule="atLeast"/>
      <w:ind w:left="283" w:hanging="283"/>
    </w:pPr>
    <w:rPr>
      <w:rFonts w:ascii="Gill Sans Std Light" w:eastAsiaTheme="minorEastAsia" w:hAnsi="Gill Sans Std Light" w:cs="Gill Sans Std Light"/>
      <w:sz w:val="16"/>
      <w:szCs w:val="16"/>
      <w:lang w:val="en-US"/>
    </w:rPr>
  </w:style>
  <w:style w:type="character" w:customStyle="1" w:styleId="DemiBlack">
    <w:name w:val="Demi Black"/>
    <w:uiPriority w:val="99"/>
    <w:rsid w:val="005A3418"/>
    <w:rPr>
      <w:rFonts w:ascii="ITC Franklin Gothic Std Book" w:hAnsi="ITC Franklin Gothic Std Book" w:cs="ITC Franklin Gothic Std Book"/>
      <w:color w:val="000000"/>
    </w:rPr>
  </w:style>
  <w:style w:type="character" w:customStyle="1" w:styleId="DemiWhite">
    <w:name w:val="Demi White"/>
    <w:uiPriority w:val="99"/>
    <w:rsid w:val="005A3418"/>
    <w:rPr>
      <w:rFonts w:ascii="ITC Franklin Gothic Std Book" w:hAnsi="ITC Franklin Gothic Std Book" w:cs="ITC Franklin Gothic Std Book"/>
      <w:outline/>
    </w:rPr>
  </w:style>
  <w:style w:type="character" w:customStyle="1" w:styleId="FigureNumber">
    <w:name w:val="Figure Number"/>
    <w:uiPriority w:val="99"/>
    <w:rsid w:val="005A3418"/>
    <w:rPr>
      <w:color w:val="3E608F"/>
    </w:rPr>
  </w:style>
  <w:style w:type="paragraph" w:customStyle="1" w:styleId="PageNumberReferenceLHPPageNumber">
    <w:name w:val="Page Number Reference LHP (Page Number)"/>
    <w:basedOn w:val="Normal"/>
    <w:uiPriority w:val="99"/>
    <w:rsid w:val="004C4F65"/>
    <w:pPr>
      <w:widowControl w:val="0"/>
      <w:autoSpaceDE w:val="0"/>
      <w:autoSpaceDN w:val="0"/>
      <w:adjustRightInd w:val="0"/>
      <w:spacing w:before="0" w:after="0" w:line="250" w:lineRule="atLeast"/>
      <w:textAlignment w:val="center"/>
    </w:pPr>
    <w:rPr>
      <w:rFonts w:ascii="ITC Franklin Gothic Std Book" w:eastAsiaTheme="minorEastAsia" w:hAnsi="ITC Franklin Gothic Std Book" w:cs="ITC Franklin Gothic Std Book"/>
      <w:color w:val="55565A"/>
      <w:sz w:val="19"/>
      <w:szCs w:val="19"/>
      <w:lang w:val="en-US"/>
    </w:rPr>
  </w:style>
  <w:style w:type="character" w:customStyle="1" w:styleId="ProjectColour">
    <w:name w:val="Project Colour"/>
    <w:uiPriority w:val="99"/>
    <w:rsid w:val="00B85A6F"/>
    <w:rPr>
      <w:color w:val="3E608F"/>
    </w:rPr>
  </w:style>
  <w:style w:type="paragraph" w:styleId="Subtitle">
    <w:name w:val="Subtitle"/>
    <w:basedOn w:val="Normal"/>
    <w:next w:val="Normal"/>
    <w:link w:val="SubtitleChar"/>
    <w:uiPriority w:val="99"/>
    <w:qFormat/>
    <w:rsid w:val="0007454B"/>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99"/>
    <w:rsid w:val="0007454B"/>
    <w:rPr>
      <w:rFonts w:asciiTheme="minorHAnsi" w:eastAsiaTheme="minorEastAsia" w:hAnsiTheme="minorHAnsi" w:cstheme="minorBidi"/>
      <w:color w:val="5A5A5A" w:themeColor="text1" w:themeTint="A5"/>
      <w:spacing w:val="15"/>
      <w:sz w:val="22"/>
      <w:szCs w:val="22"/>
    </w:rPr>
  </w:style>
  <w:style w:type="paragraph" w:customStyle="1" w:styleId="NumberedLastGeneralStyles">
    <w:name w:val="Numbered Last (General Styles)"/>
    <w:basedOn w:val="ABCGeneralStyles"/>
    <w:uiPriority w:val="99"/>
    <w:rsid w:val="004250D9"/>
    <w:pPr>
      <w:tabs>
        <w:tab w:val="left" w:pos="640"/>
      </w:tabs>
      <w:spacing w:after="135" w:line="360" w:lineRule="atLeast"/>
      <w:ind w:left="720"/>
    </w:pPr>
    <w:rPr>
      <w:sz w:val="24"/>
      <w:szCs w:val="24"/>
    </w:rPr>
  </w:style>
  <w:style w:type="paragraph" w:customStyle="1" w:styleId="Quote1GeneralStyles">
    <w:name w:val="Quote 1 (General Styles)"/>
    <w:basedOn w:val="QuotebulletGeneralStyles"/>
    <w:uiPriority w:val="99"/>
    <w:rsid w:val="004250D9"/>
    <w:pPr>
      <w:spacing w:line="360" w:lineRule="atLeast"/>
      <w:ind w:left="1020" w:hanging="255"/>
      <w:jc w:val="left"/>
    </w:pPr>
    <w:rPr>
      <w:sz w:val="21"/>
      <w:szCs w:val="21"/>
    </w:rPr>
  </w:style>
  <w:style w:type="paragraph" w:customStyle="1" w:styleId="Quote234GeneralStyles">
    <w:name w:val="Quote 234 (General Styles)"/>
    <w:basedOn w:val="QuotebulletGeneralStyles"/>
    <w:uiPriority w:val="99"/>
    <w:rsid w:val="004250D9"/>
    <w:pPr>
      <w:spacing w:line="360" w:lineRule="atLeast"/>
      <w:ind w:left="1020" w:hanging="255"/>
      <w:jc w:val="left"/>
    </w:pPr>
    <w:rPr>
      <w:sz w:val="21"/>
      <w:szCs w:val="21"/>
    </w:rPr>
  </w:style>
  <w:style w:type="paragraph" w:customStyle="1" w:styleId="BodyFranklinGothicQuoteLeftLastFranklinGothicSection">
    <w:name w:val="Body Franklin Gothic Quote Left Last (Franklin Gothic Section)"/>
    <w:basedOn w:val="BodyGeneralStyles"/>
    <w:uiPriority w:val="99"/>
    <w:rsid w:val="004250D9"/>
    <w:pPr>
      <w:spacing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RightSourceFranklinGothicSection">
    <w:name w:val="Body Franklin Gothic Quote Right Source (Franklin Gothic Section)"/>
    <w:basedOn w:val="BodyGeneralStyles"/>
    <w:uiPriority w:val="99"/>
    <w:rsid w:val="004250D9"/>
    <w:pPr>
      <w:spacing w:after="280" w:line="360" w:lineRule="atLeast"/>
      <w:ind w:left="1200"/>
      <w:jc w:val="right"/>
    </w:pPr>
    <w:rPr>
      <w:rFonts w:ascii="ITC Franklin Gothic Std Book" w:eastAsiaTheme="minorEastAsia" w:hAnsi="ITC Franklin Gothic Std Book" w:cs="ITC Franklin Gothic Std Book"/>
      <w:sz w:val="22"/>
      <w:szCs w:val="22"/>
    </w:rPr>
  </w:style>
  <w:style w:type="paragraph" w:customStyle="1" w:styleId="BodyFranklinGothicQuoteLeftFirstandLastFranklinGothicSection">
    <w:name w:val="Body Franklin Gothic Quote Left First and Last (Franklin Gothic Section)"/>
    <w:basedOn w:val="BodyGeneralStyles"/>
    <w:uiPriority w:val="99"/>
    <w:rsid w:val="004250D9"/>
    <w:pPr>
      <w:spacing w:before="240"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ranklinGothicSection">
    <w:name w:val="Body Franklin Gothic Quote Left (Franklin Gothic Section)"/>
    <w:basedOn w:val="BodyGeneralStyles"/>
    <w:uiPriority w:val="99"/>
    <w:rsid w:val="004250D9"/>
    <w:pPr>
      <w:spacing w:after="18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irstFranklinGothicSection">
    <w:name w:val="Body Franklin Gothic Quote Left First (Franklin Gothic Section)"/>
    <w:basedOn w:val="BodyGeneralStyles"/>
    <w:uiPriority w:val="99"/>
    <w:rsid w:val="004250D9"/>
    <w:pPr>
      <w:spacing w:before="240" w:after="180" w:line="360" w:lineRule="atLeast"/>
    </w:pPr>
    <w:rPr>
      <w:rFonts w:ascii="ITC Franklin Gothic Std Book" w:eastAsiaTheme="minorEastAsia" w:hAnsi="ITC Franklin Gothic Std Book" w:cs="ITC Franklin Gothic Std Book"/>
      <w:sz w:val="26"/>
      <w:szCs w:val="26"/>
    </w:rPr>
  </w:style>
  <w:style w:type="paragraph" w:customStyle="1" w:styleId="BlackCalloutFranklinGothicSection">
    <w:name w:val="Black Callout (Franklin Gothic Section)"/>
    <w:basedOn w:val="BodyGeneralStyles"/>
    <w:uiPriority w:val="99"/>
    <w:rsid w:val="004250D9"/>
    <w:pPr>
      <w:spacing w:after="180" w:line="360" w:lineRule="atLeast"/>
    </w:pPr>
    <w:rPr>
      <w:rFonts w:ascii="Franklin Gothic Medium" w:eastAsiaTheme="minorEastAsia" w:hAnsi="Franklin Gothic Medium" w:cs="Franklin Gothic Medium"/>
      <w:sz w:val="26"/>
      <w:szCs w:val="26"/>
    </w:rPr>
  </w:style>
  <w:style w:type="paragraph" w:customStyle="1" w:styleId="BodyNoSpaceGeneralStyles">
    <w:name w:val="Body No Space (General Styles)"/>
    <w:basedOn w:val="NoParagraphStyle"/>
    <w:uiPriority w:val="99"/>
    <w:rsid w:val="004250D9"/>
    <w:pPr>
      <w:suppressAutoHyphens/>
      <w:spacing w:after="60" w:line="360" w:lineRule="atLeast"/>
    </w:pPr>
    <w:rPr>
      <w:rFonts w:ascii="Gill Sans Std Light" w:eastAsiaTheme="minorEastAsia" w:hAnsi="Gill Sans Std Light" w:cs="Gill Sans Std Light"/>
      <w:lang w:val="en-US"/>
    </w:rPr>
  </w:style>
  <w:style w:type="paragraph" w:customStyle="1" w:styleId="Footnote1-9Footnote">
    <w:name w:val="Footnote 1-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paragraph" w:customStyle="1" w:styleId="Footnote10-99Footnote">
    <w:name w:val="Footnote 10-9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character" w:customStyle="1" w:styleId="RegularItalic">
    <w:name w:val="Regular Italic"/>
    <w:uiPriority w:val="99"/>
    <w:rsid w:val="004250D9"/>
    <w:rPr>
      <w:i/>
      <w:iCs/>
      <w:lang w:val="en-AU"/>
    </w:rPr>
  </w:style>
  <w:style w:type="character" w:customStyle="1" w:styleId="DemiGrey">
    <w:name w:val="Demi Grey"/>
    <w:uiPriority w:val="99"/>
    <w:rsid w:val="004250D9"/>
    <w:rPr>
      <w:rFonts w:ascii="ITC Franklin Gothic Std Book" w:hAnsi="ITC Franklin Gothic Std Book" w:cs="ITC Franklin Gothic Std Book"/>
      <w:color w:val="55565A"/>
    </w:rPr>
  </w:style>
  <w:style w:type="paragraph" w:customStyle="1" w:styleId="BlueCalloutFranklinGothicSection">
    <w:name w:val="Blue Callout (Franklin Gothic Section)"/>
    <w:basedOn w:val="BodyGeneralStyles"/>
    <w:uiPriority w:val="99"/>
    <w:rsid w:val="00964354"/>
    <w:pPr>
      <w:spacing w:after="180" w:line="360" w:lineRule="atLeast"/>
    </w:pPr>
    <w:rPr>
      <w:rFonts w:ascii="Franklin Gothic Medium" w:eastAsiaTheme="minorEastAsia" w:hAnsi="Franklin Gothic Medium" w:cs="Franklin Gothic Medium"/>
      <w:sz w:val="26"/>
      <w:szCs w:val="26"/>
    </w:rPr>
  </w:style>
  <w:style w:type="paragraph" w:customStyle="1" w:styleId="IntroWhite">
    <w:name w:val="Intro White"/>
    <w:basedOn w:val="NoParagraphStyle"/>
    <w:uiPriority w:val="99"/>
    <w:rsid w:val="00225FA5"/>
    <w:pPr>
      <w:pBdr>
        <w:top w:val="single" w:sz="8" w:space="17" w:color="FFFFFF"/>
        <w:bottom w:val="single" w:sz="8" w:space="11" w:color="FFFFFF"/>
      </w:pBdr>
      <w:suppressAutoHyphens/>
      <w:spacing w:after="113" w:line="400" w:lineRule="atLeast"/>
    </w:pPr>
    <w:rPr>
      <w:rFonts w:ascii="Poppins-Regular" w:eastAsiaTheme="minorEastAsia" w:hAnsi="Poppins-Regular" w:cs="Poppins-Regular"/>
      <w:color w:val="FFFFFF"/>
      <w:sz w:val="26"/>
      <w:szCs w:val="26"/>
      <w:lang w:val="en-US"/>
      <w14:ligatures w14:val="standardContextual"/>
    </w:rPr>
  </w:style>
  <w:style w:type="paragraph" w:customStyle="1" w:styleId="Body">
    <w:name w:val="Body"/>
    <w:basedOn w:val="NoParagraphStyle"/>
    <w:uiPriority w:val="99"/>
    <w:rsid w:val="00225FA5"/>
    <w:pPr>
      <w:suppressAutoHyphens/>
      <w:spacing w:after="113" w:line="360" w:lineRule="atLeast"/>
    </w:pPr>
    <w:rPr>
      <w:rFonts w:ascii="Poppins-Regular" w:eastAsiaTheme="minorEastAsia" w:hAnsi="Poppins-Regular" w:cs="Poppins-Regular"/>
      <w:lang w:val="en-US"/>
      <w14:ligatures w14:val="standardContextual"/>
    </w:rPr>
  </w:style>
  <w:style w:type="paragraph" w:customStyle="1" w:styleId="Anchor">
    <w:name w:val="Anchor"/>
    <w:basedOn w:val="NoParagraphStyle"/>
    <w:uiPriority w:val="99"/>
    <w:rsid w:val="00225FA5"/>
    <w:pPr>
      <w:suppressAutoHyphens/>
      <w:spacing w:line="120" w:lineRule="atLeast"/>
    </w:pPr>
    <w:rPr>
      <w:rFonts w:ascii="Poppins-Regular" w:eastAsiaTheme="minorEastAsia" w:hAnsi="Poppins-Regular" w:cs="Poppins-Regular"/>
      <w:sz w:val="12"/>
      <w:szCs w:val="12"/>
      <w:lang w:val="en-US"/>
      <w14:ligatures w14:val="standardContextual"/>
    </w:rPr>
  </w:style>
  <w:style w:type="paragraph" w:customStyle="1" w:styleId="Bullet">
    <w:name w:val="Bullet"/>
    <w:basedOn w:val="Body"/>
    <w:uiPriority w:val="99"/>
    <w:rsid w:val="00225FA5"/>
    <w:pPr>
      <w:tabs>
        <w:tab w:val="left" w:pos="907"/>
      </w:tabs>
      <w:spacing w:after="57"/>
      <w:ind w:left="510" w:hanging="170"/>
    </w:pPr>
  </w:style>
  <w:style w:type="paragraph" w:customStyle="1" w:styleId="Bulletlast">
    <w:name w:val="Bullet last"/>
    <w:basedOn w:val="Bullet"/>
    <w:uiPriority w:val="99"/>
    <w:rsid w:val="00225FA5"/>
    <w:pPr>
      <w:spacing w:after="113"/>
    </w:pPr>
  </w:style>
  <w:style w:type="character" w:customStyle="1" w:styleId="Green">
    <w:name w:val="Green"/>
    <w:uiPriority w:val="99"/>
    <w:rsid w:val="00225FA5"/>
    <w:rPr>
      <w:b/>
      <w:bCs/>
      <w:color w:val="002C2E"/>
    </w:rPr>
  </w:style>
  <w:style w:type="character" w:customStyle="1" w:styleId="LightItalic0">
    <w:name w:val="LightItalic"/>
    <w:uiPriority w:val="99"/>
    <w:rsid w:val="00225FA5"/>
    <w:rPr>
      <w:i/>
      <w:iCs/>
    </w:rPr>
  </w:style>
  <w:style w:type="paragraph" w:customStyle="1" w:styleId="Imprint">
    <w:name w:val="Imprint"/>
    <w:basedOn w:val="NoParagraphStyle"/>
    <w:uiPriority w:val="99"/>
    <w:rsid w:val="00C11D78"/>
    <w:pPr>
      <w:suppressAutoHyphens/>
      <w:spacing w:after="60" w:line="240" w:lineRule="atLeast"/>
    </w:pPr>
    <w:rPr>
      <w:rFonts w:ascii="ITC Franklin Gothic Std Book" w:eastAsiaTheme="minorEastAsia" w:hAnsi="ITC Franklin Gothic Std Book" w:cs="ITC Franklin Gothic Std Book"/>
      <w:sz w:val="18"/>
      <w:szCs w:val="18"/>
      <w:lang w:val="en-US"/>
      <w14:ligatures w14:val="standardContextual"/>
    </w:rPr>
  </w:style>
  <w:style w:type="paragraph" w:customStyle="1" w:styleId="Heading1Gray">
    <w:name w:val="Heading 1 Gray"/>
    <w:basedOn w:val="Heading1"/>
    <w:uiPriority w:val="99"/>
    <w:rsid w:val="0012507A"/>
    <w:pPr>
      <w:keepNext w:val="0"/>
      <w:widowControl w:val="0"/>
      <w:autoSpaceDE w:val="0"/>
      <w:autoSpaceDN w:val="0"/>
      <w:adjustRightInd w:val="0"/>
      <w:spacing w:before="0" w:after="57" w:line="480" w:lineRule="atLeast"/>
      <w:textAlignment w:val="center"/>
      <w:outlineLvl w:val="9"/>
    </w:pPr>
    <w:rPr>
      <w:rFonts w:ascii="Poppins-Bold" w:eastAsiaTheme="minorEastAsia" w:hAnsi="Poppins-Bold" w:cs="Poppins-Bold"/>
      <w:color w:val="55565A"/>
      <w:kern w:val="0"/>
      <w:position w:val="12"/>
      <w:sz w:val="48"/>
      <w:szCs w:val="48"/>
      <w:lang w:val="en-GB"/>
      <w14:ligatures w14:val="standardContextual"/>
    </w:rPr>
  </w:style>
  <w:style w:type="paragraph" w:customStyle="1" w:styleId="HeadingWhite">
    <w:name w:val="Heading White"/>
    <w:basedOn w:val="NoParagraphStyle"/>
    <w:uiPriority w:val="99"/>
    <w:rsid w:val="00B76C60"/>
    <w:pPr>
      <w:suppressAutoHyphens/>
      <w:spacing w:before="283" w:after="170" w:line="360" w:lineRule="atLeast"/>
    </w:pPr>
    <w:rPr>
      <w:rFonts w:ascii="Poppins-Bold" w:eastAsiaTheme="minorEastAsia" w:hAnsi="Poppins-Bold" w:cs="Poppins-Bold"/>
      <w:b/>
      <w:bCs/>
      <w:color w:val="FFFFFF"/>
      <w:sz w:val="36"/>
      <w:szCs w:val="36"/>
      <w14:ligatures w14:val="standardContextual"/>
    </w:rPr>
  </w:style>
  <w:style w:type="paragraph" w:customStyle="1" w:styleId="TOC">
    <w:name w:val="TOC"/>
    <w:basedOn w:val="NoParagraphStyle"/>
    <w:uiPriority w:val="99"/>
    <w:rsid w:val="00B76C60"/>
    <w:pPr>
      <w:suppressAutoHyphens/>
      <w:spacing w:after="113" w:line="360" w:lineRule="atLeast"/>
    </w:pPr>
    <w:rPr>
      <w:rFonts w:ascii="Poppins-Regular" w:eastAsiaTheme="minorEastAsia" w:hAnsi="Poppins-Regular" w:cs="Poppins-Regular"/>
      <w:color w:val="FFFFFF"/>
      <w:lang w:val="en-US"/>
      <w14:ligatures w14:val="standardContextual"/>
    </w:rPr>
  </w:style>
  <w:style w:type="paragraph" w:customStyle="1" w:styleId="CalloutWhite">
    <w:name w:val="Callout White"/>
    <w:basedOn w:val="NoParagraphStyle"/>
    <w:uiPriority w:val="99"/>
    <w:rsid w:val="0090462C"/>
    <w:pPr>
      <w:suppressAutoHyphens/>
      <w:spacing w:before="283" w:after="170" w:line="360" w:lineRule="atLeast"/>
    </w:pPr>
    <w:rPr>
      <w:rFonts w:ascii="Poppins-Bold" w:eastAsiaTheme="minorEastAsia" w:hAnsi="Poppins-Bold" w:cs="Poppins-Bold"/>
      <w:b/>
      <w:bCs/>
      <w:color w:val="FFFFFF"/>
      <w:sz w:val="28"/>
      <w:szCs w:val="28"/>
      <w14:ligatures w14:val="standardContextual"/>
    </w:rPr>
  </w:style>
  <w:style w:type="paragraph" w:styleId="IntenseQuote">
    <w:name w:val="Intense Quote"/>
    <w:basedOn w:val="Normal"/>
    <w:next w:val="Normal"/>
    <w:link w:val="IntenseQuoteChar"/>
    <w:uiPriority w:val="30"/>
    <w:qFormat/>
    <w:rsid w:val="0048437A"/>
    <w:pPr>
      <w:pBdr>
        <w:top w:val="single" w:sz="4" w:space="10" w:color="808080" w:themeColor="background1" w:themeShade="80"/>
        <w:bottom w:val="single" w:sz="4" w:space="10" w:color="808080" w:themeColor="background1" w:themeShade="80"/>
      </w:pBdr>
      <w:spacing w:before="360" w:after="360"/>
      <w:ind w:left="864" w:right="864"/>
      <w:jc w:val="center"/>
    </w:pPr>
    <w:rPr>
      <w:b/>
      <w:iCs/>
      <w:color w:val="000000" w:themeColor="text1"/>
    </w:rPr>
  </w:style>
  <w:style w:type="character" w:customStyle="1" w:styleId="IntenseQuoteChar">
    <w:name w:val="Intense Quote Char"/>
    <w:basedOn w:val="DefaultParagraphFont"/>
    <w:link w:val="IntenseQuote"/>
    <w:uiPriority w:val="30"/>
    <w:rsid w:val="0048437A"/>
    <w:rPr>
      <w:b/>
      <w:iCs/>
      <w:color w:val="000000" w:themeColor="text1"/>
    </w:rPr>
  </w:style>
  <w:style w:type="paragraph" w:customStyle="1" w:styleId="BodyNoSpace">
    <w:name w:val="Body No Space"/>
    <w:basedOn w:val="NoParagraphStyle"/>
    <w:uiPriority w:val="99"/>
    <w:rsid w:val="000C4075"/>
    <w:pPr>
      <w:suppressAutoHyphens/>
      <w:spacing w:line="360" w:lineRule="atLeast"/>
    </w:pPr>
    <w:rPr>
      <w:rFonts w:ascii="Poppins-Regular" w:eastAsiaTheme="minorEastAsia" w:hAnsi="Poppins-Regular" w:cs="Poppins-Regular"/>
      <w:lang w:val="en-US"/>
      <w14:ligatures w14:val="standardContextual"/>
    </w:rPr>
  </w:style>
  <w:style w:type="paragraph" w:customStyle="1" w:styleId="BodyWhitewithRule">
    <w:name w:val="Body White with Rule"/>
    <w:basedOn w:val="NoParagraphStyle"/>
    <w:uiPriority w:val="99"/>
    <w:rsid w:val="000C4075"/>
    <w:pPr>
      <w:pBdr>
        <w:top w:val="single" w:sz="8" w:space="22" w:color="auto"/>
      </w:pBdr>
      <w:suppressAutoHyphens/>
      <w:spacing w:after="57" w:line="360" w:lineRule="atLeast"/>
    </w:pPr>
    <w:rPr>
      <w:rFonts w:ascii="Poppins-Medium" w:eastAsiaTheme="minorEastAsia" w:hAnsi="Poppins-Medium" w:cs="Poppins-Medium"/>
      <w:color w:val="FFFFFF"/>
      <w:lang w:val="en-US"/>
      <w14:ligatures w14:val="standardContextual"/>
    </w:rPr>
  </w:style>
  <w:style w:type="paragraph" w:customStyle="1" w:styleId="QuoteWhite">
    <w:name w:val="Quote White"/>
    <w:basedOn w:val="NoParagraphStyle"/>
    <w:uiPriority w:val="99"/>
    <w:rsid w:val="000C4075"/>
    <w:pPr>
      <w:pBdr>
        <w:bottom w:val="single" w:sz="8" w:space="14" w:color="auto"/>
      </w:pBdr>
      <w:suppressAutoHyphens/>
      <w:spacing w:after="113" w:line="360" w:lineRule="atLeast"/>
      <w:ind w:left="240"/>
    </w:pPr>
    <w:rPr>
      <w:rFonts w:ascii="Poppins-Medium" w:eastAsiaTheme="minorEastAsia" w:hAnsi="Poppins-Medium" w:cs="Poppins-Medium"/>
      <w:color w:val="FFFFFF"/>
      <w:sz w:val="20"/>
      <w:szCs w:val="20"/>
      <w:lang w:val="en-US"/>
      <w14:ligatures w14:val="standardContextual"/>
    </w:rPr>
  </w:style>
  <w:style w:type="character" w:customStyle="1" w:styleId="MediumItalic">
    <w:name w:val="Medium Italic"/>
    <w:uiPriority w:val="99"/>
    <w:rsid w:val="000C4075"/>
    <w:rPr>
      <w:i/>
      <w:iCs/>
    </w:rPr>
  </w:style>
  <w:style w:type="paragraph" w:customStyle="1" w:styleId="IntroWhiteText">
    <w:name w:val="Intro White Text"/>
    <w:basedOn w:val="NoParagraphStyle"/>
    <w:uiPriority w:val="99"/>
    <w:rsid w:val="000C4075"/>
    <w:pPr>
      <w:suppressAutoHyphens/>
      <w:spacing w:after="113" w:line="480" w:lineRule="atLeast"/>
    </w:pPr>
    <w:rPr>
      <w:rFonts w:ascii="Poppins-Medium" w:eastAsiaTheme="minorEastAsia" w:hAnsi="Poppins-Medium" w:cs="Poppins-Medium"/>
      <w:color w:val="FFFFFF"/>
      <w:sz w:val="28"/>
      <w:szCs w:val="28"/>
      <w:lang w:val="en-US"/>
      <w14:ligatures w14:val="standardContextual"/>
    </w:rPr>
  </w:style>
  <w:style w:type="paragraph" w:customStyle="1" w:styleId="SectionTitleHeadings">
    <w:name w:val="Section Title (Headings)"/>
    <w:basedOn w:val="NoParagraphStyle"/>
    <w:uiPriority w:val="99"/>
    <w:rsid w:val="005A008B"/>
    <w:pPr>
      <w:pageBreakBefore/>
      <w:suppressAutoHyphens/>
      <w:spacing w:after="520" w:line="390" w:lineRule="atLeast"/>
      <w:jc w:val="center"/>
    </w:pPr>
    <w:rPr>
      <w:rFonts w:ascii="Open Sans Light" w:eastAsiaTheme="minorEastAsia" w:hAnsi="Open Sans Light" w:cs="Open Sans Light"/>
      <w:caps/>
      <w:color w:val="1B252F"/>
      <w:spacing w:val="19"/>
      <w:sz w:val="38"/>
      <w:szCs w:val="38"/>
      <w:lang w:val="en-US"/>
      <w14:ligatures w14:val="standardContextual"/>
    </w:rPr>
  </w:style>
  <w:style w:type="paragraph" w:customStyle="1" w:styleId="TOCTitleandPageNumberContents">
    <w:name w:val="TOC Title and Page Number (Contents)"/>
    <w:basedOn w:val="NoParagraphStyle"/>
    <w:uiPriority w:val="99"/>
    <w:rsid w:val="005A008B"/>
    <w:pPr>
      <w:suppressAutoHyphens/>
      <w:spacing w:after="130" w:line="320" w:lineRule="atLeast"/>
    </w:pPr>
    <w:rPr>
      <w:rFonts w:ascii="Open Sans Light" w:eastAsiaTheme="minorEastAsia" w:hAnsi="Open Sans Light" w:cs="Open Sans Light"/>
      <w:color w:val="1B252F"/>
      <w:sz w:val="20"/>
      <w:szCs w:val="20"/>
      <w:lang w:val="en-US"/>
      <w14:ligatures w14:val="standardContextual"/>
    </w:rPr>
  </w:style>
  <w:style w:type="paragraph" w:customStyle="1" w:styleId="BodyTextBody">
    <w:name w:val="Body Text (Body)"/>
    <w:basedOn w:val="NoParagraphStyle"/>
    <w:uiPriority w:val="99"/>
    <w:rsid w:val="005A008B"/>
    <w:pPr>
      <w:suppressAutoHyphens/>
      <w:spacing w:after="160" w:line="320" w:lineRule="atLeast"/>
    </w:pPr>
    <w:rPr>
      <w:rFonts w:ascii="Open Sans" w:eastAsiaTheme="minorEastAsia" w:hAnsi="Open Sans" w:cs="Open Sans"/>
      <w:color w:val="1B252F"/>
      <w:lang w:val="en-US"/>
      <w14:ligatures w14:val="standardContextual"/>
    </w:rPr>
  </w:style>
  <w:style w:type="paragraph" w:customStyle="1" w:styleId="BodyTextNoSpaceBody">
    <w:name w:val="Body Text No Space (Body)"/>
    <w:basedOn w:val="NoParagraphStyle"/>
    <w:uiPriority w:val="99"/>
    <w:rsid w:val="005A008B"/>
    <w:pPr>
      <w:suppressAutoHyphens/>
      <w:spacing w:line="320" w:lineRule="atLeast"/>
    </w:pPr>
    <w:rPr>
      <w:rFonts w:ascii="Open Sans" w:eastAsiaTheme="minorEastAsia" w:hAnsi="Open Sans" w:cs="Open Sans"/>
      <w:color w:val="1B252F"/>
      <w:lang w:val="en-US"/>
      <w14:ligatures w14:val="standardContextual"/>
    </w:rPr>
  </w:style>
  <w:style w:type="paragraph" w:customStyle="1" w:styleId="BulletedListBody">
    <w:name w:val="Bulleted List (Body)"/>
    <w:basedOn w:val="NoParagraphStyle"/>
    <w:uiPriority w:val="99"/>
    <w:rsid w:val="005A008B"/>
    <w:pPr>
      <w:tabs>
        <w:tab w:val="left" w:pos="360"/>
      </w:tabs>
      <w:suppressAutoHyphens/>
      <w:spacing w:line="320" w:lineRule="atLeast"/>
      <w:ind w:left="360" w:hanging="240"/>
    </w:pPr>
    <w:rPr>
      <w:rFonts w:ascii="Open Sans" w:eastAsiaTheme="minorEastAsia" w:hAnsi="Open Sans" w:cs="Open Sans"/>
      <w:color w:val="1B252F"/>
      <w:lang w:val="en-US"/>
      <w14:ligatures w14:val="standardContextual"/>
    </w:rPr>
  </w:style>
  <w:style w:type="paragraph" w:customStyle="1" w:styleId="BulletedListLastBody">
    <w:name w:val="Bulleted List Last (Body)"/>
    <w:basedOn w:val="BulletedListBody"/>
    <w:uiPriority w:val="99"/>
    <w:rsid w:val="005A008B"/>
    <w:pPr>
      <w:spacing w:after="120"/>
    </w:pPr>
  </w:style>
  <w:style w:type="paragraph" w:customStyle="1" w:styleId="IntroTextBody">
    <w:name w:val="Intro Text (Body)"/>
    <w:basedOn w:val="NoParagraphStyle"/>
    <w:uiPriority w:val="99"/>
    <w:rsid w:val="005A008B"/>
    <w:pPr>
      <w:suppressAutoHyphens/>
      <w:spacing w:after="260" w:line="430" w:lineRule="atLeast"/>
    </w:pPr>
    <w:rPr>
      <w:rFonts w:ascii="Open Sans" w:eastAsiaTheme="minorEastAsia" w:hAnsi="Open Sans" w:cs="Open Sans"/>
      <w:color w:val="1B252F"/>
      <w:sz w:val="26"/>
      <w:szCs w:val="26"/>
      <w:lang w:val="en-US"/>
      <w14:ligatures w14:val="standardContextual"/>
    </w:rPr>
  </w:style>
  <w:style w:type="paragraph" w:customStyle="1" w:styleId="CouncilHeadingHeadings">
    <w:name w:val="Council Heading (Headings)"/>
    <w:basedOn w:val="NoParagraphStyle"/>
    <w:uiPriority w:val="99"/>
    <w:rsid w:val="005A008B"/>
    <w:pPr>
      <w:keepNext/>
      <w:suppressAutoHyphens/>
      <w:spacing w:before="240" w:after="60" w:line="320" w:lineRule="atLeast"/>
    </w:pPr>
    <w:rPr>
      <w:rFonts w:ascii="Open Sans" w:eastAsiaTheme="minorEastAsia" w:hAnsi="Open Sans" w:cs="Open Sans"/>
      <w:b/>
      <w:bCs/>
      <w:color w:val="225F92"/>
      <w:spacing w:val="13"/>
      <w:sz w:val="26"/>
      <w:szCs w:val="26"/>
      <w:lang w:val="en-US"/>
      <w14:ligatures w14:val="standardContextual"/>
    </w:rPr>
  </w:style>
  <w:style w:type="paragraph" w:customStyle="1" w:styleId="Heading1Headings">
    <w:name w:val="Heading 1 (Headings)"/>
    <w:basedOn w:val="NoParagraphStyle"/>
    <w:uiPriority w:val="99"/>
    <w:rsid w:val="005A008B"/>
    <w:pPr>
      <w:keepNext/>
      <w:suppressAutoHyphens/>
      <w:spacing w:before="240" w:after="60" w:line="320" w:lineRule="atLeast"/>
    </w:pPr>
    <w:rPr>
      <w:rFonts w:ascii="Open Sans" w:eastAsiaTheme="minorEastAsia" w:hAnsi="Open Sans" w:cs="Open Sans"/>
      <w:b/>
      <w:bCs/>
      <w:color w:val="225F92"/>
      <w:spacing w:val="14"/>
      <w:sz w:val="28"/>
      <w:szCs w:val="28"/>
      <w:lang w:val="en-US"/>
      <w14:ligatures w14:val="standardContextual"/>
    </w:rPr>
  </w:style>
  <w:style w:type="paragraph" w:customStyle="1" w:styleId="FigureCaptionFigures">
    <w:name w:val="Figure Caption (Figures)"/>
    <w:basedOn w:val="NoParagraphStyle"/>
    <w:uiPriority w:val="99"/>
    <w:rsid w:val="005A008B"/>
    <w:pPr>
      <w:keepNext/>
      <w:suppressAutoHyphens/>
      <w:spacing w:after="120" w:line="220" w:lineRule="atLeast"/>
    </w:pPr>
    <w:rPr>
      <w:rFonts w:ascii="Open Sans" w:eastAsiaTheme="minorEastAsia" w:hAnsi="Open Sans" w:cs="Open Sans"/>
      <w:b/>
      <w:bCs/>
      <w:sz w:val="19"/>
      <w:szCs w:val="19"/>
      <w:lang w:val="en-US"/>
      <w14:ligatures w14:val="standardContextual"/>
    </w:rPr>
  </w:style>
  <w:style w:type="paragraph" w:customStyle="1" w:styleId="AnchorBody">
    <w:name w:val="Anchor (Body)"/>
    <w:basedOn w:val="NoParagraphStyle"/>
    <w:uiPriority w:val="99"/>
    <w:rsid w:val="005A008B"/>
    <w:pPr>
      <w:suppressAutoHyphens/>
      <w:spacing w:line="120" w:lineRule="atLeast"/>
    </w:pPr>
    <w:rPr>
      <w:rFonts w:ascii="Open Sans" w:eastAsiaTheme="minorEastAsia" w:hAnsi="Open Sans" w:cs="Open Sans"/>
      <w:color w:val="1B252F"/>
      <w:sz w:val="12"/>
      <w:szCs w:val="12"/>
      <w:lang w:val="en-US"/>
      <w14:ligatures w14:val="standardContextual"/>
    </w:rPr>
  </w:style>
  <w:style w:type="paragraph" w:customStyle="1" w:styleId="NumberedListBody">
    <w:name w:val="Numbered List (Body)"/>
    <w:basedOn w:val="NoParagraphStyle"/>
    <w:uiPriority w:val="99"/>
    <w:rsid w:val="005A008B"/>
    <w:pPr>
      <w:tabs>
        <w:tab w:val="left" w:pos="360"/>
      </w:tabs>
      <w:suppressAutoHyphens/>
      <w:spacing w:line="320" w:lineRule="atLeast"/>
      <w:ind w:left="360" w:hanging="360"/>
    </w:pPr>
    <w:rPr>
      <w:rFonts w:ascii="Open Sans" w:eastAsiaTheme="minorEastAsia" w:hAnsi="Open Sans" w:cs="Open Sans"/>
      <w:color w:val="1B252F"/>
      <w:lang w:val="en-US"/>
      <w14:ligatures w14:val="standardContextual"/>
    </w:rPr>
  </w:style>
  <w:style w:type="paragraph" w:customStyle="1" w:styleId="NumberedListLastBody">
    <w:name w:val="Numbered List Last (Body)"/>
    <w:basedOn w:val="NoParagraphStyle"/>
    <w:uiPriority w:val="99"/>
    <w:rsid w:val="005A008B"/>
    <w:pPr>
      <w:tabs>
        <w:tab w:val="left" w:pos="360"/>
      </w:tabs>
      <w:suppressAutoHyphens/>
      <w:spacing w:after="260" w:line="260" w:lineRule="atLeast"/>
      <w:ind w:left="360" w:hanging="360"/>
    </w:pPr>
    <w:rPr>
      <w:rFonts w:ascii="Open Sans" w:eastAsiaTheme="minorEastAsia" w:hAnsi="Open Sans" w:cs="Open Sans"/>
      <w:color w:val="1B252F"/>
      <w:lang w:val="en-US"/>
      <w14:ligatures w14:val="standardContextual"/>
    </w:rPr>
  </w:style>
  <w:style w:type="paragraph" w:customStyle="1" w:styleId="Heading2Headings">
    <w:name w:val="Heading 2 (Headings)"/>
    <w:basedOn w:val="NoParagraphStyle"/>
    <w:uiPriority w:val="99"/>
    <w:rsid w:val="005A008B"/>
    <w:pPr>
      <w:keepNext/>
      <w:suppressAutoHyphens/>
      <w:spacing w:before="240" w:after="60" w:line="260" w:lineRule="atLeast"/>
    </w:pPr>
    <w:rPr>
      <w:rFonts w:ascii="Open Sans" w:eastAsiaTheme="minorEastAsia" w:hAnsi="Open Sans" w:cs="Open Sans"/>
      <w:b/>
      <w:bCs/>
      <w:color w:val="333740"/>
      <w:spacing w:val="12"/>
      <w:lang w:val="en-US"/>
      <w14:ligatures w14:val="standardContextual"/>
    </w:rPr>
  </w:style>
  <w:style w:type="paragraph" w:customStyle="1" w:styleId="BibliographyBody">
    <w:name w:val="Bibliography (Body)"/>
    <w:basedOn w:val="NoParagraphStyle"/>
    <w:uiPriority w:val="99"/>
    <w:rsid w:val="005A008B"/>
    <w:pPr>
      <w:keepLines/>
      <w:suppressAutoHyphens/>
      <w:spacing w:line="320" w:lineRule="atLeast"/>
      <w:ind w:left="360" w:hanging="360"/>
    </w:pPr>
    <w:rPr>
      <w:rFonts w:ascii="Open Sans" w:eastAsiaTheme="minorEastAsia" w:hAnsi="Open Sans" w:cs="Open Sans"/>
      <w:color w:val="1B252F"/>
      <w:lang w:val="en-US"/>
      <w14:ligatures w14:val="standardContextual"/>
    </w:rPr>
  </w:style>
  <w:style w:type="paragraph" w:customStyle="1" w:styleId="BodyTextPrebulletBody">
    <w:name w:val="Body Text Prebullet (Body)"/>
    <w:basedOn w:val="BodyTextBody"/>
    <w:uiPriority w:val="99"/>
    <w:rsid w:val="005A008B"/>
    <w:pPr>
      <w:spacing w:after="0"/>
    </w:pPr>
  </w:style>
  <w:style w:type="paragraph" w:customStyle="1" w:styleId="BodyTextIndentBody">
    <w:name w:val="Body Text Indent (Body)"/>
    <w:basedOn w:val="BodyTextBody"/>
    <w:uiPriority w:val="99"/>
    <w:rsid w:val="005A008B"/>
    <w:pPr>
      <w:spacing w:after="120"/>
      <w:ind w:left="360"/>
    </w:pPr>
  </w:style>
  <w:style w:type="paragraph" w:customStyle="1" w:styleId="ImageCaptionBody">
    <w:name w:val="Image Caption (Body)"/>
    <w:basedOn w:val="Normal"/>
    <w:uiPriority w:val="99"/>
    <w:rsid w:val="005A008B"/>
    <w:pPr>
      <w:widowControl w:val="0"/>
      <w:suppressAutoHyphens w:val="0"/>
      <w:autoSpaceDE w:val="0"/>
      <w:autoSpaceDN w:val="0"/>
      <w:adjustRightInd w:val="0"/>
      <w:spacing w:before="0" w:after="0" w:line="260" w:lineRule="atLeast"/>
      <w:textAlignment w:val="center"/>
    </w:pPr>
    <w:rPr>
      <w:rFonts w:ascii="Open Sans Semibold" w:eastAsiaTheme="minorEastAsia" w:hAnsi="Open Sans Semibold" w:cs="Open Sans Semibold"/>
      <w:color w:val="000000"/>
      <w:spacing w:val="4"/>
      <w:sz w:val="21"/>
      <w:szCs w:val="21"/>
      <w:lang w:val="en-US"/>
      <w14:ligatures w14:val="standardContextual"/>
    </w:rPr>
  </w:style>
  <w:style w:type="paragraph" w:customStyle="1" w:styleId="ABCListBody">
    <w:name w:val="ABC List (Body)"/>
    <w:basedOn w:val="NoParagraphStyle"/>
    <w:uiPriority w:val="99"/>
    <w:rsid w:val="005A008B"/>
    <w:pPr>
      <w:tabs>
        <w:tab w:val="left" w:pos="240"/>
        <w:tab w:val="left" w:pos="283"/>
        <w:tab w:val="left" w:pos="360"/>
      </w:tabs>
      <w:suppressAutoHyphens/>
      <w:spacing w:line="260" w:lineRule="atLeast"/>
      <w:ind w:left="480" w:hanging="360"/>
    </w:pPr>
    <w:rPr>
      <w:rFonts w:ascii="Open Sans" w:eastAsiaTheme="minorEastAsia" w:hAnsi="Open Sans" w:cs="Open Sans"/>
      <w:color w:val="1B252F"/>
      <w:sz w:val="21"/>
      <w:szCs w:val="21"/>
      <w:lang w:val="en-US"/>
      <w14:ligatures w14:val="standardContextual"/>
    </w:rPr>
  </w:style>
  <w:style w:type="paragraph" w:customStyle="1" w:styleId="ABCListLastBody">
    <w:name w:val="ABC List Last (Body)"/>
    <w:basedOn w:val="ABCListBody"/>
    <w:uiPriority w:val="99"/>
    <w:rsid w:val="005A008B"/>
    <w:pPr>
      <w:spacing w:after="120"/>
    </w:pPr>
  </w:style>
  <w:style w:type="paragraph" w:customStyle="1" w:styleId="BodyTextNoSpaceIndentBody">
    <w:name w:val="Body Text No Space Indent (Body)"/>
    <w:basedOn w:val="NoParagraphStyle"/>
    <w:uiPriority w:val="99"/>
    <w:rsid w:val="005A008B"/>
    <w:pPr>
      <w:suppressAutoHyphens/>
      <w:spacing w:line="320" w:lineRule="atLeast"/>
      <w:ind w:left="360"/>
    </w:pPr>
    <w:rPr>
      <w:rFonts w:ascii="Open Sans" w:eastAsiaTheme="minorEastAsia" w:hAnsi="Open Sans" w:cs="Open Sans"/>
      <w:color w:val="1B252F"/>
      <w:lang w:val="en-US"/>
      <w14:ligatures w14:val="standardContextual"/>
    </w:rPr>
  </w:style>
  <w:style w:type="paragraph" w:customStyle="1" w:styleId="TableHeadingWhiteRightTable">
    <w:name w:val="Table Heading White Right (Table)"/>
    <w:basedOn w:val="NoParagraphStyle"/>
    <w:uiPriority w:val="99"/>
    <w:rsid w:val="005A008B"/>
    <w:pPr>
      <w:suppressAutoHyphens/>
      <w:spacing w:line="220" w:lineRule="atLeast"/>
      <w:jc w:val="right"/>
    </w:pPr>
    <w:rPr>
      <w:rFonts w:ascii="Open Sans" w:eastAsiaTheme="minorEastAsia" w:hAnsi="Open Sans" w:cs="Open Sans"/>
      <w:b/>
      <w:bCs/>
      <w:color w:val="FFFFFF"/>
      <w:sz w:val="18"/>
      <w:szCs w:val="18"/>
      <w:lang w:val="en-US"/>
      <w14:ligatures w14:val="standardContextual"/>
    </w:rPr>
  </w:style>
  <w:style w:type="paragraph" w:customStyle="1" w:styleId="TableContentCentreTable">
    <w:name w:val="Table Content Centre (Table)"/>
    <w:basedOn w:val="NoParagraphStyle"/>
    <w:uiPriority w:val="99"/>
    <w:rsid w:val="005A008B"/>
    <w:pPr>
      <w:suppressAutoHyphens/>
      <w:spacing w:line="220" w:lineRule="atLeast"/>
      <w:jc w:val="center"/>
    </w:pPr>
    <w:rPr>
      <w:rFonts w:ascii="Open Sans Light" w:eastAsiaTheme="minorEastAsia" w:hAnsi="Open Sans Light" w:cs="Open Sans Light"/>
      <w:color w:val="1B252F"/>
      <w:sz w:val="18"/>
      <w:szCs w:val="18"/>
      <w:lang w:val="en-US"/>
      <w14:ligatures w14:val="standardContextual"/>
    </w:rPr>
  </w:style>
  <w:style w:type="paragraph" w:customStyle="1" w:styleId="TableContentLeftTable">
    <w:name w:val="Table Content Left (Table)"/>
    <w:basedOn w:val="NoParagraphStyle"/>
    <w:uiPriority w:val="99"/>
    <w:rsid w:val="005A008B"/>
    <w:pPr>
      <w:suppressAutoHyphens/>
      <w:spacing w:line="220" w:lineRule="atLeast"/>
    </w:pPr>
    <w:rPr>
      <w:rFonts w:ascii="Open Sans Light" w:eastAsiaTheme="minorEastAsia" w:hAnsi="Open Sans Light" w:cs="Open Sans Light"/>
      <w:color w:val="1B252F"/>
      <w:sz w:val="18"/>
      <w:szCs w:val="18"/>
      <w:lang w:val="en-US"/>
      <w14:ligatures w14:val="standardContextual"/>
    </w:rPr>
  </w:style>
  <w:style w:type="paragraph" w:customStyle="1" w:styleId="TableContentRightTable">
    <w:name w:val="Table Content Right (Table)"/>
    <w:basedOn w:val="NoParagraphStyle"/>
    <w:uiPriority w:val="99"/>
    <w:rsid w:val="005A008B"/>
    <w:pPr>
      <w:suppressAutoHyphens/>
      <w:spacing w:line="220" w:lineRule="atLeast"/>
      <w:jc w:val="right"/>
    </w:pPr>
    <w:rPr>
      <w:rFonts w:ascii="Open Sans Light" w:eastAsiaTheme="minorEastAsia" w:hAnsi="Open Sans Light" w:cs="Open Sans Light"/>
      <w:color w:val="1B252F"/>
      <w:sz w:val="18"/>
      <w:szCs w:val="18"/>
      <w:lang w:val="en-US"/>
      <w14:ligatures w14:val="standardContextual"/>
    </w:rPr>
  </w:style>
  <w:style w:type="paragraph" w:customStyle="1" w:styleId="TableContentLeftBoldTable">
    <w:name w:val="Table Content Left Bold (Table)"/>
    <w:basedOn w:val="NoParagraphStyle"/>
    <w:uiPriority w:val="99"/>
    <w:rsid w:val="005A008B"/>
    <w:pPr>
      <w:suppressAutoHyphens/>
      <w:spacing w:line="220" w:lineRule="atLeast"/>
    </w:pPr>
    <w:rPr>
      <w:rFonts w:ascii="Open Sans" w:eastAsiaTheme="minorEastAsia" w:hAnsi="Open Sans" w:cs="Open Sans"/>
      <w:b/>
      <w:bCs/>
      <w:color w:val="1B252F"/>
      <w:sz w:val="18"/>
      <w:szCs w:val="18"/>
      <w:lang w:val="en-US"/>
      <w14:ligatures w14:val="standardContextual"/>
    </w:rPr>
  </w:style>
  <w:style w:type="character" w:customStyle="1" w:styleId="RunningHeader">
    <w:name w:val="Running_Header"/>
    <w:uiPriority w:val="99"/>
    <w:rsid w:val="005A008B"/>
  </w:style>
  <w:style w:type="character" w:customStyle="1" w:styleId="BoldItalicColour">
    <w:name w:val="Bold Italic Colour"/>
    <w:basedOn w:val="RegularItalic"/>
    <w:uiPriority w:val="99"/>
    <w:rsid w:val="005A008B"/>
    <w:rPr>
      <w:b/>
      <w:bCs/>
      <w:i/>
      <w:iCs/>
      <w:color w:val="225F92"/>
      <w:lang w:val="en-AU"/>
    </w:rPr>
  </w:style>
  <w:style w:type="paragraph" w:customStyle="1" w:styleId="TOCTitleandPageNumberIndentContents">
    <w:name w:val="TOC Title and Page Number Indent (Contents)"/>
    <w:basedOn w:val="NoParagraphStyle"/>
    <w:uiPriority w:val="99"/>
    <w:rsid w:val="005A008B"/>
    <w:pPr>
      <w:suppressAutoHyphens/>
      <w:spacing w:after="130" w:line="320" w:lineRule="atLeast"/>
      <w:ind w:left="360"/>
    </w:pPr>
    <w:rPr>
      <w:rFonts w:ascii="Open Sans Light" w:eastAsiaTheme="minorEastAsia" w:hAnsi="Open Sans Light" w:cs="Open Sans Light"/>
      <w:color w:val="1B252F"/>
      <w:sz w:val="20"/>
      <w:szCs w:val="20"/>
      <w:lang w:val="en-US"/>
      <w14:ligatures w14:val="standardContextual"/>
    </w:rPr>
  </w:style>
  <w:style w:type="paragraph" w:customStyle="1" w:styleId="TableNoteTable">
    <w:name w:val="Table Note (Table)"/>
    <w:basedOn w:val="NoParagraphStyle"/>
    <w:uiPriority w:val="99"/>
    <w:rsid w:val="005A008B"/>
    <w:pPr>
      <w:tabs>
        <w:tab w:val="left" w:pos="340"/>
      </w:tabs>
      <w:suppressAutoHyphens/>
      <w:spacing w:after="240" w:line="280" w:lineRule="atLeast"/>
    </w:pPr>
    <w:rPr>
      <w:rFonts w:ascii="Open Sans" w:eastAsiaTheme="minorEastAsia" w:hAnsi="Open Sans" w:cs="Open Sans"/>
      <w:color w:val="1B252F"/>
      <w:sz w:val="19"/>
      <w:szCs w:val="19"/>
      <w:lang w:val="en-US"/>
      <w14:ligatures w14:val="standardContextual"/>
    </w:rPr>
  </w:style>
  <w:style w:type="paragraph" w:customStyle="1" w:styleId="NotesTitleHeadings">
    <w:name w:val="Notes Title (Headings)"/>
    <w:basedOn w:val="NoParagraphStyle"/>
    <w:uiPriority w:val="99"/>
    <w:rsid w:val="005A008B"/>
    <w:pPr>
      <w:pageBreakBefore/>
      <w:tabs>
        <w:tab w:val="left" w:pos="480"/>
      </w:tabs>
      <w:suppressAutoHyphens/>
      <w:spacing w:before="260" w:after="130" w:line="360" w:lineRule="atLeast"/>
    </w:pPr>
    <w:rPr>
      <w:rFonts w:ascii="Open Sans Light" w:eastAsiaTheme="minorEastAsia" w:hAnsi="Open Sans Light" w:cs="Open Sans Light"/>
      <w:caps/>
      <w:color w:val="1B252F"/>
      <w:spacing w:val="17"/>
      <w:sz w:val="34"/>
      <w:szCs w:val="34"/>
      <w:lang w:val="en-US"/>
      <w14:ligatures w14:val="standardContextual"/>
    </w:rPr>
  </w:style>
  <w:style w:type="paragraph" w:customStyle="1" w:styleId="NotesSubheadingHeadings">
    <w:name w:val="Notes Subheading (Headings)"/>
    <w:basedOn w:val="NoParagraphStyle"/>
    <w:uiPriority w:val="99"/>
    <w:rsid w:val="005A008B"/>
    <w:pPr>
      <w:keepNext/>
      <w:tabs>
        <w:tab w:val="left" w:pos="520"/>
      </w:tabs>
      <w:suppressAutoHyphens/>
      <w:spacing w:before="113" w:after="130" w:line="320" w:lineRule="atLeast"/>
    </w:pPr>
    <w:rPr>
      <w:rFonts w:ascii="Open Sans Light" w:eastAsiaTheme="minorEastAsia" w:hAnsi="Open Sans Light" w:cs="Open Sans Light"/>
      <w:color w:val="1B252F"/>
      <w:spacing w:val="15"/>
      <w:sz w:val="29"/>
      <w:szCs w:val="29"/>
      <w:lang w:val="en-US"/>
      <w14:ligatures w14:val="standardContextual"/>
    </w:rPr>
  </w:style>
  <w:style w:type="paragraph" w:customStyle="1" w:styleId="NotesSubheading2Headings">
    <w:name w:val="Notes Subheading 2 (Headings)"/>
    <w:basedOn w:val="NoParagraphStyle"/>
    <w:uiPriority w:val="99"/>
    <w:rsid w:val="005A008B"/>
    <w:pPr>
      <w:keepNext/>
      <w:tabs>
        <w:tab w:val="left" w:pos="520"/>
      </w:tabs>
      <w:suppressAutoHyphens/>
      <w:spacing w:before="113" w:after="113" w:line="320" w:lineRule="atLeast"/>
    </w:pPr>
    <w:rPr>
      <w:rFonts w:ascii="Open Sans Light" w:eastAsiaTheme="minorEastAsia" w:hAnsi="Open Sans Light" w:cs="Open Sans Light"/>
      <w:color w:val="1B252F"/>
      <w:spacing w:val="13"/>
      <w:sz w:val="26"/>
      <w:szCs w:val="26"/>
      <w:lang w:val="en-US"/>
      <w14:ligatures w14:val="standardContextual"/>
    </w:rPr>
  </w:style>
  <w:style w:type="paragraph" w:customStyle="1" w:styleId="BodyTextExtraSpaceBody">
    <w:name w:val="Body Text Extra Space (Body)"/>
    <w:basedOn w:val="NoParagraphStyle"/>
    <w:uiPriority w:val="99"/>
    <w:rsid w:val="005A008B"/>
    <w:pPr>
      <w:suppressAutoHyphens/>
      <w:spacing w:after="320" w:line="320" w:lineRule="atLeast"/>
    </w:pPr>
    <w:rPr>
      <w:rFonts w:ascii="Open Sans" w:eastAsiaTheme="minorEastAsia" w:hAnsi="Open Sans" w:cs="Open Sans"/>
      <w:color w:val="1B252F"/>
      <w:lang w:val="en-US"/>
      <w14:ligatures w14:val="standardContextual"/>
    </w:rPr>
  </w:style>
  <w:style w:type="paragraph" w:customStyle="1" w:styleId="TableNoteHangingIndentTable">
    <w:name w:val="Table Note Hanging Indent (Table)"/>
    <w:basedOn w:val="NoParagraphStyle"/>
    <w:uiPriority w:val="99"/>
    <w:rsid w:val="005A008B"/>
    <w:pPr>
      <w:tabs>
        <w:tab w:val="left" w:pos="340"/>
      </w:tabs>
      <w:suppressAutoHyphens/>
      <w:spacing w:after="170" w:line="280" w:lineRule="atLeast"/>
      <w:ind w:left="340" w:hanging="340"/>
    </w:pPr>
    <w:rPr>
      <w:rFonts w:ascii="Open Sans" w:eastAsiaTheme="minorEastAsia" w:hAnsi="Open Sans" w:cs="Open Sans"/>
      <w:color w:val="1B252F"/>
      <w:sz w:val="19"/>
      <w:szCs w:val="19"/>
      <w:lang w:val="en-US"/>
      <w14:ligatures w14:val="standardContextual"/>
    </w:rPr>
  </w:style>
  <w:style w:type="paragraph" w:customStyle="1" w:styleId="SubbulletedListBody">
    <w:name w:val="Subbulleted List (Body)"/>
    <w:basedOn w:val="NoParagraphStyle"/>
    <w:uiPriority w:val="99"/>
    <w:rsid w:val="005A008B"/>
    <w:pPr>
      <w:tabs>
        <w:tab w:val="left" w:pos="240"/>
        <w:tab w:val="left" w:pos="600"/>
      </w:tabs>
      <w:suppressAutoHyphens/>
      <w:spacing w:line="260" w:lineRule="atLeast"/>
      <w:ind w:left="600" w:hanging="240"/>
    </w:pPr>
    <w:rPr>
      <w:rFonts w:ascii="Open Sans" w:eastAsiaTheme="minorEastAsia" w:hAnsi="Open Sans" w:cs="Open Sans"/>
      <w:color w:val="1B252F"/>
      <w:sz w:val="21"/>
      <w:szCs w:val="21"/>
      <w:lang w:val="en-US"/>
      <w14:ligatures w14:val="standardContextual"/>
    </w:rPr>
  </w:style>
  <w:style w:type="paragraph" w:customStyle="1" w:styleId="SubbulletedListLastBody">
    <w:name w:val="Subbulleted List Last (Body)"/>
    <w:basedOn w:val="NoParagraphStyle"/>
    <w:uiPriority w:val="99"/>
    <w:rsid w:val="005A008B"/>
    <w:pPr>
      <w:tabs>
        <w:tab w:val="left" w:pos="240"/>
        <w:tab w:val="left" w:pos="600"/>
      </w:tabs>
      <w:suppressAutoHyphens/>
      <w:spacing w:after="60" w:line="260" w:lineRule="atLeast"/>
      <w:ind w:left="600" w:hanging="240"/>
    </w:pPr>
    <w:rPr>
      <w:rFonts w:ascii="Open Sans" w:eastAsiaTheme="minorEastAsia" w:hAnsi="Open Sans" w:cs="Open Sans"/>
      <w:color w:val="1B252F"/>
      <w:sz w:val="21"/>
      <w:szCs w:val="21"/>
      <w:lang w:val="en-US"/>
      <w14:ligatures w14:val="standardContextual"/>
    </w:rPr>
  </w:style>
  <w:style w:type="paragraph" w:customStyle="1" w:styleId="PageHeaderRightMasterElements">
    <w:name w:val="Page Header Right (Master Elements)"/>
    <w:basedOn w:val="NoParagraphStyle"/>
    <w:uiPriority w:val="99"/>
    <w:rsid w:val="005A008B"/>
    <w:pPr>
      <w:pBdr>
        <w:bottom w:val="single" w:sz="4" w:space="6" w:color="225F92"/>
      </w:pBdr>
      <w:suppressAutoHyphens/>
      <w:jc w:val="right"/>
    </w:pPr>
    <w:rPr>
      <w:rFonts w:ascii="Open Sans" w:eastAsiaTheme="minorEastAsia" w:hAnsi="Open Sans" w:cs="Open Sans"/>
      <w:sz w:val="18"/>
      <w:szCs w:val="18"/>
      <w:lang w:val="en-US"/>
      <w14:ligatures w14:val="standardContextual"/>
    </w:rPr>
  </w:style>
  <w:style w:type="paragraph" w:customStyle="1" w:styleId="TableContentLeftBoldColourTable">
    <w:name w:val="Table Content Left Bold Colour (Table)"/>
    <w:basedOn w:val="NoParagraphStyle"/>
    <w:uiPriority w:val="99"/>
    <w:rsid w:val="005A008B"/>
    <w:pPr>
      <w:suppressAutoHyphens/>
      <w:spacing w:line="220" w:lineRule="atLeast"/>
    </w:pPr>
    <w:rPr>
      <w:rFonts w:ascii="Open Sans" w:eastAsiaTheme="minorEastAsia" w:hAnsi="Open Sans" w:cs="Open Sans"/>
      <w:b/>
      <w:bCs/>
      <w:color w:val="225F92"/>
      <w:sz w:val="18"/>
      <w:szCs w:val="18"/>
      <w:lang w:val="en-US"/>
      <w14:ligatures w14:val="standardContextual"/>
    </w:rPr>
  </w:style>
  <w:style w:type="paragraph" w:customStyle="1" w:styleId="TableContentLeftIndentTable">
    <w:name w:val="Table Content Left Indent (Table)"/>
    <w:basedOn w:val="NoParagraphStyle"/>
    <w:uiPriority w:val="99"/>
    <w:rsid w:val="005A008B"/>
    <w:pPr>
      <w:suppressAutoHyphens/>
      <w:spacing w:line="220" w:lineRule="atLeast"/>
      <w:ind w:left="240"/>
    </w:pPr>
    <w:rPr>
      <w:rFonts w:ascii="Open Sans Light" w:eastAsiaTheme="minorEastAsia" w:hAnsi="Open Sans Light" w:cs="Open Sans Light"/>
      <w:color w:val="1B252F"/>
      <w:sz w:val="18"/>
      <w:szCs w:val="18"/>
      <w:lang w:val="en-US"/>
      <w14:ligatures w14:val="standardContextual"/>
    </w:rPr>
  </w:style>
  <w:style w:type="paragraph" w:customStyle="1" w:styleId="TableContentLeftBoldItalicTable">
    <w:name w:val="Table Content Left Bold Italic (Table)"/>
    <w:basedOn w:val="NoParagraphStyle"/>
    <w:uiPriority w:val="99"/>
    <w:rsid w:val="005A008B"/>
    <w:pPr>
      <w:suppressAutoHyphens/>
      <w:spacing w:line="220" w:lineRule="atLeast"/>
    </w:pPr>
    <w:rPr>
      <w:rFonts w:ascii="Open Sans" w:eastAsiaTheme="minorEastAsia" w:hAnsi="Open Sans" w:cs="Open Sans"/>
      <w:b/>
      <w:bCs/>
      <w:i/>
      <w:iCs/>
      <w:color w:val="1B252F"/>
      <w:sz w:val="18"/>
      <w:szCs w:val="18"/>
      <w:lang w:val="en-US"/>
      <w14:ligatures w14:val="standardContextual"/>
    </w:rPr>
  </w:style>
  <w:style w:type="paragraph" w:customStyle="1" w:styleId="TableContentRightBoldTable">
    <w:name w:val="Table Content Right Bold (Table)"/>
    <w:basedOn w:val="NoParagraphStyle"/>
    <w:uiPriority w:val="99"/>
    <w:rsid w:val="005A008B"/>
    <w:pPr>
      <w:suppressAutoHyphens/>
      <w:spacing w:line="220" w:lineRule="atLeast"/>
      <w:jc w:val="right"/>
    </w:pPr>
    <w:rPr>
      <w:rFonts w:ascii="Open Sans" w:eastAsiaTheme="minorEastAsia" w:hAnsi="Open Sans" w:cs="Open Sans"/>
      <w:b/>
      <w:bCs/>
      <w:color w:val="1B252F"/>
      <w:sz w:val="18"/>
      <w:szCs w:val="18"/>
      <w:lang w:val="en-US"/>
      <w14:ligatures w14:val="standardContextual"/>
    </w:rPr>
  </w:style>
  <w:style w:type="paragraph" w:customStyle="1" w:styleId="TableContentBulletDashTable">
    <w:name w:val="Table Content Bullet Dash (Table)"/>
    <w:basedOn w:val="NoParagraphStyle"/>
    <w:uiPriority w:val="99"/>
    <w:rsid w:val="005A008B"/>
    <w:pPr>
      <w:tabs>
        <w:tab w:val="left" w:pos="240"/>
        <w:tab w:val="left" w:pos="480"/>
      </w:tabs>
      <w:suppressAutoHyphens/>
      <w:spacing w:line="220" w:lineRule="atLeast"/>
      <w:ind w:left="600" w:hanging="240"/>
    </w:pPr>
    <w:rPr>
      <w:rFonts w:ascii="Open Sans Light" w:eastAsiaTheme="minorEastAsia" w:hAnsi="Open Sans Light" w:cs="Open Sans Light"/>
      <w:color w:val="1B252F"/>
      <w:sz w:val="18"/>
      <w:szCs w:val="18"/>
      <w:lang w:val="en-US"/>
      <w14:ligatures w14:val="standardContextual"/>
    </w:rPr>
  </w:style>
  <w:style w:type="paragraph" w:customStyle="1" w:styleId="TableHeadingWhiteLeftTable">
    <w:name w:val="Table Heading White Left (Table)"/>
    <w:basedOn w:val="NoParagraphStyle"/>
    <w:uiPriority w:val="99"/>
    <w:rsid w:val="005A008B"/>
    <w:pPr>
      <w:suppressAutoHyphens/>
      <w:spacing w:line="220" w:lineRule="atLeast"/>
    </w:pPr>
    <w:rPr>
      <w:rFonts w:ascii="Open Sans" w:eastAsiaTheme="minorEastAsia" w:hAnsi="Open Sans" w:cs="Open Sans"/>
      <w:b/>
      <w:bCs/>
      <w:color w:val="FFFFFF"/>
      <w:sz w:val="18"/>
      <w:szCs w:val="18"/>
      <w:lang w:val="en-US"/>
      <w14:ligatures w14:val="standardContextual"/>
    </w:rPr>
  </w:style>
  <w:style w:type="paragraph" w:customStyle="1" w:styleId="StyleNoParagraphStyleAutoLinespacingsingle">
    <w:name w:val="Style [No Paragraph Style] + Auto Line spacing:  single"/>
    <w:basedOn w:val="NoParagraphStyle"/>
    <w:next w:val="Default"/>
    <w:rsid w:val="00AB422F"/>
    <w:pPr>
      <w:spacing w:line="240" w:lineRule="auto"/>
    </w:pPr>
    <w:rPr>
      <w:rFonts w:cs="Times New Roman"/>
      <w:color w:val="auto"/>
      <w:szCs w:val="20"/>
    </w:rPr>
  </w:style>
  <w:style w:type="character" w:customStyle="1" w:styleId="HiddenHeading">
    <w:name w:val="Hidden Heading"/>
    <w:uiPriority w:val="99"/>
    <w:rsid w:val="005A008B"/>
    <w:rPr>
      <w:outline/>
      <w:sz w:val="4"/>
      <w:szCs w:val="4"/>
    </w:rPr>
  </w:style>
  <w:style w:type="character" w:customStyle="1" w:styleId="BoldItalicSIZESIZEANDWEIGHT">
    <w:name w:val="Bold Italic (SIZE/SIZE AND WEIGHT)"/>
    <w:uiPriority w:val="99"/>
    <w:rsid w:val="005A008B"/>
    <w:rPr>
      <w:b/>
      <w:bCs/>
      <w:i/>
      <w:iCs/>
      <w:color w:val="1B252F"/>
    </w:rPr>
  </w:style>
  <w:style w:type="character" w:customStyle="1" w:styleId="PantoneBlueCOLOR">
    <w:name w:val="Pantone Blue (COLOR)"/>
    <w:uiPriority w:val="99"/>
    <w:rsid w:val="005A008B"/>
    <w:rPr>
      <w:color w:val="225F92"/>
    </w:rPr>
  </w:style>
  <w:style w:type="character" w:customStyle="1" w:styleId="RegularGreen">
    <w:name w:val="Regular Green"/>
    <w:uiPriority w:val="99"/>
    <w:rsid w:val="005A008B"/>
    <w:rPr>
      <w:color w:val="387749"/>
    </w:rPr>
  </w:style>
  <w:style w:type="paragraph" w:customStyle="1" w:styleId="Default">
    <w:name w:val="Default"/>
    <w:rsid w:val="000171F5"/>
    <w:pPr>
      <w:autoSpaceDE w:val="0"/>
      <w:autoSpaceDN w:val="0"/>
      <w:adjustRightInd w:val="0"/>
    </w:pPr>
    <w:rPr>
      <w:rFonts w:cs="IZSOVY+OpenSans-Semibold"/>
      <w:color w:val="000000"/>
    </w:rPr>
  </w:style>
  <w:style w:type="paragraph" w:customStyle="1" w:styleId="StyleNoParagraphStyleOpenSansLightAutoLinespacing">
    <w:name w:val="Style [No Paragraph Style] + Open Sans Light Auto Line spacing:  ..."/>
    <w:next w:val="NoParagraphStyle"/>
    <w:rsid w:val="00D660B5"/>
    <w:rPr>
      <w:rFonts w:ascii="Open Sans Light" w:hAnsi="Open Sans Light"/>
      <w:szCs w:val="20"/>
      <w:lang w:val="en-GB"/>
    </w:rPr>
  </w:style>
  <w:style w:type="paragraph" w:customStyle="1" w:styleId="StyleNoParagraphStyleOpenSansLightAutoLinespacing1">
    <w:name w:val="Style [No Paragraph Style] + Open Sans Light Auto Line spacing:  ...1"/>
    <w:next w:val="NoParagraphStyle"/>
    <w:rsid w:val="00D660B5"/>
    <w:rPr>
      <w:rFonts w:ascii="Open Sans Light" w:hAnsi="Open Sans Light"/>
      <w:szCs w:val="20"/>
      <w:lang w:val="en-GB"/>
    </w:rPr>
  </w:style>
  <w:style w:type="paragraph" w:customStyle="1" w:styleId="PullQuoteBody">
    <w:name w:val="Pull Quote (Body)"/>
    <w:basedOn w:val="NoParagraphStyle"/>
    <w:uiPriority w:val="99"/>
    <w:rsid w:val="00607191"/>
    <w:pPr>
      <w:suppressAutoHyphens/>
      <w:spacing w:line="260" w:lineRule="atLeast"/>
    </w:pPr>
    <w:rPr>
      <w:rFonts w:ascii="Open Sans" w:eastAsiaTheme="minorEastAsia" w:hAnsi="Open Sans" w:cs="Open Sans"/>
      <w:b/>
      <w:bCs/>
      <w:color w:val="333740"/>
      <w:sz w:val="20"/>
      <w:szCs w:val="20"/>
      <w:lang w:val="en-US"/>
      <w14:ligatures w14:val="standardContextual"/>
    </w:rPr>
  </w:style>
  <w:style w:type="character" w:styleId="FollowedHyperlink">
    <w:name w:val="FollowedHyperlink"/>
    <w:basedOn w:val="DefaultParagraphFont"/>
    <w:uiPriority w:val="99"/>
    <w:semiHidden/>
    <w:unhideWhenUsed/>
    <w:rsid w:val="00C55373"/>
    <w:rPr>
      <w:color w:val="954F72" w:themeColor="followedHyperlink"/>
      <w:u w:val="single"/>
    </w:rPr>
  </w:style>
  <w:style w:type="paragraph" w:customStyle="1" w:styleId="PullQuoteSourceBody">
    <w:name w:val="Pull Quote Source (Body)"/>
    <w:basedOn w:val="NoParagraphStyle"/>
    <w:uiPriority w:val="99"/>
    <w:rsid w:val="000B65FF"/>
    <w:pPr>
      <w:suppressAutoHyphens/>
      <w:spacing w:before="120" w:line="260" w:lineRule="atLeast"/>
      <w:jc w:val="right"/>
    </w:pPr>
    <w:rPr>
      <w:rFonts w:ascii="Open Sans" w:eastAsiaTheme="minorEastAsia" w:hAnsi="Open Sans" w:cs="Open Sans"/>
      <w:b/>
      <w:bCs/>
      <w:color w:val="333740"/>
      <w:sz w:val="20"/>
      <w:szCs w:val="20"/>
      <w:lang w:val="en-US"/>
      <w14:ligatures w14:val="standardContextual"/>
    </w:rPr>
  </w:style>
  <w:style w:type="character" w:customStyle="1" w:styleId="BoldItalic">
    <w:name w:val="Bold Italic"/>
    <w:basedOn w:val="DefaultParagraphFont"/>
    <w:uiPriority w:val="99"/>
    <w:rsid w:val="000B65FF"/>
    <w:rPr>
      <w:b/>
      <w:bCs/>
      <w:i/>
      <w:iCs/>
      <w:color w:val="1B252F"/>
    </w:rPr>
  </w:style>
  <w:style w:type="paragraph" w:customStyle="1" w:styleId="StyleTableBodyLeft175cm">
    <w:name w:val="Style Table Body + Left:  1.75 cm"/>
    <w:basedOn w:val="TableBody"/>
    <w:rsid w:val="00837399"/>
    <w:pPr>
      <w:ind w:left="567"/>
    </w:pPr>
    <w:rPr>
      <w:rFonts w:cs="Times New Roman"/>
      <w:szCs w:val="20"/>
    </w:rPr>
  </w:style>
  <w:style w:type="paragraph" w:styleId="TOC4">
    <w:name w:val="toc 4"/>
    <w:basedOn w:val="Normal"/>
    <w:next w:val="Normal"/>
    <w:autoRedefine/>
    <w:uiPriority w:val="39"/>
    <w:unhideWhenUsed/>
    <w:rsid w:val="006F47E7"/>
    <w:pPr>
      <w:spacing w:before="0"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6F47E7"/>
    <w:pPr>
      <w:spacing w:before="0"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6F47E7"/>
    <w:pPr>
      <w:spacing w:before="0"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6F47E7"/>
    <w:pPr>
      <w:spacing w:before="0"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6F47E7"/>
    <w:pPr>
      <w:spacing w:before="0"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6F47E7"/>
    <w:pPr>
      <w:spacing w:before="0" w:after="0"/>
      <w:ind w:left="154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6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0953335">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16249006">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stat.vic.gov.au/" TargetMode="External"/><Relationship Id="rId13" Type="http://schemas.openxmlformats.org/officeDocument/2006/relationships/hyperlink" Target="https://www.sentencingcouncil.vic.gov.au/snapshots/290-intentionally-causing-injury" TargetMode="External"/><Relationship Id="rId18" Type="http://schemas.openxmlformats.org/officeDocument/2006/relationships/hyperlink" Target="https://www.sentencingcouncil.vic.gov.au/publications/serious-offending-people-serving-community-correction-order-2021-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entencingcouncil.vic.gov.au/publications/sentencing-younger-childrens-offending-in-victoria" TargetMode="External"/><Relationship Id="rId7" Type="http://schemas.openxmlformats.org/officeDocument/2006/relationships/endnotes" Target="endnotes.xml"/><Relationship Id="rId12" Type="http://schemas.openxmlformats.org/officeDocument/2006/relationships/hyperlink" Target="https://www.sentencingcouncil.vic.gov.au/snapshots/289-recklessly-causing-serious-injury" TargetMode="External"/><Relationship Id="rId17" Type="http://schemas.openxmlformats.org/officeDocument/2006/relationships/hyperlink" Target="https://www.sentencingcouncil.vic.gov.au/publications/sentencing-in-victoria-2013-14-2022-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ntencingcouncil.vic.gov.au/snapshots/293-cultivating-commercial-quantity-narcotic-plants" TargetMode="External"/><Relationship Id="rId20" Type="http://schemas.openxmlformats.org/officeDocument/2006/relationships/hyperlink" Target="https://www.sentencingcouncil.vic.gov.au/publications/sentencing-occupational-health-and-safety-offences-in-victoria-report-and-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tencingcouncil.vic.gov.au/snapshots/288-intentionally-causing-serious-injury" TargetMode="External"/><Relationship Id="rId24" Type="http://schemas.openxmlformats.org/officeDocument/2006/relationships/hyperlink" Target="https://www.sentencingcouncil.vic.gov.au/publications/victorias-prison-population-2005-2016" TargetMode="External"/><Relationship Id="rId5" Type="http://schemas.openxmlformats.org/officeDocument/2006/relationships/webSettings" Target="webSettings.xml"/><Relationship Id="rId15" Type="http://schemas.openxmlformats.org/officeDocument/2006/relationships/hyperlink" Target="https://www.sentencingcouncil.vic.gov.au/snapshots/292-trafficking-large-commercial-quantity-drugs" TargetMode="External"/><Relationship Id="rId23" Type="http://schemas.openxmlformats.org/officeDocument/2006/relationships/hyperlink" Target="https://www.sentencingcouncil.vic.gov.au/publications/victorias-prison-population-2002-2012" TargetMode="External"/><Relationship Id="rId28" Type="http://schemas.openxmlformats.org/officeDocument/2006/relationships/theme" Target="theme/theme1.xml"/><Relationship Id="rId10" Type="http://schemas.openxmlformats.org/officeDocument/2006/relationships/hyperlink" Target="https://www.sentencingcouncil.vic.gov.au/snapshots/287-arson" TargetMode="External"/><Relationship Id="rId19" Type="http://schemas.openxmlformats.org/officeDocument/2006/relationships/hyperlink" Target="https://www.sentencingcouncil.vic.gov.au/publications/serious-offending-people-serving-community-correction-order-2022-23" TargetMode="External"/><Relationship Id="rId4" Type="http://schemas.openxmlformats.org/officeDocument/2006/relationships/settings" Target="settings.xml"/><Relationship Id="rId9" Type="http://schemas.openxmlformats.org/officeDocument/2006/relationships/hyperlink" Target="https://www.sentencingcouncil.vic.gov.au/snapshots/286-aggravated-burglary" TargetMode="External"/><Relationship Id="rId14" Type="http://schemas.openxmlformats.org/officeDocument/2006/relationships/hyperlink" Target="https://www.sentencingcouncil.vic.gov.au/snapshots/291-trafficking-commercial-quantity-drugs" TargetMode="External"/><Relationship Id="rId22" Type="http://schemas.openxmlformats.org/officeDocument/2006/relationships/hyperlink" Target="https://www.sentencingcouncil.vic.gov.au/publications/victorias-prison-population-2001-200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dalone\Documents\Custom%20Office%20Templates\Report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2F97-784C-4568-988D-93C20D2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Report_Template_2024.dotx</Template>
  <TotalTime>231</TotalTime>
  <Pages>89</Pages>
  <Words>20336</Words>
  <Characters>114701</Characters>
  <Application>Microsoft Office Word</Application>
  <DocSecurity>0</DocSecurity>
  <Lines>3823</Lines>
  <Paragraphs>2213</Paragraphs>
  <ScaleCrop>false</ScaleCrop>
  <HeadingPairs>
    <vt:vector size="2" baseType="variant">
      <vt:variant>
        <vt:lpstr>Title</vt:lpstr>
      </vt:variant>
      <vt:variant>
        <vt:i4>1</vt:i4>
      </vt:variant>
    </vt:vector>
  </HeadingPairs>
  <TitlesOfParts>
    <vt:vector size="1" baseType="lpstr">
      <vt:lpstr>Annual Report 2024-2025</vt:lpstr>
    </vt:vector>
  </TitlesOfParts>
  <Company>Sentencing Advisory Council</Company>
  <LinksUpToDate>false</LinksUpToDate>
  <CharactersWithSpaces>132824</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2024-2025</dc:title>
  <dc:subject/>
  <dc:creator>Sentencing Advisory Council</dc:creator>
  <cp:keywords/>
  <dc:description/>
  <cp:lastModifiedBy>SAC</cp:lastModifiedBy>
  <cp:revision>253</cp:revision>
  <dcterms:created xsi:type="dcterms:W3CDTF">2026-02-03T23:55:00Z</dcterms:created>
  <dcterms:modified xsi:type="dcterms:W3CDTF">2026-02-04T05:25:00Z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