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3789" w14:textId="77777777" w:rsidR="00FD6D8F" w:rsidRDefault="00FD6D8F" w:rsidP="00FD6D8F">
      <w:pPr>
        <w:pStyle w:val="Title"/>
      </w:pPr>
      <w:r w:rsidRPr="002369DB">
        <w:t>Commonwealth Offences Sentenced in Victoria</w:t>
      </w:r>
    </w:p>
    <w:p w14:paraId="30A85726" w14:textId="6FA238D5" w:rsidR="00254751" w:rsidRPr="001C2E7A" w:rsidRDefault="001C2E7A" w:rsidP="001C2E7A">
      <w:pPr>
        <w:rPr>
          <w:rStyle w:val="Bold"/>
        </w:rPr>
      </w:pPr>
      <w:r w:rsidRPr="001C2E7A">
        <w:rPr>
          <w:rStyle w:val="Bold"/>
        </w:rPr>
        <w:t xml:space="preserve">Dr Paul McGorrery and Pallavi Waghmode </w:t>
      </w:r>
    </w:p>
    <w:p w14:paraId="6ADC26D7" w14:textId="1F1BD300" w:rsidR="006455D4" w:rsidRDefault="006455D4" w:rsidP="00CA41FA">
      <w:pPr>
        <w:pStyle w:val="Heading1"/>
      </w:pPr>
      <w:bookmarkStart w:id="0" w:name="_Toc224060078"/>
      <w:r>
        <w:t>Contents</w:t>
      </w:r>
      <w:bookmarkEnd w:id="0"/>
    </w:p>
    <w:p w14:paraId="5A1C28B2" w14:textId="4DDEDCA2"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r>
        <w:fldChar w:fldCharType="begin"/>
      </w:r>
      <w:r>
        <w:instrText xml:space="preserve"> TOC \p " " \h \z \t "Heading 1,1" </w:instrText>
      </w:r>
      <w:r>
        <w:fldChar w:fldCharType="separate"/>
      </w:r>
      <w:hyperlink w:anchor="_Toc224060079" w:history="1">
        <w:r w:rsidRPr="00933632">
          <w:rPr>
            <w:rStyle w:val="Hyperlink"/>
            <w:noProof/>
          </w:rPr>
          <w:t>Introduction</w:t>
        </w:r>
        <w:r>
          <w:rPr>
            <w:noProof/>
            <w:webHidden/>
          </w:rPr>
          <w:t xml:space="preserve"> </w:t>
        </w:r>
        <w:r>
          <w:rPr>
            <w:noProof/>
            <w:webHidden/>
          </w:rPr>
          <w:fldChar w:fldCharType="begin"/>
        </w:r>
        <w:r>
          <w:rPr>
            <w:noProof/>
            <w:webHidden/>
          </w:rPr>
          <w:instrText xml:space="preserve"> PAGEREF _Toc224060079 \h </w:instrText>
        </w:r>
        <w:r>
          <w:rPr>
            <w:noProof/>
            <w:webHidden/>
          </w:rPr>
        </w:r>
        <w:r>
          <w:rPr>
            <w:noProof/>
            <w:webHidden/>
          </w:rPr>
          <w:fldChar w:fldCharType="separate"/>
        </w:r>
        <w:r w:rsidR="00485AE7">
          <w:rPr>
            <w:noProof/>
            <w:webHidden/>
          </w:rPr>
          <w:t>3</w:t>
        </w:r>
        <w:r>
          <w:rPr>
            <w:noProof/>
            <w:webHidden/>
          </w:rPr>
          <w:fldChar w:fldCharType="end"/>
        </w:r>
      </w:hyperlink>
    </w:p>
    <w:p w14:paraId="05521DDE" w14:textId="4C8B1FCC"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hyperlink w:anchor="_Toc224060080" w:history="1">
        <w:r w:rsidRPr="00933632">
          <w:rPr>
            <w:rStyle w:val="Hyperlink"/>
            <w:noProof/>
          </w:rPr>
          <w:t>Number of federal offenders sentenced in Victoria</w:t>
        </w:r>
        <w:r>
          <w:rPr>
            <w:noProof/>
            <w:webHidden/>
          </w:rPr>
          <w:t xml:space="preserve"> </w:t>
        </w:r>
        <w:r>
          <w:rPr>
            <w:noProof/>
            <w:webHidden/>
          </w:rPr>
          <w:fldChar w:fldCharType="begin"/>
        </w:r>
        <w:r>
          <w:rPr>
            <w:noProof/>
            <w:webHidden/>
          </w:rPr>
          <w:instrText xml:space="preserve"> PAGEREF _Toc224060080 \h </w:instrText>
        </w:r>
        <w:r>
          <w:rPr>
            <w:noProof/>
            <w:webHidden/>
          </w:rPr>
        </w:r>
        <w:r>
          <w:rPr>
            <w:noProof/>
            <w:webHidden/>
          </w:rPr>
          <w:fldChar w:fldCharType="separate"/>
        </w:r>
        <w:r w:rsidR="00485AE7">
          <w:rPr>
            <w:noProof/>
            <w:webHidden/>
          </w:rPr>
          <w:t>5</w:t>
        </w:r>
        <w:r>
          <w:rPr>
            <w:noProof/>
            <w:webHidden/>
          </w:rPr>
          <w:fldChar w:fldCharType="end"/>
        </w:r>
      </w:hyperlink>
    </w:p>
    <w:p w14:paraId="3A508D7D" w14:textId="5D50626E"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hyperlink w:anchor="_Toc224060081" w:history="1">
        <w:r w:rsidRPr="00933632">
          <w:rPr>
            <w:rStyle w:val="Hyperlink"/>
            <w:noProof/>
          </w:rPr>
          <w:t>Agencies prosecuting Commonwealth offences in Victoria</w:t>
        </w:r>
        <w:r>
          <w:rPr>
            <w:noProof/>
            <w:webHidden/>
          </w:rPr>
          <w:t xml:space="preserve"> </w:t>
        </w:r>
        <w:r>
          <w:rPr>
            <w:noProof/>
            <w:webHidden/>
          </w:rPr>
          <w:fldChar w:fldCharType="begin"/>
        </w:r>
        <w:r>
          <w:rPr>
            <w:noProof/>
            <w:webHidden/>
          </w:rPr>
          <w:instrText xml:space="preserve"> PAGEREF _Toc224060081 \h </w:instrText>
        </w:r>
        <w:r>
          <w:rPr>
            <w:noProof/>
            <w:webHidden/>
          </w:rPr>
        </w:r>
        <w:r>
          <w:rPr>
            <w:noProof/>
            <w:webHidden/>
          </w:rPr>
          <w:fldChar w:fldCharType="separate"/>
        </w:r>
        <w:r w:rsidR="00485AE7">
          <w:rPr>
            <w:noProof/>
            <w:webHidden/>
          </w:rPr>
          <w:t>7</w:t>
        </w:r>
        <w:r>
          <w:rPr>
            <w:noProof/>
            <w:webHidden/>
          </w:rPr>
          <w:fldChar w:fldCharType="end"/>
        </w:r>
      </w:hyperlink>
    </w:p>
    <w:p w14:paraId="3F50C4F5" w14:textId="0A7816AF"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hyperlink w:anchor="_Toc224060082" w:history="1">
        <w:r w:rsidRPr="00933632">
          <w:rPr>
            <w:rStyle w:val="Hyperlink"/>
            <w:noProof/>
          </w:rPr>
          <w:t>Which Commonwealth offences were sentenced?</w:t>
        </w:r>
        <w:r>
          <w:rPr>
            <w:noProof/>
            <w:webHidden/>
          </w:rPr>
          <w:t xml:space="preserve"> </w:t>
        </w:r>
        <w:r>
          <w:rPr>
            <w:noProof/>
            <w:webHidden/>
          </w:rPr>
          <w:fldChar w:fldCharType="begin"/>
        </w:r>
        <w:r>
          <w:rPr>
            <w:noProof/>
            <w:webHidden/>
          </w:rPr>
          <w:instrText xml:space="preserve"> PAGEREF _Toc224060082 \h </w:instrText>
        </w:r>
        <w:r>
          <w:rPr>
            <w:noProof/>
            <w:webHidden/>
          </w:rPr>
        </w:r>
        <w:r>
          <w:rPr>
            <w:noProof/>
            <w:webHidden/>
          </w:rPr>
          <w:fldChar w:fldCharType="separate"/>
        </w:r>
        <w:r w:rsidR="00485AE7">
          <w:rPr>
            <w:noProof/>
            <w:webHidden/>
          </w:rPr>
          <w:t>10</w:t>
        </w:r>
        <w:r>
          <w:rPr>
            <w:noProof/>
            <w:webHidden/>
          </w:rPr>
          <w:fldChar w:fldCharType="end"/>
        </w:r>
      </w:hyperlink>
    </w:p>
    <w:p w14:paraId="18A0CEF6" w14:textId="07B4BCBF"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hyperlink w:anchor="_Toc224060083" w:history="1">
        <w:r w:rsidRPr="00933632">
          <w:rPr>
            <w:rStyle w:val="Hyperlink"/>
            <w:noProof/>
          </w:rPr>
          <w:t>Gender of federal offenders in Victoria</w:t>
        </w:r>
        <w:r>
          <w:rPr>
            <w:noProof/>
            <w:webHidden/>
          </w:rPr>
          <w:t xml:space="preserve"> </w:t>
        </w:r>
        <w:r>
          <w:rPr>
            <w:noProof/>
            <w:webHidden/>
          </w:rPr>
          <w:fldChar w:fldCharType="begin"/>
        </w:r>
        <w:r>
          <w:rPr>
            <w:noProof/>
            <w:webHidden/>
          </w:rPr>
          <w:instrText xml:space="preserve"> PAGEREF _Toc224060083 \h </w:instrText>
        </w:r>
        <w:r>
          <w:rPr>
            <w:noProof/>
            <w:webHidden/>
          </w:rPr>
        </w:r>
        <w:r>
          <w:rPr>
            <w:noProof/>
            <w:webHidden/>
          </w:rPr>
          <w:fldChar w:fldCharType="separate"/>
        </w:r>
        <w:r w:rsidR="00485AE7">
          <w:rPr>
            <w:noProof/>
            <w:webHidden/>
          </w:rPr>
          <w:t>14</w:t>
        </w:r>
        <w:r>
          <w:rPr>
            <w:noProof/>
            <w:webHidden/>
          </w:rPr>
          <w:fldChar w:fldCharType="end"/>
        </w:r>
      </w:hyperlink>
    </w:p>
    <w:p w14:paraId="6C3072AE" w14:textId="5B4F931C"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hyperlink w:anchor="_Toc224060084" w:history="1">
        <w:r w:rsidRPr="00933632">
          <w:rPr>
            <w:rStyle w:val="Hyperlink"/>
            <w:noProof/>
          </w:rPr>
          <w:t>Age of federal offenders in Victoria</w:t>
        </w:r>
        <w:r>
          <w:rPr>
            <w:noProof/>
            <w:webHidden/>
          </w:rPr>
          <w:t xml:space="preserve"> </w:t>
        </w:r>
        <w:r>
          <w:rPr>
            <w:noProof/>
            <w:webHidden/>
          </w:rPr>
          <w:fldChar w:fldCharType="begin"/>
        </w:r>
        <w:r>
          <w:rPr>
            <w:noProof/>
            <w:webHidden/>
          </w:rPr>
          <w:instrText xml:space="preserve"> PAGEREF _Toc224060084 \h </w:instrText>
        </w:r>
        <w:r>
          <w:rPr>
            <w:noProof/>
            <w:webHidden/>
          </w:rPr>
        </w:r>
        <w:r>
          <w:rPr>
            <w:noProof/>
            <w:webHidden/>
          </w:rPr>
          <w:fldChar w:fldCharType="separate"/>
        </w:r>
        <w:r w:rsidR="00485AE7">
          <w:rPr>
            <w:noProof/>
            <w:webHidden/>
          </w:rPr>
          <w:t>17</w:t>
        </w:r>
        <w:r>
          <w:rPr>
            <w:noProof/>
            <w:webHidden/>
          </w:rPr>
          <w:fldChar w:fldCharType="end"/>
        </w:r>
      </w:hyperlink>
    </w:p>
    <w:p w14:paraId="19AC69B6" w14:textId="199FE261"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hyperlink w:anchor="_Toc224060085" w:history="1">
        <w:r w:rsidRPr="00933632">
          <w:rPr>
            <w:rStyle w:val="Hyperlink"/>
            <w:noProof/>
          </w:rPr>
          <w:t>Sentence types imposed on federal offenders in Victoria</w:t>
        </w:r>
        <w:r>
          <w:rPr>
            <w:noProof/>
            <w:webHidden/>
          </w:rPr>
          <w:t xml:space="preserve"> </w:t>
        </w:r>
        <w:r>
          <w:rPr>
            <w:noProof/>
            <w:webHidden/>
          </w:rPr>
          <w:fldChar w:fldCharType="begin"/>
        </w:r>
        <w:r>
          <w:rPr>
            <w:noProof/>
            <w:webHidden/>
          </w:rPr>
          <w:instrText xml:space="preserve"> PAGEREF _Toc224060085 \h </w:instrText>
        </w:r>
        <w:r>
          <w:rPr>
            <w:noProof/>
            <w:webHidden/>
          </w:rPr>
        </w:r>
        <w:r>
          <w:rPr>
            <w:noProof/>
            <w:webHidden/>
          </w:rPr>
          <w:fldChar w:fldCharType="separate"/>
        </w:r>
        <w:r w:rsidR="00485AE7">
          <w:rPr>
            <w:noProof/>
            <w:webHidden/>
          </w:rPr>
          <w:t>18</w:t>
        </w:r>
        <w:r>
          <w:rPr>
            <w:noProof/>
            <w:webHidden/>
          </w:rPr>
          <w:fldChar w:fldCharType="end"/>
        </w:r>
      </w:hyperlink>
    </w:p>
    <w:p w14:paraId="06601F32" w14:textId="48DE138B"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hyperlink w:anchor="_Toc224060086" w:history="1">
        <w:r w:rsidRPr="00933632">
          <w:rPr>
            <w:rStyle w:val="Hyperlink"/>
            <w:noProof/>
          </w:rPr>
          <w:t>Lengths of prison sentences for federal offenders in Victoria</w:t>
        </w:r>
        <w:r>
          <w:rPr>
            <w:noProof/>
            <w:webHidden/>
          </w:rPr>
          <w:t xml:space="preserve"> </w:t>
        </w:r>
        <w:r>
          <w:rPr>
            <w:noProof/>
            <w:webHidden/>
          </w:rPr>
          <w:fldChar w:fldCharType="begin"/>
        </w:r>
        <w:r>
          <w:rPr>
            <w:noProof/>
            <w:webHidden/>
          </w:rPr>
          <w:instrText xml:space="preserve"> PAGEREF _Toc224060086 \h </w:instrText>
        </w:r>
        <w:r>
          <w:rPr>
            <w:noProof/>
            <w:webHidden/>
          </w:rPr>
        </w:r>
        <w:r>
          <w:rPr>
            <w:noProof/>
            <w:webHidden/>
          </w:rPr>
          <w:fldChar w:fldCharType="separate"/>
        </w:r>
        <w:r w:rsidR="00485AE7">
          <w:rPr>
            <w:noProof/>
            <w:webHidden/>
          </w:rPr>
          <w:t>22</w:t>
        </w:r>
        <w:r>
          <w:rPr>
            <w:noProof/>
            <w:webHidden/>
          </w:rPr>
          <w:fldChar w:fldCharType="end"/>
        </w:r>
      </w:hyperlink>
    </w:p>
    <w:p w14:paraId="30997DDB" w14:textId="4F0944D8"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hyperlink w:anchor="_Toc224060087" w:history="1">
        <w:r w:rsidRPr="00933632">
          <w:rPr>
            <w:rStyle w:val="Hyperlink"/>
            <w:noProof/>
          </w:rPr>
          <w:t>Fine amounts imposed on federal offenders in Victoria</w:t>
        </w:r>
        <w:r>
          <w:rPr>
            <w:noProof/>
            <w:webHidden/>
          </w:rPr>
          <w:t xml:space="preserve"> </w:t>
        </w:r>
        <w:r>
          <w:rPr>
            <w:noProof/>
            <w:webHidden/>
          </w:rPr>
          <w:fldChar w:fldCharType="begin"/>
        </w:r>
        <w:r>
          <w:rPr>
            <w:noProof/>
            <w:webHidden/>
          </w:rPr>
          <w:instrText xml:space="preserve"> PAGEREF _Toc224060087 \h </w:instrText>
        </w:r>
        <w:r>
          <w:rPr>
            <w:noProof/>
            <w:webHidden/>
          </w:rPr>
        </w:r>
        <w:r>
          <w:rPr>
            <w:noProof/>
            <w:webHidden/>
          </w:rPr>
          <w:fldChar w:fldCharType="separate"/>
        </w:r>
        <w:r w:rsidR="00485AE7">
          <w:rPr>
            <w:noProof/>
            <w:webHidden/>
          </w:rPr>
          <w:t>31</w:t>
        </w:r>
        <w:r>
          <w:rPr>
            <w:noProof/>
            <w:webHidden/>
          </w:rPr>
          <w:fldChar w:fldCharType="end"/>
        </w:r>
      </w:hyperlink>
    </w:p>
    <w:p w14:paraId="0B7E1959" w14:textId="5136B10B"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hyperlink w:anchor="_Toc224060088" w:history="1">
        <w:r w:rsidRPr="00933632">
          <w:rPr>
            <w:rStyle w:val="Hyperlink"/>
            <w:noProof/>
          </w:rPr>
          <w:t>Sentencing outcomes for specific Commonwealth offences</w:t>
        </w:r>
        <w:r>
          <w:rPr>
            <w:noProof/>
            <w:webHidden/>
          </w:rPr>
          <w:t xml:space="preserve"> </w:t>
        </w:r>
        <w:r>
          <w:rPr>
            <w:noProof/>
            <w:webHidden/>
          </w:rPr>
          <w:fldChar w:fldCharType="begin"/>
        </w:r>
        <w:r>
          <w:rPr>
            <w:noProof/>
            <w:webHidden/>
          </w:rPr>
          <w:instrText xml:space="preserve"> PAGEREF _Toc224060088 \h </w:instrText>
        </w:r>
        <w:r>
          <w:rPr>
            <w:noProof/>
            <w:webHidden/>
          </w:rPr>
        </w:r>
        <w:r>
          <w:rPr>
            <w:noProof/>
            <w:webHidden/>
          </w:rPr>
          <w:fldChar w:fldCharType="separate"/>
        </w:r>
        <w:r w:rsidR="00485AE7">
          <w:rPr>
            <w:noProof/>
            <w:webHidden/>
          </w:rPr>
          <w:t>34</w:t>
        </w:r>
        <w:r>
          <w:rPr>
            <w:noProof/>
            <w:webHidden/>
          </w:rPr>
          <w:fldChar w:fldCharType="end"/>
        </w:r>
      </w:hyperlink>
    </w:p>
    <w:p w14:paraId="7F9F1630" w14:textId="4CDFDD46"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hyperlink w:anchor="_Toc224060089" w:history="1">
        <w:r w:rsidRPr="00933632">
          <w:rPr>
            <w:rStyle w:val="Hyperlink"/>
            <w:noProof/>
          </w:rPr>
          <w:t>Conclusion</w:t>
        </w:r>
        <w:r>
          <w:rPr>
            <w:noProof/>
            <w:webHidden/>
          </w:rPr>
          <w:t xml:space="preserve"> </w:t>
        </w:r>
        <w:r>
          <w:rPr>
            <w:noProof/>
            <w:webHidden/>
          </w:rPr>
          <w:fldChar w:fldCharType="begin"/>
        </w:r>
        <w:r>
          <w:rPr>
            <w:noProof/>
            <w:webHidden/>
          </w:rPr>
          <w:instrText xml:space="preserve"> PAGEREF _Toc224060089 \h </w:instrText>
        </w:r>
        <w:r>
          <w:rPr>
            <w:noProof/>
            <w:webHidden/>
          </w:rPr>
        </w:r>
        <w:r>
          <w:rPr>
            <w:noProof/>
            <w:webHidden/>
          </w:rPr>
          <w:fldChar w:fldCharType="separate"/>
        </w:r>
        <w:r w:rsidR="00485AE7">
          <w:rPr>
            <w:noProof/>
            <w:webHidden/>
          </w:rPr>
          <w:t>52</w:t>
        </w:r>
        <w:r>
          <w:rPr>
            <w:noProof/>
            <w:webHidden/>
          </w:rPr>
          <w:fldChar w:fldCharType="end"/>
        </w:r>
      </w:hyperlink>
    </w:p>
    <w:p w14:paraId="15232BBF" w14:textId="6C47214F"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hyperlink w:anchor="_Toc224060090" w:history="1">
        <w:r w:rsidRPr="00933632">
          <w:rPr>
            <w:rStyle w:val="Hyperlink"/>
            <w:noProof/>
          </w:rPr>
          <w:t>Data used in this report</w:t>
        </w:r>
        <w:r>
          <w:rPr>
            <w:noProof/>
            <w:webHidden/>
          </w:rPr>
          <w:t xml:space="preserve"> </w:t>
        </w:r>
        <w:r>
          <w:rPr>
            <w:noProof/>
            <w:webHidden/>
          </w:rPr>
          <w:fldChar w:fldCharType="begin"/>
        </w:r>
        <w:r>
          <w:rPr>
            <w:noProof/>
            <w:webHidden/>
          </w:rPr>
          <w:instrText xml:space="preserve"> PAGEREF _Toc224060090 \h </w:instrText>
        </w:r>
        <w:r>
          <w:rPr>
            <w:noProof/>
            <w:webHidden/>
          </w:rPr>
        </w:r>
        <w:r>
          <w:rPr>
            <w:noProof/>
            <w:webHidden/>
          </w:rPr>
          <w:fldChar w:fldCharType="separate"/>
        </w:r>
        <w:r w:rsidR="00485AE7">
          <w:rPr>
            <w:noProof/>
            <w:webHidden/>
          </w:rPr>
          <w:t>56</w:t>
        </w:r>
        <w:r>
          <w:rPr>
            <w:noProof/>
            <w:webHidden/>
          </w:rPr>
          <w:fldChar w:fldCharType="end"/>
        </w:r>
      </w:hyperlink>
    </w:p>
    <w:p w14:paraId="0151FF0E" w14:textId="45B9BE7F" w:rsidR="008F696D" w:rsidRDefault="008F696D">
      <w:pPr>
        <w:pStyle w:val="TOC1"/>
        <w:tabs>
          <w:tab w:val="right" w:leader="dot" w:pos="9016"/>
        </w:tabs>
        <w:rPr>
          <w:rFonts w:asciiTheme="minorHAnsi" w:eastAsiaTheme="minorEastAsia" w:hAnsiTheme="minorHAnsi" w:cstheme="minorBidi"/>
          <w:noProof/>
          <w:kern w:val="2"/>
          <w14:ligatures w14:val="standardContextual"/>
        </w:rPr>
      </w:pPr>
      <w:hyperlink w:anchor="_Toc224060091" w:history="1">
        <w:r w:rsidRPr="00933632">
          <w:rPr>
            <w:rStyle w:val="Hyperlink"/>
            <w:noProof/>
          </w:rPr>
          <w:t>References</w:t>
        </w:r>
        <w:r>
          <w:rPr>
            <w:noProof/>
            <w:webHidden/>
          </w:rPr>
          <w:t xml:space="preserve"> </w:t>
        </w:r>
        <w:r>
          <w:rPr>
            <w:noProof/>
            <w:webHidden/>
          </w:rPr>
          <w:fldChar w:fldCharType="begin"/>
        </w:r>
        <w:r>
          <w:rPr>
            <w:noProof/>
            <w:webHidden/>
          </w:rPr>
          <w:instrText xml:space="preserve"> PAGEREF _Toc224060091 \h </w:instrText>
        </w:r>
        <w:r>
          <w:rPr>
            <w:noProof/>
            <w:webHidden/>
          </w:rPr>
        </w:r>
        <w:r>
          <w:rPr>
            <w:noProof/>
            <w:webHidden/>
          </w:rPr>
          <w:fldChar w:fldCharType="separate"/>
        </w:r>
        <w:r w:rsidR="00485AE7">
          <w:rPr>
            <w:noProof/>
            <w:webHidden/>
          </w:rPr>
          <w:t>57</w:t>
        </w:r>
        <w:r>
          <w:rPr>
            <w:noProof/>
            <w:webHidden/>
          </w:rPr>
          <w:fldChar w:fldCharType="end"/>
        </w:r>
      </w:hyperlink>
    </w:p>
    <w:p w14:paraId="71EF2740" w14:textId="41B26632" w:rsidR="00CA41FA" w:rsidRPr="00CA41FA" w:rsidRDefault="008F696D" w:rsidP="00CA41FA">
      <w:r>
        <w:fldChar w:fldCharType="end"/>
      </w:r>
    </w:p>
    <w:p w14:paraId="4336D1CB" w14:textId="77777777" w:rsidR="00D31237" w:rsidRPr="002369DB" w:rsidRDefault="00D31237" w:rsidP="00CA41FA">
      <w:pPr>
        <w:pStyle w:val="Heading2"/>
        <w:pageBreakBefore/>
      </w:pPr>
      <w:r w:rsidRPr="002369DB">
        <w:lastRenderedPageBreak/>
        <w:t>Acknowledgement of Country</w:t>
      </w:r>
    </w:p>
    <w:p w14:paraId="291B3941" w14:textId="77777777" w:rsidR="00D31237" w:rsidRPr="002369DB" w:rsidRDefault="00D31237" w:rsidP="00C474D2">
      <w:r w:rsidRPr="002369DB">
        <w:t>The Sentencing Advisory Council acknowledges the Traditional Owners of the lands and waters on which we live and work, and we pay our respects to them, their culture and their Elders past and present.</w:t>
      </w:r>
    </w:p>
    <w:p w14:paraId="14704AA8" w14:textId="77777777" w:rsidR="00D31237" w:rsidRPr="002369DB" w:rsidRDefault="00D31237" w:rsidP="00622026">
      <w:pPr>
        <w:pStyle w:val="Heading2"/>
      </w:pPr>
      <w:r w:rsidRPr="002369DB">
        <w:t>Sentencing Advisory Council</w:t>
      </w:r>
    </w:p>
    <w:p w14:paraId="32ECD2EB" w14:textId="73C6018B" w:rsidR="00D31237" w:rsidRPr="002369DB" w:rsidRDefault="00D31237" w:rsidP="00C474D2">
      <w:r w:rsidRPr="002369DB">
        <w:t>Kate Bundrock</w:t>
      </w:r>
      <w:r w:rsidR="00703355" w:rsidRPr="002369DB">
        <w:t xml:space="preserve">, </w:t>
      </w:r>
      <w:r w:rsidRPr="002369DB">
        <w:t>Fiona Dowsley</w:t>
      </w:r>
      <w:r w:rsidR="00703355" w:rsidRPr="002369DB">
        <w:t xml:space="preserve">, </w:t>
      </w:r>
      <w:r w:rsidRPr="002369DB">
        <w:t>David Glynn</w:t>
      </w:r>
      <w:r w:rsidR="00703355" w:rsidRPr="002369DB">
        <w:t xml:space="preserve">, </w:t>
      </w:r>
      <w:r w:rsidRPr="002369DB">
        <w:t>Dr Jana Katerinskaja</w:t>
      </w:r>
      <w:r w:rsidR="00703355" w:rsidRPr="002369DB">
        <w:t xml:space="preserve">, </w:t>
      </w:r>
      <w:r w:rsidRPr="002369DB">
        <w:t>Wendy Steendam</w:t>
      </w:r>
      <w:r w:rsidR="00703355" w:rsidRPr="002369DB">
        <w:t xml:space="preserve">, </w:t>
      </w:r>
      <w:r w:rsidRPr="002369DB">
        <w:t>Dr Danny Sullivan</w:t>
      </w:r>
      <w:r w:rsidR="00703355" w:rsidRPr="002369DB">
        <w:t xml:space="preserve">, </w:t>
      </w:r>
      <w:r w:rsidRPr="002369DB">
        <w:t>Nathan Watt</w:t>
      </w:r>
      <w:r w:rsidR="00703355" w:rsidRPr="002369DB">
        <w:t xml:space="preserve">, </w:t>
      </w:r>
      <w:r w:rsidRPr="002369DB">
        <w:t>Stan Winford</w:t>
      </w:r>
    </w:p>
    <w:p w14:paraId="42644A94" w14:textId="77777777" w:rsidR="00D31237" w:rsidRPr="002369DB" w:rsidRDefault="00D31237" w:rsidP="00622026">
      <w:pPr>
        <w:pStyle w:val="Heading2"/>
      </w:pPr>
      <w:r w:rsidRPr="002369DB">
        <w:t>Warning to readers</w:t>
      </w:r>
    </w:p>
    <w:p w14:paraId="1C8DD500" w14:textId="77777777" w:rsidR="00D31237" w:rsidRDefault="00D31237" w:rsidP="00C474D2">
      <w:r w:rsidRPr="002369DB">
        <w:t>This report includes descriptions of child sexual assaults that may be distressing to readers.</w:t>
      </w:r>
    </w:p>
    <w:p w14:paraId="2A0AEB8D" w14:textId="77777777" w:rsidR="004C0661" w:rsidRPr="002369DB" w:rsidRDefault="004C0661" w:rsidP="002369DB">
      <w:pPr>
        <w:pStyle w:val="Heading1"/>
        <w:pageBreakBefore/>
      </w:pPr>
      <w:bookmarkStart w:id="1" w:name="_Toc224060079"/>
      <w:r w:rsidRPr="002369DB">
        <w:lastRenderedPageBreak/>
        <w:t>Introduction</w:t>
      </w:r>
      <w:bookmarkEnd w:id="1"/>
    </w:p>
    <w:p w14:paraId="7FFB5650" w14:textId="77777777" w:rsidR="004C0661" w:rsidRPr="002369DB" w:rsidRDefault="004C0661" w:rsidP="00C474D2">
      <w:r w:rsidRPr="002369DB">
        <w:t>While some Commonwealth (federal) offences in Australia are sentenced in the Federal Court,</w:t>
      </w:r>
      <w:r w:rsidRPr="002369DB">
        <w:rPr>
          <w:rStyle w:val="Superscript"/>
        </w:rPr>
        <w:footnoteReference w:id="1"/>
      </w:r>
      <w:r w:rsidRPr="002369DB">
        <w:t xml:space="preserve"> most are sentenced in state and territory courts. Those state and territory courts are able to sentence federal offences because those courts are vested with federal jurisdiction, albeit they apply their own procedural laws.</w:t>
      </w:r>
      <w:r w:rsidRPr="002369DB">
        <w:rPr>
          <w:rStyle w:val="Superscript"/>
        </w:rPr>
        <w:footnoteReference w:id="2"/>
      </w:r>
      <w:r w:rsidRPr="002369DB">
        <w:t xml:space="preserve"> One of the guiding principles for courts sentencing Commonwealth offences is that they should try to achieve consistency, not just within their own jurisdiction but nationwide.</w:t>
      </w:r>
      <w:r w:rsidRPr="002369DB">
        <w:rPr>
          <w:rStyle w:val="Superscript"/>
        </w:rPr>
        <w:footnoteReference w:id="3"/>
      </w:r>
      <w:r w:rsidRPr="002369DB">
        <w:t xml:space="preserve"> In theory, this means that courts should try to consistently apply sentencing principles, rather than try to achieve some form of numerical consistency;</w:t>
      </w:r>
      <w:r w:rsidRPr="002369DB">
        <w:rPr>
          <w:rStyle w:val="Superscript"/>
        </w:rPr>
        <w:footnoteReference w:id="4"/>
      </w:r>
      <w:r w:rsidRPr="002369DB">
        <w:t xml:space="preserve"> however, as the Victorian Court of Appeal has observed, the consistent application of principle should logically result in some measure of numerical consistency.</w:t>
      </w:r>
      <w:r w:rsidRPr="002369DB">
        <w:rPr>
          <w:rStyle w:val="Superscript"/>
        </w:rPr>
        <w:footnoteReference w:id="5"/>
      </w:r>
      <w:r w:rsidRPr="002369DB">
        <w:t xml:space="preserve"> It is therefore important to examine how Commonwealth offences are being sentenced across Australia, and the extent to which consistency is, or isn’t, being achieved.</w:t>
      </w:r>
    </w:p>
    <w:p w14:paraId="682B2FF3" w14:textId="77777777" w:rsidR="004C0661" w:rsidRPr="002369DB" w:rsidRDefault="004C0661" w:rsidP="007E07CF">
      <w:r w:rsidRPr="002369DB">
        <w:t xml:space="preserve">In that context, as a first step towards developing a comprehensive account of federal sentencing in Australia, the aim of this report is to present a profile of Commonwealth offences sentenced in Victorian courts in the five years to 30 June 2023, including: </w:t>
      </w:r>
    </w:p>
    <w:p w14:paraId="5BDB64E7" w14:textId="77777777" w:rsidR="004C0661" w:rsidRPr="002369DB" w:rsidRDefault="004C0661" w:rsidP="00622026">
      <w:pPr>
        <w:pStyle w:val="Bullets"/>
      </w:pPr>
      <w:r w:rsidRPr="002369DB">
        <w:t xml:space="preserve">the courts in which Commonwealth offences were sentenced </w:t>
      </w:r>
    </w:p>
    <w:p w14:paraId="0ABAD3C7" w14:textId="77777777" w:rsidR="004C0661" w:rsidRPr="002369DB" w:rsidRDefault="004C0661" w:rsidP="00622026">
      <w:pPr>
        <w:pStyle w:val="Bullets"/>
      </w:pPr>
      <w:r w:rsidRPr="002369DB">
        <w:lastRenderedPageBreak/>
        <w:t>the agencies that prosecuted cases involving Commonwealth offences</w:t>
      </w:r>
    </w:p>
    <w:p w14:paraId="3C5B3550" w14:textId="77777777" w:rsidR="004C0661" w:rsidRPr="002369DB" w:rsidRDefault="004C0661" w:rsidP="00622026">
      <w:pPr>
        <w:pStyle w:val="Bullets"/>
      </w:pPr>
      <w:r w:rsidRPr="002369DB">
        <w:t>the Commonwealth offences that were sentenced</w:t>
      </w:r>
    </w:p>
    <w:p w14:paraId="12190480" w14:textId="77777777" w:rsidR="004C0661" w:rsidRPr="002369DB" w:rsidRDefault="004C0661" w:rsidP="00622026">
      <w:pPr>
        <w:pStyle w:val="Bullets"/>
      </w:pPr>
      <w:r w:rsidRPr="002369DB">
        <w:t>the age and gender of federal offenders</w:t>
      </w:r>
    </w:p>
    <w:p w14:paraId="64CE4C15" w14:textId="77777777" w:rsidR="004C0661" w:rsidRPr="002369DB" w:rsidRDefault="004C0661" w:rsidP="00622026">
      <w:pPr>
        <w:pStyle w:val="Bullets"/>
      </w:pPr>
      <w:r w:rsidRPr="002369DB">
        <w:t>the sentences imposed for Commonwealth offences</w:t>
      </w:r>
    </w:p>
    <w:p w14:paraId="5949BA90" w14:textId="77777777" w:rsidR="004C0661" w:rsidRPr="002369DB" w:rsidRDefault="004C0661" w:rsidP="00622026">
      <w:pPr>
        <w:pStyle w:val="Bullets"/>
      </w:pPr>
      <w:r w:rsidRPr="002369DB">
        <w:t xml:space="preserve">the operation of presumptive sentencing laws that came into effect in June 2020 and </w:t>
      </w:r>
    </w:p>
    <w:p w14:paraId="7C870698" w14:textId="77777777" w:rsidR="004C0661" w:rsidRPr="002369DB" w:rsidRDefault="004C0661" w:rsidP="00622026">
      <w:pPr>
        <w:pStyle w:val="Bullets"/>
      </w:pPr>
      <w:r w:rsidRPr="002369DB">
        <w:t>for the most common Commonwealth offences, the sentence types imposed, as well as the lengths of prison sentences and fine amounts imposed.</w:t>
      </w:r>
    </w:p>
    <w:p w14:paraId="537F6851" w14:textId="77777777" w:rsidR="0095120D" w:rsidRPr="002369DB" w:rsidRDefault="0095120D" w:rsidP="0095120D">
      <w:pPr>
        <w:pStyle w:val="IntenseQuote"/>
      </w:pPr>
      <w:r w:rsidRPr="002369DB">
        <w:t xml:space="preserve">Aim of this report: To present a profile of Commonwealth offences sentenced in Victoria </w:t>
      </w:r>
    </w:p>
    <w:p w14:paraId="70013E58" w14:textId="59D1DEBD" w:rsidR="0095120D" w:rsidRPr="002369DB" w:rsidRDefault="0095120D" w:rsidP="0095120D">
      <w:pPr>
        <w:pStyle w:val="IntenseQuote"/>
      </w:pPr>
      <w:r w:rsidRPr="002369DB">
        <w:t>Reference period: 1 July 2018 to 30 June 2023 (5 years)</w:t>
      </w:r>
    </w:p>
    <w:p w14:paraId="6314DEB7" w14:textId="7E96888B" w:rsidR="004C0661" w:rsidRPr="002369DB" w:rsidRDefault="004C0661" w:rsidP="00C474D2">
      <w:r w:rsidRPr="002369DB">
        <w:t>This report coincides with recent updates to our SACStat online sentencing database to now include dedicated sentencing statistics for Commonwealth offences and Commonwealth sentence types in both the Magistrates’ Court of Victoria and the Victorian higher courts.</w:t>
      </w:r>
      <w:r w:rsidRPr="002369DB">
        <w:rPr>
          <w:rStyle w:val="Superscript"/>
        </w:rPr>
        <w:footnoteReference w:id="6"/>
      </w:r>
      <w:r w:rsidRPr="002369DB">
        <w:t xml:space="preserve"> It is beyond the scope of this report to grapple with the ‘extraordinary difficulties associated with’</w:t>
      </w:r>
      <w:r w:rsidRPr="002369DB">
        <w:rPr>
          <w:rStyle w:val="Superscript"/>
        </w:rPr>
        <w:footnoteReference w:id="7"/>
      </w:r>
      <w:r w:rsidRPr="002369DB">
        <w:t xml:space="preserve"> the ‘legislative jungle in which any court </w:t>
      </w:r>
      <w:r w:rsidRPr="002369DB">
        <w:lastRenderedPageBreak/>
        <w:t>sentencing a federal offender must now spend a considerable time’.</w:t>
      </w:r>
      <w:r w:rsidRPr="002369DB">
        <w:rPr>
          <w:rStyle w:val="Superscript"/>
        </w:rPr>
        <w:footnoteReference w:id="8"/>
      </w:r>
      <w:r w:rsidRPr="002369DB">
        <w:t xml:space="preserve"> Instead, this report is intended to be primarily a statistical profile. For a detailed overview of the legislation and case law applicable in sentencing federal offenders, the Commonwealth Director of Public Prosecutions (CDPP) publishes a helpful guide, first published in 2018 and now in its seventh edition.</w:t>
      </w:r>
      <w:r w:rsidRPr="002369DB">
        <w:rPr>
          <w:rStyle w:val="Superscript"/>
        </w:rPr>
        <w:footnoteReference w:id="9"/>
      </w:r>
    </w:p>
    <w:p w14:paraId="32B10918" w14:textId="77777777" w:rsidR="004C0661" w:rsidRPr="002369DB" w:rsidRDefault="004C0661" w:rsidP="00622026">
      <w:pPr>
        <w:pStyle w:val="Heading1"/>
      </w:pPr>
      <w:bookmarkStart w:id="2" w:name="_Toc224060080"/>
      <w:r w:rsidRPr="002369DB">
        <w:t>Number of federal offenders sentenced in Victoria</w:t>
      </w:r>
      <w:bookmarkEnd w:id="2"/>
    </w:p>
    <w:p w14:paraId="4CB6A5CD" w14:textId="20D4CF70" w:rsidR="004C0661" w:rsidRPr="002369DB" w:rsidRDefault="004C0661" w:rsidP="00C474D2">
      <w:r w:rsidRPr="002369DB">
        <w:t>In the five years to 30 June 2023, there were over 413,000 total cases sentenced in adult courts</w:t>
      </w:r>
      <w:r w:rsidRPr="002369DB">
        <w:rPr>
          <w:rStyle w:val="Superscript"/>
        </w:rPr>
        <w:footnoteReference w:id="10"/>
      </w:r>
      <w:r w:rsidRPr="002369DB">
        <w:t xml:space="preserve"> in Victoria (on average, more than 80,000 cases per year). Of those cases, 97.9% were sentenced in the Magistrates’ Court (404,459 cases) and 2.1% were sentenced in the higher courts</w:t>
      </w:r>
      <w:r w:rsidRPr="002369DB">
        <w:rPr>
          <w:rStyle w:val="Superscript"/>
        </w:rPr>
        <w:footnoteReference w:id="11"/>
      </w:r>
      <w:r w:rsidRPr="002369DB">
        <w:t xml:space="preserve"> (8,584 cases). As shown in Table 1, </w:t>
      </w:r>
      <w:proofErr w:type="gramStart"/>
      <w:r w:rsidRPr="002369DB">
        <w:t>the vast majority of</w:t>
      </w:r>
      <w:proofErr w:type="gramEnd"/>
      <w:r w:rsidRPr="002369DB">
        <w:t xml:space="preserve"> cases in all adult courts exclusively involved Victorian offences (97.9% in the Magistrates’ Court and 89.8% in the higher courts). Across both jurisdictions combined, the remaining cases involving Commonwealth offences were more commonly cases involving both Victorian and Commonwealth offences (mixed cases) than cases that exclusively involved Commonwealth offences. And in those mixed cases, it was more common for a Victorian crime to be the principal proven offence.</w:t>
      </w:r>
      <w:r w:rsidRPr="002369DB">
        <w:rPr>
          <w:rStyle w:val="Superscript"/>
        </w:rPr>
        <w:footnoteReference w:id="12"/>
      </w:r>
    </w:p>
    <w:p w14:paraId="1A6AB84D" w14:textId="6C9EB0E9" w:rsidR="00FA5FB2" w:rsidRPr="002369DB" w:rsidRDefault="00FA5FB2" w:rsidP="00E3268C">
      <w:pPr>
        <w:pStyle w:val="IntenseQuote"/>
      </w:pPr>
      <w:r w:rsidRPr="002369DB">
        <w:lastRenderedPageBreak/>
        <w:t>2.1%</w:t>
      </w:r>
      <w:r w:rsidR="00B7775A">
        <w:t xml:space="preserve"> </w:t>
      </w:r>
      <w:r w:rsidRPr="002369DB">
        <w:t>of cases in the Magistrates’ Court</w:t>
      </w:r>
      <w:r w:rsidR="00B7775A">
        <w:t xml:space="preserve"> </w:t>
      </w:r>
      <w:r w:rsidRPr="002369DB">
        <w:t>involved a Commonwealth offence</w:t>
      </w:r>
    </w:p>
    <w:p w14:paraId="0B2D16F3" w14:textId="3E8F42E0" w:rsidR="00FA5FB2" w:rsidRPr="002369DB" w:rsidRDefault="00FA5FB2" w:rsidP="00E3268C">
      <w:pPr>
        <w:pStyle w:val="IntenseQuote"/>
      </w:pPr>
      <w:r w:rsidRPr="002369DB">
        <w:t>10.2%</w:t>
      </w:r>
      <w:r w:rsidR="00B7775A">
        <w:t xml:space="preserve"> </w:t>
      </w:r>
      <w:r w:rsidRPr="002369DB">
        <w:t>of cases in the higher courts</w:t>
      </w:r>
      <w:r w:rsidR="00B7775A">
        <w:t xml:space="preserve"> </w:t>
      </w:r>
      <w:r w:rsidRPr="002369DB">
        <w:t>involved a Commonwealth offence</w:t>
      </w:r>
    </w:p>
    <w:p w14:paraId="16037946" w14:textId="77777777" w:rsidR="004C0661" w:rsidRPr="002369DB" w:rsidRDefault="004C0661" w:rsidP="00A775DC">
      <w:pPr>
        <w:pStyle w:val="Caption"/>
      </w:pPr>
      <w:r w:rsidRPr="002369DB">
        <w:t>Table 1: Number of sentenced cases in adult courts in Victoria, 1 July 2018 to 30 June 2023</w:t>
      </w:r>
    </w:p>
    <w:tbl>
      <w:tblPr>
        <w:tblStyle w:val="Table"/>
        <w:tblW w:w="5000" w:type="pct"/>
        <w:tblLook w:val="0020" w:firstRow="1" w:lastRow="0" w:firstColumn="0" w:lastColumn="0" w:noHBand="0" w:noVBand="0"/>
      </w:tblPr>
      <w:tblGrid>
        <w:gridCol w:w="6050"/>
        <w:gridCol w:w="2966"/>
      </w:tblGrid>
      <w:tr w:rsidR="004C0661" w:rsidRPr="002369DB" w14:paraId="43D350FE" w14:textId="77777777" w:rsidTr="004375E7">
        <w:trPr>
          <w:trHeight w:val="60"/>
          <w:tblHeader/>
        </w:trPr>
        <w:tc>
          <w:tcPr>
            <w:tcW w:w="3355" w:type="pct"/>
          </w:tcPr>
          <w:p w14:paraId="1E503711" w14:textId="77777777" w:rsidR="004C0661" w:rsidRPr="002369DB" w:rsidRDefault="004C0661" w:rsidP="00B91C29">
            <w:pPr>
              <w:pStyle w:val="TableHeading"/>
            </w:pPr>
            <w:r w:rsidRPr="002369DB">
              <w:t>Jurisdiction for the offence</w:t>
            </w:r>
          </w:p>
        </w:tc>
        <w:tc>
          <w:tcPr>
            <w:tcW w:w="1645" w:type="pct"/>
          </w:tcPr>
          <w:p w14:paraId="065D4957" w14:textId="77777777" w:rsidR="004C0661" w:rsidRPr="002369DB" w:rsidRDefault="004C0661" w:rsidP="00CA695F">
            <w:pPr>
              <w:pStyle w:val="TableHeading"/>
            </w:pPr>
            <w:r w:rsidRPr="002369DB">
              <w:t>Number of cases</w:t>
            </w:r>
          </w:p>
        </w:tc>
      </w:tr>
      <w:tr w:rsidR="004C0661" w:rsidRPr="002369DB" w14:paraId="388F465D" w14:textId="77777777" w:rsidTr="004375E7">
        <w:trPr>
          <w:trHeight w:val="60"/>
        </w:trPr>
        <w:tc>
          <w:tcPr>
            <w:tcW w:w="3355" w:type="pct"/>
          </w:tcPr>
          <w:p w14:paraId="1CD6F791" w14:textId="77777777" w:rsidR="004C0661" w:rsidRPr="009F1636" w:rsidRDefault="004C0661" w:rsidP="00B91C29">
            <w:pPr>
              <w:pStyle w:val="TableBody"/>
              <w:rPr>
                <w:rStyle w:val="Bold"/>
              </w:rPr>
            </w:pPr>
            <w:r w:rsidRPr="009F1636">
              <w:rPr>
                <w:rStyle w:val="Bold"/>
              </w:rPr>
              <w:t>Magistrates’ Court</w:t>
            </w:r>
          </w:p>
        </w:tc>
        <w:tc>
          <w:tcPr>
            <w:tcW w:w="1645" w:type="pct"/>
          </w:tcPr>
          <w:p w14:paraId="7DE4409A" w14:textId="77777777" w:rsidR="004C0661" w:rsidRPr="009F1636" w:rsidRDefault="004C0661" w:rsidP="00B91C29">
            <w:pPr>
              <w:pStyle w:val="TableBody"/>
              <w:rPr>
                <w:rStyle w:val="Bold"/>
              </w:rPr>
            </w:pPr>
            <w:r w:rsidRPr="009F1636">
              <w:rPr>
                <w:rStyle w:val="Bold"/>
              </w:rPr>
              <w:t>404,459</w:t>
            </w:r>
          </w:p>
        </w:tc>
      </w:tr>
      <w:tr w:rsidR="004C0661" w:rsidRPr="002369DB" w14:paraId="1D765514" w14:textId="77777777" w:rsidTr="004375E7">
        <w:trPr>
          <w:trHeight w:val="60"/>
        </w:trPr>
        <w:tc>
          <w:tcPr>
            <w:tcW w:w="3355" w:type="pct"/>
          </w:tcPr>
          <w:p w14:paraId="6B8B1F58" w14:textId="77777777" w:rsidR="004C0661" w:rsidRPr="002369DB" w:rsidRDefault="004C0661" w:rsidP="00B91C29">
            <w:pPr>
              <w:pStyle w:val="TableBody"/>
            </w:pPr>
            <w:r w:rsidRPr="002369DB">
              <w:t>Victorian offences only</w:t>
            </w:r>
          </w:p>
        </w:tc>
        <w:tc>
          <w:tcPr>
            <w:tcW w:w="1645" w:type="pct"/>
          </w:tcPr>
          <w:p w14:paraId="533E70B3" w14:textId="77777777" w:rsidR="004C0661" w:rsidRPr="002369DB" w:rsidRDefault="004C0661" w:rsidP="00B91C29">
            <w:pPr>
              <w:pStyle w:val="TableBody"/>
            </w:pPr>
            <w:r w:rsidRPr="002369DB">
              <w:t>395,767 (97.9%)</w:t>
            </w:r>
          </w:p>
        </w:tc>
      </w:tr>
      <w:tr w:rsidR="004C0661" w:rsidRPr="002369DB" w14:paraId="7E03E6D8" w14:textId="77777777" w:rsidTr="004375E7">
        <w:trPr>
          <w:trHeight w:val="60"/>
        </w:trPr>
        <w:tc>
          <w:tcPr>
            <w:tcW w:w="3355" w:type="pct"/>
          </w:tcPr>
          <w:p w14:paraId="5FAA8FC5" w14:textId="77777777" w:rsidR="004C0661" w:rsidRPr="002369DB" w:rsidRDefault="004C0661" w:rsidP="00B91C29">
            <w:pPr>
              <w:pStyle w:val="TableBody"/>
            </w:pPr>
            <w:r w:rsidRPr="002369DB">
              <w:t>Commonwealth offences only</w:t>
            </w:r>
          </w:p>
        </w:tc>
        <w:tc>
          <w:tcPr>
            <w:tcW w:w="1645" w:type="pct"/>
          </w:tcPr>
          <w:p w14:paraId="2D5A588D" w14:textId="77777777" w:rsidR="004C0661" w:rsidRPr="002369DB" w:rsidRDefault="004C0661" w:rsidP="00B91C29">
            <w:pPr>
              <w:pStyle w:val="TableBody"/>
            </w:pPr>
            <w:r w:rsidRPr="002369DB">
              <w:t>3,328 (0.8%)</w:t>
            </w:r>
          </w:p>
        </w:tc>
      </w:tr>
      <w:tr w:rsidR="004C0661" w:rsidRPr="002369DB" w14:paraId="5EC149CE" w14:textId="77777777" w:rsidTr="004375E7">
        <w:trPr>
          <w:trHeight w:val="60"/>
        </w:trPr>
        <w:tc>
          <w:tcPr>
            <w:tcW w:w="3355" w:type="pct"/>
          </w:tcPr>
          <w:p w14:paraId="76BBF390" w14:textId="77777777" w:rsidR="004C0661" w:rsidRPr="002369DB" w:rsidRDefault="004C0661" w:rsidP="00B91C29">
            <w:pPr>
              <w:pStyle w:val="TableBody"/>
            </w:pPr>
            <w:r w:rsidRPr="002369DB">
              <w:t>Mixed cases</w:t>
            </w:r>
          </w:p>
        </w:tc>
        <w:tc>
          <w:tcPr>
            <w:tcW w:w="1645" w:type="pct"/>
          </w:tcPr>
          <w:p w14:paraId="237BC856" w14:textId="77777777" w:rsidR="004C0661" w:rsidRPr="002369DB" w:rsidRDefault="004C0661" w:rsidP="00B91C29">
            <w:pPr>
              <w:pStyle w:val="TableBody"/>
            </w:pPr>
            <w:r w:rsidRPr="002369DB">
              <w:t>5,364 (1.3%)</w:t>
            </w:r>
          </w:p>
        </w:tc>
      </w:tr>
      <w:tr w:rsidR="004C0661" w:rsidRPr="002369DB" w14:paraId="62B99334" w14:textId="77777777" w:rsidTr="004375E7">
        <w:trPr>
          <w:trHeight w:val="60"/>
        </w:trPr>
        <w:tc>
          <w:tcPr>
            <w:tcW w:w="3355" w:type="pct"/>
          </w:tcPr>
          <w:p w14:paraId="38395760" w14:textId="77777777" w:rsidR="004C0661" w:rsidRPr="002369DB" w:rsidRDefault="004C0661" w:rsidP="00B91C29">
            <w:pPr>
              <w:pStyle w:val="TableBody"/>
            </w:pPr>
            <w:r w:rsidRPr="002369DB">
              <w:t>Victorian principal proven offence</w:t>
            </w:r>
          </w:p>
        </w:tc>
        <w:tc>
          <w:tcPr>
            <w:tcW w:w="1645" w:type="pct"/>
          </w:tcPr>
          <w:p w14:paraId="0AD9DB2A" w14:textId="77777777" w:rsidR="004C0661" w:rsidRPr="002369DB" w:rsidRDefault="004C0661" w:rsidP="00B91C29">
            <w:pPr>
              <w:pStyle w:val="TableBody"/>
            </w:pPr>
            <w:r w:rsidRPr="002369DB">
              <w:t xml:space="preserve">4,339 </w:t>
            </w:r>
          </w:p>
        </w:tc>
      </w:tr>
      <w:tr w:rsidR="004C0661" w:rsidRPr="002369DB" w14:paraId="4D3EBF13" w14:textId="77777777" w:rsidTr="004375E7">
        <w:trPr>
          <w:trHeight w:val="60"/>
        </w:trPr>
        <w:tc>
          <w:tcPr>
            <w:tcW w:w="3355" w:type="pct"/>
          </w:tcPr>
          <w:p w14:paraId="04510D88" w14:textId="77777777" w:rsidR="004C0661" w:rsidRPr="002369DB" w:rsidRDefault="004C0661" w:rsidP="00B91C29">
            <w:pPr>
              <w:pStyle w:val="TableBody"/>
            </w:pPr>
            <w:r w:rsidRPr="002369DB">
              <w:t>Commonwealth principal proven offence</w:t>
            </w:r>
          </w:p>
        </w:tc>
        <w:tc>
          <w:tcPr>
            <w:tcW w:w="1645" w:type="pct"/>
          </w:tcPr>
          <w:p w14:paraId="3480D381" w14:textId="77777777" w:rsidR="004C0661" w:rsidRPr="002369DB" w:rsidRDefault="004C0661" w:rsidP="00B91C29">
            <w:pPr>
              <w:pStyle w:val="TableBody"/>
            </w:pPr>
            <w:r w:rsidRPr="002369DB">
              <w:t xml:space="preserve">1,025 </w:t>
            </w:r>
          </w:p>
        </w:tc>
      </w:tr>
      <w:tr w:rsidR="004C0661" w:rsidRPr="002369DB" w14:paraId="1EB16AF5" w14:textId="77777777" w:rsidTr="004375E7">
        <w:trPr>
          <w:trHeight w:val="60"/>
        </w:trPr>
        <w:tc>
          <w:tcPr>
            <w:tcW w:w="3355" w:type="pct"/>
          </w:tcPr>
          <w:p w14:paraId="7B35131E" w14:textId="77777777" w:rsidR="004C0661" w:rsidRPr="009F1636" w:rsidRDefault="004C0661" w:rsidP="00B91C29">
            <w:pPr>
              <w:pStyle w:val="TableBody"/>
              <w:rPr>
                <w:rStyle w:val="Bold"/>
              </w:rPr>
            </w:pPr>
            <w:r w:rsidRPr="009F1636">
              <w:rPr>
                <w:rStyle w:val="Bold"/>
              </w:rPr>
              <w:t xml:space="preserve">Higher courts </w:t>
            </w:r>
          </w:p>
        </w:tc>
        <w:tc>
          <w:tcPr>
            <w:tcW w:w="1645" w:type="pct"/>
          </w:tcPr>
          <w:p w14:paraId="3E2B5039" w14:textId="77777777" w:rsidR="004C0661" w:rsidRPr="009F1636" w:rsidRDefault="004C0661" w:rsidP="00B91C29">
            <w:pPr>
              <w:pStyle w:val="TableBody"/>
              <w:rPr>
                <w:rStyle w:val="Bold"/>
              </w:rPr>
            </w:pPr>
            <w:r w:rsidRPr="009F1636">
              <w:rPr>
                <w:rStyle w:val="Bold"/>
              </w:rPr>
              <w:t>8,584</w:t>
            </w:r>
          </w:p>
        </w:tc>
      </w:tr>
      <w:tr w:rsidR="004C0661" w:rsidRPr="002369DB" w14:paraId="0BEDC862" w14:textId="77777777" w:rsidTr="004375E7">
        <w:trPr>
          <w:trHeight w:val="60"/>
        </w:trPr>
        <w:tc>
          <w:tcPr>
            <w:tcW w:w="3355" w:type="pct"/>
          </w:tcPr>
          <w:p w14:paraId="17610116" w14:textId="77777777" w:rsidR="004C0661" w:rsidRPr="002369DB" w:rsidRDefault="004C0661" w:rsidP="00B91C29">
            <w:pPr>
              <w:pStyle w:val="TableBody"/>
            </w:pPr>
            <w:r w:rsidRPr="002369DB">
              <w:t>Victorian offences only</w:t>
            </w:r>
          </w:p>
        </w:tc>
        <w:tc>
          <w:tcPr>
            <w:tcW w:w="1645" w:type="pct"/>
          </w:tcPr>
          <w:p w14:paraId="7F7378CA" w14:textId="77777777" w:rsidR="004C0661" w:rsidRPr="002369DB" w:rsidRDefault="004C0661" w:rsidP="00B91C29">
            <w:pPr>
              <w:pStyle w:val="TableBody"/>
            </w:pPr>
            <w:r w:rsidRPr="002369DB">
              <w:t>7,706 (89.8%)</w:t>
            </w:r>
          </w:p>
        </w:tc>
      </w:tr>
      <w:tr w:rsidR="004C0661" w:rsidRPr="002369DB" w14:paraId="6C351625" w14:textId="77777777" w:rsidTr="004375E7">
        <w:trPr>
          <w:trHeight w:val="60"/>
        </w:trPr>
        <w:tc>
          <w:tcPr>
            <w:tcW w:w="3355" w:type="pct"/>
          </w:tcPr>
          <w:p w14:paraId="3C2D19C4" w14:textId="77777777" w:rsidR="004C0661" w:rsidRPr="002369DB" w:rsidRDefault="004C0661" w:rsidP="00B91C29">
            <w:pPr>
              <w:pStyle w:val="TableBody"/>
            </w:pPr>
            <w:r w:rsidRPr="002369DB">
              <w:t>Commonwealth offences only</w:t>
            </w:r>
          </w:p>
        </w:tc>
        <w:tc>
          <w:tcPr>
            <w:tcW w:w="1645" w:type="pct"/>
          </w:tcPr>
          <w:p w14:paraId="29423697" w14:textId="77777777" w:rsidR="004C0661" w:rsidRPr="002369DB" w:rsidRDefault="004C0661" w:rsidP="00B91C29">
            <w:pPr>
              <w:pStyle w:val="TableBody"/>
            </w:pPr>
            <w:r w:rsidRPr="002369DB">
              <w:t>558 (6.5%)</w:t>
            </w:r>
          </w:p>
        </w:tc>
      </w:tr>
      <w:tr w:rsidR="004C0661" w:rsidRPr="002369DB" w14:paraId="3115202F" w14:textId="77777777" w:rsidTr="004375E7">
        <w:trPr>
          <w:trHeight w:val="60"/>
        </w:trPr>
        <w:tc>
          <w:tcPr>
            <w:tcW w:w="3355" w:type="pct"/>
          </w:tcPr>
          <w:p w14:paraId="4B9F7ABC" w14:textId="77777777" w:rsidR="004C0661" w:rsidRPr="002369DB" w:rsidRDefault="004C0661" w:rsidP="00B91C29">
            <w:pPr>
              <w:pStyle w:val="TableBody"/>
            </w:pPr>
            <w:r w:rsidRPr="002369DB">
              <w:t>Mixed cases</w:t>
            </w:r>
          </w:p>
        </w:tc>
        <w:tc>
          <w:tcPr>
            <w:tcW w:w="1645" w:type="pct"/>
          </w:tcPr>
          <w:p w14:paraId="40344A59" w14:textId="77777777" w:rsidR="004C0661" w:rsidRPr="002369DB" w:rsidRDefault="004C0661" w:rsidP="00B91C29">
            <w:pPr>
              <w:pStyle w:val="TableBody"/>
            </w:pPr>
            <w:r w:rsidRPr="002369DB">
              <w:t>320 (3.7%)</w:t>
            </w:r>
          </w:p>
        </w:tc>
      </w:tr>
      <w:tr w:rsidR="004C0661" w:rsidRPr="002369DB" w14:paraId="34CB8C61" w14:textId="77777777" w:rsidTr="004375E7">
        <w:trPr>
          <w:trHeight w:val="60"/>
        </w:trPr>
        <w:tc>
          <w:tcPr>
            <w:tcW w:w="3355" w:type="pct"/>
          </w:tcPr>
          <w:p w14:paraId="12807B7A" w14:textId="77777777" w:rsidR="004C0661" w:rsidRPr="002369DB" w:rsidRDefault="004C0661" w:rsidP="00B91C29">
            <w:pPr>
              <w:pStyle w:val="TableBody"/>
            </w:pPr>
            <w:r w:rsidRPr="002369DB">
              <w:t>Victorian principal proven offence</w:t>
            </w:r>
          </w:p>
        </w:tc>
        <w:tc>
          <w:tcPr>
            <w:tcW w:w="1645" w:type="pct"/>
          </w:tcPr>
          <w:p w14:paraId="660DA6F9" w14:textId="77777777" w:rsidR="004C0661" w:rsidRPr="002369DB" w:rsidRDefault="004C0661" w:rsidP="00B91C29">
            <w:pPr>
              <w:pStyle w:val="TableBody"/>
            </w:pPr>
            <w:r w:rsidRPr="002369DB">
              <w:t xml:space="preserve">154 </w:t>
            </w:r>
          </w:p>
        </w:tc>
      </w:tr>
      <w:tr w:rsidR="004C0661" w:rsidRPr="002369DB" w14:paraId="7EA9EB7F" w14:textId="77777777" w:rsidTr="004375E7">
        <w:trPr>
          <w:trHeight w:val="60"/>
        </w:trPr>
        <w:tc>
          <w:tcPr>
            <w:tcW w:w="3355" w:type="pct"/>
          </w:tcPr>
          <w:p w14:paraId="7FD52A9E" w14:textId="77777777" w:rsidR="004C0661" w:rsidRPr="002369DB" w:rsidRDefault="004C0661" w:rsidP="00B91C29">
            <w:pPr>
              <w:pStyle w:val="TableBody"/>
            </w:pPr>
            <w:r w:rsidRPr="002369DB">
              <w:t>Commonwealth principal proven offence</w:t>
            </w:r>
          </w:p>
        </w:tc>
        <w:tc>
          <w:tcPr>
            <w:tcW w:w="1645" w:type="pct"/>
          </w:tcPr>
          <w:p w14:paraId="2FD0F73F" w14:textId="77777777" w:rsidR="004C0661" w:rsidRPr="002369DB" w:rsidRDefault="004C0661" w:rsidP="00B91C29">
            <w:pPr>
              <w:pStyle w:val="TableBody"/>
            </w:pPr>
            <w:r w:rsidRPr="002369DB">
              <w:t xml:space="preserve">166 </w:t>
            </w:r>
          </w:p>
        </w:tc>
      </w:tr>
    </w:tbl>
    <w:p w14:paraId="730E982E" w14:textId="77777777" w:rsidR="004C0661" w:rsidRPr="002369DB" w:rsidRDefault="004C0661" w:rsidP="00C474D2">
      <w:r w:rsidRPr="002369DB">
        <w:t>In total, 2.1% of Magistrates’ Court cases (8,692 cases) and 10.2% of higher courts cases (878 cases) involved a Commonwealth offence, for a combined total of 9,570 cases in the five-year period.</w:t>
      </w:r>
      <w:r w:rsidRPr="002369DB">
        <w:rPr>
          <w:rStyle w:val="Superscript"/>
        </w:rPr>
        <w:footnoteReference w:id="13"/>
      </w:r>
    </w:p>
    <w:p w14:paraId="11F10145" w14:textId="77777777" w:rsidR="004C0661" w:rsidRPr="002369DB" w:rsidRDefault="004C0661" w:rsidP="00C474D2">
      <w:r w:rsidRPr="002369DB">
        <w:lastRenderedPageBreak/>
        <w:t xml:space="preserve">During the five-year reference period, the number of cases involving Commonwealth offences each year ranged from a low of 1,432 in 2020–21 to a high of 2,354 in 2022–23. But given the effect of COVID-19 on court operations during the reference period, it is not possible to know from the data whether there is any </w:t>
      </w:r>
      <w:proofErr w:type="gramStart"/>
      <w:r w:rsidRPr="002369DB">
        <w:t>particular trend</w:t>
      </w:r>
      <w:proofErr w:type="gramEnd"/>
      <w:r w:rsidRPr="002369DB">
        <w:t xml:space="preserve"> in the annual number of cases involving Commonwealth offences in Victoria.</w:t>
      </w:r>
    </w:p>
    <w:p w14:paraId="65CA5E8C" w14:textId="77777777" w:rsidR="004C0661" w:rsidRPr="002369DB" w:rsidRDefault="004C0661" w:rsidP="00622026">
      <w:pPr>
        <w:pStyle w:val="Heading1"/>
      </w:pPr>
      <w:bookmarkStart w:id="3" w:name="_Toc224060081"/>
      <w:r w:rsidRPr="002369DB">
        <w:t>Agencies prosecuting Commonwealth offences in Victoria</w:t>
      </w:r>
      <w:bookmarkEnd w:id="3"/>
    </w:p>
    <w:p w14:paraId="1F9A20B0" w14:textId="77777777" w:rsidR="004C0661" w:rsidRPr="002369DB" w:rsidRDefault="004C0661" w:rsidP="007E07CF">
      <w:r w:rsidRPr="002369DB">
        <w:t xml:space="preserve">As shown in Figure 1, the 9,570 cases that included at least one Commonwealth offence were prosecuted by: </w:t>
      </w:r>
    </w:p>
    <w:p w14:paraId="76E4D521" w14:textId="77777777" w:rsidR="004C0661" w:rsidRPr="002369DB" w:rsidRDefault="004C0661" w:rsidP="00622026">
      <w:pPr>
        <w:pStyle w:val="Bullets"/>
      </w:pPr>
      <w:r w:rsidRPr="002369DB">
        <w:t>Victoria Police (69.6%)</w:t>
      </w:r>
    </w:p>
    <w:p w14:paraId="43D140FC" w14:textId="77777777" w:rsidR="004C0661" w:rsidRPr="002369DB" w:rsidRDefault="004C0661" w:rsidP="00622026">
      <w:pPr>
        <w:pStyle w:val="Bullets"/>
      </w:pPr>
      <w:r w:rsidRPr="002369DB">
        <w:t>the Commonwealth and Victorian Directors of Public Prosecutions (DPPs) (together 11.0%)</w:t>
      </w:r>
    </w:p>
    <w:p w14:paraId="4DB6CFE6" w14:textId="77777777" w:rsidR="004C0661" w:rsidRPr="002369DB" w:rsidRDefault="004C0661" w:rsidP="00622026">
      <w:pPr>
        <w:pStyle w:val="Bullets"/>
      </w:pPr>
      <w:r w:rsidRPr="002369DB">
        <w:t>Australian Pacific Airports (5.7%)</w:t>
      </w:r>
    </w:p>
    <w:p w14:paraId="795287EA" w14:textId="77777777" w:rsidR="004C0661" w:rsidRPr="002369DB" w:rsidRDefault="004C0661" w:rsidP="00622026">
      <w:pPr>
        <w:pStyle w:val="Bullets"/>
      </w:pPr>
      <w:r w:rsidRPr="002369DB">
        <w:t xml:space="preserve">the Australian Taxation Office (ATO) (3.2%) and </w:t>
      </w:r>
    </w:p>
    <w:p w14:paraId="6E350248" w14:textId="77777777" w:rsidR="004C0661" w:rsidRPr="002369DB" w:rsidRDefault="004C0661" w:rsidP="00622026">
      <w:pPr>
        <w:pStyle w:val="Bullets"/>
      </w:pPr>
      <w:r w:rsidRPr="002369DB">
        <w:t>various other agencies (10.5%), such as the Australian Securities and Investments Commission (ASIC) and the Australian Financial Security Authority (AFSA).</w:t>
      </w:r>
    </w:p>
    <w:p w14:paraId="02A5821D" w14:textId="77777777" w:rsidR="004C0661" w:rsidRPr="002369DB" w:rsidRDefault="004C0661" w:rsidP="00A775DC">
      <w:pPr>
        <w:pStyle w:val="Caption"/>
      </w:pPr>
      <w:r w:rsidRPr="002369DB">
        <w:t>Figure 1: Prosecuting agencies in cases involving Commonwealth offences sentenced in adult courts in Victoria, 1 July 2018 to 30 June 2023 (9,570 cases)</w:t>
      </w:r>
      <w:r w:rsidRPr="002369DB">
        <w:rPr>
          <w:rStyle w:val="Superscript"/>
        </w:rPr>
        <w:footnoteReference w:id="14"/>
      </w:r>
    </w:p>
    <w:tbl>
      <w:tblPr>
        <w:tblStyle w:val="Table"/>
        <w:tblW w:w="5000" w:type="pct"/>
        <w:tblLook w:val="04A0" w:firstRow="1" w:lastRow="0" w:firstColumn="1" w:lastColumn="0" w:noHBand="0" w:noVBand="1"/>
      </w:tblPr>
      <w:tblGrid>
        <w:gridCol w:w="4807"/>
        <w:gridCol w:w="2104"/>
        <w:gridCol w:w="2105"/>
      </w:tblGrid>
      <w:tr w:rsidR="00182374" w:rsidRPr="00182374" w14:paraId="0096E249" w14:textId="75A9DFCF" w:rsidTr="00182374">
        <w:trPr>
          <w:trHeight w:val="312"/>
          <w:tblHeader/>
        </w:trPr>
        <w:tc>
          <w:tcPr>
            <w:tcW w:w="2640" w:type="pct"/>
            <w:noWrap/>
            <w:hideMark/>
          </w:tcPr>
          <w:p w14:paraId="5CC20C74" w14:textId="77777777" w:rsidR="00182374" w:rsidRPr="00182374" w:rsidRDefault="00182374" w:rsidP="00182374">
            <w:pPr>
              <w:pStyle w:val="TableHeading"/>
            </w:pPr>
            <w:r w:rsidRPr="00182374">
              <w:t>Agency</w:t>
            </w:r>
          </w:p>
        </w:tc>
        <w:tc>
          <w:tcPr>
            <w:tcW w:w="1180" w:type="pct"/>
            <w:noWrap/>
            <w:hideMark/>
          </w:tcPr>
          <w:p w14:paraId="1B64AEE9" w14:textId="77777777" w:rsidR="00182374" w:rsidRPr="00182374" w:rsidRDefault="00182374" w:rsidP="00182374">
            <w:pPr>
              <w:pStyle w:val="TableHeading"/>
            </w:pPr>
            <w:r w:rsidRPr="00182374">
              <w:t>Number of cases</w:t>
            </w:r>
          </w:p>
        </w:tc>
        <w:tc>
          <w:tcPr>
            <w:tcW w:w="1180" w:type="pct"/>
          </w:tcPr>
          <w:p w14:paraId="10FC0EB3" w14:textId="488DBCBB" w:rsidR="00182374" w:rsidRPr="00182374" w:rsidRDefault="00182374" w:rsidP="00182374">
            <w:pPr>
              <w:pStyle w:val="TableHeading"/>
            </w:pPr>
            <w:r>
              <w:t>Percentage</w:t>
            </w:r>
          </w:p>
        </w:tc>
      </w:tr>
      <w:tr w:rsidR="00182374" w:rsidRPr="00182374" w14:paraId="67BBD9FE" w14:textId="30CC9E4D" w:rsidTr="00182374">
        <w:trPr>
          <w:trHeight w:val="312"/>
        </w:trPr>
        <w:tc>
          <w:tcPr>
            <w:tcW w:w="2640" w:type="pct"/>
            <w:noWrap/>
            <w:hideMark/>
          </w:tcPr>
          <w:p w14:paraId="3773C27E" w14:textId="77777777" w:rsidR="00182374" w:rsidRPr="00182374" w:rsidRDefault="00182374" w:rsidP="00182374">
            <w:pPr>
              <w:pStyle w:val="TableBody"/>
            </w:pPr>
            <w:r w:rsidRPr="00182374">
              <w:t>Victoria Police</w:t>
            </w:r>
          </w:p>
        </w:tc>
        <w:tc>
          <w:tcPr>
            <w:tcW w:w="1180" w:type="pct"/>
            <w:noWrap/>
            <w:hideMark/>
          </w:tcPr>
          <w:p w14:paraId="6EF9298C" w14:textId="77777777" w:rsidR="00182374" w:rsidRPr="00182374" w:rsidRDefault="00182374" w:rsidP="00182374">
            <w:pPr>
              <w:pStyle w:val="TableBody"/>
            </w:pPr>
            <w:r w:rsidRPr="00182374">
              <w:t>6,658</w:t>
            </w:r>
          </w:p>
        </w:tc>
        <w:tc>
          <w:tcPr>
            <w:tcW w:w="1180" w:type="pct"/>
          </w:tcPr>
          <w:p w14:paraId="34E1CF6F" w14:textId="72E8215B" w:rsidR="00182374" w:rsidRPr="00182374" w:rsidRDefault="00182374" w:rsidP="00182374">
            <w:pPr>
              <w:pStyle w:val="TableBody"/>
            </w:pPr>
            <w:r>
              <w:t>69.6%</w:t>
            </w:r>
          </w:p>
        </w:tc>
      </w:tr>
      <w:tr w:rsidR="00182374" w:rsidRPr="00182374" w14:paraId="627C8F45" w14:textId="55DF9889" w:rsidTr="00182374">
        <w:trPr>
          <w:trHeight w:val="312"/>
        </w:trPr>
        <w:tc>
          <w:tcPr>
            <w:tcW w:w="2640" w:type="pct"/>
            <w:noWrap/>
            <w:hideMark/>
          </w:tcPr>
          <w:p w14:paraId="2CA6C21C" w14:textId="07E37C5C" w:rsidR="00182374" w:rsidRPr="00182374" w:rsidRDefault="00182374" w:rsidP="00182374">
            <w:pPr>
              <w:pStyle w:val="TableBody"/>
            </w:pPr>
            <w:r w:rsidRPr="00182374">
              <w:lastRenderedPageBreak/>
              <w:t>Director of Public Prosecutions (</w:t>
            </w:r>
            <w:proofErr w:type="spellStart"/>
            <w:r w:rsidRPr="00182374">
              <w:t>Cth</w:t>
            </w:r>
            <w:proofErr w:type="spellEnd"/>
            <w:r w:rsidRPr="00182374">
              <w:t xml:space="preserve"> and </w:t>
            </w:r>
            <w:proofErr w:type="gramStart"/>
            <w:r w:rsidRPr="00182374">
              <w:t>Vic)</w:t>
            </w:r>
            <w:r w:rsidR="002A5B70">
              <w:t>*</w:t>
            </w:r>
            <w:proofErr w:type="gramEnd"/>
          </w:p>
        </w:tc>
        <w:tc>
          <w:tcPr>
            <w:tcW w:w="1180" w:type="pct"/>
            <w:noWrap/>
            <w:hideMark/>
          </w:tcPr>
          <w:p w14:paraId="14718809" w14:textId="2775D90E" w:rsidR="00182374" w:rsidRPr="00182374" w:rsidRDefault="00182374" w:rsidP="00182374">
            <w:pPr>
              <w:pStyle w:val="TableBody"/>
            </w:pPr>
            <w:r>
              <w:t>1,055</w:t>
            </w:r>
          </w:p>
        </w:tc>
        <w:tc>
          <w:tcPr>
            <w:tcW w:w="1180" w:type="pct"/>
          </w:tcPr>
          <w:p w14:paraId="7DEB96FC" w14:textId="673D9BE8" w:rsidR="00182374" w:rsidRPr="00182374" w:rsidRDefault="00182374" w:rsidP="00182374">
            <w:pPr>
              <w:pStyle w:val="TableBody"/>
            </w:pPr>
            <w:r>
              <w:t>11.0%</w:t>
            </w:r>
          </w:p>
        </w:tc>
      </w:tr>
      <w:tr w:rsidR="00182374" w:rsidRPr="00182374" w14:paraId="3AC4A31C" w14:textId="520C2BDF" w:rsidTr="00182374">
        <w:trPr>
          <w:trHeight w:val="312"/>
        </w:trPr>
        <w:tc>
          <w:tcPr>
            <w:tcW w:w="2640" w:type="pct"/>
            <w:noWrap/>
            <w:hideMark/>
          </w:tcPr>
          <w:p w14:paraId="5F912747" w14:textId="77777777" w:rsidR="00182374" w:rsidRPr="00182374" w:rsidRDefault="00182374" w:rsidP="00182374">
            <w:pPr>
              <w:pStyle w:val="TableBody"/>
            </w:pPr>
            <w:r w:rsidRPr="00182374">
              <w:t>Australian Pacific Airports</w:t>
            </w:r>
          </w:p>
        </w:tc>
        <w:tc>
          <w:tcPr>
            <w:tcW w:w="1180" w:type="pct"/>
            <w:noWrap/>
            <w:hideMark/>
          </w:tcPr>
          <w:p w14:paraId="5E9CA722" w14:textId="77777777" w:rsidR="00182374" w:rsidRPr="00182374" w:rsidRDefault="00182374" w:rsidP="00182374">
            <w:pPr>
              <w:pStyle w:val="TableBody"/>
            </w:pPr>
            <w:r w:rsidRPr="00182374">
              <w:t>542</w:t>
            </w:r>
          </w:p>
        </w:tc>
        <w:tc>
          <w:tcPr>
            <w:tcW w:w="1180" w:type="pct"/>
          </w:tcPr>
          <w:p w14:paraId="37FBDA43" w14:textId="01B34F9B" w:rsidR="00182374" w:rsidRPr="00182374" w:rsidRDefault="00182374" w:rsidP="00182374">
            <w:pPr>
              <w:pStyle w:val="TableBody"/>
            </w:pPr>
            <w:r>
              <w:t>5.7%</w:t>
            </w:r>
          </w:p>
        </w:tc>
      </w:tr>
      <w:tr w:rsidR="00182374" w:rsidRPr="00182374" w14:paraId="76C25593" w14:textId="53F1046C" w:rsidTr="00182374">
        <w:trPr>
          <w:trHeight w:val="312"/>
        </w:trPr>
        <w:tc>
          <w:tcPr>
            <w:tcW w:w="2640" w:type="pct"/>
            <w:noWrap/>
            <w:hideMark/>
          </w:tcPr>
          <w:p w14:paraId="24B24842" w14:textId="77777777" w:rsidR="00182374" w:rsidRPr="00182374" w:rsidRDefault="00182374" w:rsidP="00182374">
            <w:pPr>
              <w:pStyle w:val="TableBody"/>
            </w:pPr>
            <w:r w:rsidRPr="00182374">
              <w:t>Australian Taxation Office</w:t>
            </w:r>
          </w:p>
        </w:tc>
        <w:tc>
          <w:tcPr>
            <w:tcW w:w="1180" w:type="pct"/>
            <w:noWrap/>
            <w:hideMark/>
          </w:tcPr>
          <w:p w14:paraId="668AD2B5" w14:textId="77777777" w:rsidR="00182374" w:rsidRPr="00182374" w:rsidRDefault="00182374" w:rsidP="00182374">
            <w:pPr>
              <w:pStyle w:val="TableBody"/>
            </w:pPr>
            <w:r w:rsidRPr="00182374">
              <w:t>307</w:t>
            </w:r>
          </w:p>
        </w:tc>
        <w:tc>
          <w:tcPr>
            <w:tcW w:w="1180" w:type="pct"/>
          </w:tcPr>
          <w:p w14:paraId="60437308" w14:textId="0DBF341A" w:rsidR="00182374" w:rsidRPr="00182374" w:rsidRDefault="00182374" w:rsidP="00182374">
            <w:pPr>
              <w:pStyle w:val="TableBody"/>
            </w:pPr>
            <w:r>
              <w:t>3.2%</w:t>
            </w:r>
          </w:p>
        </w:tc>
      </w:tr>
      <w:tr w:rsidR="00182374" w:rsidRPr="00182374" w14:paraId="5AA03DF9" w14:textId="16A0E4E8" w:rsidTr="00182374">
        <w:trPr>
          <w:trHeight w:val="312"/>
        </w:trPr>
        <w:tc>
          <w:tcPr>
            <w:tcW w:w="2640" w:type="pct"/>
            <w:noWrap/>
            <w:hideMark/>
          </w:tcPr>
          <w:p w14:paraId="1859D0DB" w14:textId="77777777" w:rsidR="00182374" w:rsidRPr="00182374" w:rsidRDefault="00182374" w:rsidP="00182374">
            <w:pPr>
              <w:pStyle w:val="TableBody"/>
            </w:pPr>
            <w:r w:rsidRPr="00182374">
              <w:t xml:space="preserve">Other </w:t>
            </w:r>
          </w:p>
        </w:tc>
        <w:tc>
          <w:tcPr>
            <w:tcW w:w="1180" w:type="pct"/>
            <w:noWrap/>
            <w:hideMark/>
          </w:tcPr>
          <w:p w14:paraId="48AE1D20" w14:textId="77777777" w:rsidR="00182374" w:rsidRPr="00182374" w:rsidRDefault="00182374" w:rsidP="00182374">
            <w:pPr>
              <w:pStyle w:val="TableBody"/>
            </w:pPr>
            <w:r w:rsidRPr="00182374">
              <w:t>769</w:t>
            </w:r>
          </w:p>
        </w:tc>
        <w:tc>
          <w:tcPr>
            <w:tcW w:w="1180" w:type="pct"/>
          </w:tcPr>
          <w:p w14:paraId="357A5A72" w14:textId="79015770" w:rsidR="00182374" w:rsidRPr="00182374" w:rsidRDefault="00182374" w:rsidP="00182374">
            <w:pPr>
              <w:pStyle w:val="TableBody"/>
            </w:pPr>
          </w:p>
        </w:tc>
      </w:tr>
      <w:tr w:rsidR="00182374" w:rsidRPr="00182374" w14:paraId="4A64F5E6" w14:textId="31EC89CD" w:rsidTr="00182374">
        <w:trPr>
          <w:trHeight w:val="312"/>
        </w:trPr>
        <w:tc>
          <w:tcPr>
            <w:tcW w:w="2640" w:type="pct"/>
            <w:noWrap/>
            <w:hideMark/>
          </w:tcPr>
          <w:p w14:paraId="50766222" w14:textId="77777777" w:rsidR="00182374" w:rsidRPr="00182374" w:rsidRDefault="00182374" w:rsidP="00182374">
            <w:pPr>
              <w:pStyle w:val="TableBody"/>
            </w:pPr>
            <w:r w:rsidRPr="00182374">
              <w:t>Not specified</w:t>
            </w:r>
          </w:p>
        </w:tc>
        <w:tc>
          <w:tcPr>
            <w:tcW w:w="1180" w:type="pct"/>
            <w:noWrap/>
            <w:hideMark/>
          </w:tcPr>
          <w:p w14:paraId="689F82AC" w14:textId="77777777" w:rsidR="00182374" w:rsidRPr="00182374" w:rsidRDefault="00182374" w:rsidP="00182374">
            <w:pPr>
              <w:pStyle w:val="TableBody"/>
            </w:pPr>
            <w:r w:rsidRPr="00182374">
              <w:t>239</w:t>
            </w:r>
          </w:p>
        </w:tc>
        <w:tc>
          <w:tcPr>
            <w:tcW w:w="1180" w:type="pct"/>
          </w:tcPr>
          <w:p w14:paraId="5A6F54C3" w14:textId="43845A4D" w:rsidR="00182374" w:rsidRPr="00182374" w:rsidRDefault="00182374" w:rsidP="00182374">
            <w:pPr>
              <w:pStyle w:val="TableBody"/>
            </w:pPr>
          </w:p>
        </w:tc>
      </w:tr>
    </w:tbl>
    <w:p w14:paraId="0C21FCED" w14:textId="5D0F02CD" w:rsidR="002A5B70" w:rsidRDefault="002A5B70" w:rsidP="00C474D2">
      <w:r>
        <w:t>*</w:t>
      </w:r>
      <w:r w:rsidR="00474978" w:rsidRPr="006049DE">
        <w:t>Which DPP prosecuted Commonwealth offences? Victorian DPP (Magistrates’ Court): 36 cases</w:t>
      </w:r>
      <w:r w:rsidR="00474978">
        <w:t>;</w:t>
      </w:r>
      <w:r w:rsidR="00474978" w:rsidRPr="006049DE">
        <w:t xml:space="preserve"> Commonwealth DPP (Magistrates’ Court): 141 cases</w:t>
      </w:r>
      <w:r w:rsidR="00474978">
        <w:t>;</w:t>
      </w:r>
      <w:r w:rsidR="00474978" w:rsidRPr="006049DE">
        <w:t xml:space="preserve"> Unclear which DPP (higher courts): 878 cases</w:t>
      </w:r>
    </w:p>
    <w:p w14:paraId="3CE7DC43" w14:textId="3D2694A9" w:rsidR="004C0661" w:rsidRPr="002369DB" w:rsidRDefault="004C0661" w:rsidP="00C474D2">
      <w:r w:rsidRPr="002369DB">
        <w:t>Most of the cases prosecuted by the Commonwealth and Victorian DPPs were in the higher courts. Because the Commonwealth and Victorian DPPs have exclusive authority to prosecute matters in the higher courts,</w:t>
      </w:r>
      <w:r w:rsidRPr="002369DB">
        <w:rPr>
          <w:rStyle w:val="Superscript"/>
        </w:rPr>
        <w:footnoteReference w:id="15"/>
      </w:r>
      <w:r w:rsidRPr="002369DB">
        <w:t xml:space="preserve"> some of the cases will have stemmed from proceedings originally initiated by another agency, such as the ATO.</w:t>
      </w:r>
      <w:r w:rsidRPr="002369DB">
        <w:rPr>
          <w:rStyle w:val="Superscript"/>
        </w:rPr>
        <w:footnoteReference w:id="16"/>
      </w:r>
      <w:r w:rsidRPr="002369DB">
        <w:t xml:space="preserve"> The Commonwealth and Victorian DPPs are presented together in the data because, for higher courts cases </w:t>
      </w:r>
      <w:r w:rsidRPr="002369DB">
        <w:lastRenderedPageBreak/>
        <w:t>(where most DPP prosecutions are finalised), the data did not distinguish which DPP (if not both</w:t>
      </w:r>
      <w:r w:rsidRPr="002369DB">
        <w:rPr>
          <w:rStyle w:val="Superscript"/>
        </w:rPr>
        <w:footnoteReference w:id="17"/>
      </w:r>
      <w:r w:rsidRPr="002369DB">
        <w:t>) had prosecuted the case.</w:t>
      </w:r>
    </w:p>
    <w:p w14:paraId="25F9CC36" w14:textId="77777777" w:rsidR="004C0661" w:rsidRPr="002369DB" w:rsidRDefault="004C0661" w:rsidP="00C474D2">
      <w:r w:rsidRPr="002369DB">
        <w:t xml:space="preserve">Given that each of the various prosecuting agencies above has a distinct remit, each agency prosecuted different types of Commonwealth offences. The most common Commonwealth offences prosecuted by the four most common prosecuting agencies are shown in Table 2. </w:t>
      </w:r>
    </w:p>
    <w:p w14:paraId="7B1BED3C" w14:textId="77777777" w:rsidR="004C0661" w:rsidRPr="002369DB" w:rsidRDefault="004C0661" w:rsidP="00A775DC">
      <w:pPr>
        <w:pStyle w:val="Caption"/>
      </w:pPr>
      <w:r w:rsidRPr="002369DB">
        <w:t>Table 2: Most common Commonwealth offences prosecuted by the four most common prosecuting agencies in adult courts in Victoria, 1 July 2018 to 30 June 2023</w:t>
      </w:r>
    </w:p>
    <w:tbl>
      <w:tblPr>
        <w:tblStyle w:val="Table"/>
        <w:tblW w:w="5000" w:type="pct"/>
        <w:tblLook w:val="0020" w:firstRow="1" w:lastRow="0" w:firstColumn="0" w:lastColumn="0" w:noHBand="0" w:noVBand="0"/>
      </w:tblPr>
      <w:tblGrid>
        <w:gridCol w:w="1926"/>
        <w:gridCol w:w="2368"/>
        <w:gridCol w:w="2427"/>
        <w:gridCol w:w="1152"/>
        <w:gridCol w:w="1143"/>
      </w:tblGrid>
      <w:tr w:rsidR="004C0661" w:rsidRPr="002369DB" w14:paraId="7CB9F674" w14:textId="77777777" w:rsidTr="004375E7">
        <w:trPr>
          <w:trHeight w:val="60"/>
          <w:tblHeader/>
        </w:trPr>
        <w:tc>
          <w:tcPr>
            <w:tcW w:w="1068" w:type="pct"/>
          </w:tcPr>
          <w:p w14:paraId="79690AC8" w14:textId="77777777" w:rsidR="004C0661" w:rsidRPr="002369DB" w:rsidRDefault="004C0661" w:rsidP="00B91C29">
            <w:pPr>
              <w:pStyle w:val="TableHeading"/>
            </w:pPr>
            <w:r w:rsidRPr="002369DB">
              <w:t>Agency</w:t>
            </w:r>
          </w:p>
        </w:tc>
        <w:tc>
          <w:tcPr>
            <w:tcW w:w="1313" w:type="pct"/>
          </w:tcPr>
          <w:p w14:paraId="4DCFA1C0" w14:textId="77777777" w:rsidR="004C0661" w:rsidRPr="002369DB" w:rsidRDefault="004C0661" w:rsidP="00B91C29">
            <w:pPr>
              <w:pStyle w:val="TableHeading"/>
            </w:pPr>
            <w:r w:rsidRPr="002369DB">
              <w:t>Most common offence</w:t>
            </w:r>
          </w:p>
        </w:tc>
        <w:tc>
          <w:tcPr>
            <w:tcW w:w="1346" w:type="pct"/>
          </w:tcPr>
          <w:p w14:paraId="317D2FC6" w14:textId="77777777" w:rsidR="004C0661" w:rsidRPr="002369DB" w:rsidRDefault="004C0661" w:rsidP="00B91C29">
            <w:pPr>
              <w:pStyle w:val="TableHeading"/>
            </w:pPr>
            <w:r w:rsidRPr="002369DB">
              <w:t>Statutory reference</w:t>
            </w:r>
          </w:p>
        </w:tc>
        <w:tc>
          <w:tcPr>
            <w:tcW w:w="639" w:type="pct"/>
          </w:tcPr>
          <w:p w14:paraId="2A9E7D6C" w14:textId="77777777" w:rsidR="004C0661" w:rsidRPr="002369DB" w:rsidRDefault="004C0661" w:rsidP="00CA695F">
            <w:pPr>
              <w:pStyle w:val="TableHeading"/>
            </w:pPr>
            <w:r w:rsidRPr="002369DB">
              <w:t>Number of charges</w:t>
            </w:r>
          </w:p>
        </w:tc>
        <w:tc>
          <w:tcPr>
            <w:tcW w:w="634" w:type="pct"/>
          </w:tcPr>
          <w:p w14:paraId="1D3E5E72" w14:textId="77777777" w:rsidR="004C0661" w:rsidRPr="002369DB" w:rsidRDefault="004C0661" w:rsidP="00CA695F">
            <w:pPr>
              <w:pStyle w:val="TableHeading"/>
            </w:pPr>
            <w:r w:rsidRPr="002369DB">
              <w:t>Number of cases</w:t>
            </w:r>
          </w:p>
        </w:tc>
      </w:tr>
      <w:tr w:rsidR="004C0661" w:rsidRPr="002369DB" w14:paraId="4E5C236D" w14:textId="77777777" w:rsidTr="004375E7">
        <w:trPr>
          <w:trHeight w:val="60"/>
        </w:trPr>
        <w:tc>
          <w:tcPr>
            <w:tcW w:w="1068" w:type="pct"/>
          </w:tcPr>
          <w:p w14:paraId="0530C571" w14:textId="77777777" w:rsidR="004C0661" w:rsidRPr="002369DB" w:rsidRDefault="004C0661" w:rsidP="00B91C29">
            <w:pPr>
              <w:pStyle w:val="TableBody"/>
            </w:pPr>
            <w:r w:rsidRPr="002369DB">
              <w:t>Victoria Police</w:t>
            </w:r>
          </w:p>
        </w:tc>
        <w:tc>
          <w:tcPr>
            <w:tcW w:w="1313" w:type="pct"/>
          </w:tcPr>
          <w:p w14:paraId="3B1338EC" w14:textId="77777777" w:rsidR="004C0661" w:rsidRPr="002369DB" w:rsidRDefault="004C0661" w:rsidP="00B91C29">
            <w:pPr>
              <w:pStyle w:val="TableBody"/>
            </w:pPr>
            <w:r w:rsidRPr="002369DB">
              <w:t>Using a carriage service to menace, harass or offend</w:t>
            </w:r>
          </w:p>
        </w:tc>
        <w:tc>
          <w:tcPr>
            <w:tcW w:w="1346" w:type="pct"/>
          </w:tcPr>
          <w:p w14:paraId="6B7B8A67" w14:textId="77777777" w:rsidR="004C0661" w:rsidRPr="002369DB" w:rsidRDefault="004C0661" w:rsidP="00B91C29">
            <w:pPr>
              <w:pStyle w:val="TableBody"/>
            </w:pPr>
            <w:r w:rsidRPr="002369DB">
              <w:rPr>
                <w:rStyle w:val="Italic"/>
              </w:rPr>
              <w:t xml:space="preserve">Criminal Code </w:t>
            </w:r>
            <w:r w:rsidRPr="002369DB">
              <w:t>(</w:t>
            </w:r>
            <w:proofErr w:type="spellStart"/>
            <w:r w:rsidRPr="002369DB">
              <w:t>Cth</w:t>
            </w:r>
            <w:proofErr w:type="spellEnd"/>
            <w:r w:rsidRPr="002369DB">
              <w:t>) s 474.17</w:t>
            </w:r>
          </w:p>
        </w:tc>
        <w:tc>
          <w:tcPr>
            <w:tcW w:w="639" w:type="pct"/>
          </w:tcPr>
          <w:p w14:paraId="7D7974FF" w14:textId="77777777" w:rsidR="004C0661" w:rsidRPr="002369DB" w:rsidRDefault="004C0661" w:rsidP="00B91C29">
            <w:pPr>
              <w:pStyle w:val="TableBody"/>
            </w:pPr>
            <w:r w:rsidRPr="002369DB">
              <w:t>6,643</w:t>
            </w:r>
          </w:p>
        </w:tc>
        <w:tc>
          <w:tcPr>
            <w:tcW w:w="634" w:type="pct"/>
          </w:tcPr>
          <w:p w14:paraId="378A43E9" w14:textId="77777777" w:rsidR="004C0661" w:rsidRPr="002369DB" w:rsidRDefault="004C0661" w:rsidP="00B91C29">
            <w:pPr>
              <w:pStyle w:val="TableBody"/>
            </w:pPr>
            <w:r w:rsidRPr="002369DB">
              <w:t>5,574</w:t>
            </w:r>
          </w:p>
        </w:tc>
      </w:tr>
      <w:tr w:rsidR="004C0661" w:rsidRPr="002369DB" w14:paraId="13B6DB83" w14:textId="77777777" w:rsidTr="004375E7">
        <w:trPr>
          <w:trHeight w:val="60"/>
        </w:trPr>
        <w:tc>
          <w:tcPr>
            <w:tcW w:w="1068" w:type="pct"/>
          </w:tcPr>
          <w:p w14:paraId="3FC7E803" w14:textId="77777777" w:rsidR="004C0661" w:rsidRPr="002369DB" w:rsidRDefault="004C0661" w:rsidP="00B91C29">
            <w:pPr>
              <w:pStyle w:val="TableBody"/>
            </w:pPr>
            <w:r w:rsidRPr="002369DB">
              <w:t>Australian Taxation Office</w:t>
            </w:r>
          </w:p>
        </w:tc>
        <w:tc>
          <w:tcPr>
            <w:tcW w:w="1313" w:type="pct"/>
          </w:tcPr>
          <w:p w14:paraId="731C85A4" w14:textId="77777777" w:rsidR="004C0661" w:rsidRPr="002369DB" w:rsidRDefault="004C0661" w:rsidP="00B91C29">
            <w:pPr>
              <w:pStyle w:val="TableBody"/>
            </w:pPr>
            <w:r w:rsidRPr="002369DB">
              <w:t>Failing or refusing to furnish required tax information</w:t>
            </w:r>
          </w:p>
        </w:tc>
        <w:tc>
          <w:tcPr>
            <w:tcW w:w="1346" w:type="pct"/>
          </w:tcPr>
          <w:p w14:paraId="283FDA84" w14:textId="77777777" w:rsidR="004C0661" w:rsidRPr="002369DB" w:rsidRDefault="004C0661" w:rsidP="00B91C29">
            <w:pPr>
              <w:pStyle w:val="TableBody"/>
            </w:pPr>
            <w:r w:rsidRPr="002369DB">
              <w:rPr>
                <w:rStyle w:val="Italic"/>
              </w:rPr>
              <w:t xml:space="preserve">Taxation Administration Act 1953 </w:t>
            </w:r>
            <w:r w:rsidRPr="002369DB">
              <w:t>(</w:t>
            </w:r>
            <w:proofErr w:type="spellStart"/>
            <w:r w:rsidRPr="002369DB">
              <w:t>Cth</w:t>
            </w:r>
            <w:proofErr w:type="spellEnd"/>
            <w:r w:rsidRPr="002369DB">
              <w:t>) s 8C(1)</w:t>
            </w:r>
          </w:p>
        </w:tc>
        <w:tc>
          <w:tcPr>
            <w:tcW w:w="639" w:type="pct"/>
          </w:tcPr>
          <w:p w14:paraId="34AED032" w14:textId="77777777" w:rsidR="004C0661" w:rsidRPr="002369DB" w:rsidRDefault="004C0661" w:rsidP="00B91C29">
            <w:pPr>
              <w:pStyle w:val="TableBody"/>
            </w:pPr>
            <w:r w:rsidRPr="002369DB">
              <w:t>3,420</w:t>
            </w:r>
          </w:p>
        </w:tc>
        <w:tc>
          <w:tcPr>
            <w:tcW w:w="634" w:type="pct"/>
          </w:tcPr>
          <w:p w14:paraId="3175EAA0" w14:textId="77777777" w:rsidR="004C0661" w:rsidRPr="002369DB" w:rsidRDefault="004C0661" w:rsidP="00B91C29">
            <w:pPr>
              <w:pStyle w:val="TableBody"/>
            </w:pPr>
            <w:r w:rsidRPr="002369DB">
              <w:t>252</w:t>
            </w:r>
          </w:p>
        </w:tc>
      </w:tr>
      <w:tr w:rsidR="004C0661" w:rsidRPr="002369DB" w14:paraId="37DC08AB" w14:textId="77777777" w:rsidTr="004375E7">
        <w:trPr>
          <w:trHeight w:val="60"/>
        </w:trPr>
        <w:tc>
          <w:tcPr>
            <w:tcW w:w="1068" w:type="pct"/>
          </w:tcPr>
          <w:p w14:paraId="690FECD4" w14:textId="77777777" w:rsidR="004C0661" w:rsidRPr="002369DB" w:rsidRDefault="004C0661" w:rsidP="00B91C29">
            <w:pPr>
              <w:pStyle w:val="TableBody"/>
            </w:pPr>
            <w:r w:rsidRPr="002369DB">
              <w:t>Commonwealth and Victorian Directors of Public Prosecutions</w:t>
            </w:r>
          </w:p>
        </w:tc>
        <w:tc>
          <w:tcPr>
            <w:tcW w:w="1313" w:type="pct"/>
          </w:tcPr>
          <w:p w14:paraId="22FD82B8" w14:textId="77777777" w:rsidR="004C0661" w:rsidRPr="002369DB" w:rsidRDefault="004C0661" w:rsidP="00B91C29">
            <w:pPr>
              <w:pStyle w:val="TableBody"/>
            </w:pPr>
            <w:r w:rsidRPr="002369DB">
              <w:t>Using a carriage service for child pornography/using a carriage service for child abuse material</w:t>
            </w:r>
          </w:p>
        </w:tc>
        <w:tc>
          <w:tcPr>
            <w:tcW w:w="1346" w:type="pct"/>
          </w:tcPr>
          <w:p w14:paraId="728C906D" w14:textId="77777777" w:rsidR="004C0661" w:rsidRPr="002369DB" w:rsidRDefault="004C0661" w:rsidP="00B91C29">
            <w:pPr>
              <w:pStyle w:val="TableBody"/>
            </w:pPr>
            <w:r w:rsidRPr="002369DB">
              <w:rPr>
                <w:rStyle w:val="Italic"/>
              </w:rPr>
              <w:t xml:space="preserve">Criminal Code </w:t>
            </w:r>
            <w:r w:rsidRPr="002369DB">
              <w:t>(</w:t>
            </w:r>
            <w:proofErr w:type="spellStart"/>
            <w:r w:rsidRPr="002369DB">
              <w:t>Cth</w:t>
            </w:r>
            <w:proofErr w:type="spellEnd"/>
            <w:r w:rsidRPr="002369DB">
              <w:t>) s 474.19 (repealed)/</w:t>
            </w:r>
            <w:r w:rsidRPr="002369DB">
              <w:rPr>
                <w:rStyle w:val="Italic"/>
              </w:rPr>
              <w:t xml:space="preserve">Criminal Code </w:t>
            </w:r>
            <w:r w:rsidRPr="002369DB">
              <w:t>(</w:t>
            </w:r>
            <w:proofErr w:type="spellStart"/>
            <w:r w:rsidRPr="002369DB">
              <w:t>Cth</w:t>
            </w:r>
            <w:proofErr w:type="spellEnd"/>
            <w:r w:rsidRPr="002369DB">
              <w:t>) s 474.22 (current)</w:t>
            </w:r>
          </w:p>
        </w:tc>
        <w:tc>
          <w:tcPr>
            <w:tcW w:w="639" w:type="pct"/>
          </w:tcPr>
          <w:p w14:paraId="158D9FA9" w14:textId="77777777" w:rsidR="004C0661" w:rsidRPr="002369DB" w:rsidRDefault="004C0661" w:rsidP="00B91C29">
            <w:pPr>
              <w:pStyle w:val="TableBody"/>
            </w:pPr>
            <w:r w:rsidRPr="002369DB">
              <w:t>750</w:t>
            </w:r>
          </w:p>
        </w:tc>
        <w:tc>
          <w:tcPr>
            <w:tcW w:w="634" w:type="pct"/>
          </w:tcPr>
          <w:p w14:paraId="7532C5D2" w14:textId="77777777" w:rsidR="004C0661" w:rsidRPr="002369DB" w:rsidRDefault="004C0661" w:rsidP="00B91C29">
            <w:pPr>
              <w:pStyle w:val="TableBody"/>
            </w:pPr>
            <w:r w:rsidRPr="002369DB">
              <w:t>203</w:t>
            </w:r>
          </w:p>
        </w:tc>
      </w:tr>
      <w:tr w:rsidR="004C0661" w:rsidRPr="002369DB" w14:paraId="62E15D9C" w14:textId="77777777" w:rsidTr="004375E7">
        <w:trPr>
          <w:trHeight w:val="60"/>
        </w:trPr>
        <w:tc>
          <w:tcPr>
            <w:tcW w:w="1068" w:type="pct"/>
          </w:tcPr>
          <w:p w14:paraId="0F4559DF" w14:textId="77777777" w:rsidR="004C0661" w:rsidRPr="002369DB" w:rsidRDefault="004C0661" w:rsidP="00B91C29">
            <w:pPr>
              <w:pStyle w:val="TableBody"/>
            </w:pPr>
            <w:r w:rsidRPr="002369DB">
              <w:t>Australian Pacific Airports</w:t>
            </w:r>
          </w:p>
        </w:tc>
        <w:tc>
          <w:tcPr>
            <w:tcW w:w="1313" w:type="pct"/>
          </w:tcPr>
          <w:p w14:paraId="72957A01" w14:textId="77777777" w:rsidR="004C0661" w:rsidRPr="002369DB" w:rsidRDefault="004C0661" w:rsidP="00B91C29">
            <w:pPr>
              <w:pStyle w:val="TableBody"/>
            </w:pPr>
            <w:r w:rsidRPr="002369DB">
              <w:t>Unlawful parking at Melbourne (Tullamarine) Airport</w:t>
            </w:r>
          </w:p>
        </w:tc>
        <w:tc>
          <w:tcPr>
            <w:tcW w:w="1346" w:type="pct"/>
          </w:tcPr>
          <w:p w14:paraId="6B7668D4" w14:textId="77777777" w:rsidR="004C0661" w:rsidRPr="002369DB" w:rsidRDefault="004C0661" w:rsidP="00B91C29">
            <w:pPr>
              <w:pStyle w:val="TableBody"/>
            </w:pPr>
            <w:r w:rsidRPr="002369DB">
              <w:rPr>
                <w:rStyle w:val="Italic"/>
              </w:rPr>
              <w:t xml:space="preserve">Airports (Control of On-Airport Activities) Regulations 1997 </w:t>
            </w:r>
            <w:r w:rsidRPr="002369DB">
              <w:t>(</w:t>
            </w:r>
            <w:proofErr w:type="spellStart"/>
            <w:r w:rsidRPr="002369DB">
              <w:t>Cth</w:t>
            </w:r>
            <w:proofErr w:type="spellEnd"/>
            <w:r w:rsidRPr="002369DB">
              <w:t>) r 107, sch 2, items 2 and 26</w:t>
            </w:r>
          </w:p>
        </w:tc>
        <w:tc>
          <w:tcPr>
            <w:tcW w:w="639" w:type="pct"/>
          </w:tcPr>
          <w:p w14:paraId="38A07F95" w14:textId="77777777" w:rsidR="004C0661" w:rsidRPr="002369DB" w:rsidRDefault="004C0661" w:rsidP="00B91C29">
            <w:pPr>
              <w:pStyle w:val="TableBody"/>
            </w:pPr>
            <w:r w:rsidRPr="002369DB">
              <w:t>442</w:t>
            </w:r>
          </w:p>
        </w:tc>
        <w:tc>
          <w:tcPr>
            <w:tcW w:w="634" w:type="pct"/>
          </w:tcPr>
          <w:p w14:paraId="004B46A2" w14:textId="77777777" w:rsidR="004C0661" w:rsidRPr="002369DB" w:rsidRDefault="004C0661" w:rsidP="00B91C29">
            <w:pPr>
              <w:pStyle w:val="TableBody"/>
            </w:pPr>
            <w:r w:rsidRPr="002369DB">
              <w:t>429</w:t>
            </w:r>
          </w:p>
        </w:tc>
      </w:tr>
    </w:tbl>
    <w:p w14:paraId="442C62D9" w14:textId="77777777" w:rsidR="004C0661" w:rsidRPr="002369DB" w:rsidRDefault="004C0661" w:rsidP="00C474D2">
      <w:r w:rsidRPr="002369DB">
        <w:t xml:space="preserve">More than half of the 9,570 cases that included at least one Commonwealth offence (58.2% or 5,574 cases) involved Victoria Police prosecuting someone for using a carriage service to menace, harass or offend, contrary to section 474.17 of the </w:t>
      </w:r>
      <w:r w:rsidRPr="002369DB">
        <w:rPr>
          <w:rStyle w:val="Italic"/>
        </w:rPr>
        <w:t xml:space="preserve">Criminal Code </w:t>
      </w:r>
      <w:r w:rsidRPr="002369DB">
        <w:t>(</w:t>
      </w:r>
      <w:proofErr w:type="spellStart"/>
      <w:r w:rsidRPr="002369DB">
        <w:t>Cth</w:t>
      </w:r>
      <w:proofErr w:type="spellEnd"/>
      <w:r w:rsidRPr="002369DB">
        <w:t>).</w:t>
      </w:r>
      <w:r w:rsidRPr="002369DB">
        <w:rPr>
          <w:rStyle w:val="Superscript"/>
        </w:rPr>
        <w:footnoteReference w:id="18"/>
      </w:r>
      <w:r w:rsidRPr="002369DB">
        <w:t xml:space="preserve"> Using a carriage service to menace, harass or offend was the principal proven offence in 2,131 of those cases. What’s more, of all 6,643 charges of </w:t>
      </w:r>
      <w:r w:rsidRPr="002369DB">
        <w:lastRenderedPageBreak/>
        <w:t xml:space="preserve">using a carriage service to menace, harass or offend, the most common behaviour was </w:t>
      </w:r>
      <w:r w:rsidRPr="002369DB">
        <w:rPr>
          <w:rStyle w:val="Italic"/>
        </w:rPr>
        <w:t>harassing</w:t>
      </w:r>
      <w:r w:rsidRPr="002369DB">
        <w:t xml:space="preserve"> (4,576 charges), while the remainder were menacing (1,720) or offending (347).</w:t>
      </w:r>
    </w:p>
    <w:p w14:paraId="60491CCA" w14:textId="77777777" w:rsidR="009B0B84" w:rsidRPr="002369DB" w:rsidRDefault="009B0B84" w:rsidP="009B0B84">
      <w:pPr>
        <w:pStyle w:val="IntenseQuote"/>
      </w:pPr>
      <w:r w:rsidRPr="002369DB">
        <w:t>More than half of all federal criminal cases in Victoria (58%) involved Victoria Police prosecuting someone for using a carriage service to menace, harass or offend</w:t>
      </w:r>
    </w:p>
    <w:p w14:paraId="75D8FF90" w14:textId="77777777" w:rsidR="004C0661" w:rsidRPr="002369DB" w:rsidRDefault="004C0661" w:rsidP="00622026">
      <w:pPr>
        <w:pStyle w:val="Heading1"/>
      </w:pPr>
      <w:bookmarkStart w:id="4" w:name="_Toc224060082"/>
      <w:r w:rsidRPr="002369DB">
        <w:t>Which Commonwealth offences were sentenced?</w:t>
      </w:r>
      <w:bookmarkEnd w:id="4"/>
      <w:r w:rsidRPr="002369DB">
        <w:t xml:space="preserve"> </w:t>
      </w:r>
    </w:p>
    <w:p w14:paraId="20D12443" w14:textId="77777777" w:rsidR="004C0661" w:rsidRPr="002369DB" w:rsidRDefault="004C0661" w:rsidP="00C474D2">
      <w:r w:rsidRPr="002369DB">
        <w:t>A total of 57,737 distinct charges were sentenced in the 9,570 cases that included at least one Commonwealth offence. Of those charges, 30.5% were Commonwealth offences and the remaining 69.5% were Victorian offences (Table 3). A total of 17,618 Commonwealth offences were sentenced in the five-year period.</w:t>
      </w:r>
    </w:p>
    <w:p w14:paraId="230552ED" w14:textId="77777777" w:rsidR="00B714E9" w:rsidRPr="002369DB" w:rsidRDefault="00B714E9" w:rsidP="00B714E9">
      <w:pPr>
        <w:pStyle w:val="IntenseQuote"/>
      </w:pPr>
      <w:r w:rsidRPr="002369DB">
        <w:t>There were 17,618 Commonwealth offences sentenced in Victoria in the five-year period</w:t>
      </w:r>
    </w:p>
    <w:p w14:paraId="1268D604" w14:textId="77777777" w:rsidR="004C0661" w:rsidRPr="002369DB" w:rsidRDefault="004C0661" w:rsidP="00A775DC">
      <w:pPr>
        <w:pStyle w:val="Caption"/>
      </w:pPr>
      <w:r w:rsidRPr="002369DB">
        <w:t>Table 3: Number of Commonwealth and Victorian offences in cases involving Commonwealth offences sentenced in adult courts in Victoria, 1 July 2018 to 30 June 2023 (57,737 offences)</w:t>
      </w:r>
    </w:p>
    <w:tbl>
      <w:tblPr>
        <w:tblStyle w:val="Table"/>
        <w:tblW w:w="5000" w:type="pct"/>
        <w:tblLook w:val="0020" w:firstRow="1" w:lastRow="0" w:firstColumn="0" w:lastColumn="0" w:noHBand="0" w:noVBand="0"/>
      </w:tblPr>
      <w:tblGrid>
        <w:gridCol w:w="1568"/>
        <w:gridCol w:w="2316"/>
        <w:gridCol w:w="2305"/>
        <w:gridCol w:w="1567"/>
        <w:gridCol w:w="1260"/>
      </w:tblGrid>
      <w:tr w:rsidR="004C0661" w:rsidRPr="002369DB" w14:paraId="1CA85E4F" w14:textId="77777777" w:rsidTr="004375E7">
        <w:trPr>
          <w:trHeight w:val="60"/>
          <w:tblHeader/>
        </w:trPr>
        <w:tc>
          <w:tcPr>
            <w:tcW w:w="869" w:type="pct"/>
          </w:tcPr>
          <w:p w14:paraId="5AE7095B" w14:textId="77777777" w:rsidR="004C0661" w:rsidRPr="002369DB" w:rsidRDefault="004C0661" w:rsidP="00B91C29">
            <w:pPr>
              <w:pStyle w:val="TableHeading"/>
            </w:pPr>
            <w:r w:rsidRPr="002369DB">
              <w:t>Jurisdiction</w:t>
            </w:r>
          </w:p>
        </w:tc>
        <w:tc>
          <w:tcPr>
            <w:tcW w:w="1284" w:type="pct"/>
          </w:tcPr>
          <w:p w14:paraId="6C5EC0D9" w14:textId="77777777" w:rsidR="004C0661" w:rsidRPr="002369DB" w:rsidRDefault="004C0661" w:rsidP="00CA695F">
            <w:pPr>
              <w:pStyle w:val="TableHeading"/>
            </w:pPr>
            <w:r w:rsidRPr="002369DB">
              <w:t>Number of cases involving Commonwealth offences</w:t>
            </w:r>
          </w:p>
        </w:tc>
        <w:tc>
          <w:tcPr>
            <w:tcW w:w="1278" w:type="pct"/>
          </w:tcPr>
          <w:p w14:paraId="0A19280A" w14:textId="77777777" w:rsidR="004C0661" w:rsidRPr="002369DB" w:rsidRDefault="004C0661" w:rsidP="00CA695F">
            <w:pPr>
              <w:pStyle w:val="TableHeading"/>
            </w:pPr>
            <w:r w:rsidRPr="002369DB">
              <w:t>Number of Commonwealth offences in those cases</w:t>
            </w:r>
          </w:p>
        </w:tc>
        <w:tc>
          <w:tcPr>
            <w:tcW w:w="869" w:type="pct"/>
          </w:tcPr>
          <w:p w14:paraId="0221CDFF" w14:textId="77777777" w:rsidR="004C0661" w:rsidRPr="002369DB" w:rsidRDefault="004C0661" w:rsidP="00CA695F">
            <w:pPr>
              <w:pStyle w:val="TableHeading"/>
            </w:pPr>
            <w:r w:rsidRPr="002369DB">
              <w:t>Number of Victorian offences in those cases</w:t>
            </w:r>
          </w:p>
        </w:tc>
        <w:tc>
          <w:tcPr>
            <w:tcW w:w="699" w:type="pct"/>
          </w:tcPr>
          <w:p w14:paraId="65E85240" w14:textId="77777777" w:rsidR="004C0661" w:rsidRPr="002369DB" w:rsidRDefault="004C0661" w:rsidP="00CA695F">
            <w:pPr>
              <w:pStyle w:val="TableHeading"/>
            </w:pPr>
            <w:r w:rsidRPr="002369DB">
              <w:t>Total number of charges</w:t>
            </w:r>
          </w:p>
        </w:tc>
      </w:tr>
      <w:tr w:rsidR="004C0661" w:rsidRPr="002369DB" w14:paraId="2A989DC3" w14:textId="77777777" w:rsidTr="004375E7">
        <w:trPr>
          <w:trHeight w:val="60"/>
        </w:trPr>
        <w:tc>
          <w:tcPr>
            <w:tcW w:w="869" w:type="pct"/>
          </w:tcPr>
          <w:p w14:paraId="0236CD40" w14:textId="77777777" w:rsidR="004C0661" w:rsidRPr="002369DB" w:rsidRDefault="004C0661" w:rsidP="00B91C29">
            <w:pPr>
              <w:pStyle w:val="TableBody"/>
            </w:pPr>
            <w:r w:rsidRPr="002369DB">
              <w:t>Magistrates’ Court</w:t>
            </w:r>
          </w:p>
        </w:tc>
        <w:tc>
          <w:tcPr>
            <w:tcW w:w="1284" w:type="pct"/>
          </w:tcPr>
          <w:p w14:paraId="0B6CCDD8" w14:textId="77777777" w:rsidR="004C0661" w:rsidRPr="002369DB" w:rsidRDefault="004C0661" w:rsidP="00B91C29">
            <w:pPr>
              <w:pStyle w:val="TableBody"/>
            </w:pPr>
            <w:r w:rsidRPr="002369DB">
              <w:t xml:space="preserve">8,692 </w:t>
            </w:r>
          </w:p>
        </w:tc>
        <w:tc>
          <w:tcPr>
            <w:tcW w:w="1278" w:type="pct"/>
          </w:tcPr>
          <w:p w14:paraId="682196C9" w14:textId="77777777" w:rsidR="004C0661" w:rsidRPr="002369DB" w:rsidRDefault="004C0661" w:rsidP="00B91C29">
            <w:pPr>
              <w:pStyle w:val="TableBody"/>
            </w:pPr>
            <w:r w:rsidRPr="002369DB">
              <w:t>15,091 (28.1%)</w:t>
            </w:r>
          </w:p>
        </w:tc>
        <w:tc>
          <w:tcPr>
            <w:tcW w:w="869" w:type="pct"/>
          </w:tcPr>
          <w:p w14:paraId="6BA27A25" w14:textId="77777777" w:rsidR="004C0661" w:rsidRPr="002369DB" w:rsidRDefault="004C0661" w:rsidP="00B91C29">
            <w:pPr>
              <w:pStyle w:val="TableBody"/>
            </w:pPr>
            <w:r w:rsidRPr="002369DB">
              <w:t>38,665 (71.9%)</w:t>
            </w:r>
          </w:p>
        </w:tc>
        <w:tc>
          <w:tcPr>
            <w:tcW w:w="699" w:type="pct"/>
          </w:tcPr>
          <w:p w14:paraId="5334C5E4" w14:textId="77777777" w:rsidR="004C0661" w:rsidRPr="002369DB" w:rsidRDefault="004C0661" w:rsidP="00B91C29">
            <w:pPr>
              <w:pStyle w:val="TableBody"/>
            </w:pPr>
            <w:r w:rsidRPr="002369DB">
              <w:t>53,756 (100%)</w:t>
            </w:r>
          </w:p>
        </w:tc>
      </w:tr>
      <w:tr w:rsidR="004C0661" w:rsidRPr="002369DB" w14:paraId="40ECA6A0" w14:textId="77777777" w:rsidTr="004375E7">
        <w:trPr>
          <w:trHeight w:val="60"/>
        </w:trPr>
        <w:tc>
          <w:tcPr>
            <w:tcW w:w="869" w:type="pct"/>
          </w:tcPr>
          <w:p w14:paraId="3BE904D4" w14:textId="77777777" w:rsidR="004C0661" w:rsidRPr="002369DB" w:rsidRDefault="004C0661" w:rsidP="00B91C29">
            <w:pPr>
              <w:pStyle w:val="TableBody"/>
            </w:pPr>
            <w:r w:rsidRPr="002369DB">
              <w:t>Higher courts</w:t>
            </w:r>
          </w:p>
        </w:tc>
        <w:tc>
          <w:tcPr>
            <w:tcW w:w="1284" w:type="pct"/>
          </w:tcPr>
          <w:p w14:paraId="756AFB53" w14:textId="77777777" w:rsidR="004C0661" w:rsidRPr="002369DB" w:rsidRDefault="004C0661" w:rsidP="00B91C29">
            <w:pPr>
              <w:pStyle w:val="TableBody"/>
            </w:pPr>
            <w:r w:rsidRPr="002369DB">
              <w:t xml:space="preserve">878 </w:t>
            </w:r>
          </w:p>
        </w:tc>
        <w:tc>
          <w:tcPr>
            <w:tcW w:w="1278" w:type="pct"/>
          </w:tcPr>
          <w:p w14:paraId="243895D7" w14:textId="77777777" w:rsidR="004C0661" w:rsidRPr="002369DB" w:rsidRDefault="004C0661" w:rsidP="00B91C29">
            <w:pPr>
              <w:pStyle w:val="TableBody"/>
            </w:pPr>
            <w:r w:rsidRPr="002369DB">
              <w:t>2,527 (63.5%)</w:t>
            </w:r>
          </w:p>
        </w:tc>
        <w:tc>
          <w:tcPr>
            <w:tcW w:w="869" w:type="pct"/>
          </w:tcPr>
          <w:p w14:paraId="29D92828" w14:textId="77777777" w:rsidR="004C0661" w:rsidRPr="002369DB" w:rsidRDefault="004C0661" w:rsidP="00B91C29">
            <w:pPr>
              <w:pStyle w:val="TableBody"/>
            </w:pPr>
            <w:r w:rsidRPr="002369DB">
              <w:t>1,454 (36.5%)</w:t>
            </w:r>
          </w:p>
        </w:tc>
        <w:tc>
          <w:tcPr>
            <w:tcW w:w="699" w:type="pct"/>
          </w:tcPr>
          <w:p w14:paraId="0AE65236" w14:textId="77777777" w:rsidR="004C0661" w:rsidRPr="002369DB" w:rsidRDefault="004C0661" w:rsidP="00B91C29">
            <w:pPr>
              <w:pStyle w:val="TableBody"/>
            </w:pPr>
            <w:r w:rsidRPr="002369DB">
              <w:t>3,981 (100%)</w:t>
            </w:r>
          </w:p>
        </w:tc>
      </w:tr>
    </w:tbl>
    <w:p w14:paraId="7AED1F21" w14:textId="3CDABAF9" w:rsidR="004C0661" w:rsidRPr="002369DB" w:rsidRDefault="004C0661" w:rsidP="00C474D2">
      <w:r w:rsidRPr="002369DB">
        <w:t xml:space="preserve">The most common Commonwealth offences are shown by jurisdiction in Figures 2 and 3. In the Magistrates’ Court, the two most common </w:t>
      </w:r>
      <w:r w:rsidRPr="002369DB">
        <w:lastRenderedPageBreak/>
        <w:t>Commonwealth offences – together constituting two-thirds (66.7%) of all Commonwealth offences in that jurisdiction – were using a carriage service to menace, harass or offend</w:t>
      </w:r>
      <w:r w:rsidRPr="002369DB">
        <w:rPr>
          <w:rStyle w:val="Superscript"/>
        </w:rPr>
        <w:footnoteReference w:id="19"/>
      </w:r>
      <w:r w:rsidRPr="002369DB">
        <w:t xml:space="preserve"> (6,705 charges) and failing or refusing to furnish required tax information</w:t>
      </w:r>
      <w:r w:rsidRPr="002369DB">
        <w:rPr>
          <w:rStyle w:val="Superscript"/>
        </w:rPr>
        <w:footnoteReference w:id="20"/>
      </w:r>
      <w:r w:rsidRPr="002369DB">
        <w:t xml:space="preserve"> (3,397 charges).</w:t>
      </w:r>
      <w:r w:rsidRPr="002369DB">
        <w:rPr>
          <w:rStyle w:val="Superscript"/>
        </w:rPr>
        <w:footnoteReference w:id="21"/>
      </w:r>
      <w:r w:rsidRPr="002369DB">
        <w:t xml:space="preserve"> </w:t>
      </w:r>
    </w:p>
    <w:p w14:paraId="75D03483" w14:textId="77777777" w:rsidR="004C0661" w:rsidRPr="002369DB" w:rsidRDefault="004C0661" w:rsidP="00A775DC">
      <w:pPr>
        <w:pStyle w:val="Caption"/>
      </w:pPr>
      <w:r w:rsidRPr="002369DB">
        <w:t>Figure 2: Most common Commonwealth offences sentenced in the Magistrates’ Court, 1 July 2018 to 30 June 2023 (15,091 charges)</w:t>
      </w:r>
    </w:p>
    <w:tbl>
      <w:tblPr>
        <w:tblStyle w:val="Table"/>
        <w:tblW w:w="9071" w:type="dxa"/>
        <w:tblLook w:val="04A0" w:firstRow="1" w:lastRow="0" w:firstColumn="1" w:lastColumn="0" w:noHBand="0" w:noVBand="1"/>
      </w:tblPr>
      <w:tblGrid>
        <w:gridCol w:w="7710"/>
        <w:gridCol w:w="1361"/>
      </w:tblGrid>
      <w:tr w:rsidR="009F382B" w:rsidRPr="00C11DA4" w14:paraId="4313B852" w14:textId="77777777" w:rsidTr="005742A6">
        <w:trPr>
          <w:trHeight w:val="20"/>
          <w:tblHeader/>
        </w:trPr>
        <w:tc>
          <w:tcPr>
            <w:tcW w:w="7710" w:type="dxa"/>
            <w:noWrap/>
            <w:hideMark/>
          </w:tcPr>
          <w:p w14:paraId="4EEE18EA" w14:textId="47E210FA" w:rsidR="00C11DA4" w:rsidRPr="00C11DA4" w:rsidRDefault="00C11DA4" w:rsidP="007C2819">
            <w:pPr>
              <w:pStyle w:val="TableHeading"/>
            </w:pPr>
            <w:r>
              <w:t>Offence</w:t>
            </w:r>
          </w:p>
        </w:tc>
        <w:tc>
          <w:tcPr>
            <w:tcW w:w="1361" w:type="dxa"/>
            <w:noWrap/>
            <w:hideMark/>
          </w:tcPr>
          <w:p w14:paraId="1F3EB0DC" w14:textId="5AFCA9A8" w:rsidR="00C11DA4" w:rsidRPr="00C11DA4" w:rsidRDefault="00C11DA4" w:rsidP="007C2819">
            <w:pPr>
              <w:pStyle w:val="TableHeading"/>
            </w:pPr>
            <w:r>
              <w:t>Charges</w:t>
            </w:r>
          </w:p>
        </w:tc>
      </w:tr>
      <w:tr w:rsidR="009F382B" w:rsidRPr="00C11DA4" w14:paraId="4D19E2DC" w14:textId="77777777" w:rsidTr="005742A6">
        <w:trPr>
          <w:trHeight w:val="20"/>
        </w:trPr>
        <w:tc>
          <w:tcPr>
            <w:tcW w:w="7710" w:type="dxa"/>
            <w:hideMark/>
          </w:tcPr>
          <w:p w14:paraId="6692F7CE" w14:textId="53AD0285" w:rsidR="00C11DA4" w:rsidRPr="005742A6" w:rsidRDefault="00FD27C6" w:rsidP="005742A6">
            <w:pPr>
              <w:pStyle w:val="TableBody"/>
            </w:pPr>
            <w:r>
              <w:t>Using a</w:t>
            </w:r>
            <w:r w:rsidR="00C11DA4" w:rsidRPr="005742A6">
              <w:t xml:space="preserve"> carriage service to menace, harass or offend</w:t>
            </w:r>
          </w:p>
        </w:tc>
        <w:tc>
          <w:tcPr>
            <w:tcW w:w="1361" w:type="dxa"/>
            <w:noWrap/>
            <w:hideMark/>
          </w:tcPr>
          <w:p w14:paraId="2F3987C2" w14:textId="77777777" w:rsidR="00C11DA4" w:rsidRPr="005742A6" w:rsidRDefault="00C11DA4" w:rsidP="005742A6">
            <w:pPr>
              <w:pStyle w:val="TableBody"/>
            </w:pPr>
            <w:r w:rsidRPr="005742A6">
              <w:t>6,705</w:t>
            </w:r>
          </w:p>
        </w:tc>
      </w:tr>
      <w:tr w:rsidR="009F382B" w:rsidRPr="00C11DA4" w14:paraId="4047D0D4" w14:textId="77777777" w:rsidTr="005742A6">
        <w:trPr>
          <w:trHeight w:val="20"/>
        </w:trPr>
        <w:tc>
          <w:tcPr>
            <w:tcW w:w="7710" w:type="dxa"/>
            <w:noWrap/>
            <w:hideMark/>
          </w:tcPr>
          <w:p w14:paraId="7520F367" w14:textId="375C75F9" w:rsidR="00C11DA4" w:rsidRPr="005742A6" w:rsidRDefault="00C11DA4" w:rsidP="005742A6">
            <w:pPr>
              <w:pStyle w:val="TableBody"/>
            </w:pPr>
            <w:r w:rsidRPr="005742A6">
              <w:t>Fail</w:t>
            </w:r>
            <w:r w:rsidR="00B51353">
              <w:t>ing or refusing</w:t>
            </w:r>
            <w:r w:rsidRPr="005742A6">
              <w:t xml:space="preserve"> to furnish </w:t>
            </w:r>
            <w:r w:rsidR="00931014">
              <w:t xml:space="preserve">required </w:t>
            </w:r>
            <w:r w:rsidRPr="005742A6">
              <w:t>tax information</w:t>
            </w:r>
          </w:p>
        </w:tc>
        <w:tc>
          <w:tcPr>
            <w:tcW w:w="1361" w:type="dxa"/>
            <w:noWrap/>
            <w:hideMark/>
          </w:tcPr>
          <w:p w14:paraId="0C269C53" w14:textId="77777777" w:rsidR="00C11DA4" w:rsidRPr="005742A6" w:rsidRDefault="00C11DA4" w:rsidP="005742A6">
            <w:pPr>
              <w:pStyle w:val="TableBody"/>
            </w:pPr>
            <w:r w:rsidRPr="005742A6">
              <w:t>3,397</w:t>
            </w:r>
          </w:p>
        </w:tc>
      </w:tr>
      <w:tr w:rsidR="009F382B" w:rsidRPr="00C11DA4" w14:paraId="144214FE" w14:textId="77777777" w:rsidTr="005742A6">
        <w:trPr>
          <w:trHeight w:val="20"/>
        </w:trPr>
        <w:tc>
          <w:tcPr>
            <w:tcW w:w="7710" w:type="dxa"/>
            <w:noWrap/>
            <w:hideMark/>
          </w:tcPr>
          <w:p w14:paraId="1E232318" w14:textId="321A3F45" w:rsidR="00C11DA4" w:rsidRPr="005742A6" w:rsidRDefault="00C11DA4" w:rsidP="005742A6">
            <w:pPr>
              <w:pStyle w:val="TableBody"/>
            </w:pPr>
            <w:r w:rsidRPr="005742A6">
              <w:t>Obtain</w:t>
            </w:r>
            <w:r w:rsidR="00963AE3">
              <w:t xml:space="preserve">ing </w:t>
            </w:r>
            <w:proofErr w:type="gramStart"/>
            <w:r w:rsidR="00963AE3">
              <w:t>a</w:t>
            </w:r>
            <w:r w:rsidRPr="005742A6">
              <w:t xml:space="preserve"> financial</w:t>
            </w:r>
            <w:proofErr w:type="gramEnd"/>
            <w:r w:rsidRPr="005742A6">
              <w:t xml:space="preserve"> advantage by deception from a Commonwealth entity (includes attempts)</w:t>
            </w:r>
          </w:p>
        </w:tc>
        <w:tc>
          <w:tcPr>
            <w:tcW w:w="1361" w:type="dxa"/>
            <w:noWrap/>
            <w:hideMark/>
          </w:tcPr>
          <w:p w14:paraId="45060D89" w14:textId="77777777" w:rsidR="00C11DA4" w:rsidRPr="005742A6" w:rsidRDefault="00C11DA4" w:rsidP="005742A6">
            <w:pPr>
              <w:pStyle w:val="TableBody"/>
            </w:pPr>
            <w:r w:rsidRPr="005742A6">
              <w:t>791</w:t>
            </w:r>
          </w:p>
        </w:tc>
      </w:tr>
      <w:tr w:rsidR="009F382B" w:rsidRPr="00C11DA4" w14:paraId="277A2171" w14:textId="77777777" w:rsidTr="005742A6">
        <w:trPr>
          <w:trHeight w:val="20"/>
        </w:trPr>
        <w:tc>
          <w:tcPr>
            <w:tcW w:w="7710" w:type="dxa"/>
            <w:noWrap/>
            <w:hideMark/>
          </w:tcPr>
          <w:p w14:paraId="462C0E0B" w14:textId="7EEC97CD" w:rsidR="00C11DA4" w:rsidRPr="005742A6" w:rsidRDefault="00C11DA4" w:rsidP="005742A6">
            <w:pPr>
              <w:pStyle w:val="TableBody"/>
            </w:pPr>
            <w:r w:rsidRPr="005742A6">
              <w:t>Possess</w:t>
            </w:r>
            <w:r w:rsidR="006D5D29">
              <w:t>ing</w:t>
            </w:r>
            <w:r w:rsidRPr="005742A6">
              <w:t xml:space="preserve"> counterfeit money</w:t>
            </w:r>
          </w:p>
        </w:tc>
        <w:tc>
          <w:tcPr>
            <w:tcW w:w="1361" w:type="dxa"/>
            <w:noWrap/>
            <w:hideMark/>
          </w:tcPr>
          <w:p w14:paraId="23239790" w14:textId="77777777" w:rsidR="00C11DA4" w:rsidRPr="005742A6" w:rsidRDefault="00C11DA4" w:rsidP="005742A6">
            <w:pPr>
              <w:pStyle w:val="TableBody"/>
            </w:pPr>
            <w:r w:rsidRPr="005742A6">
              <w:t>456</w:t>
            </w:r>
          </w:p>
        </w:tc>
      </w:tr>
      <w:tr w:rsidR="009F382B" w:rsidRPr="00C11DA4" w14:paraId="6FDE15E5" w14:textId="77777777" w:rsidTr="005742A6">
        <w:trPr>
          <w:trHeight w:val="20"/>
        </w:trPr>
        <w:tc>
          <w:tcPr>
            <w:tcW w:w="7710" w:type="dxa"/>
            <w:noWrap/>
            <w:hideMark/>
          </w:tcPr>
          <w:p w14:paraId="1361B363" w14:textId="2139A68C" w:rsidR="00C11DA4" w:rsidRPr="005742A6" w:rsidRDefault="00C11DA4" w:rsidP="005742A6">
            <w:pPr>
              <w:pStyle w:val="TableBody"/>
            </w:pPr>
            <w:r w:rsidRPr="005742A6">
              <w:t>Utter</w:t>
            </w:r>
            <w:r w:rsidR="006D5D29">
              <w:t>ing</w:t>
            </w:r>
            <w:r w:rsidRPr="005742A6">
              <w:t xml:space="preserve"> counterfeit money</w:t>
            </w:r>
          </w:p>
        </w:tc>
        <w:tc>
          <w:tcPr>
            <w:tcW w:w="1361" w:type="dxa"/>
            <w:noWrap/>
            <w:hideMark/>
          </w:tcPr>
          <w:p w14:paraId="262B8D72" w14:textId="77777777" w:rsidR="00C11DA4" w:rsidRPr="005742A6" w:rsidRDefault="00C11DA4" w:rsidP="005742A6">
            <w:pPr>
              <w:pStyle w:val="TableBody"/>
            </w:pPr>
            <w:r w:rsidRPr="005742A6">
              <w:t>307</w:t>
            </w:r>
          </w:p>
        </w:tc>
      </w:tr>
      <w:tr w:rsidR="009F382B" w:rsidRPr="00C11DA4" w14:paraId="2683EB10" w14:textId="77777777" w:rsidTr="005742A6">
        <w:trPr>
          <w:trHeight w:val="20"/>
        </w:trPr>
        <w:tc>
          <w:tcPr>
            <w:tcW w:w="7710" w:type="dxa"/>
            <w:noWrap/>
            <w:hideMark/>
          </w:tcPr>
          <w:p w14:paraId="35FAD6F9" w14:textId="77777777" w:rsidR="00C11DA4" w:rsidRPr="005742A6" w:rsidRDefault="00C11DA4" w:rsidP="005742A6">
            <w:pPr>
              <w:pStyle w:val="TableBody"/>
            </w:pPr>
            <w:r w:rsidRPr="005742A6">
              <w:t>Other</w:t>
            </w:r>
          </w:p>
        </w:tc>
        <w:tc>
          <w:tcPr>
            <w:tcW w:w="1361" w:type="dxa"/>
            <w:noWrap/>
            <w:hideMark/>
          </w:tcPr>
          <w:p w14:paraId="7315CDC5" w14:textId="77777777" w:rsidR="00C11DA4" w:rsidRPr="005742A6" w:rsidRDefault="00C11DA4" w:rsidP="005742A6">
            <w:pPr>
              <w:pStyle w:val="TableBody"/>
            </w:pPr>
            <w:r w:rsidRPr="005742A6">
              <w:t>3,435</w:t>
            </w:r>
          </w:p>
        </w:tc>
      </w:tr>
    </w:tbl>
    <w:p w14:paraId="51AE8425" w14:textId="5DBE4F66" w:rsidR="004C0661" w:rsidRPr="002369DB" w:rsidRDefault="004C0661" w:rsidP="00C474D2">
      <w:r w:rsidRPr="002369DB">
        <w:t>In the higher courts, Commonwealth offences are usefully represented by grouping related offences together, rather than by specific offence (Figure 3). This is because over half (55%) of all Commonwealth offences sentenced in the higher courts were child abuse offences that involved a wide range of offences against distinct provisions, some active and some repealed due to various reforms during the reference period. Other common Commonwealth offence types in the higher courts included border controlled drug offences</w:t>
      </w:r>
      <w:r w:rsidRPr="002369DB">
        <w:rPr>
          <w:rStyle w:val="Superscript"/>
        </w:rPr>
        <w:footnoteReference w:id="22"/>
      </w:r>
      <w:r w:rsidRPr="002369DB">
        <w:t xml:space="preserve"> (12% of Commonwealth offences in the </w:t>
      </w:r>
      <w:r w:rsidRPr="002369DB">
        <w:lastRenderedPageBreak/>
        <w:t>higher courts) and defrauding or attempting to defraud a Commonwealth entity</w:t>
      </w:r>
      <w:r w:rsidR="00CA695F" w:rsidRPr="002369DB">
        <w:rPr>
          <w:rStyle w:val="Superscript"/>
        </w:rPr>
        <w:footnoteReference w:id="23"/>
      </w:r>
      <w:r w:rsidRPr="002369DB">
        <w:t xml:space="preserve"> (8%). </w:t>
      </w:r>
    </w:p>
    <w:p w14:paraId="2F106F63" w14:textId="77777777" w:rsidR="004C0661" w:rsidRPr="002369DB" w:rsidRDefault="004C0661" w:rsidP="00A775DC">
      <w:pPr>
        <w:pStyle w:val="Caption"/>
      </w:pPr>
      <w:r w:rsidRPr="002369DB">
        <w:t>Figure 3: Commonwealth offences sentenced in the higher courts, 1 July 2018 to 30 June 2023 (2,527 charges)</w:t>
      </w:r>
    </w:p>
    <w:tbl>
      <w:tblPr>
        <w:tblStyle w:val="Table"/>
        <w:tblW w:w="5000" w:type="pct"/>
        <w:tblLook w:val="04A0" w:firstRow="1" w:lastRow="0" w:firstColumn="1" w:lastColumn="0" w:noHBand="0" w:noVBand="1"/>
      </w:tblPr>
      <w:tblGrid>
        <w:gridCol w:w="6443"/>
        <w:gridCol w:w="2573"/>
      </w:tblGrid>
      <w:tr w:rsidR="006C6415" w:rsidRPr="006C6415" w14:paraId="105EC640" w14:textId="77777777" w:rsidTr="009D1062">
        <w:trPr>
          <w:trHeight w:val="312"/>
          <w:tblHeader/>
        </w:trPr>
        <w:tc>
          <w:tcPr>
            <w:tcW w:w="3573" w:type="pct"/>
            <w:noWrap/>
            <w:hideMark/>
          </w:tcPr>
          <w:p w14:paraId="2FA49FB9" w14:textId="0E813A28" w:rsidR="006C6415" w:rsidRPr="006C6415" w:rsidRDefault="006C6415" w:rsidP="009D1062">
            <w:pPr>
              <w:pStyle w:val="TableHeading"/>
            </w:pPr>
            <w:r>
              <w:t>Offence</w:t>
            </w:r>
          </w:p>
        </w:tc>
        <w:tc>
          <w:tcPr>
            <w:tcW w:w="1427" w:type="pct"/>
            <w:noWrap/>
            <w:hideMark/>
          </w:tcPr>
          <w:p w14:paraId="59905020" w14:textId="633A05CD" w:rsidR="006C6415" w:rsidRPr="006C6415" w:rsidRDefault="006C6415" w:rsidP="009D1062">
            <w:pPr>
              <w:pStyle w:val="TableHeading"/>
            </w:pPr>
            <w:r>
              <w:t>Charges</w:t>
            </w:r>
          </w:p>
        </w:tc>
      </w:tr>
      <w:tr w:rsidR="006C6415" w:rsidRPr="006C6415" w14:paraId="2DA6EC58" w14:textId="77777777" w:rsidTr="006C6415">
        <w:trPr>
          <w:trHeight w:val="312"/>
        </w:trPr>
        <w:tc>
          <w:tcPr>
            <w:tcW w:w="3573" w:type="pct"/>
            <w:noWrap/>
            <w:hideMark/>
          </w:tcPr>
          <w:p w14:paraId="1EE84AF0" w14:textId="77777777" w:rsidR="006C6415" w:rsidRPr="006C6415" w:rsidRDefault="006C6415" w:rsidP="006C6415">
            <w:pPr>
              <w:pStyle w:val="TableBody"/>
            </w:pPr>
            <w:r w:rsidRPr="006C6415">
              <w:t>Child abuse offences</w:t>
            </w:r>
          </w:p>
        </w:tc>
        <w:tc>
          <w:tcPr>
            <w:tcW w:w="1427" w:type="pct"/>
            <w:noWrap/>
            <w:hideMark/>
          </w:tcPr>
          <w:p w14:paraId="508F89D1" w14:textId="77777777" w:rsidR="006C6415" w:rsidRPr="006C6415" w:rsidRDefault="006C6415" w:rsidP="006C6415">
            <w:pPr>
              <w:pStyle w:val="TableBody"/>
            </w:pPr>
            <w:r w:rsidRPr="006C6415">
              <w:t>1,394</w:t>
            </w:r>
          </w:p>
        </w:tc>
      </w:tr>
      <w:tr w:rsidR="006C6415" w:rsidRPr="006C6415" w14:paraId="057E939E" w14:textId="77777777" w:rsidTr="006C6415">
        <w:trPr>
          <w:trHeight w:val="312"/>
        </w:trPr>
        <w:tc>
          <w:tcPr>
            <w:tcW w:w="3573" w:type="pct"/>
            <w:noWrap/>
            <w:hideMark/>
          </w:tcPr>
          <w:p w14:paraId="77C5C881" w14:textId="77777777" w:rsidR="006C6415" w:rsidRPr="006C6415" w:rsidRDefault="006C6415" w:rsidP="006C6415">
            <w:pPr>
              <w:pStyle w:val="TableBody"/>
            </w:pPr>
            <w:r w:rsidRPr="006C6415">
              <w:t>Border controlled drug offences</w:t>
            </w:r>
          </w:p>
        </w:tc>
        <w:tc>
          <w:tcPr>
            <w:tcW w:w="1427" w:type="pct"/>
            <w:noWrap/>
            <w:hideMark/>
          </w:tcPr>
          <w:p w14:paraId="79A9E336" w14:textId="77777777" w:rsidR="006C6415" w:rsidRPr="006C6415" w:rsidRDefault="006C6415" w:rsidP="006C6415">
            <w:pPr>
              <w:pStyle w:val="TableBody"/>
            </w:pPr>
            <w:r w:rsidRPr="006C6415">
              <w:t>302</w:t>
            </w:r>
          </w:p>
        </w:tc>
      </w:tr>
      <w:tr w:rsidR="006C6415" w:rsidRPr="006C6415" w14:paraId="21AA8C92" w14:textId="77777777" w:rsidTr="006C6415">
        <w:trPr>
          <w:trHeight w:val="312"/>
        </w:trPr>
        <w:tc>
          <w:tcPr>
            <w:tcW w:w="3573" w:type="pct"/>
            <w:noWrap/>
            <w:hideMark/>
          </w:tcPr>
          <w:p w14:paraId="63F1D7C2" w14:textId="36B1A6FF" w:rsidR="006C6415" w:rsidRPr="006C6415" w:rsidRDefault="00022253" w:rsidP="006C6415">
            <w:pPr>
              <w:pStyle w:val="TableBody"/>
            </w:pPr>
            <w:r>
              <w:t xml:space="preserve">Defrauding a </w:t>
            </w:r>
            <w:proofErr w:type="gramStart"/>
            <w:r w:rsidR="006C6415" w:rsidRPr="006C6415">
              <w:t>Commonwealth entity offences</w:t>
            </w:r>
            <w:proofErr w:type="gramEnd"/>
          </w:p>
        </w:tc>
        <w:tc>
          <w:tcPr>
            <w:tcW w:w="1427" w:type="pct"/>
            <w:noWrap/>
            <w:hideMark/>
          </w:tcPr>
          <w:p w14:paraId="4FEF12A1" w14:textId="77777777" w:rsidR="006C6415" w:rsidRPr="006C6415" w:rsidRDefault="006C6415" w:rsidP="006C6415">
            <w:pPr>
              <w:pStyle w:val="TableBody"/>
            </w:pPr>
            <w:r w:rsidRPr="006C6415">
              <w:t>205</w:t>
            </w:r>
          </w:p>
        </w:tc>
      </w:tr>
      <w:tr w:rsidR="006C6415" w:rsidRPr="006C6415" w14:paraId="21E9E78C" w14:textId="77777777" w:rsidTr="006C6415">
        <w:trPr>
          <w:trHeight w:val="312"/>
        </w:trPr>
        <w:tc>
          <w:tcPr>
            <w:tcW w:w="3573" w:type="pct"/>
            <w:noWrap/>
            <w:hideMark/>
          </w:tcPr>
          <w:p w14:paraId="26DF8DF7" w14:textId="77777777" w:rsidR="006C6415" w:rsidRPr="006C6415" w:rsidRDefault="006C6415" w:rsidP="006C6415">
            <w:pPr>
              <w:pStyle w:val="TableBody"/>
            </w:pPr>
            <w:r w:rsidRPr="006C6415">
              <w:t>Other</w:t>
            </w:r>
          </w:p>
        </w:tc>
        <w:tc>
          <w:tcPr>
            <w:tcW w:w="1427" w:type="pct"/>
            <w:noWrap/>
            <w:hideMark/>
          </w:tcPr>
          <w:p w14:paraId="6955F6CC" w14:textId="77777777" w:rsidR="006C6415" w:rsidRPr="006C6415" w:rsidRDefault="006C6415" w:rsidP="006C6415">
            <w:pPr>
              <w:pStyle w:val="TableBody"/>
            </w:pPr>
            <w:r w:rsidRPr="006C6415">
              <w:t>626</w:t>
            </w:r>
          </w:p>
        </w:tc>
      </w:tr>
    </w:tbl>
    <w:p w14:paraId="7370D426" w14:textId="53A6D2AD" w:rsidR="004C0661" w:rsidRPr="002369DB" w:rsidRDefault="004C0661" w:rsidP="007E07CF">
      <w:r w:rsidRPr="002369DB">
        <w:t>Most of the child abuse offences in the higher courts related to what is commonly described as child sexual abuse material or child sexual exploitation material.</w:t>
      </w:r>
      <w:r w:rsidRPr="002369DB">
        <w:rPr>
          <w:rStyle w:val="Superscript"/>
        </w:rPr>
        <w:footnoteReference w:id="24"/>
      </w:r>
      <w:r w:rsidRPr="002369DB">
        <w:t xml:space="preserve"> Some Commonwealth child abuse offences, though, are grooming offences and contact sex offences. The specific offences included under </w:t>
      </w:r>
      <w:r w:rsidRPr="002369DB">
        <w:rPr>
          <w:rStyle w:val="Italic"/>
        </w:rPr>
        <w:t>child abuse offences</w:t>
      </w:r>
      <w:r w:rsidRPr="002369DB">
        <w:t xml:space="preserve"> in Figure 3 are:</w:t>
      </w:r>
    </w:p>
    <w:p w14:paraId="4A87A5D2" w14:textId="77777777" w:rsidR="004C0661" w:rsidRPr="002369DB" w:rsidRDefault="004C0661" w:rsidP="00622026">
      <w:pPr>
        <w:pStyle w:val="Bullets"/>
      </w:pPr>
      <w:r w:rsidRPr="002369DB">
        <w:lastRenderedPageBreak/>
        <w:t>using a carriage service to access, transmit, publish or solicit child abuse material</w:t>
      </w:r>
      <w:r w:rsidRPr="002369DB">
        <w:rPr>
          <w:rStyle w:val="Superscript"/>
        </w:rPr>
        <w:footnoteReference w:id="25"/>
      </w:r>
      <w:r w:rsidRPr="002369DB">
        <w:t xml:space="preserve"> (750 charges)</w:t>
      </w:r>
    </w:p>
    <w:p w14:paraId="50F15868" w14:textId="77777777" w:rsidR="004C0661" w:rsidRPr="002369DB" w:rsidRDefault="004C0661" w:rsidP="00622026">
      <w:pPr>
        <w:pStyle w:val="Bullets"/>
      </w:pPr>
      <w:r w:rsidRPr="002369DB">
        <w:t>using a carriage service to transmit indecent communications to a child aged under 16</w:t>
      </w:r>
      <w:r w:rsidRPr="002369DB">
        <w:rPr>
          <w:rStyle w:val="Superscript"/>
        </w:rPr>
        <w:footnoteReference w:id="26"/>
      </w:r>
      <w:r w:rsidRPr="002369DB">
        <w:t xml:space="preserve"> (187 charges)</w:t>
      </w:r>
    </w:p>
    <w:p w14:paraId="55D975EE" w14:textId="77777777" w:rsidR="004C0661" w:rsidRPr="002369DB" w:rsidRDefault="004C0661" w:rsidP="00622026">
      <w:pPr>
        <w:pStyle w:val="Bullets"/>
      </w:pPr>
      <w:r w:rsidRPr="002369DB">
        <w:t>possessing or controlling child abuse material obtained using a carriage service</w:t>
      </w:r>
      <w:r w:rsidRPr="002369DB">
        <w:rPr>
          <w:rStyle w:val="Superscript"/>
        </w:rPr>
        <w:footnoteReference w:id="27"/>
      </w:r>
      <w:r w:rsidRPr="002369DB">
        <w:t xml:space="preserve"> (103 charges)</w:t>
      </w:r>
    </w:p>
    <w:p w14:paraId="128E17BC" w14:textId="77777777" w:rsidR="004C0661" w:rsidRPr="002369DB" w:rsidRDefault="004C0661" w:rsidP="00622026">
      <w:pPr>
        <w:pStyle w:val="Bullets"/>
      </w:pPr>
      <w:r w:rsidRPr="002369DB">
        <w:t xml:space="preserve">using a carriage service to </w:t>
      </w:r>
      <w:r w:rsidRPr="002369DB">
        <w:rPr>
          <w:rStyle w:val="Italic"/>
        </w:rPr>
        <w:t>procure</w:t>
      </w:r>
      <w:r w:rsidRPr="002369DB">
        <w:t xml:space="preserve"> a child aged under 16 for sexual activity</w:t>
      </w:r>
      <w:r w:rsidRPr="002369DB">
        <w:rPr>
          <w:rStyle w:val="Superscript"/>
        </w:rPr>
        <w:footnoteReference w:id="28"/>
      </w:r>
      <w:r w:rsidRPr="002369DB">
        <w:t xml:space="preserve"> (92 charges)</w:t>
      </w:r>
    </w:p>
    <w:p w14:paraId="70314CD4" w14:textId="77777777" w:rsidR="004C0661" w:rsidRPr="002369DB" w:rsidRDefault="004C0661" w:rsidP="00622026">
      <w:pPr>
        <w:pStyle w:val="Bullets"/>
      </w:pPr>
      <w:r w:rsidRPr="002369DB">
        <w:t xml:space="preserve">using a carriage service to </w:t>
      </w:r>
      <w:r w:rsidRPr="002369DB">
        <w:rPr>
          <w:rStyle w:val="Italic"/>
        </w:rPr>
        <w:t>groom</w:t>
      </w:r>
      <w:r w:rsidRPr="002369DB">
        <w:t xml:space="preserve"> a child aged under 16 for sexual activity</w:t>
      </w:r>
      <w:r w:rsidRPr="002369DB">
        <w:rPr>
          <w:rStyle w:val="Superscript"/>
        </w:rPr>
        <w:footnoteReference w:id="29"/>
      </w:r>
      <w:r w:rsidRPr="002369DB">
        <w:t xml:space="preserve"> (63 charges) and</w:t>
      </w:r>
    </w:p>
    <w:p w14:paraId="2E5D506F" w14:textId="1B6A6C97" w:rsidR="004C0661" w:rsidRPr="002369DB" w:rsidRDefault="004C0661" w:rsidP="00622026">
      <w:pPr>
        <w:pStyle w:val="Bullets"/>
      </w:pPr>
      <w:r w:rsidRPr="002369DB">
        <w:t>various other offences (199 charges), most of which involved offending overseas, such as encouraging the commission of child sex offences outside Australia</w:t>
      </w:r>
      <w:r w:rsidRPr="002369DB">
        <w:rPr>
          <w:rStyle w:val="Superscript"/>
        </w:rPr>
        <w:footnoteReference w:id="30"/>
      </w:r>
      <w:r w:rsidRPr="002369DB">
        <w:t xml:space="preserve"> (18 charges), engaging in sexual activity (other than intercourse) with a child aged under 16 outside Australia</w:t>
      </w:r>
      <w:r w:rsidRPr="002369DB">
        <w:rPr>
          <w:rStyle w:val="Superscript"/>
        </w:rPr>
        <w:footnoteReference w:id="31"/>
      </w:r>
      <w:r w:rsidRPr="002369DB">
        <w:t xml:space="preserve"> (16 charges), procuring a child aged under 16 to engage </w:t>
      </w:r>
      <w:r w:rsidRPr="002369DB">
        <w:lastRenderedPageBreak/>
        <w:t>in sexual activity outside Australia</w:t>
      </w:r>
      <w:r w:rsidRPr="002369DB">
        <w:rPr>
          <w:rStyle w:val="Superscript"/>
        </w:rPr>
        <w:footnoteReference w:id="32"/>
      </w:r>
      <w:r w:rsidRPr="002369DB">
        <w:t xml:space="preserve"> (14 charges), grooming a child aged under 16 to engage in sexual activity outside Australia</w:t>
      </w:r>
      <w:r w:rsidRPr="002369DB">
        <w:rPr>
          <w:rStyle w:val="Superscript"/>
        </w:rPr>
        <w:footnoteReference w:id="33"/>
      </w:r>
      <w:r w:rsidRPr="002369DB">
        <w:t xml:space="preserve"> (11 charges), causing a child aged under 16 to engage in sexual intercourse in the presence of the defendant outside Australia</w:t>
      </w:r>
      <w:r w:rsidRPr="002369DB">
        <w:rPr>
          <w:rStyle w:val="Superscript"/>
        </w:rPr>
        <w:footnoteReference w:id="34"/>
      </w:r>
      <w:r w:rsidRPr="002369DB">
        <w:t xml:space="preserve"> (8 charges) and engaging in sexual intercourse with a child aged under 16 outside Australia</w:t>
      </w:r>
      <w:r w:rsidR="00B91C29" w:rsidRPr="002369DB">
        <w:rPr>
          <w:rStyle w:val="Superscript"/>
        </w:rPr>
        <w:footnoteReference w:id="35"/>
      </w:r>
      <w:r w:rsidRPr="002369DB">
        <w:t xml:space="preserve"> (7 charges).</w:t>
      </w:r>
    </w:p>
    <w:p w14:paraId="4CE3900F" w14:textId="6033ECFE" w:rsidR="004C0661" w:rsidRPr="002369DB" w:rsidRDefault="004C0661" w:rsidP="00622026">
      <w:pPr>
        <w:pStyle w:val="Heading1"/>
      </w:pPr>
      <w:bookmarkStart w:id="5" w:name="_Toc224060083"/>
      <w:r w:rsidRPr="002369DB">
        <w:t>Gender of federal offenders in Victoria</w:t>
      </w:r>
      <w:bookmarkEnd w:id="5"/>
    </w:p>
    <w:p w14:paraId="511A7234" w14:textId="77777777" w:rsidR="004C0661" w:rsidRPr="002369DB" w:rsidRDefault="004C0661" w:rsidP="00C474D2">
      <w:r w:rsidRPr="002369DB">
        <w:t>Overall, 80% of offenders sentenced for Commonwealth offences in Victoria were male: 79% in the Magistrates’ Court and 89% in the higher courts (see Figure 4). This is to be expected given the nature of the most common Commonwealth offence sentenced in the Magistrates’ Court and in the higher courts: using a carriage service to menace, harass or offend, which is often charged in family violence cases, and various child abuse offences. These behaviours are overwhelmingly perpetrated by men.</w:t>
      </w:r>
      <w:r w:rsidRPr="002369DB">
        <w:rPr>
          <w:rStyle w:val="Superscript"/>
        </w:rPr>
        <w:footnoteReference w:id="36"/>
      </w:r>
    </w:p>
    <w:p w14:paraId="7E9C1E29" w14:textId="77777777" w:rsidR="004C0661" w:rsidRPr="002369DB" w:rsidRDefault="004C0661" w:rsidP="00A775DC">
      <w:pPr>
        <w:pStyle w:val="Caption"/>
      </w:pPr>
      <w:r w:rsidRPr="002369DB">
        <w:lastRenderedPageBreak/>
        <w:t>Figure 4: Gender of offenders sentenced for Commonwealth offences in Victoria, 1 July 2018 to 30 June 2023 (9,570 cases)</w:t>
      </w:r>
    </w:p>
    <w:tbl>
      <w:tblPr>
        <w:tblStyle w:val="Table"/>
        <w:tblW w:w="5514" w:type="pct"/>
        <w:tblLayout w:type="fixed"/>
        <w:tblLook w:val="04A0" w:firstRow="1" w:lastRow="0" w:firstColumn="1" w:lastColumn="0" w:noHBand="0" w:noVBand="1"/>
      </w:tblPr>
      <w:tblGrid>
        <w:gridCol w:w="1481"/>
        <w:gridCol w:w="1293"/>
        <w:gridCol w:w="1527"/>
        <w:gridCol w:w="1293"/>
        <w:gridCol w:w="1527"/>
        <w:gridCol w:w="1291"/>
        <w:gridCol w:w="1531"/>
      </w:tblGrid>
      <w:tr w:rsidR="00AC35C1" w:rsidRPr="00460824" w14:paraId="47D2EBB4" w14:textId="77777777" w:rsidTr="00AC35C1">
        <w:trPr>
          <w:trHeight w:val="312"/>
          <w:tblHeader/>
        </w:trPr>
        <w:tc>
          <w:tcPr>
            <w:tcW w:w="745" w:type="pct"/>
            <w:noWrap/>
            <w:hideMark/>
          </w:tcPr>
          <w:p w14:paraId="2DC75698" w14:textId="553855AC" w:rsidR="00460824" w:rsidRPr="00460824" w:rsidRDefault="00460824" w:rsidP="00270D0D">
            <w:pPr>
              <w:pStyle w:val="TableHeading"/>
            </w:pPr>
            <w:r>
              <w:t>Court</w:t>
            </w:r>
          </w:p>
        </w:tc>
        <w:tc>
          <w:tcPr>
            <w:tcW w:w="650" w:type="pct"/>
            <w:noWrap/>
          </w:tcPr>
          <w:p w14:paraId="5351D4DE" w14:textId="2A773E1C" w:rsidR="00460824" w:rsidRPr="00460824" w:rsidRDefault="00460824" w:rsidP="00270D0D">
            <w:pPr>
              <w:pStyle w:val="TableHeading"/>
            </w:pPr>
            <w:r>
              <w:t>Male number</w:t>
            </w:r>
          </w:p>
        </w:tc>
        <w:tc>
          <w:tcPr>
            <w:tcW w:w="768" w:type="pct"/>
            <w:noWrap/>
            <w:hideMark/>
          </w:tcPr>
          <w:p w14:paraId="056025B7" w14:textId="35308175" w:rsidR="00460824" w:rsidRPr="00460824" w:rsidRDefault="00460824" w:rsidP="00270D0D">
            <w:pPr>
              <w:pStyle w:val="TableHeading"/>
            </w:pPr>
            <w:r>
              <w:t>Male percentage</w:t>
            </w:r>
          </w:p>
        </w:tc>
        <w:tc>
          <w:tcPr>
            <w:tcW w:w="650" w:type="pct"/>
            <w:noWrap/>
            <w:hideMark/>
          </w:tcPr>
          <w:p w14:paraId="54938185" w14:textId="6E032D63" w:rsidR="00460824" w:rsidRPr="00460824" w:rsidRDefault="00460824" w:rsidP="00270D0D">
            <w:pPr>
              <w:pStyle w:val="TableHeading"/>
            </w:pPr>
            <w:r>
              <w:t>Female number</w:t>
            </w:r>
          </w:p>
        </w:tc>
        <w:tc>
          <w:tcPr>
            <w:tcW w:w="768" w:type="pct"/>
            <w:noWrap/>
            <w:hideMark/>
          </w:tcPr>
          <w:p w14:paraId="39DCB351" w14:textId="52DE8D7C" w:rsidR="00460824" w:rsidRPr="00460824" w:rsidRDefault="00460824" w:rsidP="00270D0D">
            <w:pPr>
              <w:pStyle w:val="TableHeading"/>
            </w:pPr>
            <w:r>
              <w:t>Female percentage</w:t>
            </w:r>
          </w:p>
        </w:tc>
        <w:tc>
          <w:tcPr>
            <w:tcW w:w="649" w:type="pct"/>
            <w:noWrap/>
          </w:tcPr>
          <w:p w14:paraId="62D808C2" w14:textId="792E7470" w:rsidR="00460824" w:rsidRPr="00460824" w:rsidRDefault="00460824" w:rsidP="00270D0D">
            <w:pPr>
              <w:pStyle w:val="TableHeading"/>
            </w:pPr>
            <w:r>
              <w:t>Company number</w:t>
            </w:r>
          </w:p>
        </w:tc>
        <w:tc>
          <w:tcPr>
            <w:tcW w:w="770" w:type="pct"/>
            <w:noWrap/>
            <w:hideMark/>
          </w:tcPr>
          <w:p w14:paraId="14D4EE9E" w14:textId="51E5FB8D" w:rsidR="00460824" w:rsidRPr="00460824" w:rsidRDefault="00460824" w:rsidP="00270D0D">
            <w:pPr>
              <w:pStyle w:val="TableHeading"/>
            </w:pPr>
            <w:r>
              <w:t>Company percentage</w:t>
            </w:r>
          </w:p>
        </w:tc>
      </w:tr>
      <w:tr w:rsidR="00AC35C1" w:rsidRPr="00460824" w14:paraId="68DE678D" w14:textId="77777777" w:rsidTr="00AC35C1">
        <w:trPr>
          <w:trHeight w:val="624"/>
        </w:trPr>
        <w:tc>
          <w:tcPr>
            <w:tcW w:w="745" w:type="pct"/>
            <w:noWrap/>
          </w:tcPr>
          <w:p w14:paraId="792B996C" w14:textId="231A8FB2" w:rsidR="00460824" w:rsidRPr="00460824" w:rsidRDefault="00460824" w:rsidP="00460824">
            <w:pPr>
              <w:pStyle w:val="TableBody"/>
            </w:pPr>
            <w:r w:rsidRPr="00460824">
              <w:t>Magistrates' Court</w:t>
            </w:r>
          </w:p>
        </w:tc>
        <w:tc>
          <w:tcPr>
            <w:tcW w:w="650" w:type="pct"/>
            <w:noWrap/>
          </w:tcPr>
          <w:p w14:paraId="18A9BB73" w14:textId="7FF26416" w:rsidR="00460824" w:rsidRPr="00460824" w:rsidRDefault="00793F9C" w:rsidP="00460824">
            <w:pPr>
              <w:pStyle w:val="TableBody"/>
            </w:pPr>
            <w:r w:rsidRPr="00460824">
              <w:t>6</w:t>
            </w:r>
            <w:r>
              <w:t>,</w:t>
            </w:r>
            <w:r w:rsidRPr="00460824">
              <w:t>865</w:t>
            </w:r>
          </w:p>
        </w:tc>
        <w:tc>
          <w:tcPr>
            <w:tcW w:w="768" w:type="pct"/>
          </w:tcPr>
          <w:p w14:paraId="4288DDF4" w14:textId="475C88AE" w:rsidR="00460824" w:rsidRPr="00460824" w:rsidRDefault="00793F9C" w:rsidP="00460824">
            <w:pPr>
              <w:pStyle w:val="TableBody"/>
            </w:pPr>
            <w:r w:rsidRPr="00460824">
              <w:t>79%</w:t>
            </w:r>
          </w:p>
        </w:tc>
        <w:tc>
          <w:tcPr>
            <w:tcW w:w="650" w:type="pct"/>
            <w:noWrap/>
          </w:tcPr>
          <w:p w14:paraId="17B7B5CE" w14:textId="1FC1A853" w:rsidR="00460824" w:rsidRPr="00460824" w:rsidRDefault="00793F9C" w:rsidP="00460824">
            <w:pPr>
              <w:pStyle w:val="TableBody"/>
            </w:pPr>
            <w:r w:rsidRPr="00460824">
              <w:t>1</w:t>
            </w:r>
            <w:r>
              <w:t>,</w:t>
            </w:r>
            <w:r w:rsidRPr="00460824">
              <w:t>686</w:t>
            </w:r>
          </w:p>
        </w:tc>
        <w:tc>
          <w:tcPr>
            <w:tcW w:w="768" w:type="pct"/>
            <w:noWrap/>
          </w:tcPr>
          <w:p w14:paraId="7DC66358" w14:textId="03707966" w:rsidR="00460824" w:rsidRPr="00460824" w:rsidRDefault="00793F9C" w:rsidP="00460824">
            <w:pPr>
              <w:pStyle w:val="TableBody"/>
            </w:pPr>
            <w:r w:rsidRPr="00460824">
              <w:t>19%</w:t>
            </w:r>
          </w:p>
        </w:tc>
        <w:tc>
          <w:tcPr>
            <w:tcW w:w="649" w:type="pct"/>
            <w:noWrap/>
          </w:tcPr>
          <w:p w14:paraId="3EDE1A0F" w14:textId="38C77F3A" w:rsidR="00460824" w:rsidRPr="00460824" w:rsidRDefault="00793F9C" w:rsidP="00460824">
            <w:pPr>
              <w:pStyle w:val="TableBody"/>
            </w:pPr>
            <w:r w:rsidRPr="00460824">
              <w:t>141</w:t>
            </w:r>
          </w:p>
        </w:tc>
        <w:tc>
          <w:tcPr>
            <w:tcW w:w="770" w:type="pct"/>
          </w:tcPr>
          <w:p w14:paraId="699A8B49" w14:textId="15C97890" w:rsidR="00460824" w:rsidRPr="00460824" w:rsidRDefault="00793F9C" w:rsidP="00460824">
            <w:pPr>
              <w:pStyle w:val="TableBody"/>
            </w:pPr>
            <w:r w:rsidRPr="00460824">
              <w:t>2%</w:t>
            </w:r>
          </w:p>
        </w:tc>
      </w:tr>
      <w:tr w:rsidR="00AC35C1" w:rsidRPr="00460824" w14:paraId="2E93C040" w14:textId="77777777" w:rsidTr="00AC35C1">
        <w:trPr>
          <w:trHeight w:val="624"/>
        </w:trPr>
        <w:tc>
          <w:tcPr>
            <w:tcW w:w="745" w:type="pct"/>
            <w:noWrap/>
          </w:tcPr>
          <w:p w14:paraId="7CEEECAD" w14:textId="685BA3EE" w:rsidR="00460824" w:rsidRPr="00460824" w:rsidRDefault="00460824" w:rsidP="00460824">
            <w:pPr>
              <w:pStyle w:val="TableBody"/>
            </w:pPr>
            <w:r w:rsidRPr="00460824">
              <w:t>Higher courts</w:t>
            </w:r>
          </w:p>
        </w:tc>
        <w:tc>
          <w:tcPr>
            <w:tcW w:w="650" w:type="pct"/>
            <w:noWrap/>
          </w:tcPr>
          <w:p w14:paraId="74FAB004" w14:textId="75AEF021" w:rsidR="00460824" w:rsidRPr="00460824" w:rsidRDefault="004560B2" w:rsidP="00460824">
            <w:pPr>
              <w:pStyle w:val="TableBody"/>
            </w:pPr>
            <w:r w:rsidRPr="00460824">
              <w:t>78</w:t>
            </w:r>
            <w:r>
              <w:t>3</w:t>
            </w:r>
          </w:p>
        </w:tc>
        <w:tc>
          <w:tcPr>
            <w:tcW w:w="768" w:type="pct"/>
          </w:tcPr>
          <w:p w14:paraId="503F7D5E" w14:textId="7A87204A" w:rsidR="00460824" w:rsidRPr="00460824" w:rsidRDefault="004560B2" w:rsidP="00460824">
            <w:pPr>
              <w:pStyle w:val="TableBody"/>
            </w:pPr>
            <w:r w:rsidRPr="00460824">
              <w:t>89%</w:t>
            </w:r>
          </w:p>
        </w:tc>
        <w:tc>
          <w:tcPr>
            <w:tcW w:w="650" w:type="pct"/>
            <w:noWrap/>
          </w:tcPr>
          <w:p w14:paraId="2EB958FD" w14:textId="2D0D693B" w:rsidR="00460824" w:rsidRPr="00460824" w:rsidRDefault="004560B2" w:rsidP="00460824">
            <w:pPr>
              <w:pStyle w:val="TableBody"/>
            </w:pPr>
            <w:r w:rsidRPr="00460824">
              <w:t>92</w:t>
            </w:r>
          </w:p>
        </w:tc>
        <w:tc>
          <w:tcPr>
            <w:tcW w:w="768" w:type="pct"/>
            <w:noWrap/>
          </w:tcPr>
          <w:p w14:paraId="1797B396" w14:textId="0D4F93EE" w:rsidR="00460824" w:rsidRPr="00460824" w:rsidRDefault="004560B2" w:rsidP="00460824">
            <w:pPr>
              <w:pStyle w:val="TableBody"/>
            </w:pPr>
            <w:r w:rsidRPr="00460824">
              <w:t>11%</w:t>
            </w:r>
          </w:p>
        </w:tc>
        <w:tc>
          <w:tcPr>
            <w:tcW w:w="649" w:type="pct"/>
            <w:noWrap/>
          </w:tcPr>
          <w:p w14:paraId="31D13485" w14:textId="02D1E119" w:rsidR="00460824" w:rsidRPr="00460824" w:rsidRDefault="00793F9C" w:rsidP="00460824">
            <w:pPr>
              <w:pStyle w:val="TableBody"/>
            </w:pPr>
            <w:r w:rsidRPr="00460824">
              <w:t>3</w:t>
            </w:r>
          </w:p>
        </w:tc>
        <w:tc>
          <w:tcPr>
            <w:tcW w:w="770" w:type="pct"/>
          </w:tcPr>
          <w:p w14:paraId="41D8A08B" w14:textId="709F753A" w:rsidR="00460824" w:rsidRPr="00460824" w:rsidRDefault="00793F9C" w:rsidP="00460824">
            <w:pPr>
              <w:pStyle w:val="TableBody"/>
            </w:pPr>
            <w:r w:rsidRPr="00460824">
              <w:t>&lt;1%</w:t>
            </w:r>
          </w:p>
        </w:tc>
      </w:tr>
    </w:tbl>
    <w:p w14:paraId="566A622C" w14:textId="77777777" w:rsidR="004C0661" w:rsidRPr="002369DB" w:rsidRDefault="004C0661" w:rsidP="00C474D2">
      <w:r w:rsidRPr="002369DB">
        <w:t>As previous research has repeatedly shown, offending by men and women varies significantly, not just in prevalence but also in nature.</w:t>
      </w:r>
      <w:r w:rsidRPr="002369DB">
        <w:rPr>
          <w:rStyle w:val="Superscript"/>
        </w:rPr>
        <w:footnoteReference w:id="37"/>
      </w:r>
      <w:r w:rsidRPr="002369DB">
        <w:t xml:space="preserve"> Women’s offending is typically less serious and less violent than men’s offending. Not only did women represent a relatively small proportion of federal offenders overall (19%), but women were much more likely to be sentenced for fraud offences (25% or 262 of the 1,043 Commonwealth principal proven offences for which women were sentenced) than men were (5% or 197 of the 3,762 Commonwealth principal proven offences for which men were sentenced). In comparison, using a carriage service to menace, harass or offend made up a larger proportion of men’s Commonwealth principal proven offences (50%) than women’s (43%). Most apparently, child abuse offences constituted just 0.4% of women’s Commonwealth principal proven offences (4 charges), compared to 7% of men’s Commonwealth principal proven offences (256 charges). That is, there were 64 times more child abuse cases involving men than involving women.</w:t>
      </w:r>
    </w:p>
    <w:p w14:paraId="0DCD518B" w14:textId="77777777" w:rsidR="0014355A" w:rsidRPr="002369DB" w:rsidRDefault="0014355A" w:rsidP="00FC17B9">
      <w:pPr>
        <w:pStyle w:val="IntenseQuote"/>
      </w:pPr>
      <w:r w:rsidRPr="002369DB">
        <w:t>Fraud offences represented…</w:t>
      </w:r>
    </w:p>
    <w:p w14:paraId="18BE05C2" w14:textId="77777777" w:rsidR="0014355A" w:rsidRPr="002369DB" w:rsidRDefault="0014355A" w:rsidP="00FC17B9">
      <w:pPr>
        <w:pStyle w:val="IntenseQuote"/>
      </w:pPr>
      <w:r w:rsidRPr="002369DB">
        <w:lastRenderedPageBreak/>
        <w:t>25% of Commonwealth principal proven offences committed by women</w:t>
      </w:r>
    </w:p>
    <w:p w14:paraId="4CEFA929" w14:textId="77777777" w:rsidR="0014355A" w:rsidRPr="002369DB" w:rsidRDefault="0014355A" w:rsidP="00FC17B9">
      <w:pPr>
        <w:pStyle w:val="IntenseQuote"/>
      </w:pPr>
      <w:r w:rsidRPr="002369DB">
        <w:t>5% of Commonwealth principal proven offences committed by men</w:t>
      </w:r>
    </w:p>
    <w:p w14:paraId="4A452706" w14:textId="77777777" w:rsidR="004C0661" w:rsidRPr="002369DB" w:rsidRDefault="004C0661" w:rsidP="007E07CF">
      <w:r w:rsidRPr="002369DB">
        <w:t xml:space="preserve">The three companies sentenced for Commonwealth offences in the higher courts were: </w:t>
      </w:r>
    </w:p>
    <w:p w14:paraId="59F6E061" w14:textId="77777777" w:rsidR="004C0661" w:rsidRPr="002369DB" w:rsidRDefault="004C0661" w:rsidP="00622026">
      <w:pPr>
        <w:pStyle w:val="Bullets"/>
      </w:pPr>
      <w:r w:rsidRPr="002369DB">
        <w:t xml:space="preserve">a small company convicted and fined $80,000 for hindering compliance with the </w:t>
      </w:r>
      <w:r w:rsidRPr="002369DB">
        <w:rPr>
          <w:rStyle w:val="Italic"/>
        </w:rPr>
        <w:t xml:space="preserve">Biosecurity Act 2015 </w:t>
      </w:r>
      <w:r w:rsidRPr="002369DB">
        <w:t>(</w:t>
      </w:r>
      <w:proofErr w:type="spellStart"/>
      <w:r w:rsidRPr="002369DB">
        <w:t>Cth</w:t>
      </w:r>
      <w:proofErr w:type="spellEnd"/>
      <w:r w:rsidRPr="002369DB">
        <w:t>), after failing to quarantine imported prawns from China in a specific freezer (to reduce the risk of the prawns introducing a known virus to Australia)</w:t>
      </w:r>
      <w:r w:rsidRPr="002369DB">
        <w:rPr>
          <w:rStyle w:val="Superscript"/>
        </w:rPr>
        <w:footnoteReference w:id="38"/>
      </w:r>
    </w:p>
    <w:p w14:paraId="6F0AC2DA" w14:textId="77777777" w:rsidR="004C0661" w:rsidRPr="002369DB" w:rsidRDefault="004C0661" w:rsidP="00622026">
      <w:pPr>
        <w:pStyle w:val="Bullets"/>
      </w:pPr>
      <w:r w:rsidRPr="002369DB">
        <w:t>a medium-sized company convicted and fined $60,000 for numerous offences of allowing an unlawful non-citizen to work on the company’s asparagus and broccolini farm, as well as allowing a lawful non-citizen to work in breach of visa conditions</w:t>
      </w:r>
      <w:r w:rsidRPr="002369DB">
        <w:rPr>
          <w:rStyle w:val="Superscript"/>
        </w:rPr>
        <w:footnoteReference w:id="39"/>
      </w:r>
    </w:p>
    <w:p w14:paraId="0AE20854" w14:textId="77777777" w:rsidR="004C0661" w:rsidRPr="002369DB" w:rsidRDefault="004C0661" w:rsidP="00622026">
      <w:pPr>
        <w:pStyle w:val="Bullets"/>
      </w:pPr>
      <w:r w:rsidRPr="002369DB">
        <w:t>a large company convicted and fined $1.7 million ($95,000 each for 18 charges) for having defective disclosure statements about its superannuation products</w:t>
      </w:r>
      <w:proofErr w:type="gramStart"/>
      <w:r w:rsidRPr="002369DB">
        <w:t>, in particular, about</w:t>
      </w:r>
      <w:proofErr w:type="gramEnd"/>
      <w:r w:rsidRPr="002369DB">
        <w:t xml:space="preserve"> when service fees would be deducted after a member’s death (resulting in almost $700,000 of fees being deducted from 499 deceased superannuation members). The company also agreed to pay ASIC’s investigation costs of $1.3 million.</w:t>
      </w:r>
      <w:r w:rsidRPr="002369DB">
        <w:rPr>
          <w:rStyle w:val="Superscript"/>
        </w:rPr>
        <w:footnoteReference w:id="40"/>
      </w:r>
      <w:r w:rsidRPr="002369DB">
        <w:t xml:space="preserve"> The $1.7 million fine was the </w:t>
      </w:r>
      <w:r w:rsidRPr="002369DB">
        <w:lastRenderedPageBreak/>
        <w:t>second largest fine imposed on any criminal offender in Victoria in the 10 years to 30 June 2023.</w:t>
      </w:r>
      <w:r w:rsidRPr="002369DB">
        <w:rPr>
          <w:rStyle w:val="Superscript"/>
        </w:rPr>
        <w:footnoteReference w:id="41"/>
      </w:r>
    </w:p>
    <w:p w14:paraId="1C663DFB" w14:textId="77777777" w:rsidR="004C0661" w:rsidRPr="002369DB" w:rsidRDefault="004C0661" w:rsidP="00622026">
      <w:pPr>
        <w:pStyle w:val="Heading1"/>
      </w:pPr>
      <w:bookmarkStart w:id="6" w:name="_Toc224060084"/>
      <w:r w:rsidRPr="002369DB">
        <w:t>Age of federal offenders in Victoria</w:t>
      </w:r>
      <w:bookmarkEnd w:id="6"/>
    </w:p>
    <w:p w14:paraId="19649A41" w14:textId="42384F89" w:rsidR="004C0661" w:rsidRPr="002369DB" w:rsidRDefault="004C0661" w:rsidP="00C474D2">
      <w:r w:rsidRPr="002369DB">
        <w:t>The ages of individual offenders sentenced for Commonwealth offences in the five-year period are shown in Figure 5. In both the Magistrates’ Court and the higher courts, more than half of federal offenders were aged between 25 and 44 (59% of offenders in the Magistrates’ Court and 60% in the higher courts).</w:t>
      </w:r>
    </w:p>
    <w:p w14:paraId="437E81CF" w14:textId="77777777" w:rsidR="004C0661" w:rsidRDefault="004C0661" w:rsidP="00A775DC">
      <w:pPr>
        <w:pStyle w:val="Caption"/>
      </w:pPr>
      <w:r w:rsidRPr="002369DB">
        <w:t>Figure 5: Ages of offenders sentenced for Commonwealth offences in Victoria, 1 July 2018 to 30 June 2023 (8,923 cases)</w:t>
      </w:r>
      <w:r w:rsidRPr="002369DB">
        <w:rPr>
          <w:rStyle w:val="Superscript"/>
        </w:rPr>
        <w:footnoteReference w:id="42"/>
      </w:r>
    </w:p>
    <w:tbl>
      <w:tblPr>
        <w:tblStyle w:val="Table"/>
        <w:tblW w:w="0" w:type="auto"/>
        <w:tblLayout w:type="fixed"/>
        <w:tblLook w:val="04A0" w:firstRow="1" w:lastRow="0" w:firstColumn="1" w:lastColumn="0" w:noHBand="0" w:noVBand="1"/>
      </w:tblPr>
      <w:tblGrid>
        <w:gridCol w:w="1803"/>
        <w:gridCol w:w="1803"/>
        <w:gridCol w:w="1803"/>
        <w:gridCol w:w="1803"/>
        <w:gridCol w:w="1804"/>
      </w:tblGrid>
      <w:tr w:rsidR="00F80FB4" w:rsidRPr="00361709" w14:paraId="27705055" w14:textId="5DD8A336" w:rsidTr="008103C0">
        <w:trPr>
          <w:trHeight w:val="312"/>
        </w:trPr>
        <w:tc>
          <w:tcPr>
            <w:tcW w:w="1803" w:type="dxa"/>
            <w:noWrap/>
            <w:hideMark/>
          </w:tcPr>
          <w:p w14:paraId="5A4E9D63" w14:textId="1BCB24EC" w:rsidR="00F80FB4" w:rsidRPr="00361709" w:rsidRDefault="00F80FB4" w:rsidP="00361709">
            <w:pPr>
              <w:pStyle w:val="TableHeading"/>
            </w:pPr>
            <w:r>
              <w:t>Age group</w:t>
            </w:r>
          </w:p>
        </w:tc>
        <w:tc>
          <w:tcPr>
            <w:tcW w:w="1803" w:type="dxa"/>
            <w:noWrap/>
            <w:hideMark/>
          </w:tcPr>
          <w:p w14:paraId="14F8CD90" w14:textId="7301FB35" w:rsidR="00F80FB4" w:rsidRPr="00361709" w:rsidRDefault="00F80FB4" w:rsidP="00361709">
            <w:pPr>
              <w:pStyle w:val="TableHeading"/>
            </w:pPr>
            <w:r>
              <w:t>Number</w:t>
            </w:r>
            <w:r w:rsidR="00195FF1">
              <w:t xml:space="preserve"> - </w:t>
            </w:r>
            <w:r w:rsidRPr="00361709">
              <w:t>Magistrates' Court</w:t>
            </w:r>
          </w:p>
        </w:tc>
        <w:tc>
          <w:tcPr>
            <w:tcW w:w="1803" w:type="dxa"/>
          </w:tcPr>
          <w:p w14:paraId="2C17EBD7" w14:textId="6B36AD39" w:rsidR="00F80FB4" w:rsidRPr="00361709" w:rsidRDefault="00F80FB4" w:rsidP="00361709">
            <w:pPr>
              <w:pStyle w:val="TableHeading"/>
            </w:pPr>
            <w:r>
              <w:t>Percentage</w:t>
            </w:r>
            <w:r w:rsidR="00195FF1">
              <w:t xml:space="preserve"> - </w:t>
            </w:r>
            <w:r>
              <w:t>Magistrates’ Court</w:t>
            </w:r>
          </w:p>
        </w:tc>
        <w:tc>
          <w:tcPr>
            <w:tcW w:w="1803" w:type="dxa"/>
            <w:noWrap/>
            <w:hideMark/>
          </w:tcPr>
          <w:p w14:paraId="27F2C4B0" w14:textId="2BA0578C" w:rsidR="00F80FB4" w:rsidRPr="00361709" w:rsidRDefault="00F80FB4" w:rsidP="00361709">
            <w:pPr>
              <w:pStyle w:val="TableHeading"/>
            </w:pPr>
            <w:r>
              <w:t>Number</w:t>
            </w:r>
            <w:r w:rsidR="00195FF1">
              <w:t xml:space="preserve"> - </w:t>
            </w:r>
            <w:r w:rsidR="00160EBF">
              <w:t>h</w:t>
            </w:r>
            <w:r w:rsidRPr="00361709">
              <w:t>igher courts</w:t>
            </w:r>
            <w:r>
              <w:t xml:space="preserve"> </w:t>
            </w:r>
          </w:p>
        </w:tc>
        <w:tc>
          <w:tcPr>
            <w:tcW w:w="1804" w:type="dxa"/>
          </w:tcPr>
          <w:p w14:paraId="5AFA2ED3" w14:textId="322A8BD6" w:rsidR="00F80FB4" w:rsidRDefault="00F80FB4" w:rsidP="00361709">
            <w:pPr>
              <w:pStyle w:val="TableHeading"/>
            </w:pPr>
            <w:r>
              <w:t>Percentage</w:t>
            </w:r>
            <w:r w:rsidR="00195FF1">
              <w:t xml:space="preserve"> - </w:t>
            </w:r>
            <w:r>
              <w:t>higher courts</w:t>
            </w:r>
          </w:p>
        </w:tc>
      </w:tr>
      <w:tr w:rsidR="00F80FB4" w:rsidRPr="00361709" w14:paraId="26BE5F26" w14:textId="4AE3372F" w:rsidTr="008103C0">
        <w:trPr>
          <w:trHeight w:val="312"/>
        </w:trPr>
        <w:tc>
          <w:tcPr>
            <w:tcW w:w="1803" w:type="dxa"/>
            <w:noWrap/>
            <w:hideMark/>
          </w:tcPr>
          <w:p w14:paraId="1AC68FCB" w14:textId="7079789B" w:rsidR="00F80FB4" w:rsidRPr="00361709" w:rsidRDefault="00F80FB4" w:rsidP="00CB4BFC">
            <w:pPr>
              <w:pStyle w:val="TableBody"/>
            </w:pPr>
            <w:r w:rsidRPr="00361709">
              <w:t>18</w:t>
            </w:r>
            <w:r w:rsidR="00781246">
              <w:t xml:space="preserve"> to </w:t>
            </w:r>
            <w:r w:rsidRPr="00361709">
              <w:t>24</w:t>
            </w:r>
          </w:p>
        </w:tc>
        <w:tc>
          <w:tcPr>
            <w:tcW w:w="1803" w:type="dxa"/>
            <w:noWrap/>
            <w:hideMark/>
          </w:tcPr>
          <w:p w14:paraId="4E871A17" w14:textId="77777777" w:rsidR="00F80FB4" w:rsidRPr="00361709" w:rsidRDefault="00F80FB4" w:rsidP="00CB4BFC">
            <w:pPr>
              <w:pStyle w:val="TableBody"/>
            </w:pPr>
            <w:r w:rsidRPr="00361709">
              <w:t>888</w:t>
            </w:r>
          </w:p>
        </w:tc>
        <w:tc>
          <w:tcPr>
            <w:tcW w:w="1803" w:type="dxa"/>
          </w:tcPr>
          <w:p w14:paraId="44ED01A6" w14:textId="4FE8D5E8" w:rsidR="00F80FB4" w:rsidRPr="00361709" w:rsidRDefault="003E6D1D" w:rsidP="00CB4BFC">
            <w:pPr>
              <w:pStyle w:val="TableBody"/>
            </w:pPr>
            <w:r>
              <w:t>11%</w:t>
            </w:r>
          </w:p>
        </w:tc>
        <w:tc>
          <w:tcPr>
            <w:tcW w:w="1803" w:type="dxa"/>
            <w:noWrap/>
            <w:hideMark/>
          </w:tcPr>
          <w:p w14:paraId="3000B8CD" w14:textId="2CBF60B0" w:rsidR="00F80FB4" w:rsidRPr="00361709" w:rsidRDefault="00F80FB4" w:rsidP="00CB4BFC">
            <w:pPr>
              <w:pStyle w:val="TableBody"/>
            </w:pPr>
            <w:r w:rsidRPr="00361709">
              <w:t>100</w:t>
            </w:r>
          </w:p>
        </w:tc>
        <w:tc>
          <w:tcPr>
            <w:tcW w:w="1804" w:type="dxa"/>
          </w:tcPr>
          <w:p w14:paraId="09C8DA72" w14:textId="263C82B7" w:rsidR="00F80FB4" w:rsidRPr="00361709" w:rsidRDefault="003E6D1D" w:rsidP="00CB4BFC">
            <w:pPr>
              <w:pStyle w:val="TableBody"/>
            </w:pPr>
            <w:r>
              <w:t>11%</w:t>
            </w:r>
          </w:p>
        </w:tc>
      </w:tr>
      <w:tr w:rsidR="00F80FB4" w:rsidRPr="00361709" w14:paraId="74F1F007" w14:textId="79710F1E" w:rsidTr="008103C0">
        <w:trPr>
          <w:trHeight w:val="312"/>
        </w:trPr>
        <w:tc>
          <w:tcPr>
            <w:tcW w:w="1803" w:type="dxa"/>
            <w:noWrap/>
            <w:hideMark/>
          </w:tcPr>
          <w:p w14:paraId="70550400" w14:textId="726708AA" w:rsidR="00F80FB4" w:rsidRPr="00361709" w:rsidRDefault="00F80FB4" w:rsidP="00CB4BFC">
            <w:pPr>
              <w:pStyle w:val="TableBody"/>
            </w:pPr>
            <w:r w:rsidRPr="00361709">
              <w:t>25</w:t>
            </w:r>
            <w:r w:rsidR="00781246">
              <w:t xml:space="preserve"> to </w:t>
            </w:r>
            <w:r w:rsidRPr="00361709">
              <w:t>34</w:t>
            </w:r>
          </w:p>
        </w:tc>
        <w:tc>
          <w:tcPr>
            <w:tcW w:w="1803" w:type="dxa"/>
            <w:noWrap/>
            <w:hideMark/>
          </w:tcPr>
          <w:p w14:paraId="088773FB" w14:textId="77777777" w:rsidR="00F80FB4" w:rsidRPr="00361709" w:rsidRDefault="00F80FB4" w:rsidP="00CB4BFC">
            <w:pPr>
              <w:pStyle w:val="TableBody"/>
            </w:pPr>
            <w:r w:rsidRPr="00361709">
              <w:t>2,372</w:t>
            </w:r>
          </w:p>
        </w:tc>
        <w:tc>
          <w:tcPr>
            <w:tcW w:w="1803" w:type="dxa"/>
          </w:tcPr>
          <w:p w14:paraId="69ED8453" w14:textId="6FA68BC5" w:rsidR="00F80FB4" w:rsidRPr="00361709" w:rsidRDefault="003E6D1D" w:rsidP="00CB4BFC">
            <w:pPr>
              <w:pStyle w:val="TableBody"/>
            </w:pPr>
            <w:r>
              <w:t>29%</w:t>
            </w:r>
          </w:p>
        </w:tc>
        <w:tc>
          <w:tcPr>
            <w:tcW w:w="1803" w:type="dxa"/>
            <w:noWrap/>
            <w:hideMark/>
          </w:tcPr>
          <w:p w14:paraId="4F7920F3" w14:textId="5365229B" w:rsidR="00F80FB4" w:rsidRPr="00361709" w:rsidRDefault="00F80FB4" w:rsidP="00CB4BFC">
            <w:pPr>
              <w:pStyle w:val="TableBody"/>
            </w:pPr>
            <w:r w:rsidRPr="00361709">
              <w:t>300</w:t>
            </w:r>
          </w:p>
        </w:tc>
        <w:tc>
          <w:tcPr>
            <w:tcW w:w="1804" w:type="dxa"/>
          </w:tcPr>
          <w:p w14:paraId="015DEB96" w14:textId="100BB556" w:rsidR="00F80FB4" w:rsidRPr="00361709" w:rsidRDefault="003E6D1D" w:rsidP="00CB4BFC">
            <w:pPr>
              <w:pStyle w:val="TableBody"/>
            </w:pPr>
            <w:r>
              <w:t>34%</w:t>
            </w:r>
          </w:p>
        </w:tc>
      </w:tr>
      <w:tr w:rsidR="00F80FB4" w:rsidRPr="00361709" w14:paraId="5B83D640" w14:textId="0B238C5F" w:rsidTr="008103C0">
        <w:trPr>
          <w:trHeight w:val="312"/>
        </w:trPr>
        <w:tc>
          <w:tcPr>
            <w:tcW w:w="1803" w:type="dxa"/>
            <w:noWrap/>
            <w:hideMark/>
          </w:tcPr>
          <w:p w14:paraId="00923003" w14:textId="19D0A555" w:rsidR="00F80FB4" w:rsidRPr="00361709" w:rsidRDefault="00F80FB4" w:rsidP="00CB4BFC">
            <w:pPr>
              <w:pStyle w:val="TableBody"/>
            </w:pPr>
            <w:r w:rsidRPr="00361709">
              <w:t>35</w:t>
            </w:r>
            <w:r w:rsidR="00781246">
              <w:t xml:space="preserve"> to </w:t>
            </w:r>
            <w:r w:rsidRPr="00361709">
              <w:t>44</w:t>
            </w:r>
          </w:p>
        </w:tc>
        <w:tc>
          <w:tcPr>
            <w:tcW w:w="1803" w:type="dxa"/>
            <w:noWrap/>
            <w:hideMark/>
          </w:tcPr>
          <w:p w14:paraId="0348931F" w14:textId="77777777" w:rsidR="00F80FB4" w:rsidRPr="00361709" w:rsidRDefault="00F80FB4" w:rsidP="00CB4BFC">
            <w:pPr>
              <w:pStyle w:val="TableBody"/>
            </w:pPr>
            <w:r w:rsidRPr="00361709">
              <w:t>2,431</w:t>
            </w:r>
          </w:p>
        </w:tc>
        <w:tc>
          <w:tcPr>
            <w:tcW w:w="1803" w:type="dxa"/>
          </w:tcPr>
          <w:p w14:paraId="39568659" w14:textId="1AF95493" w:rsidR="00F80FB4" w:rsidRPr="00361709" w:rsidRDefault="003E6D1D" w:rsidP="00CB4BFC">
            <w:pPr>
              <w:pStyle w:val="TableBody"/>
            </w:pPr>
            <w:r>
              <w:t>30%</w:t>
            </w:r>
          </w:p>
        </w:tc>
        <w:tc>
          <w:tcPr>
            <w:tcW w:w="1803" w:type="dxa"/>
            <w:noWrap/>
            <w:hideMark/>
          </w:tcPr>
          <w:p w14:paraId="1240D04D" w14:textId="57FA5332" w:rsidR="00F80FB4" w:rsidRPr="00361709" w:rsidRDefault="00F80FB4" w:rsidP="00CB4BFC">
            <w:pPr>
              <w:pStyle w:val="TableBody"/>
            </w:pPr>
            <w:r w:rsidRPr="00361709">
              <w:t>231</w:t>
            </w:r>
          </w:p>
        </w:tc>
        <w:tc>
          <w:tcPr>
            <w:tcW w:w="1804" w:type="dxa"/>
          </w:tcPr>
          <w:p w14:paraId="6DCCD8CD" w14:textId="5A76AC95" w:rsidR="00F80FB4" w:rsidRPr="00361709" w:rsidRDefault="003E6D1D" w:rsidP="00CB4BFC">
            <w:pPr>
              <w:pStyle w:val="TableBody"/>
            </w:pPr>
            <w:r>
              <w:t>26%</w:t>
            </w:r>
          </w:p>
        </w:tc>
      </w:tr>
      <w:tr w:rsidR="00F80FB4" w:rsidRPr="00361709" w14:paraId="5BEA2F23" w14:textId="66A60FF7" w:rsidTr="008103C0">
        <w:trPr>
          <w:trHeight w:val="312"/>
        </w:trPr>
        <w:tc>
          <w:tcPr>
            <w:tcW w:w="1803" w:type="dxa"/>
            <w:noWrap/>
            <w:hideMark/>
          </w:tcPr>
          <w:p w14:paraId="6BBF3040" w14:textId="13B03356" w:rsidR="00F80FB4" w:rsidRPr="00361709" w:rsidRDefault="00F80FB4" w:rsidP="00CB4BFC">
            <w:pPr>
              <w:pStyle w:val="TableBody"/>
            </w:pPr>
            <w:r w:rsidRPr="00361709">
              <w:t>45</w:t>
            </w:r>
            <w:r w:rsidR="00781246">
              <w:t xml:space="preserve"> to </w:t>
            </w:r>
            <w:r w:rsidRPr="00361709">
              <w:t>54</w:t>
            </w:r>
          </w:p>
        </w:tc>
        <w:tc>
          <w:tcPr>
            <w:tcW w:w="1803" w:type="dxa"/>
            <w:noWrap/>
            <w:hideMark/>
          </w:tcPr>
          <w:p w14:paraId="20AAE510" w14:textId="77777777" w:rsidR="00F80FB4" w:rsidRPr="00361709" w:rsidRDefault="00F80FB4" w:rsidP="00CB4BFC">
            <w:pPr>
              <w:pStyle w:val="TableBody"/>
            </w:pPr>
            <w:r w:rsidRPr="00361709">
              <w:t>1,640</w:t>
            </w:r>
          </w:p>
        </w:tc>
        <w:tc>
          <w:tcPr>
            <w:tcW w:w="1803" w:type="dxa"/>
          </w:tcPr>
          <w:p w14:paraId="34358AF2" w14:textId="3AA12FCB" w:rsidR="00F80FB4" w:rsidRPr="00361709" w:rsidRDefault="003E6D1D" w:rsidP="00CB4BFC">
            <w:pPr>
              <w:pStyle w:val="TableBody"/>
            </w:pPr>
            <w:r>
              <w:t>20%</w:t>
            </w:r>
          </w:p>
        </w:tc>
        <w:tc>
          <w:tcPr>
            <w:tcW w:w="1803" w:type="dxa"/>
            <w:noWrap/>
            <w:hideMark/>
          </w:tcPr>
          <w:p w14:paraId="57225A2C" w14:textId="476CCE5C" w:rsidR="00F80FB4" w:rsidRPr="00361709" w:rsidRDefault="00F80FB4" w:rsidP="00CB4BFC">
            <w:pPr>
              <w:pStyle w:val="TableBody"/>
            </w:pPr>
            <w:r w:rsidRPr="00361709">
              <w:t>134</w:t>
            </w:r>
          </w:p>
        </w:tc>
        <w:tc>
          <w:tcPr>
            <w:tcW w:w="1804" w:type="dxa"/>
          </w:tcPr>
          <w:p w14:paraId="0BBF7716" w14:textId="6B290B7F" w:rsidR="00F80FB4" w:rsidRPr="00361709" w:rsidRDefault="003E6D1D" w:rsidP="00CB4BFC">
            <w:pPr>
              <w:pStyle w:val="TableBody"/>
            </w:pPr>
            <w:r>
              <w:t>15%</w:t>
            </w:r>
          </w:p>
        </w:tc>
      </w:tr>
      <w:tr w:rsidR="00F80FB4" w:rsidRPr="00361709" w14:paraId="73A47BAD" w14:textId="4B48403D" w:rsidTr="008103C0">
        <w:trPr>
          <w:trHeight w:val="312"/>
        </w:trPr>
        <w:tc>
          <w:tcPr>
            <w:tcW w:w="1803" w:type="dxa"/>
            <w:noWrap/>
            <w:hideMark/>
          </w:tcPr>
          <w:p w14:paraId="421F33CC" w14:textId="7E067A1B" w:rsidR="00F80FB4" w:rsidRPr="00361709" w:rsidRDefault="003E6D1D" w:rsidP="00CB4BFC">
            <w:pPr>
              <w:pStyle w:val="TableBody"/>
            </w:pPr>
            <w:r>
              <w:t>55 and over</w:t>
            </w:r>
          </w:p>
        </w:tc>
        <w:tc>
          <w:tcPr>
            <w:tcW w:w="1803" w:type="dxa"/>
            <w:noWrap/>
            <w:hideMark/>
          </w:tcPr>
          <w:p w14:paraId="4212EA08" w14:textId="77777777" w:rsidR="00F80FB4" w:rsidRPr="00361709" w:rsidRDefault="00F80FB4" w:rsidP="00CB4BFC">
            <w:pPr>
              <w:pStyle w:val="TableBody"/>
            </w:pPr>
            <w:r w:rsidRPr="00361709">
              <w:t>717</w:t>
            </w:r>
          </w:p>
        </w:tc>
        <w:tc>
          <w:tcPr>
            <w:tcW w:w="1803" w:type="dxa"/>
          </w:tcPr>
          <w:p w14:paraId="3F3DD7AD" w14:textId="3751404E" w:rsidR="00F80FB4" w:rsidRPr="00361709" w:rsidRDefault="003E6D1D" w:rsidP="00CB4BFC">
            <w:pPr>
              <w:pStyle w:val="TableBody"/>
            </w:pPr>
            <w:r>
              <w:t>9%</w:t>
            </w:r>
          </w:p>
        </w:tc>
        <w:tc>
          <w:tcPr>
            <w:tcW w:w="1803" w:type="dxa"/>
            <w:noWrap/>
            <w:hideMark/>
          </w:tcPr>
          <w:p w14:paraId="6AA91556" w14:textId="0520327F" w:rsidR="00F80FB4" w:rsidRPr="00361709" w:rsidRDefault="00F80FB4" w:rsidP="00CB4BFC">
            <w:pPr>
              <w:pStyle w:val="TableBody"/>
            </w:pPr>
            <w:r w:rsidRPr="00361709">
              <w:t>110</w:t>
            </w:r>
          </w:p>
        </w:tc>
        <w:tc>
          <w:tcPr>
            <w:tcW w:w="1804" w:type="dxa"/>
          </w:tcPr>
          <w:p w14:paraId="2DD5354F" w14:textId="6F8BED18" w:rsidR="00F80FB4" w:rsidRPr="00361709" w:rsidRDefault="003E6D1D" w:rsidP="00CB4BFC">
            <w:pPr>
              <w:pStyle w:val="TableBody"/>
            </w:pPr>
            <w:r>
              <w:t>13%</w:t>
            </w:r>
          </w:p>
        </w:tc>
      </w:tr>
      <w:tr w:rsidR="00F80FB4" w:rsidRPr="00361709" w14:paraId="18F2497D" w14:textId="676AE6AC" w:rsidTr="008103C0">
        <w:trPr>
          <w:trHeight w:val="312"/>
        </w:trPr>
        <w:tc>
          <w:tcPr>
            <w:tcW w:w="1803" w:type="dxa"/>
            <w:noWrap/>
            <w:hideMark/>
          </w:tcPr>
          <w:p w14:paraId="08298A39" w14:textId="0AB24028" w:rsidR="00F80FB4" w:rsidRPr="00361709" w:rsidRDefault="00F80FB4" w:rsidP="00CB4BFC">
            <w:pPr>
              <w:pStyle w:val="TableBody"/>
            </w:pPr>
            <w:r>
              <w:t>Total</w:t>
            </w:r>
          </w:p>
        </w:tc>
        <w:tc>
          <w:tcPr>
            <w:tcW w:w="1803" w:type="dxa"/>
            <w:noWrap/>
            <w:hideMark/>
          </w:tcPr>
          <w:p w14:paraId="3CA84F40" w14:textId="77777777" w:rsidR="00F80FB4" w:rsidRPr="00361709" w:rsidRDefault="00F80FB4" w:rsidP="00CB4BFC">
            <w:pPr>
              <w:pStyle w:val="TableBody"/>
            </w:pPr>
            <w:r w:rsidRPr="00361709">
              <w:t>8,048</w:t>
            </w:r>
          </w:p>
        </w:tc>
        <w:tc>
          <w:tcPr>
            <w:tcW w:w="1803" w:type="dxa"/>
          </w:tcPr>
          <w:p w14:paraId="71ECCE7A" w14:textId="77777777" w:rsidR="00F80FB4" w:rsidRPr="00361709" w:rsidRDefault="00F80FB4" w:rsidP="00CB4BFC">
            <w:pPr>
              <w:pStyle w:val="TableBody"/>
            </w:pPr>
          </w:p>
        </w:tc>
        <w:tc>
          <w:tcPr>
            <w:tcW w:w="1803" w:type="dxa"/>
            <w:noWrap/>
            <w:hideMark/>
          </w:tcPr>
          <w:p w14:paraId="1FF519FA" w14:textId="4287E1C3" w:rsidR="00F80FB4" w:rsidRPr="00361709" w:rsidRDefault="00F80FB4" w:rsidP="00CB4BFC">
            <w:pPr>
              <w:pStyle w:val="TableBody"/>
            </w:pPr>
            <w:r w:rsidRPr="00361709">
              <w:t>875</w:t>
            </w:r>
          </w:p>
        </w:tc>
        <w:tc>
          <w:tcPr>
            <w:tcW w:w="1804" w:type="dxa"/>
          </w:tcPr>
          <w:p w14:paraId="0B203F8F" w14:textId="77777777" w:rsidR="00F80FB4" w:rsidRPr="00361709" w:rsidRDefault="00F80FB4" w:rsidP="00CB4BFC">
            <w:pPr>
              <w:pStyle w:val="TableBody"/>
            </w:pPr>
          </w:p>
        </w:tc>
      </w:tr>
    </w:tbl>
    <w:p w14:paraId="2126EC1B" w14:textId="77777777" w:rsidR="004C0661" w:rsidRPr="002369DB" w:rsidRDefault="004C0661" w:rsidP="007E07CF">
      <w:r w:rsidRPr="002369DB">
        <w:t xml:space="preserve">The ages of the 875 offenders sentenced in the higher courts ranged from 19 years (6 cases) to 77 years (4 cases), with a median age of 35 years. To illustrate the variety of offending by younger and older federal offenders in the higher courts: </w:t>
      </w:r>
    </w:p>
    <w:p w14:paraId="6D3C962E" w14:textId="77777777" w:rsidR="004C0661" w:rsidRPr="002369DB" w:rsidRDefault="004C0661" w:rsidP="00622026">
      <w:pPr>
        <w:pStyle w:val="Bullets"/>
      </w:pPr>
      <w:r w:rsidRPr="002369DB">
        <w:t xml:space="preserve">the 6 cases involving offenders aged 19 included 3 cases of importing a border controlled drug and/or possessing a border </w:t>
      </w:r>
      <w:r w:rsidRPr="002369DB">
        <w:lastRenderedPageBreak/>
        <w:t>controlled drug (in particular, MDMA and methylamphetamine),</w:t>
      </w:r>
      <w:r w:rsidRPr="002369DB">
        <w:rPr>
          <w:rStyle w:val="Superscript"/>
        </w:rPr>
        <w:footnoteReference w:id="43"/>
      </w:r>
      <w:r w:rsidRPr="002369DB">
        <w:t xml:space="preserve"> 2 cases of possessing and transmitting child abuse material, and 1 case of using a carriage service to menace, harass or offend</w:t>
      </w:r>
    </w:p>
    <w:p w14:paraId="485A62C3" w14:textId="77777777" w:rsidR="004C0661" w:rsidRPr="002369DB" w:rsidRDefault="004C0661" w:rsidP="00622026">
      <w:pPr>
        <w:pStyle w:val="Bullets"/>
      </w:pPr>
      <w:r w:rsidRPr="002369DB">
        <w:t>the 4 cases involving offenders aged 77 included 2 cases of obtaining a financial advantage by deception from a Commonwealth entity (both involving female offenders),</w:t>
      </w:r>
      <w:r w:rsidRPr="002369DB">
        <w:rPr>
          <w:rStyle w:val="Superscript"/>
        </w:rPr>
        <w:footnoteReference w:id="44"/>
      </w:r>
      <w:r w:rsidRPr="002369DB">
        <w:t xml:space="preserve"> 1 case of conveying or possessing imported tobacco products with intent to defraud the Commonwealth revenue, and 1 case of possessing and transmitting child abuse material.</w:t>
      </w:r>
      <w:r w:rsidRPr="002369DB">
        <w:rPr>
          <w:rStyle w:val="Superscript"/>
        </w:rPr>
        <w:footnoteReference w:id="45"/>
      </w:r>
      <w:r w:rsidRPr="002369DB">
        <w:t xml:space="preserve"> </w:t>
      </w:r>
    </w:p>
    <w:p w14:paraId="4E8BBD03" w14:textId="77777777" w:rsidR="004C0661" w:rsidRPr="002369DB" w:rsidRDefault="004C0661" w:rsidP="00C474D2">
      <w:r w:rsidRPr="002369DB">
        <w:t>In the Magistrates’ Court, age data was available for 8,048 cases (but not for the other 644 cases involving federal offenders). Of those 8,048 cases, the age of offenders ranged from 18 years (36 cases) to 87 years (1 case),</w:t>
      </w:r>
      <w:r w:rsidRPr="002369DB">
        <w:rPr>
          <w:rStyle w:val="Superscript"/>
        </w:rPr>
        <w:footnoteReference w:id="46"/>
      </w:r>
      <w:r w:rsidRPr="002369DB">
        <w:t xml:space="preserve"> with a median age of 37 years. In the 36 cases with offenders aged 18 years, 24 cases involved using a carriage service to menace, harass or offend, and 6 cases involved possessing counterfeit money. The one case with an offender aged 87 involved failing to provide bankruptcy information.</w:t>
      </w:r>
    </w:p>
    <w:p w14:paraId="61DF04B0" w14:textId="77777777" w:rsidR="004C0661" w:rsidRPr="002369DB" w:rsidRDefault="004C0661" w:rsidP="0079701C">
      <w:pPr>
        <w:pStyle w:val="Heading1"/>
      </w:pPr>
      <w:bookmarkStart w:id="7" w:name="_Toc224060085"/>
      <w:r w:rsidRPr="0079701C">
        <w:t>Sentence</w:t>
      </w:r>
      <w:r w:rsidRPr="002369DB">
        <w:t xml:space="preserve"> types imposed on federal offenders in Victoria</w:t>
      </w:r>
      <w:bookmarkEnd w:id="7"/>
    </w:p>
    <w:p w14:paraId="43C3C3A8" w14:textId="77777777" w:rsidR="004C0661" w:rsidRPr="002369DB" w:rsidRDefault="004C0661" w:rsidP="00C474D2">
      <w:r w:rsidRPr="002369DB">
        <w:t xml:space="preserve">The sentencing options available for Commonwealth offences are governed by the </w:t>
      </w:r>
      <w:r w:rsidRPr="002369DB">
        <w:rPr>
          <w:rStyle w:val="Italic"/>
        </w:rPr>
        <w:t xml:space="preserve">Crimes Act 1914 </w:t>
      </w:r>
      <w:r w:rsidRPr="002369DB">
        <w:t>(</w:t>
      </w:r>
      <w:proofErr w:type="spellStart"/>
      <w:r w:rsidRPr="002369DB">
        <w:t>Cth</w:t>
      </w:r>
      <w:proofErr w:type="spellEnd"/>
      <w:r w:rsidRPr="002369DB">
        <w:t xml:space="preserve">). Some of the sentencing options available do, however, vary between states and territories. Rather than establish a bespoke set of community orders for federal offenders, federal sentencing legislation ‘picks up’ the various community orders available in each jurisdiction (for example, community correction orders in Victoria </w:t>
      </w:r>
      <w:r w:rsidRPr="002369DB">
        <w:lastRenderedPageBreak/>
        <w:t xml:space="preserve">under the </w:t>
      </w:r>
      <w:r w:rsidRPr="002369DB">
        <w:rPr>
          <w:rStyle w:val="Italic"/>
        </w:rPr>
        <w:t xml:space="preserve">Sentencing Act 1991 </w:t>
      </w:r>
      <w:r w:rsidRPr="002369DB">
        <w:t>(Vic)). Because the various community orders and other dispositions (such as diversion</w:t>
      </w:r>
      <w:r w:rsidRPr="002369DB">
        <w:rPr>
          <w:rStyle w:val="Superscript"/>
        </w:rPr>
        <w:footnoteReference w:id="47"/>
      </w:r>
      <w:r w:rsidRPr="002369DB">
        <w:t>) available for Commonwealth offences are specific to each state and territory, caution is required when comparing sentencing outcomes for Commonwealth offences between jurisdictions.</w:t>
      </w:r>
    </w:p>
    <w:p w14:paraId="4835D734" w14:textId="77777777" w:rsidR="004C0661" w:rsidRPr="002369DB" w:rsidRDefault="004C0661" w:rsidP="00C474D2">
      <w:r w:rsidRPr="002369DB">
        <w:t xml:space="preserve">There were 724 cases in the higher courts and 4,353 cases in the Magistrates’ Court in which a Commonwealth offence was the principal proven offence in the five years to 30 June 2023. The principal sentences imposed in those 5,077 cases are presented in Figure 6. </w:t>
      </w:r>
    </w:p>
    <w:p w14:paraId="548DB131" w14:textId="77777777" w:rsidR="004C0661" w:rsidRPr="002369DB" w:rsidRDefault="004C0661" w:rsidP="00A775DC">
      <w:pPr>
        <w:pStyle w:val="Caption"/>
      </w:pPr>
      <w:r w:rsidRPr="002369DB">
        <w:t>Figure 6: Sentencing outcomes in cases involving a Commonwealth principal proven offence in Victoria, 1 July 2018 to 30 June 2023 (5,077 cases)</w:t>
      </w:r>
    </w:p>
    <w:tbl>
      <w:tblPr>
        <w:tblStyle w:val="Table"/>
        <w:tblW w:w="5000" w:type="pct"/>
        <w:tblLayout w:type="fixed"/>
        <w:tblLook w:val="04A0" w:firstRow="1" w:lastRow="0" w:firstColumn="1" w:lastColumn="0" w:noHBand="0" w:noVBand="1"/>
      </w:tblPr>
      <w:tblGrid>
        <w:gridCol w:w="1804"/>
        <w:gridCol w:w="1803"/>
        <w:gridCol w:w="1803"/>
        <w:gridCol w:w="1803"/>
        <w:gridCol w:w="1803"/>
      </w:tblGrid>
      <w:tr w:rsidR="00331887" w:rsidRPr="008A6382" w14:paraId="57AA4737" w14:textId="77777777" w:rsidTr="00E513E8">
        <w:trPr>
          <w:trHeight w:val="312"/>
          <w:tblHeader/>
        </w:trPr>
        <w:tc>
          <w:tcPr>
            <w:tcW w:w="1000" w:type="pct"/>
            <w:noWrap/>
            <w:hideMark/>
          </w:tcPr>
          <w:p w14:paraId="77B11593" w14:textId="61855ECA" w:rsidR="004E18A6" w:rsidRPr="008A6382" w:rsidRDefault="00376574" w:rsidP="00376574">
            <w:pPr>
              <w:pStyle w:val="TableHeading"/>
            </w:pPr>
            <w:r>
              <w:t>O</w:t>
            </w:r>
            <w:r w:rsidR="002E04A1">
              <w:t>u</w:t>
            </w:r>
            <w:r>
              <w:t>tcome</w:t>
            </w:r>
          </w:p>
        </w:tc>
        <w:tc>
          <w:tcPr>
            <w:tcW w:w="1000" w:type="pct"/>
            <w:noWrap/>
            <w:hideMark/>
          </w:tcPr>
          <w:p w14:paraId="5F958F34" w14:textId="2396C706" w:rsidR="004E18A6" w:rsidRPr="008A6382" w:rsidRDefault="004E18A6" w:rsidP="00376574">
            <w:pPr>
              <w:pStyle w:val="TableHeading"/>
            </w:pPr>
            <w:r>
              <w:t xml:space="preserve">Number </w:t>
            </w:r>
            <w:r w:rsidR="00690161">
              <w:t>-</w:t>
            </w:r>
            <w:r>
              <w:t xml:space="preserve"> </w:t>
            </w:r>
            <w:r w:rsidRPr="008A6382">
              <w:t>Magistrates' Court</w:t>
            </w:r>
          </w:p>
        </w:tc>
        <w:tc>
          <w:tcPr>
            <w:tcW w:w="1000" w:type="pct"/>
          </w:tcPr>
          <w:p w14:paraId="07500BB7" w14:textId="3217E03D" w:rsidR="004E18A6" w:rsidRPr="008A6382" w:rsidRDefault="004E18A6" w:rsidP="00376574">
            <w:pPr>
              <w:pStyle w:val="TableHeading"/>
            </w:pPr>
            <w:r>
              <w:t xml:space="preserve">Percentage </w:t>
            </w:r>
            <w:r w:rsidR="00690161">
              <w:t>-</w:t>
            </w:r>
            <w:r>
              <w:t xml:space="preserve"> Magistrates’ Court</w:t>
            </w:r>
          </w:p>
        </w:tc>
        <w:tc>
          <w:tcPr>
            <w:tcW w:w="1000" w:type="pct"/>
            <w:noWrap/>
            <w:hideMark/>
          </w:tcPr>
          <w:p w14:paraId="07A39FD3" w14:textId="7C7ED333" w:rsidR="004E18A6" w:rsidRPr="008A6382" w:rsidRDefault="004E18A6" w:rsidP="00376574">
            <w:pPr>
              <w:pStyle w:val="TableHeading"/>
            </w:pPr>
            <w:r>
              <w:t xml:space="preserve">Number </w:t>
            </w:r>
            <w:r w:rsidR="00690161">
              <w:t>-</w:t>
            </w:r>
            <w:r>
              <w:t xml:space="preserve"> </w:t>
            </w:r>
            <w:r w:rsidRPr="008A6382">
              <w:t>higher courts</w:t>
            </w:r>
          </w:p>
        </w:tc>
        <w:tc>
          <w:tcPr>
            <w:tcW w:w="1000" w:type="pct"/>
            <w:noWrap/>
            <w:hideMark/>
          </w:tcPr>
          <w:p w14:paraId="023C2028" w14:textId="51386CA6" w:rsidR="004E18A6" w:rsidRPr="008A6382" w:rsidRDefault="004E18A6" w:rsidP="00376574">
            <w:pPr>
              <w:pStyle w:val="TableHeading"/>
            </w:pPr>
            <w:r>
              <w:t xml:space="preserve">Percentage </w:t>
            </w:r>
            <w:r w:rsidR="00690161">
              <w:t>-</w:t>
            </w:r>
            <w:r>
              <w:t xml:space="preserve"> higher courts</w:t>
            </w:r>
          </w:p>
        </w:tc>
      </w:tr>
      <w:tr w:rsidR="00331887" w:rsidRPr="008A6382" w14:paraId="639550B3" w14:textId="77777777" w:rsidTr="00331887">
        <w:trPr>
          <w:trHeight w:val="312"/>
        </w:trPr>
        <w:tc>
          <w:tcPr>
            <w:tcW w:w="1000" w:type="pct"/>
            <w:noWrap/>
            <w:hideMark/>
          </w:tcPr>
          <w:p w14:paraId="3A7AFB06" w14:textId="77777777" w:rsidR="004E18A6" w:rsidRPr="008A6382" w:rsidRDefault="004E18A6" w:rsidP="004E18A6">
            <w:pPr>
              <w:pStyle w:val="TableBody"/>
            </w:pPr>
            <w:r w:rsidRPr="008A6382">
              <w:t>Bond with conviction</w:t>
            </w:r>
          </w:p>
        </w:tc>
        <w:tc>
          <w:tcPr>
            <w:tcW w:w="1000" w:type="pct"/>
            <w:noWrap/>
            <w:hideMark/>
          </w:tcPr>
          <w:p w14:paraId="1AFCF132" w14:textId="77777777" w:rsidR="004E18A6" w:rsidRPr="008A6382" w:rsidRDefault="004E18A6" w:rsidP="004E18A6">
            <w:pPr>
              <w:pStyle w:val="TableBody"/>
            </w:pPr>
            <w:r w:rsidRPr="008A6382">
              <w:t>216</w:t>
            </w:r>
          </w:p>
        </w:tc>
        <w:tc>
          <w:tcPr>
            <w:tcW w:w="1000" w:type="pct"/>
          </w:tcPr>
          <w:p w14:paraId="789B6B92" w14:textId="69DA7AB6" w:rsidR="004E18A6" w:rsidRPr="008A6382" w:rsidRDefault="004E18A6" w:rsidP="004E18A6">
            <w:pPr>
              <w:pStyle w:val="TableBody"/>
            </w:pPr>
            <w:r w:rsidRPr="008A6382">
              <w:t>5.0</w:t>
            </w:r>
            <w:r w:rsidR="00E513E8">
              <w:t>%</w:t>
            </w:r>
          </w:p>
        </w:tc>
        <w:tc>
          <w:tcPr>
            <w:tcW w:w="1000" w:type="pct"/>
            <w:noWrap/>
            <w:hideMark/>
          </w:tcPr>
          <w:p w14:paraId="74BDC0BC" w14:textId="24DE20C2" w:rsidR="004E18A6" w:rsidRPr="008A6382" w:rsidRDefault="004E18A6" w:rsidP="004E18A6">
            <w:pPr>
              <w:pStyle w:val="TableBody"/>
            </w:pPr>
            <w:r w:rsidRPr="008A6382">
              <w:t>5</w:t>
            </w:r>
          </w:p>
        </w:tc>
        <w:tc>
          <w:tcPr>
            <w:tcW w:w="1000" w:type="pct"/>
            <w:noWrap/>
            <w:hideMark/>
          </w:tcPr>
          <w:p w14:paraId="085C9A3A" w14:textId="239BE979" w:rsidR="004E18A6" w:rsidRPr="008A6382" w:rsidRDefault="004E18A6" w:rsidP="004E18A6">
            <w:pPr>
              <w:pStyle w:val="TableBody"/>
            </w:pPr>
            <w:r w:rsidRPr="008A6382">
              <w:t>0.7</w:t>
            </w:r>
            <w:r w:rsidR="00E513E8">
              <w:t>%</w:t>
            </w:r>
          </w:p>
        </w:tc>
      </w:tr>
      <w:tr w:rsidR="00331887" w:rsidRPr="008A6382" w14:paraId="780BF288" w14:textId="77777777" w:rsidTr="00331887">
        <w:trPr>
          <w:trHeight w:val="312"/>
        </w:trPr>
        <w:tc>
          <w:tcPr>
            <w:tcW w:w="1000" w:type="pct"/>
            <w:noWrap/>
            <w:hideMark/>
          </w:tcPr>
          <w:p w14:paraId="7245D49E" w14:textId="77777777" w:rsidR="004E18A6" w:rsidRPr="008A6382" w:rsidRDefault="004E18A6" w:rsidP="004E18A6">
            <w:pPr>
              <w:pStyle w:val="TableBody"/>
            </w:pPr>
            <w:r w:rsidRPr="008A6382">
              <w:t>Bond without conviction</w:t>
            </w:r>
          </w:p>
        </w:tc>
        <w:tc>
          <w:tcPr>
            <w:tcW w:w="1000" w:type="pct"/>
            <w:noWrap/>
            <w:hideMark/>
          </w:tcPr>
          <w:p w14:paraId="7BFA9952" w14:textId="77777777" w:rsidR="004E18A6" w:rsidRPr="008A6382" w:rsidRDefault="004E18A6" w:rsidP="004E18A6">
            <w:pPr>
              <w:pStyle w:val="TableBody"/>
            </w:pPr>
            <w:r w:rsidRPr="008A6382">
              <w:t>773</w:t>
            </w:r>
          </w:p>
        </w:tc>
        <w:tc>
          <w:tcPr>
            <w:tcW w:w="1000" w:type="pct"/>
          </w:tcPr>
          <w:p w14:paraId="65C9C353" w14:textId="606442D9" w:rsidR="004E18A6" w:rsidRPr="008A6382" w:rsidRDefault="004E18A6" w:rsidP="004E18A6">
            <w:pPr>
              <w:pStyle w:val="TableBody"/>
            </w:pPr>
            <w:r w:rsidRPr="008A6382">
              <w:t>17.8</w:t>
            </w:r>
            <w:r w:rsidR="00E513E8">
              <w:t>%</w:t>
            </w:r>
          </w:p>
        </w:tc>
        <w:tc>
          <w:tcPr>
            <w:tcW w:w="1000" w:type="pct"/>
            <w:noWrap/>
            <w:hideMark/>
          </w:tcPr>
          <w:p w14:paraId="57D8DC98" w14:textId="7D7AA99C" w:rsidR="004E18A6" w:rsidRPr="008A6382" w:rsidRDefault="004E18A6" w:rsidP="004E18A6">
            <w:pPr>
              <w:pStyle w:val="TableBody"/>
            </w:pPr>
            <w:r w:rsidRPr="008A6382">
              <w:t>3</w:t>
            </w:r>
          </w:p>
        </w:tc>
        <w:tc>
          <w:tcPr>
            <w:tcW w:w="1000" w:type="pct"/>
            <w:noWrap/>
            <w:hideMark/>
          </w:tcPr>
          <w:p w14:paraId="33B669F7" w14:textId="2F589063" w:rsidR="004E18A6" w:rsidRPr="008A6382" w:rsidRDefault="004E18A6" w:rsidP="004E18A6">
            <w:pPr>
              <w:pStyle w:val="TableBody"/>
            </w:pPr>
            <w:r w:rsidRPr="008A6382">
              <w:t>0.4</w:t>
            </w:r>
            <w:r w:rsidR="00E513E8">
              <w:t>%</w:t>
            </w:r>
          </w:p>
        </w:tc>
      </w:tr>
      <w:tr w:rsidR="00331887" w:rsidRPr="008A6382" w14:paraId="5A3DBB35" w14:textId="77777777" w:rsidTr="00331887">
        <w:trPr>
          <w:trHeight w:val="312"/>
        </w:trPr>
        <w:tc>
          <w:tcPr>
            <w:tcW w:w="1000" w:type="pct"/>
            <w:noWrap/>
            <w:hideMark/>
          </w:tcPr>
          <w:p w14:paraId="7D644862" w14:textId="77777777" w:rsidR="004E18A6" w:rsidRPr="008A6382" w:rsidRDefault="004E18A6" w:rsidP="004E18A6">
            <w:pPr>
              <w:pStyle w:val="TableBody"/>
            </w:pPr>
            <w:r w:rsidRPr="008A6382">
              <w:t>Community correction order</w:t>
            </w:r>
          </w:p>
        </w:tc>
        <w:tc>
          <w:tcPr>
            <w:tcW w:w="1000" w:type="pct"/>
            <w:noWrap/>
            <w:hideMark/>
          </w:tcPr>
          <w:p w14:paraId="0B39D6E9" w14:textId="77777777" w:rsidR="004E18A6" w:rsidRPr="008A6382" w:rsidRDefault="004E18A6" w:rsidP="004E18A6">
            <w:pPr>
              <w:pStyle w:val="TableBody"/>
            </w:pPr>
            <w:r w:rsidRPr="008A6382">
              <w:t>314</w:t>
            </w:r>
          </w:p>
        </w:tc>
        <w:tc>
          <w:tcPr>
            <w:tcW w:w="1000" w:type="pct"/>
          </w:tcPr>
          <w:p w14:paraId="15201957" w14:textId="01657659" w:rsidR="004E18A6" w:rsidRPr="008A6382" w:rsidRDefault="004E18A6" w:rsidP="004E18A6">
            <w:pPr>
              <w:pStyle w:val="TableBody"/>
            </w:pPr>
            <w:r w:rsidRPr="008A6382">
              <w:t>7.2</w:t>
            </w:r>
            <w:r w:rsidR="00E513E8">
              <w:t>%</w:t>
            </w:r>
          </w:p>
        </w:tc>
        <w:tc>
          <w:tcPr>
            <w:tcW w:w="1000" w:type="pct"/>
            <w:noWrap/>
            <w:hideMark/>
          </w:tcPr>
          <w:p w14:paraId="44F64D22" w14:textId="08573886" w:rsidR="004E18A6" w:rsidRPr="008A6382" w:rsidRDefault="004E18A6" w:rsidP="004E18A6">
            <w:pPr>
              <w:pStyle w:val="TableBody"/>
            </w:pPr>
            <w:r w:rsidRPr="008A6382">
              <w:t>41</w:t>
            </w:r>
          </w:p>
        </w:tc>
        <w:tc>
          <w:tcPr>
            <w:tcW w:w="1000" w:type="pct"/>
            <w:noWrap/>
            <w:hideMark/>
          </w:tcPr>
          <w:p w14:paraId="74E397A6" w14:textId="73A8001A" w:rsidR="004E18A6" w:rsidRPr="008A6382" w:rsidRDefault="004E18A6" w:rsidP="004E18A6">
            <w:pPr>
              <w:pStyle w:val="TableBody"/>
            </w:pPr>
            <w:r w:rsidRPr="008A6382">
              <w:t>5.7</w:t>
            </w:r>
            <w:r w:rsidR="00E513E8">
              <w:t>%</w:t>
            </w:r>
          </w:p>
        </w:tc>
      </w:tr>
      <w:tr w:rsidR="00331887" w:rsidRPr="008A6382" w14:paraId="330009BC" w14:textId="77777777" w:rsidTr="00331887">
        <w:trPr>
          <w:trHeight w:val="312"/>
        </w:trPr>
        <w:tc>
          <w:tcPr>
            <w:tcW w:w="1000" w:type="pct"/>
            <w:noWrap/>
            <w:hideMark/>
          </w:tcPr>
          <w:p w14:paraId="0D43BC7E" w14:textId="77777777" w:rsidR="004E18A6" w:rsidRPr="008A6382" w:rsidRDefault="004E18A6" w:rsidP="004E18A6">
            <w:pPr>
              <w:pStyle w:val="TableBody"/>
            </w:pPr>
            <w:r w:rsidRPr="008A6382">
              <w:t>Diversion program</w:t>
            </w:r>
          </w:p>
        </w:tc>
        <w:tc>
          <w:tcPr>
            <w:tcW w:w="1000" w:type="pct"/>
            <w:noWrap/>
            <w:hideMark/>
          </w:tcPr>
          <w:p w14:paraId="7AA2F840" w14:textId="77777777" w:rsidR="004E18A6" w:rsidRPr="008A6382" w:rsidRDefault="004E18A6" w:rsidP="004E18A6">
            <w:pPr>
              <w:pStyle w:val="TableBody"/>
            </w:pPr>
            <w:r w:rsidRPr="008A6382">
              <w:t>438</w:t>
            </w:r>
          </w:p>
        </w:tc>
        <w:tc>
          <w:tcPr>
            <w:tcW w:w="1000" w:type="pct"/>
          </w:tcPr>
          <w:p w14:paraId="369BB03B" w14:textId="2C79DCF2" w:rsidR="004E18A6" w:rsidRPr="008A6382" w:rsidRDefault="004E18A6" w:rsidP="004E18A6">
            <w:pPr>
              <w:pStyle w:val="TableBody"/>
            </w:pPr>
            <w:r w:rsidRPr="008A6382">
              <w:t>10.1</w:t>
            </w:r>
            <w:r w:rsidR="00E513E8">
              <w:t>%</w:t>
            </w:r>
          </w:p>
        </w:tc>
        <w:tc>
          <w:tcPr>
            <w:tcW w:w="1000" w:type="pct"/>
            <w:noWrap/>
            <w:hideMark/>
          </w:tcPr>
          <w:p w14:paraId="591A9E38" w14:textId="0B78DBFA" w:rsidR="004E18A6" w:rsidRPr="008A6382" w:rsidRDefault="004E18A6" w:rsidP="004E18A6">
            <w:pPr>
              <w:pStyle w:val="TableBody"/>
            </w:pPr>
            <w:r w:rsidRPr="008A6382">
              <w:t>0</w:t>
            </w:r>
          </w:p>
        </w:tc>
        <w:tc>
          <w:tcPr>
            <w:tcW w:w="1000" w:type="pct"/>
            <w:noWrap/>
            <w:hideMark/>
          </w:tcPr>
          <w:p w14:paraId="7117A41E" w14:textId="0F18D2FE" w:rsidR="004E18A6" w:rsidRPr="008A6382" w:rsidRDefault="004E18A6" w:rsidP="004E18A6">
            <w:pPr>
              <w:pStyle w:val="TableBody"/>
            </w:pPr>
            <w:r w:rsidRPr="008A6382">
              <w:t>0.0</w:t>
            </w:r>
            <w:r w:rsidR="00E513E8">
              <w:t>%</w:t>
            </w:r>
          </w:p>
        </w:tc>
      </w:tr>
      <w:tr w:rsidR="00331887" w:rsidRPr="008A6382" w14:paraId="155BB568" w14:textId="77777777" w:rsidTr="00331887">
        <w:trPr>
          <w:trHeight w:val="312"/>
        </w:trPr>
        <w:tc>
          <w:tcPr>
            <w:tcW w:w="1000" w:type="pct"/>
            <w:noWrap/>
            <w:hideMark/>
          </w:tcPr>
          <w:p w14:paraId="23824E6F" w14:textId="77777777" w:rsidR="004E18A6" w:rsidRPr="008A6382" w:rsidRDefault="004E18A6" w:rsidP="004E18A6">
            <w:pPr>
              <w:pStyle w:val="TableBody"/>
            </w:pPr>
            <w:r w:rsidRPr="008A6382">
              <w:t>Fine with conviction</w:t>
            </w:r>
          </w:p>
        </w:tc>
        <w:tc>
          <w:tcPr>
            <w:tcW w:w="1000" w:type="pct"/>
            <w:noWrap/>
            <w:hideMark/>
          </w:tcPr>
          <w:p w14:paraId="5907C9B2" w14:textId="77777777" w:rsidR="004E18A6" w:rsidRPr="008A6382" w:rsidRDefault="004E18A6" w:rsidP="004E18A6">
            <w:pPr>
              <w:pStyle w:val="TableBody"/>
            </w:pPr>
            <w:r w:rsidRPr="008A6382">
              <w:t>2,184</w:t>
            </w:r>
          </w:p>
        </w:tc>
        <w:tc>
          <w:tcPr>
            <w:tcW w:w="1000" w:type="pct"/>
          </w:tcPr>
          <w:p w14:paraId="4A5218C6" w14:textId="6510514D" w:rsidR="004E18A6" w:rsidRPr="008A6382" w:rsidRDefault="004E18A6" w:rsidP="004E18A6">
            <w:pPr>
              <w:pStyle w:val="TableBody"/>
            </w:pPr>
            <w:r w:rsidRPr="008A6382">
              <w:t>50.</w:t>
            </w:r>
            <w:r w:rsidR="0056203A">
              <w:t>2</w:t>
            </w:r>
            <w:r w:rsidR="00E513E8">
              <w:t>%</w:t>
            </w:r>
          </w:p>
        </w:tc>
        <w:tc>
          <w:tcPr>
            <w:tcW w:w="1000" w:type="pct"/>
            <w:noWrap/>
            <w:hideMark/>
          </w:tcPr>
          <w:p w14:paraId="1AD1958C" w14:textId="0DC499EF" w:rsidR="004E18A6" w:rsidRPr="008A6382" w:rsidRDefault="004E18A6" w:rsidP="004E18A6">
            <w:pPr>
              <w:pStyle w:val="TableBody"/>
            </w:pPr>
            <w:r w:rsidRPr="008A6382">
              <w:t>12</w:t>
            </w:r>
          </w:p>
        </w:tc>
        <w:tc>
          <w:tcPr>
            <w:tcW w:w="1000" w:type="pct"/>
            <w:noWrap/>
            <w:hideMark/>
          </w:tcPr>
          <w:p w14:paraId="5286B85D" w14:textId="46632354" w:rsidR="004E18A6" w:rsidRPr="008A6382" w:rsidRDefault="004E18A6" w:rsidP="004E18A6">
            <w:pPr>
              <w:pStyle w:val="TableBody"/>
            </w:pPr>
            <w:r w:rsidRPr="008A6382">
              <w:t>1.7</w:t>
            </w:r>
            <w:r w:rsidR="00E513E8">
              <w:t>%</w:t>
            </w:r>
          </w:p>
        </w:tc>
      </w:tr>
      <w:tr w:rsidR="00331887" w:rsidRPr="008A6382" w14:paraId="401FFA9A" w14:textId="77777777" w:rsidTr="00331887">
        <w:trPr>
          <w:trHeight w:val="312"/>
        </w:trPr>
        <w:tc>
          <w:tcPr>
            <w:tcW w:w="1000" w:type="pct"/>
            <w:noWrap/>
            <w:hideMark/>
          </w:tcPr>
          <w:p w14:paraId="7A4B26A7" w14:textId="77777777" w:rsidR="004E18A6" w:rsidRPr="008A6382" w:rsidRDefault="004E18A6" w:rsidP="004E18A6">
            <w:pPr>
              <w:pStyle w:val="TableBody"/>
            </w:pPr>
            <w:r w:rsidRPr="008A6382">
              <w:t>Imprisonment</w:t>
            </w:r>
          </w:p>
        </w:tc>
        <w:tc>
          <w:tcPr>
            <w:tcW w:w="1000" w:type="pct"/>
            <w:noWrap/>
            <w:hideMark/>
          </w:tcPr>
          <w:p w14:paraId="3016C6A3" w14:textId="5A9E1131" w:rsidR="004E18A6" w:rsidRPr="008A6382" w:rsidRDefault="0056203A" w:rsidP="004E18A6">
            <w:pPr>
              <w:pStyle w:val="TableBody"/>
            </w:pPr>
            <w:r>
              <w:t>337</w:t>
            </w:r>
          </w:p>
        </w:tc>
        <w:tc>
          <w:tcPr>
            <w:tcW w:w="1000" w:type="pct"/>
          </w:tcPr>
          <w:p w14:paraId="2A7E5E19" w14:textId="66620CB7" w:rsidR="004E18A6" w:rsidRPr="008A6382" w:rsidRDefault="004E18A6" w:rsidP="004E18A6">
            <w:pPr>
              <w:pStyle w:val="TableBody"/>
            </w:pPr>
            <w:r w:rsidRPr="008A6382">
              <w:t>7.</w:t>
            </w:r>
            <w:r w:rsidR="0056203A">
              <w:t>7</w:t>
            </w:r>
            <w:r w:rsidR="00E513E8">
              <w:t>%</w:t>
            </w:r>
          </w:p>
        </w:tc>
        <w:tc>
          <w:tcPr>
            <w:tcW w:w="1000" w:type="pct"/>
            <w:noWrap/>
            <w:hideMark/>
          </w:tcPr>
          <w:p w14:paraId="74CF1954" w14:textId="4A8D518D" w:rsidR="004E18A6" w:rsidRPr="008A6382" w:rsidRDefault="004E18A6" w:rsidP="004E18A6">
            <w:pPr>
              <w:pStyle w:val="TableBody"/>
            </w:pPr>
            <w:r w:rsidRPr="008A6382">
              <w:t>661</w:t>
            </w:r>
          </w:p>
        </w:tc>
        <w:tc>
          <w:tcPr>
            <w:tcW w:w="1000" w:type="pct"/>
            <w:noWrap/>
            <w:hideMark/>
          </w:tcPr>
          <w:p w14:paraId="1DEA49DA" w14:textId="644F2B2D" w:rsidR="004E18A6" w:rsidRPr="008A6382" w:rsidRDefault="004E18A6" w:rsidP="004E18A6">
            <w:pPr>
              <w:pStyle w:val="TableBody"/>
            </w:pPr>
            <w:r w:rsidRPr="008A6382">
              <w:t>91.3</w:t>
            </w:r>
            <w:r w:rsidR="00E513E8">
              <w:t>%</w:t>
            </w:r>
          </w:p>
        </w:tc>
      </w:tr>
      <w:tr w:rsidR="00331887" w:rsidRPr="008A6382" w14:paraId="5E1CBEA4" w14:textId="77777777" w:rsidTr="00331887">
        <w:trPr>
          <w:trHeight w:val="312"/>
        </w:trPr>
        <w:tc>
          <w:tcPr>
            <w:tcW w:w="1000" w:type="pct"/>
            <w:noWrap/>
            <w:hideMark/>
          </w:tcPr>
          <w:p w14:paraId="25DDB5F8" w14:textId="77777777" w:rsidR="004E18A6" w:rsidRPr="008A6382" w:rsidRDefault="004E18A6" w:rsidP="004E18A6">
            <w:pPr>
              <w:pStyle w:val="TableBody"/>
            </w:pPr>
            <w:r w:rsidRPr="008A6382">
              <w:t>Other</w:t>
            </w:r>
          </w:p>
        </w:tc>
        <w:tc>
          <w:tcPr>
            <w:tcW w:w="1000" w:type="pct"/>
            <w:noWrap/>
            <w:hideMark/>
          </w:tcPr>
          <w:p w14:paraId="459AC4A2" w14:textId="77777777" w:rsidR="004E18A6" w:rsidRPr="008A6382" w:rsidRDefault="004E18A6" w:rsidP="004E18A6">
            <w:pPr>
              <w:pStyle w:val="TableBody"/>
            </w:pPr>
            <w:r w:rsidRPr="008A6382">
              <w:t>91</w:t>
            </w:r>
          </w:p>
        </w:tc>
        <w:tc>
          <w:tcPr>
            <w:tcW w:w="1000" w:type="pct"/>
          </w:tcPr>
          <w:p w14:paraId="2F430DFB" w14:textId="58C5495A" w:rsidR="004E18A6" w:rsidRPr="008A6382" w:rsidRDefault="004E18A6" w:rsidP="004E18A6">
            <w:pPr>
              <w:pStyle w:val="TableBody"/>
            </w:pPr>
            <w:r w:rsidRPr="008A6382">
              <w:t>2.1</w:t>
            </w:r>
            <w:r w:rsidR="00E513E8">
              <w:t>%</w:t>
            </w:r>
          </w:p>
        </w:tc>
        <w:tc>
          <w:tcPr>
            <w:tcW w:w="1000" w:type="pct"/>
            <w:noWrap/>
            <w:hideMark/>
          </w:tcPr>
          <w:p w14:paraId="5D765703" w14:textId="4CECB0AF" w:rsidR="004E18A6" w:rsidRPr="008A6382" w:rsidRDefault="004E18A6" w:rsidP="004E18A6">
            <w:pPr>
              <w:pStyle w:val="TableBody"/>
            </w:pPr>
            <w:r w:rsidRPr="008A6382">
              <w:t>2</w:t>
            </w:r>
          </w:p>
        </w:tc>
        <w:tc>
          <w:tcPr>
            <w:tcW w:w="1000" w:type="pct"/>
            <w:noWrap/>
            <w:hideMark/>
          </w:tcPr>
          <w:p w14:paraId="1BC7E158" w14:textId="4C383922" w:rsidR="004E18A6" w:rsidRPr="008A6382" w:rsidRDefault="004E18A6" w:rsidP="004E18A6">
            <w:pPr>
              <w:pStyle w:val="TableBody"/>
            </w:pPr>
            <w:r w:rsidRPr="008A6382">
              <w:t>0.3</w:t>
            </w:r>
            <w:r w:rsidR="00E513E8">
              <w:t>%</w:t>
            </w:r>
          </w:p>
        </w:tc>
      </w:tr>
      <w:tr w:rsidR="00331887" w:rsidRPr="008A6382" w14:paraId="0C79BCC6" w14:textId="77777777" w:rsidTr="00331887">
        <w:trPr>
          <w:trHeight w:val="312"/>
        </w:trPr>
        <w:tc>
          <w:tcPr>
            <w:tcW w:w="1000" w:type="pct"/>
            <w:noWrap/>
            <w:hideMark/>
          </w:tcPr>
          <w:p w14:paraId="0FCA72F9" w14:textId="4F01A40B" w:rsidR="004E18A6" w:rsidRPr="008A6382" w:rsidRDefault="0056203A" w:rsidP="004E18A6">
            <w:pPr>
              <w:pStyle w:val="TableBody"/>
            </w:pPr>
            <w:r>
              <w:t>Total</w:t>
            </w:r>
          </w:p>
        </w:tc>
        <w:tc>
          <w:tcPr>
            <w:tcW w:w="1000" w:type="pct"/>
            <w:noWrap/>
            <w:hideMark/>
          </w:tcPr>
          <w:p w14:paraId="64A96251" w14:textId="79B22CD6" w:rsidR="004E18A6" w:rsidRPr="008A6382" w:rsidRDefault="004E18A6" w:rsidP="004E18A6">
            <w:pPr>
              <w:pStyle w:val="TableBody"/>
            </w:pPr>
            <w:r w:rsidRPr="008A6382">
              <w:t>4,3</w:t>
            </w:r>
            <w:r w:rsidR="0064011D">
              <w:t>53</w:t>
            </w:r>
          </w:p>
        </w:tc>
        <w:tc>
          <w:tcPr>
            <w:tcW w:w="1000" w:type="pct"/>
          </w:tcPr>
          <w:p w14:paraId="45D5CFAF" w14:textId="77777777" w:rsidR="004E18A6" w:rsidRPr="008A6382" w:rsidRDefault="004E18A6" w:rsidP="004E18A6">
            <w:pPr>
              <w:pStyle w:val="TableBody"/>
            </w:pPr>
          </w:p>
        </w:tc>
        <w:tc>
          <w:tcPr>
            <w:tcW w:w="1000" w:type="pct"/>
            <w:noWrap/>
            <w:hideMark/>
          </w:tcPr>
          <w:p w14:paraId="512DAF8A" w14:textId="3A7C18F2" w:rsidR="004E18A6" w:rsidRPr="008A6382" w:rsidRDefault="004E18A6" w:rsidP="004E18A6">
            <w:pPr>
              <w:pStyle w:val="TableBody"/>
            </w:pPr>
            <w:r w:rsidRPr="008A6382">
              <w:t>724</w:t>
            </w:r>
          </w:p>
        </w:tc>
        <w:tc>
          <w:tcPr>
            <w:tcW w:w="1000" w:type="pct"/>
            <w:noWrap/>
            <w:hideMark/>
          </w:tcPr>
          <w:p w14:paraId="13DFD1A1" w14:textId="77777777" w:rsidR="004E18A6" w:rsidRPr="008A6382" w:rsidRDefault="004E18A6" w:rsidP="004E18A6">
            <w:pPr>
              <w:pStyle w:val="TableBody"/>
              <w:rPr>
                <w:szCs w:val="20"/>
              </w:rPr>
            </w:pPr>
          </w:p>
        </w:tc>
      </w:tr>
    </w:tbl>
    <w:p w14:paraId="01D5E6EA" w14:textId="77777777" w:rsidR="004C0661" w:rsidRPr="002369DB" w:rsidRDefault="004C0661" w:rsidP="00622026">
      <w:pPr>
        <w:pStyle w:val="Heading2"/>
      </w:pPr>
      <w:r w:rsidRPr="002369DB">
        <w:lastRenderedPageBreak/>
        <w:t>Sentencing outcomes in the higher courts</w:t>
      </w:r>
    </w:p>
    <w:p w14:paraId="06084AEB" w14:textId="77777777" w:rsidR="004C0661" w:rsidRPr="002369DB" w:rsidRDefault="004C0661" w:rsidP="00C474D2">
      <w:r w:rsidRPr="002369DB">
        <w:t>In the higher courts, the vast majority of the 724 cases resulted in an imprisonment term (91.3% or 661 cases), including imprisonment only (348 cases), imprisonment with later release on a recognizance release order (171 cases) and imprisonment with immediate release on a recognizance release order (142 cases). The remaining cases resulted in a bond with conviction (5 cases), a bond without conviction (3 cases), a community correction order (41 cases), a fine with conviction (12 cases), probation (1 case) or conditional release (1 case). The imprisonment rate of 91% for higher courts cases involving a Commonwealth principal proven offence is notably higher than the imprisonment rate for all higher courts cases (about 74% of cases received imprisonment in most years since 2016–17).</w:t>
      </w:r>
      <w:r w:rsidRPr="002369DB">
        <w:rPr>
          <w:rStyle w:val="Superscript"/>
        </w:rPr>
        <w:footnoteReference w:id="48"/>
      </w:r>
      <w:r w:rsidRPr="002369DB">
        <w:t xml:space="preserve"> </w:t>
      </w:r>
    </w:p>
    <w:p w14:paraId="072EDDC9" w14:textId="77777777" w:rsidR="004C0661" w:rsidRPr="002369DB" w:rsidRDefault="004C0661" w:rsidP="00622026">
      <w:pPr>
        <w:pStyle w:val="Heading2"/>
      </w:pPr>
      <w:r w:rsidRPr="002369DB">
        <w:t>Sentencing outcomes in the Magistrates’ Court</w:t>
      </w:r>
    </w:p>
    <w:p w14:paraId="2BFF2C45" w14:textId="77777777" w:rsidR="004C0661" w:rsidRPr="002369DB" w:rsidRDefault="004C0661" w:rsidP="00C474D2">
      <w:r w:rsidRPr="002369DB">
        <w:t>In the Magistrates’ Court, half of the federal offenders received a fine as their most severe penalty (50.2% of cases). The next most common outcomes were a bond without conviction (17.8%), diversion (10.1%), imprisonment (7.7%), a community correction order (7.2%), a bond with conviction (5.0%) and dismissal without conviction (2.1%). The rate for fines in cases involving Commonwealth offences is consistent with the rate of fines for all Magistrates’ Court cases since 2018–19 (between 48.0% and 54.5%).</w:t>
      </w:r>
      <w:r w:rsidRPr="002369DB">
        <w:rPr>
          <w:rStyle w:val="Superscript"/>
        </w:rPr>
        <w:footnoteReference w:id="49"/>
      </w:r>
      <w:r w:rsidRPr="002369DB">
        <w:t xml:space="preserve"> The proportion of Commonwealth offences resulting in diversion in the Magistrates’ Court (10.1% of cases) is higher than the proportion of </w:t>
      </w:r>
      <w:r w:rsidRPr="002369DB">
        <w:rPr>
          <w:rStyle w:val="Italic"/>
        </w:rPr>
        <w:t xml:space="preserve">all </w:t>
      </w:r>
      <w:r w:rsidRPr="002369DB">
        <w:t xml:space="preserve">offences resulting in diversion in the Magistrates’ Court </w:t>
      </w:r>
      <w:r w:rsidRPr="002369DB">
        <w:lastRenderedPageBreak/>
        <w:t>(between 6.4% and 7.9%).</w:t>
      </w:r>
      <w:r w:rsidRPr="002369DB">
        <w:rPr>
          <w:rStyle w:val="Superscript"/>
        </w:rPr>
        <w:footnoteReference w:id="50"/>
      </w:r>
      <w:r w:rsidRPr="002369DB">
        <w:t xml:space="preserve"> However, this may be explained by the prohibition of diversion for many Victorian driving-related offences,</w:t>
      </w:r>
      <w:r w:rsidRPr="002369DB">
        <w:rPr>
          <w:rStyle w:val="Superscript"/>
        </w:rPr>
        <w:footnoteReference w:id="51"/>
      </w:r>
      <w:r w:rsidRPr="002369DB">
        <w:t xml:space="preserve"> which are the most common offences sentenced in the Magistrates’ Court,</w:t>
      </w:r>
      <w:r w:rsidRPr="002369DB">
        <w:rPr>
          <w:rStyle w:val="Superscript"/>
        </w:rPr>
        <w:footnoteReference w:id="52"/>
      </w:r>
      <w:r w:rsidRPr="002369DB">
        <w:t xml:space="preserve"> and the absence of Commonwealth driving offences sentenced in the Magistrates’ Court.</w:t>
      </w:r>
    </w:p>
    <w:p w14:paraId="77522FDA" w14:textId="77777777" w:rsidR="004C0661" w:rsidRPr="002369DB" w:rsidRDefault="004C0661" w:rsidP="00C474D2">
      <w:r w:rsidRPr="002369DB">
        <w:t xml:space="preserve">Of the 91 Magistrates’ Court cases that we have reported in Figure 6 as resulting in dismissal without conviction (pursuant to section 19B of the </w:t>
      </w:r>
      <w:r w:rsidRPr="002369DB">
        <w:rPr>
          <w:rStyle w:val="Italic"/>
        </w:rPr>
        <w:t xml:space="preserve">Crimes Act 1914 </w:t>
      </w:r>
      <w:r w:rsidRPr="002369DB">
        <w:t>(</w:t>
      </w:r>
      <w:proofErr w:type="spellStart"/>
      <w:r w:rsidRPr="002369DB">
        <w:t>Cth</w:t>
      </w:r>
      <w:proofErr w:type="spellEnd"/>
      <w:r w:rsidRPr="002369DB">
        <w:t xml:space="preserve">)), 11 cases </w:t>
      </w:r>
      <w:proofErr w:type="gramStart"/>
      <w:r w:rsidRPr="002369DB">
        <w:t>actually appear</w:t>
      </w:r>
      <w:proofErr w:type="gramEnd"/>
      <w:r w:rsidRPr="002369DB">
        <w:t xml:space="preserve"> in the data as a conviction and discharge. While it is possible to discharge a person and record a conviction under Victorian legislation,</w:t>
      </w:r>
      <w:r w:rsidRPr="002369DB">
        <w:rPr>
          <w:rStyle w:val="Superscript"/>
        </w:rPr>
        <w:footnoteReference w:id="53"/>
      </w:r>
      <w:r w:rsidRPr="002369DB">
        <w:t xml:space="preserve"> that outcome is not possible for Commonwealth offences – the dismissal of a charge must be done </w:t>
      </w:r>
      <w:r w:rsidRPr="002369DB">
        <w:rPr>
          <w:rStyle w:val="Italic"/>
        </w:rPr>
        <w:t>without</w:t>
      </w:r>
      <w:r w:rsidRPr="002369DB">
        <w:t xml:space="preserve"> conviction. Similarly, of the 2,184 cases that we have reported in Figure 6 as receiving a fine with conviction, a sizeable proportion (22% or 481 cases) appeared in the data as the principal proven offence </w:t>
      </w:r>
      <w:r w:rsidRPr="002369DB">
        <w:rPr>
          <w:rStyle w:val="Italic"/>
        </w:rPr>
        <w:t xml:space="preserve">without </w:t>
      </w:r>
      <w:r w:rsidRPr="002369DB">
        <w:t>having a conviction recorded. While it is possible to impose a fine without conviction under Victorian legislation,</w:t>
      </w:r>
      <w:r w:rsidRPr="002369DB">
        <w:rPr>
          <w:rStyle w:val="Superscript"/>
        </w:rPr>
        <w:footnoteReference w:id="54"/>
      </w:r>
      <w:r w:rsidRPr="002369DB">
        <w:t xml:space="preserve"> a fine for a Commonwealth offence can only be imposed </w:t>
      </w:r>
      <w:r w:rsidRPr="002369DB">
        <w:rPr>
          <w:rStyle w:val="Italic"/>
        </w:rPr>
        <w:t xml:space="preserve">with </w:t>
      </w:r>
      <w:r w:rsidRPr="002369DB">
        <w:t>conviction (as noted in a 2017 speech by the then Commonwealth DPP Sarah McNaughton SC</w:t>
      </w:r>
      <w:r w:rsidRPr="002369DB">
        <w:rPr>
          <w:rStyle w:val="Superscript"/>
        </w:rPr>
        <w:footnoteReference w:id="55"/>
      </w:r>
      <w:r w:rsidRPr="002369DB">
        <w:t xml:space="preserve">). These impermissible outcomes could simply be a product of data entry anomalies, but they could also suggest a need for practitioners and courts to be more familiar with the Commonwealth sentencing orders that </w:t>
      </w:r>
      <w:r w:rsidRPr="002369DB">
        <w:rPr>
          <w:rStyle w:val="Italic"/>
        </w:rPr>
        <w:t xml:space="preserve">must </w:t>
      </w:r>
      <w:r w:rsidRPr="002369DB">
        <w:t xml:space="preserve">or </w:t>
      </w:r>
      <w:r w:rsidRPr="002369DB">
        <w:rPr>
          <w:rStyle w:val="Italic"/>
        </w:rPr>
        <w:t xml:space="preserve">must not </w:t>
      </w:r>
      <w:r w:rsidRPr="002369DB">
        <w:t xml:space="preserve">be imposed with conviction. While Victorian legislation gives more discretion to sentencing courts about when to record a </w:t>
      </w:r>
      <w:r w:rsidRPr="002369DB">
        <w:lastRenderedPageBreak/>
        <w:t>conviction,</w:t>
      </w:r>
      <w:r w:rsidRPr="002369DB">
        <w:rPr>
          <w:rStyle w:val="Superscript"/>
        </w:rPr>
        <w:footnoteReference w:id="56"/>
      </w:r>
      <w:r w:rsidRPr="002369DB">
        <w:t xml:space="preserve"> federal legislation is much more prescriptive in certain instances.</w:t>
      </w:r>
    </w:p>
    <w:p w14:paraId="2702C0DF" w14:textId="77777777" w:rsidR="004C0661" w:rsidRPr="002369DB" w:rsidRDefault="004C0661" w:rsidP="00622026">
      <w:pPr>
        <w:pStyle w:val="Heading1"/>
      </w:pPr>
      <w:bookmarkStart w:id="8" w:name="_Toc224060086"/>
      <w:r w:rsidRPr="002369DB">
        <w:t>Lengths of prison sentences for federal offenders in Victoria</w:t>
      </w:r>
      <w:bookmarkEnd w:id="8"/>
    </w:p>
    <w:p w14:paraId="2FADFC76" w14:textId="77777777" w:rsidR="004C0661" w:rsidRPr="002369DB" w:rsidRDefault="004C0661" w:rsidP="00C474D2">
      <w:r w:rsidRPr="002369DB">
        <w:t xml:space="preserve">This section examines the lengths of prison sentences imposed on federal offenders in Victoria. There are some important counting rules to be aware of in understanding the data. For cases involving </w:t>
      </w:r>
      <w:r w:rsidRPr="002369DB">
        <w:rPr>
          <w:rStyle w:val="Italic"/>
        </w:rPr>
        <w:t>immediate or later release</w:t>
      </w:r>
      <w:r w:rsidRPr="002369DB">
        <w:t xml:space="preserve"> onto a recognizance release order, we have only reported on the actual, intended time in custody, not the </w:t>
      </w:r>
      <w:r w:rsidRPr="002369DB">
        <w:rPr>
          <w:rStyle w:val="Italic"/>
        </w:rPr>
        <w:t>suspended</w:t>
      </w:r>
      <w:r w:rsidRPr="002369DB">
        <w:t xml:space="preserve"> portion of imprisonment. For cases involving a </w:t>
      </w:r>
      <w:r w:rsidRPr="002369DB">
        <w:rPr>
          <w:rStyle w:val="Italic"/>
        </w:rPr>
        <w:t>non-parole period</w:t>
      </w:r>
      <w:r w:rsidRPr="002369DB">
        <w:t xml:space="preserve">, we have reported on the entirety of the total effective sentence as we do not know if or when offenders were released on parole. And in cases involving </w:t>
      </w:r>
      <w:r w:rsidRPr="002369DB">
        <w:rPr>
          <w:rStyle w:val="Italic"/>
        </w:rPr>
        <w:t xml:space="preserve">both </w:t>
      </w:r>
      <w:r w:rsidRPr="002369DB">
        <w:t xml:space="preserve">Victorian and Commonwealth offences (mixed cases), we have represented the total effective sentence for </w:t>
      </w:r>
      <w:proofErr w:type="gramStart"/>
      <w:r w:rsidRPr="002369DB">
        <w:rPr>
          <w:rStyle w:val="Italic"/>
        </w:rPr>
        <w:t>all</w:t>
      </w:r>
      <w:r w:rsidRPr="002369DB">
        <w:t xml:space="preserve"> of</w:t>
      </w:r>
      <w:proofErr w:type="gramEnd"/>
      <w:r w:rsidRPr="002369DB">
        <w:t xml:space="preserve"> the offences in the case, not just the Commonwealth offences. This is important because, in mixed cases, courts must derive a total effective sentence for the Victorian and Commonwealth offences separately,</w:t>
      </w:r>
      <w:r w:rsidRPr="002369DB">
        <w:rPr>
          <w:rStyle w:val="Superscript"/>
        </w:rPr>
        <w:footnoteReference w:id="57"/>
      </w:r>
      <w:r w:rsidRPr="002369DB">
        <w:t xml:space="preserve"> while also ensuring that the actual total effective sentence (for both the Victorian and the Commonwealth offences together) does not offend the principle of totality.</w:t>
      </w:r>
      <w:r w:rsidRPr="002369DB">
        <w:rPr>
          <w:rStyle w:val="Superscript"/>
        </w:rPr>
        <w:footnoteReference w:id="58"/>
      </w:r>
      <w:r w:rsidRPr="002369DB">
        <w:t xml:space="preserve"> It is therefore possible to report on the total effective sentence for the Commonwealth offences in the case </w:t>
      </w:r>
      <w:r w:rsidRPr="002369DB">
        <w:rPr>
          <w:rStyle w:val="Italic"/>
        </w:rPr>
        <w:t>only</w:t>
      </w:r>
      <w:r w:rsidRPr="002369DB">
        <w:t xml:space="preserve">, or report on the combined total effective sentence for </w:t>
      </w:r>
      <w:r w:rsidRPr="002369DB">
        <w:rPr>
          <w:rStyle w:val="Italic"/>
        </w:rPr>
        <w:t>both</w:t>
      </w:r>
      <w:r w:rsidRPr="002369DB">
        <w:t xml:space="preserve"> the Commonwealth and the Victorian offences together. Given the crucial role that totality considerations can play in moderating imprisonment terms within a case, we considered it more accurate to represent the total effective sentence for Commonwealth and Victorian offences together. We are buttressed in this approach by using a </w:t>
      </w:r>
      <w:r w:rsidRPr="002369DB">
        <w:lastRenderedPageBreak/>
        <w:t xml:space="preserve">counting rule of only reporting the lengths of prison sentences in cases in which a Commonwealth offence (not a Victorian offence) was the principal proven offence, meaning the length of any prison sentence should be primarily driven by the person’s federal offending. Moreover, time on remand declared as time served towards the sentence imposed is included in calculating the total active component of a prison sentence. </w:t>
      </w:r>
    </w:p>
    <w:p w14:paraId="40BAFF5A" w14:textId="77777777" w:rsidR="004C0661" w:rsidRPr="002369DB" w:rsidRDefault="004C0661" w:rsidP="00C474D2">
      <w:r w:rsidRPr="002369DB">
        <w:t>Figure 7 presents the total effective sentence lengths for 847 cases resulting in an immediate prison sentence</w:t>
      </w:r>
      <w:r w:rsidRPr="002369DB">
        <w:rPr>
          <w:rStyle w:val="Superscript"/>
        </w:rPr>
        <w:footnoteReference w:id="59"/>
      </w:r>
      <w:r w:rsidRPr="002369DB">
        <w:t xml:space="preserve"> where the principal proven offence was a Commonwealth offence. Of these, 318 cases were sentenced in the Magistrates’ Court and 529 cases were sentenced in the higher courts. To provide an additional level of specificity in Figure 7, we have used shorter intervals for shorter prison sentences (e.g. ‘less than 3 months’) and longer intervals for longer prison sentences (e.g. ‘10 to less than 15 years’). The shortest prison sentence imposed on a federal offender was 1 day, the longest was 42 years, and the median was 9 months.</w:t>
      </w:r>
    </w:p>
    <w:p w14:paraId="4053DFBE" w14:textId="77777777" w:rsidR="007407C6" w:rsidRPr="002369DB" w:rsidRDefault="007407C6" w:rsidP="00A775DC">
      <w:pPr>
        <w:pStyle w:val="Caption"/>
      </w:pPr>
      <w:r w:rsidRPr="002369DB">
        <w:t>Figure 7: Lengths of immediate prison sentences in cases involving a Commonwealth principal proven offence in Victoria, 1 July 2018 to 30 June 2023 (847 cases)</w:t>
      </w:r>
    </w:p>
    <w:tbl>
      <w:tblPr>
        <w:tblStyle w:val="Table"/>
        <w:tblW w:w="5000" w:type="pct"/>
        <w:tblLook w:val="04A0" w:firstRow="1" w:lastRow="0" w:firstColumn="1" w:lastColumn="0" w:noHBand="0" w:noVBand="1"/>
      </w:tblPr>
      <w:tblGrid>
        <w:gridCol w:w="3005"/>
        <w:gridCol w:w="3005"/>
        <w:gridCol w:w="3006"/>
      </w:tblGrid>
      <w:tr w:rsidR="00405620" w:rsidRPr="00890627" w14:paraId="602895DD" w14:textId="77777777" w:rsidTr="00405620">
        <w:trPr>
          <w:trHeight w:val="312"/>
          <w:tblHeader/>
        </w:trPr>
        <w:tc>
          <w:tcPr>
            <w:tcW w:w="1666" w:type="pct"/>
            <w:noWrap/>
            <w:hideMark/>
          </w:tcPr>
          <w:p w14:paraId="5DF042D4" w14:textId="2FA616C5" w:rsidR="00405620" w:rsidRPr="00890627" w:rsidRDefault="00405620" w:rsidP="00405620">
            <w:pPr>
              <w:pStyle w:val="TableHeading"/>
            </w:pPr>
            <w:r>
              <w:t>Length</w:t>
            </w:r>
          </w:p>
        </w:tc>
        <w:tc>
          <w:tcPr>
            <w:tcW w:w="1666" w:type="pct"/>
            <w:noWrap/>
            <w:hideMark/>
          </w:tcPr>
          <w:p w14:paraId="6540AD62" w14:textId="77777777" w:rsidR="00405620" w:rsidRPr="00890627" w:rsidRDefault="00405620" w:rsidP="00405620">
            <w:pPr>
              <w:pStyle w:val="TableHeading"/>
            </w:pPr>
            <w:r w:rsidRPr="00890627">
              <w:t>Magistrates' Court</w:t>
            </w:r>
          </w:p>
        </w:tc>
        <w:tc>
          <w:tcPr>
            <w:tcW w:w="1667" w:type="pct"/>
            <w:noWrap/>
            <w:hideMark/>
          </w:tcPr>
          <w:p w14:paraId="7D4877CB" w14:textId="77777777" w:rsidR="00405620" w:rsidRPr="00890627" w:rsidRDefault="00405620" w:rsidP="00405620">
            <w:pPr>
              <w:pStyle w:val="TableHeading"/>
            </w:pPr>
            <w:r w:rsidRPr="00890627">
              <w:t>Higher courts</w:t>
            </w:r>
          </w:p>
        </w:tc>
      </w:tr>
      <w:tr w:rsidR="00405620" w:rsidRPr="00890627" w14:paraId="1604B50F" w14:textId="77777777" w:rsidTr="00405620">
        <w:trPr>
          <w:trHeight w:val="312"/>
        </w:trPr>
        <w:tc>
          <w:tcPr>
            <w:tcW w:w="1666" w:type="pct"/>
            <w:noWrap/>
            <w:hideMark/>
          </w:tcPr>
          <w:p w14:paraId="73031A4A" w14:textId="77777777" w:rsidR="00405620" w:rsidRPr="00890627" w:rsidRDefault="00405620" w:rsidP="007F75D1">
            <w:pPr>
              <w:pStyle w:val="TableBody"/>
            </w:pPr>
            <w:r w:rsidRPr="00890627">
              <w:t>Less than 3 months</w:t>
            </w:r>
          </w:p>
        </w:tc>
        <w:tc>
          <w:tcPr>
            <w:tcW w:w="1666" w:type="pct"/>
            <w:noWrap/>
            <w:hideMark/>
          </w:tcPr>
          <w:p w14:paraId="5914821E" w14:textId="77777777" w:rsidR="00405620" w:rsidRPr="00890627" w:rsidRDefault="00405620" w:rsidP="007F75D1">
            <w:pPr>
              <w:pStyle w:val="TableBody"/>
            </w:pPr>
            <w:r w:rsidRPr="00890627">
              <w:t>142</w:t>
            </w:r>
          </w:p>
        </w:tc>
        <w:tc>
          <w:tcPr>
            <w:tcW w:w="1667" w:type="pct"/>
            <w:noWrap/>
            <w:hideMark/>
          </w:tcPr>
          <w:p w14:paraId="02D08ED8" w14:textId="77777777" w:rsidR="00405620" w:rsidRPr="00890627" w:rsidRDefault="00405620" w:rsidP="007F75D1">
            <w:pPr>
              <w:pStyle w:val="TableBody"/>
            </w:pPr>
            <w:r w:rsidRPr="00890627">
              <w:t>12</w:t>
            </w:r>
          </w:p>
        </w:tc>
      </w:tr>
      <w:tr w:rsidR="00405620" w:rsidRPr="00890627" w14:paraId="7872EE38" w14:textId="77777777" w:rsidTr="00405620">
        <w:trPr>
          <w:trHeight w:val="312"/>
        </w:trPr>
        <w:tc>
          <w:tcPr>
            <w:tcW w:w="1666" w:type="pct"/>
            <w:noWrap/>
          </w:tcPr>
          <w:p w14:paraId="6ED651A5" w14:textId="354CEFA2" w:rsidR="00405620" w:rsidRPr="00890627" w:rsidRDefault="00405620" w:rsidP="00405620">
            <w:pPr>
              <w:pStyle w:val="TableBody"/>
            </w:pPr>
            <w:r w:rsidRPr="00890627">
              <w:t>3 to less than 6 months</w:t>
            </w:r>
          </w:p>
        </w:tc>
        <w:tc>
          <w:tcPr>
            <w:tcW w:w="1666" w:type="pct"/>
            <w:noWrap/>
          </w:tcPr>
          <w:p w14:paraId="2F0713AA" w14:textId="6391ED8B" w:rsidR="00405620" w:rsidRPr="00890627" w:rsidRDefault="00405620" w:rsidP="00405620">
            <w:pPr>
              <w:pStyle w:val="TableBody"/>
            </w:pPr>
            <w:r w:rsidRPr="00890627">
              <w:t>103</w:t>
            </w:r>
          </w:p>
        </w:tc>
        <w:tc>
          <w:tcPr>
            <w:tcW w:w="1667" w:type="pct"/>
            <w:noWrap/>
          </w:tcPr>
          <w:p w14:paraId="3D8A29D0" w14:textId="7052E993" w:rsidR="00405620" w:rsidRPr="00890627" w:rsidRDefault="00405620" w:rsidP="00405620">
            <w:pPr>
              <w:pStyle w:val="TableBody"/>
            </w:pPr>
            <w:r w:rsidRPr="00890627">
              <w:t>49</w:t>
            </w:r>
          </w:p>
        </w:tc>
      </w:tr>
      <w:tr w:rsidR="00405620" w:rsidRPr="00890627" w14:paraId="5C04771E" w14:textId="77777777" w:rsidTr="00405620">
        <w:trPr>
          <w:trHeight w:val="312"/>
        </w:trPr>
        <w:tc>
          <w:tcPr>
            <w:tcW w:w="1666" w:type="pct"/>
            <w:noWrap/>
          </w:tcPr>
          <w:p w14:paraId="0A67107E" w14:textId="6D954F28" w:rsidR="00405620" w:rsidRPr="00890627" w:rsidRDefault="00405620" w:rsidP="00405620">
            <w:pPr>
              <w:pStyle w:val="TableBody"/>
            </w:pPr>
            <w:r w:rsidRPr="00890627">
              <w:t>6 to less than 12 months</w:t>
            </w:r>
          </w:p>
        </w:tc>
        <w:tc>
          <w:tcPr>
            <w:tcW w:w="1666" w:type="pct"/>
            <w:noWrap/>
          </w:tcPr>
          <w:p w14:paraId="2EF077C2" w14:textId="140AB33C" w:rsidR="00405620" w:rsidRPr="00890627" w:rsidRDefault="00405620" w:rsidP="00405620">
            <w:pPr>
              <w:pStyle w:val="TableBody"/>
            </w:pPr>
            <w:r w:rsidRPr="00890627">
              <w:t>63</w:t>
            </w:r>
          </w:p>
        </w:tc>
        <w:tc>
          <w:tcPr>
            <w:tcW w:w="1667" w:type="pct"/>
            <w:noWrap/>
          </w:tcPr>
          <w:p w14:paraId="5A2F19FA" w14:textId="798AC874" w:rsidR="00405620" w:rsidRPr="00890627" w:rsidRDefault="00405620" w:rsidP="00405620">
            <w:pPr>
              <w:pStyle w:val="TableBody"/>
            </w:pPr>
            <w:r w:rsidRPr="00890627">
              <w:t>75</w:t>
            </w:r>
          </w:p>
        </w:tc>
      </w:tr>
      <w:tr w:rsidR="00405620" w:rsidRPr="00890627" w14:paraId="389CE03B" w14:textId="77777777" w:rsidTr="00405620">
        <w:trPr>
          <w:trHeight w:val="312"/>
        </w:trPr>
        <w:tc>
          <w:tcPr>
            <w:tcW w:w="1666" w:type="pct"/>
            <w:noWrap/>
            <w:hideMark/>
          </w:tcPr>
          <w:p w14:paraId="100A2783" w14:textId="77777777" w:rsidR="00405620" w:rsidRPr="00890627" w:rsidRDefault="00405620" w:rsidP="00405620">
            <w:pPr>
              <w:pStyle w:val="TableBody"/>
            </w:pPr>
            <w:r w:rsidRPr="00890627">
              <w:t>1 to less than 2 years</w:t>
            </w:r>
          </w:p>
        </w:tc>
        <w:tc>
          <w:tcPr>
            <w:tcW w:w="1666" w:type="pct"/>
            <w:noWrap/>
            <w:hideMark/>
          </w:tcPr>
          <w:p w14:paraId="709A9977" w14:textId="77777777" w:rsidR="00405620" w:rsidRPr="00890627" w:rsidRDefault="00405620" w:rsidP="00405620">
            <w:pPr>
              <w:pStyle w:val="TableBody"/>
            </w:pPr>
            <w:r w:rsidRPr="00890627">
              <w:t>10</w:t>
            </w:r>
          </w:p>
        </w:tc>
        <w:tc>
          <w:tcPr>
            <w:tcW w:w="1667" w:type="pct"/>
            <w:noWrap/>
            <w:hideMark/>
          </w:tcPr>
          <w:p w14:paraId="75FE5201" w14:textId="77777777" w:rsidR="00405620" w:rsidRPr="00890627" w:rsidRDefault="00405620" w:rsidP="00405620">
            <w:pPr>
              <w:pStyle w:val="TableBody"/>
            </w:pPr>
            <w:r w:rsidRPr="00890627">
              <w:t>80</w:t>
            </w:r>
          </w:p>
        </w:tc>
      </w:tr>
      <w:tr w:rsidR="00405620" w:rsidRPr="00890627" w14:paraId="67C665F7" w14:textId="77777777" w:rsidTr="00405620">
        <w:trPr>
          <w:trHeight w:val="312"/>
        </w:trPr>
        <w:tc>
          <w:tcPr>
            <w:tcW w:w="1666" w:type="pct"/>
            <w:noWrap/>
            <w:hideMark/>
          </w:tcPr>
          <w:p w14:paraId="1CC1A9CA" w14:textId="77777777" w:rsidR="00405620" w:rsidRPr="00890627" w:rsidRDefault="00405620" w:rsidP="00405620">
            <w:pPr>
              <w:pStyle w:val="TableBody"/>
            </w:pPr>
            <w:r w:rsidRPr="00890627">
              <w:lastRenderedPageBreak/>
              <w:t>2 to less than 3 years</w:t>
            </w:r>
          </w:p>
        </w:tc>
        <w:tc>
          <w:tcPr>
            <w:tcW w:w="1666" w:type="pct"/>
            <w:noWrap/>
            <w:hideMark/>
          </w:tcPr>
          <w:p w14:paraId="4C9B5A30" w14:textId="77777777" w:rsidR="00405620" w:rsidRPr="00890627" w:rsidRDefault="00405620" w:rsidP="00405620">
            <w:pPr>
              <w:pStyle w:val="TableBody"/>
            </w:pPr>
          </w:p>
        </w:tc>
        <w:tc>
          <w:tcPr>
            <w:tcW w:w="1667" w:type="pct"/>
            <w:noWrap/>
            <w:hideMark/>
          </w:tcPr>
          <w:p w14:paraId="7EDFB8ED" w14:textId="77777777" w:rsidR="00405620" w:rsidRPr="00890627" w:rsidRDefault="00405620" w:rsidP="00405620">
            <w:pPr>
              <w:pStyle w:val="TableBody"/>
            </w:pPr>
            <w:r w:rsidRPr="00890627">
              <w:t>11</w:t>
            </w:r>
          </w:p>
        </w:tc>
      </w:tr>
      <w:tr w:rsidR="00405620" w:rsidRPr="00890627" w14:paraId="404094C5" w14:textId="77777777" w:rsidTr="00405620">
        <w:trPr>
          <w:trHeight w:val="312"/>
        </w:trPr>
        <w:tc>
          <w:tcPr>
            <w:tcW w:w="1666" w:type="pct"/>
            <w:noWrap/>
            <w:hideMark/>
          </w:tcPr>
          <w:p w14:paraId="60A5AB38" w14:textId="77777777" w:rsidR="00405620" w:rsidRPr="00890627" w:rsidRDefault="00405620" w:rsidP="00405620">
            <w:pPr>
              <w:pStyle w:val="TableBody"/>
            </w:pPr>
            <w:r w:rsidRPr="00890627">
              <w:t>3 to less than 4 years</w:t>
            </w:r>
          </w:p>
        </w:tc>
        <w:tc>
          <w:tcPr>
            <w:tcW w:w="1666" w:type="pct"/>
            <w:noWrap/>
            <w:hideMark/>
          </w:tcPr>
          <w:p w14:paraId="4EA66FB1" w14:textId="77777777" w:rsidR="00405620" w:rsidRPr="00890627" w:rsidRDefault="00405620" w:rsidP="00405620">
            <w:pPr>
              <w:pStyle w:val="TableBody"/>
            </w:pPr>
          </w:p>
        </w:tc>
        <w:tc>
          <w:tcPr>
            <w:tcW w:w="1667" w:type="pct"/>
            <w:noWrap/>
            <w:hideMark/>
          </w:tcPr>
          <w:p w14:paraId="6217A5CD" w14:textId="77777777" w:rsidR="00405620" w:rsidRPr="00890627" w:rsidRDefault="00405620" w:rsidP="00405620">
            <w:pPr>
              <w:pStyle w:val="TableBody"/>
            </w:pPr>
            <w:r w:rsidRPr="00890627">
              <w:t>37</w:t>
            </w:r>
          </w:p>
        </w:tc>
      </w:tr>
      <w:tr w:rsidR="00405620" w:rsidRPr="00890627" w14:paraId="2438B7FD" w14:textId="77777777" w:rsidTr="00405620">
        <w:trPr>
          <w:trHeight w:val="312"/>
        </w:trPr>
        <w:tc>
          <w:tcPr>
            <w:tcW w:w="1666" w:type="pct"/>
            <w:noWrap/>
            <w:hideMark/>
          </w:tcPr>
          <w:p w14:paraId="0898279B" w14:textId="77777777" w:rsidR="00405620" w:rsidRPr="00890627" w:rsidRDefault="00405620" w:rsidP="00405620">
            <w:pPr>
              <w:pStyle w:val="TableBody"/>
            </w:pPr>
            <w:r w:rsidRPr="00890627">
              <w:t>4 to less than 5 years</w:t>
            </w:r>
          </w:p>
        </w:tc>
        <w:tc>
          <w:tcPr>
            <w:tcW w:w="1666" w:type="pct"/>
            <w:noWrap/>
            <w:hideMark/>
          </w:tcPr>
          <w:p w14:paraId="50341736" w14:textId="77777777" w:rsidR="00405620" w:rsidRPr="00890627" w:rsidRDefault="00405620" w:rsidP="00405620">
            <w:pPr>
              <w:pStyle w:val="TableBody"/>
            </w:pPr>
          </w:p>
        </w:tc>
        <w:tc>
          <w:tcPr>
            <w:tcW w:w="1667" w:type="pct"/>
            <w:noWrap/>
            <w:hideMark/>
          </w:tcPr>
          <w:p w14:paraId="796B4B67" w14:textId="77777777" w:rsidR="00405620" w:rsidRPr="00890627" w:rsidRDefault="00405620" w:rsidP="00405620">
            <w:pPr>
              <w:pStyle w:val="TableBody"/>
            </w:pPr>
            <w:r w:rsidRPr="00890627">
              <w:t>56</w:t>
            </w:r>
          </w:p>
        </w:tc>
      </w:tr>
      <w:tr w:rsidR="00405620" w:rsidRPr="00890627" w14:paraId="48C600A1" w14:textId="77777777" w:rsidTr="00405620">
        <w:trPr>
          <w:trHeight w:val="312"/>
        </w:trPr>
        <w:tc>
          <w:tcPr>
            <w:tcW w:w="1666" w:type="pct"/>
            <w:noWrap/>
            <w:hideMark/>
          </w:tcPr>
          <w:p w14:paraId="2EF72B45" w14:textId="77777777" w:rsidR="00405620" w:rsidRPr="00890627" w:rsidRDefault="00405620" w:rsidP="00405620">
            <w:pPr>
              <w:pStyle w:val="TableBody"/>
            </w:pPr>
            <w:r w:rsidRPr="00890627">
              <w:t>5 to less than 6 years</w:t>
            </w:r>
          </w:p>
        </w:tc>
        <w:tc>
          <w:tcPr>
            <w:tcW w:w="1666" w:type="pct"/>
            <w:noWrap/>
            <w:hideMark/>
          </w:tcPr>
          <w:p w14:paraId="5B43BF0C" w14:textId="77777777" w:rsidR="00405620" w:rsidRPr="00890627" w:rsidRDefault="00405620" w:rsidP="00405620">
            <w:pPr>
              <w:pStyle w:val="TableBody"/>
            </w:pPr>
          </w:p>
        </w:tc>
        <w:tc>
          <w:tcPr>
            <w:tcW w:w="1667" w:type="pct"/>
            <w:noWrap/>
            <w:hideMark/>
          </w:tcPr>
          <w:p w14:paraId="5105060D" w14:textId="77777777" w:rsidR="00405620" w:rsidRPr="00890627" w:rsidRDefault="00405620" w:rsidP="00405620">
            <w:pPr>
              <w:pStyle w:val="TableBody"/>
            </w:pPr>
            <w:r w:rsidRPr="00890627">
              <w:t>31</w:t>
            </w:r>
          </w:p>
        </w:tc>
      </w:tr>
      <w:tr w:rsidR="00405620" w:rsidRPr="00890627" w14:paraId="64AFB2E3" w14:textId="77777777" w:rsidTr="00405620">
        <w:trPr>
          <w:trHeight w:val="312"/>
        </w:trPr>
        <w:tc>
          <w:tcPr>
            <w:tcW w:w="1666" w:type="pct"/>
            <w:noWrap/>
            <w:hideMark/>
          </w:tcPr>
          <w:p w14:paraId="6F130D82" w14:textId="77777777" w:rsidR="00405620" w:rsidRPr="00890627" w:rsidRDefault="00405620" w:rsidP="00405620">
            <w:pPr>
              <w:pStyle w:val="TableBody"/>
            </w:pPr>
            <w:r w:rsidRPr="00890627">
              <w:t>6 to less than 7 years</w:t>
            </w:r>
          </w:p>
        </w:tc>
        <w:tc>
          <w:tcPr>
            <w:tcW w:w="1666" w:type="pct"/>
            <w:noWrap/>
            <w:hideMark/>
          </w:tcPr>
          <w:p w14:paraId="48FA1914" w14:textId="77777777" w:rsidR="00405620" w:rsidRPr="00890627" w:rsidRDefault="00405620" w:rsidP="00405620">
            <w:pPr>
              <w:pStyle w:val="TableBody"/>
            </w:pPr>
          </w:p>
        </w:tc>
        <w:tc>
          <w:tcPr>
            <w:tcW w:w="1667" w:type="pct"/>
            <w:noWrap/>
            <w:hideMark/>
          </w:tcPr>
          <w:p w14:paraId="3DA100FD" w14:textId="77777777" w:rsidR="00405620" w:rsidRPr="00890627" w:rsidRDefault="00405620" w:rsidP="00405620">
            <w:pPr>
              <w:pStyle w:val="TableBody"/>
            </w:pPr>
            <w:r w:rsidRPr="00890627">
              <w:t>30</w:t>
            </w:r>
          </w:p>
        </w:tc>
      </w:tr>
      <w:tr w:rsidR="00405620" w:rsidRPr="00890627" w14:paraId="1038146D" w14:textId="77777777" w:rsidTr="00405620">
        <w:trPr>
          <w:trHeight w:val="312"/>
        </w:trPr>
        <w:tc>
          <w:tcPr>
            <w:tcW w:w="1666" w:type="pct"/>
            <w:noWrap/>
            <w:hideMark/>
          </w:tcPr>
          <w:p w14:paraId="436EAB85" w14:textId="77777777" w:rsidR="00405620" w:rsidRPr="00890627" w:rsidRDefault="00405620" w:rsidP="00405620">
            <w:pPr>
              <w:pStyle w:val="TableBody"/>
            </w:pPr>
            <w:r w:rsidRPr="00890627">
              <w:t>7 to less than 8 years</w:t>
            </w:r>
          </w:p>
        </w:tc>
        <w:tc>
          <w:tcPr>
            <w:tcW w:w="1666" w:type="pct"/>
            <w:noWrap/>
            <w:hideMark/>
          </w:tcPr>
          <w:p w14:paraId="07B6ED3A" w14:textId="77777777" w:rsidR="00405620" w:rsidRPr="00890627" w:rsidRDefault="00405620" w:rsidP="00405620">
            <w:pPr>
              <w:pStyle w:val="TableBody"/>
            </w:pPr>
          </w:p>
        </w:tc>
        <w:tc>
          <w:tcPr>
            <w:tcW w:w="1667" w:type="pct"/>
            <w:noWrap/>
            <w:hideMark/>
          </w:tcPr>
          <w:p w14:paraId="0FB790BB" w14:textId="77777777" w:rsidR="00405620" w:rsidRPr="00890627" w:rsidRDefault="00405620" w:rsidP="00405620">
            <w:pPr>
              <w:pStyle w:val="TableBody"/>
            </w:pPr>
            <w:r w:rsidRPr="00890627">
              <w:t>26</w:t>
            </w:r>
          </w:p>
        </w:tc>
      </w:tr>
      <w:tr w:rsidR="00405620" w:rsidRPr="00890627" w14:paraId="71D8E7A9" w14:textId="77777777" w:rsidTr="00405620">
        <w:trPr>
          <w:trHeight w:val="312"/>
        </w:trPr>
        <w:tc>
          <w:tcPr>
            <w:tcW w:w="1666" w:type="pct"/>
            <w:noWrap/>
            <w:hideMark/>
          </w:tcPr>
          <w:p w14:paraId="52745FCE" w14:textId="77777777" w:rsidR="00405620" w:rsidRPr="00890627" w:rsidRDefault="00405620" w:rsidP="00405620">
            <w:pPr>
              <w:pStyle w:val="TableBody"/>
            </w:pPr>
            <w:r w:rsidRPr="00890627">
              <w:t>8 to less than 9 years</w:t>
            </w:r>
          </w:p>
        </w:tc>
        <w:tc>
          <w:tcPr>
            <w:tcW w:w="1666" w:type="pct"/>
            <w:noWrap/>
            <w:hideMark/>
          </w:tcPr>
          <w:p w14:paraId="558C433E" w14:textId="77777777" w:rsidR="00405620" w:rsidRPr="00890627" w:rsidRDefault="00405620" w:rsidP="00405620">
            <w:pPr>
              <w:pStyle w:val="TableBody"/>
            </w:pPr>
          </w:p>
        </w:tc>
        <w:tc>
          <w:tcPr>
            <w:tcW w:w="1667" w:type="pct"/>
            <w:noWrap/>
            <w:hideMark/>
          </w:tcPr>
          <w:p w14:paraId="00FC8076" w14:textId="77777777" w:rsidR="00405620" w:rsidRPr="00890627" w:rsidRDefault="00405620" w:rsidP="00405620">
            <w:pPr>
              <w:pStyle w:val="TableBody"/>
            </w:pPr>
            <w:r w:rsidRPr="00890627">
              <w:t>20</w:t>
            </w:r>
          </w:p>
        </w:tc>
      </w:tr>
      <w:tr w:rsidR="00405620" w:rsidRPr="00890627" w14:paraId="27B458CB" w14:textId="77777777" w:rsidTr="00405620">
        <w:trPr>
          <w:trHeight w:val="312"/>
        </w:trPr>
        <w:tc>
          <w:tcPr>
            <w:tcW w:w="1666" w:type="pct"/>
            <w:noWrap/>
            <w:hideMark/>
          </w:tcPr>
          <w:p w14:paraId="293C3276" w14:textId="77777777" w:rsidR="00405620" w:rsidRPr="00890627" w:rsidRDefault="00405620" w:rsidP="00405620">
            <w:pPr>
              <w:pStyle w:val="TableBody"/>
            </w:pPr>
            <w:r w:rsidRPr="00890627">
              <w:t>9 to less than 10 years</w:t>
            </w:r>
          </w:p>
        </w:tc>
        <w:tc>
          <w:tcPr>
            <w:tcW w:w="1666" w:type="pct"/>
            <w:noWrap/>
            <w:hideMark/>
          </w:tcPr>
          <w:p w14:paraId="0568A5D3" w14:textId="77777777" w:rsidR="00405620" w:rsidRPr="00890627" w:rsidRDefault="00405620" w:rsidP="00405620">
            <w:pPr>
              <w:pStyle w:val="TableBody"/>
            </w:pPr>
          </w:p>
        </w:tc>
        <w:tc>
          <w:tcPr>
            <w:tcW w:w="1667" w:type="pct"/>
            <w:noWrap/>
            <w:hideMark/>
          </w:tcPr>
          <w:p w14:paraId="1AAE31AC" w14:textId="77777777" w:rsidR="00405620" w:rsidRPr="00890627" w:rsidRDefault="00405620" w:rsidP="00405620">
            <w:pPr>
              <w:pStyle w:val="TableBody"/>
            </w:pPr>
            <w:r w:rsidRPr="00890627">
              <w:t>21</w:t>
            </w:r>
          </w:p>
        </w:tc>
      </w:tr>
      <w:tr w:rsidR="00405620" w:rsidRPr="00890627" w14:paraId="113CC26E" w14:textId="77777777" w:rsidTr="00405620">
        <w:trPr>
          <w:trHeight w:val="312"/>
        </w:trPr>
        <w:tc>
          <w:tcPr>
            <w:tcW w:w="1666" w:type="pct"/>
            <w:noWrap/>
            <w:hideMark/>
          </w:tcPr>
          <w:p w14:paraId="37CB848E" w14:textId="77777777" w:rsidR="00405620" w:rsidRPr="00890627" w:rsidRDefault="00405620" w:rsidP="007F75D1">
            <w:pPr>
              <w:pStyle w:val="TableBody"/>
            </w:pPr>
            <w:r w:rsidRPr="00890627">
              <w:t>10 to less than 15 years</w:t>
            </w:r>
          </w:p>
        </w:tc>
        <w:tc>
          <w:tcPr>
            <w:tcW w:w="1666" w:type="pct"/>
            <w:noWrap/>
            <w:hideMark/>
          </w:tcPr>
          <w:p w14:paraId="15A8FCC7" w14:textId="77777777" w:rsidR="00405620" w:rsidRPr="00890627" w:rsidRDefault="00405620" w:rsidP="007F75D1">
            <w:pPr>
              <w:pStyle w:val="TableBody"/>
            </w:pPr>
          </w:p>
        </w:tc>
        <w:tc>
          <w:tcPr>
            <w:tcW w:w="1667" w:type="pct"/>
            <w:noWrap/>
            <w:hideMark/>
          </w:tcPr>
          <w:p w14:paraId="0EF612D2" w14:textId="77777777" w:rsidR="00405620" w:rsidRPr="00890627" w:rsidRDefault="00405620" w:rsidP="007F75D1">
            <w:pPr>
              <w:pStyle w:val="TableBody"/>
            </w:pPr>
            <w:r w:rsidRPr="00890627">
              <w:t>50</w:t>
            </w:r>
          </w:p>
        </w:tc>
      </w:tr>
      <w:tr w:rsidR="00405620" w:rsidRPr="00890627" w14:paraId="1243E9FC" w14:textId="77777777" w:rsidTr="00405620">
        <w:trPr>
          <w:trHeight w:val="312"/>
        </w:trPr>
        <w:tc>
          <w:tcPr>
            <w:tcW w:w="1666" w:type="pct"/>
            <w:noWrap/>
            <w:hideMark/>
          </w:tcPr>
          <w:p w14:paraId="16731C7D" w14:textId="77777777" w:rsidR="00405620" w:rsidRPr="00890627" w:rsidRDefault="00405620" w:rsidP="007F75D1">
            <w:pPr>
              <w:pStyle w:val="TableBody"/>
            </w:pPr>
            <w:r w:rsidRPr="00890627">
              <w:t>15 to less than 20 years</w:t>
            </w:r>
          </w:p>
        </w:tc>
        <w:tc>
          <w:tcPr>
            <w:tcW w:w="1666" w:type="pct"/>
            <w:noWrap/>
            <w:hideMark/>
          </w:tcPr>
          <w:p w14:paraId="59189F15" w14:textId="77777777" w:rsidR="00405620" w:rsidRPr="00890627" w:rsidRDefault="00405620" w:rsidP="007F75D1">
            <w:pPr>
              <w:pStyle w:val="TableBody"/>
            </w:pPr>
          </w:p>
        </w:tc>
        <w:tc>
          <w:tcPr>
            <w:tcW w:w="1667" w:type="pct"/>
            <w:noWrap/>
            <w:hideMark/>
          </w:tcPr>
          <w:p w14:paraId="209BC0E6" w14:textId="77777777" w:rsidR="00405620" w:rsidRPr="00890627" w:rsidRDefault="00405620" w:rsidP="007F75D1">
            <w:pPr>
              <w:pStyle w:val="TableBody"/>
            </w:pPr>
            <w:r w:rsidRPr="00890627">
              <w:t>22</w:t>
            </w:r>
          </w:p>
        </w:tc>
      </w:tr>
      <w:tr w:rsidR="00405620" w:rsidRPr="00890627" w14:paraId="7F46F7A2" w14:textId="77777777" w:rsidTr="00405620">
        <w:trPr>
          <w:trHeight w:val="312"/>
        </w:trPr>
        <w:tc>
          <w:tcPr>
            <w:tcW w:w="1666" w:type="pct"/>
            <w:noWrap/>
            <w:hideMark/>
          </w:tcPr>
          <w:p w14:paraId="11C6A329" w14:textId="77777777" w:rsidR="00405620" w:rsidRPr="00890627" w:rsidRDefault="00405620" w:rsidP="007F75D1">
            <w:pPr>
              <w:pStyle w:val="TableBody"/>
            </w:pPr>
            <w:r w:rsidRPr="00890627">
              <w:t>20 years or more</w:t>
            </w:r>
          </w:p>
        </w:tc>
        <w:tc>
          <w:tcPr>
            <w:tcW w:w="1666" w:type="pct"/>
            <w:noWrap/>
            <w:hideMark/>
          </w:tcPr>
          <w:p w14:paraId="0C6E12D2" w14:textId="77777777" w:rsidR="00405620" w:rsidRPr="00890627" w:rsidRDefault="00405620" w:rsidP="007F75D1">
            <w:pPr>
              <w:pStyle w:val="TableBody"/>
            </w:pPr>
          </w:p>
        </w:tc>
        <w:tc>
          <w:tcPr>
            <w:tcW w:w="1667" w:type="pct"/>
            <w:noWrap/>
            <w:hideMark/>
          </w:tcPr>
          <w:p w14:paraId="75D4C999" w14:textId="77777777" w:rsidR="00405620" w:rsidRPr="00890627" w:rsidRDefault="00405620" w:rsidP="007F75D1">
            <w:pPr>
              <w:pStyle w:val="TableBody"/>
            </w:pPr>
            <w:r w:rsidRPr="00890627">
              <w:t>9</w:t>
            </w:r>
          </w:p>
        </w:tc>
      </w:tr>
      <w:tr w:rsidR="00405620" w:rsidRPr="00890627" w14:paraId="5BAFA2C6" w14:textId="77777777" w:rsidTr="00405620">
        <w:trPr>
          <w:trHeight w:val="312"/>
        </w:trPr>
        <w:tc>
          <w:tcPr>
            <w:tcW w:w="1666" w:type="pct"/>
            <w:noWrap/>
            <w:hideMark/>
          </w:tcPr>
          <w:p w14:paraId="230107EC" w14:textId="001A02A0" w:rsidR="00405620" w:rsidRPr="00890627" w:rsidRDefault="001921EB" w:rsidP="00405620">
            <w:pPr>
              <w:pStyle w:val="TableBody"/>
            </w:pPr>
            <w:r>
              <w:t>Total</w:t>
            </w:r>
          </w:p>
        </w:tc>
        <w:tc>
          <w:tcPr>
            <w:tcW w:w="1666" w:type="pct"/>
            <w:noWrap/>
            <w:hideMark/>
          </w:tcPr>
          <w:p w14:paraId="7999A4D3" w14:textId="77777777" w:rsidR="00405620" w:rsidRPr="00890627" w:rsidRDefault="00405620" w:rsidP="00405620">
            <w:pPr>
              <w:pStyle w:val="TableBody"/>
            </w:pPr>
            <w:r w:rsidRPr="00890627">
              <w:t>318</w:t>
            </w:r>
          </w:p>
        </w:tc>
        <w:tc>
          <w:tcPr>
            <w:tcW w:w="1667" w:type="pct"/>
            <w:noWrap/>
            <w:hideMark/>
          </w:tcPr>
          <w:p w14:paraId="1655266B" w14:textId="77777777" w:rsidR="00405620" w:rsidRPr="00890627" w:rsidRDefault="00405620" w:rsidP="00405620">
            <w:pPr>
              <w:pStyle w:val="TableBody"/>
            </w:pPr>
            <w:r w:rsidRPr="00890627">
              <w:t>529</w:t>
            </w:r>
          </w:p>
        </w:tc>
      </w:tr>
    </w:tbl>
    <w:p w14:paraId="60E2FA48" w14:textId="77777777" w:rsidR="004C0661" w:rsidRPr="002369DB" w:rsidRDefault="004C0661" w:rsidP="007E07CF">
      <w:r w:rsidRPr="002369DB">
        <w:t xml:space="preserve">The 9 cases resulting in prison sentences of 20 years or more included: </w:t>
      </w:r>
    </w:p>
    <w:p w14:paraId="7EA88D25" w14:textId="77777777" w:rsidR="004C0661" w:rsidRPr="002369DB" w:rsidRDefault="004C0661" w:rsidP="00622026">
      <w:pPr>
        <w:pStyle w:val="Bullets"/>
      </w:pPr>
      <w:r w:rsidRPr="002369DB">
        <w:t>a sentence of 42 years’ imprisonment with a non-parole period of 31.5 years imposed in the first Australian case involving the offence of intentionally engaging in a terrorist act</w:t>
      </w:r>
      <w:r w:rsidRPr="002369DB">
        <w:rPr>
          <w:rStyle w:val="Superscript"/>
        </w:rPr>
        <w:footnoteReference w:id="60"/>
      </w:r>
      <w:r w:rsidRPr="002369DB">
        <w:t xml:space="preserve"> </w:t>
      </w:r>
    </w:p>
    <w:p w14:paraId="233BC159" w14:textId="77777777" w:rsidR="004C0661" w:rsidRPr="002369DB" w:rsidRDefault="004C0661" w:rsidP="00622026">
      <w:pPr>
        <w:pStyle w:val="Bullets"/>
      </w:pPr>
      <w:r w:rsidRPr="002369DB">
        <w:t>a sentence of 24 years’ imprisonment with a non-parole period of 20 years imposed for conspiring to do acts in preparing for or planning a terrorist act</w:t>
      </w:r>
      <w:r w:rsidRPr="002369DB">
        <w:rPr>
          <w:rStyle w:val="Superscript"/>
        </w:rPr>
        <w:footnoteReference w:id="61"/>
      </w:r>
    </w:p>
    <w:p w14:paraId="46754561" w14:textId="77777777" w:rsidR="004C0661" w:rsidRPr="002369DB" w:rsidRDefault="004C0661" w:rsidP="00622026">
      <w:pPr>
        <w:pStyle w:val="Bullets"/>
      </w:pPr>
      <w:r w:rsidRPr="002369DB">
        <w:lastRenderedPageBreak/>
        <w:t>three offenders sentenced for related offending – in particular, three men received prison sentences of 22, 26 and 26 years’ duration for conspiring to do acts in preparation for or planning a terrorist act.</w:t>
      </w:r>
      <w:r w:rsidRPr="002369DB">
        <w:rPr>
          <w:rStyle w:val="Superscript"/>
        </w:rPr>
        <w:footnoteReference w:id="62"/>
      </w:r>
      <w:r w:rsidRPr="002369DB">
        <w:t xml:space="preserve"> One of those three offenders had also received 22 years’ imprisonment in a separate case during the reference period, for similar terrorism-related offending,</w:t>
      </w:r>
      <w:r w:rsidRPr="002369DB">
        <w:rPr>
          <w:rStyle w:val="Superscript"/>
        </w:rPr>
        <w:footnoteReference w:id="63"/>
      </w:r>
      <w:r w:rsidRPr="002369DB">
        <w:t xml:space="preserve"> alongside another co-offender who also received 22 years’ imprisonment</w:t>
      </w:r>
      <w:r w:rsidRPr="002369DB">
        <w:rPr>
          <w:rStyle w:val="Superscript"/>
        </w:rPr>
        <w:footnoteReference w:id="64"/>
      </w:r>
    </w:p>
    <w:p w14:paraId="1BF3701C" w14:textId="77777777" w:rsidR="004C0661" w:rsidRPr="002369DB" w:rsidRDefault="004C0661" w:rsidP="00622026">
      <w:pPr>
        <w:pStyle w:val="Bullets"/>
      </w:pPr>
      <w:r w:rsidRPr="002369DB">
        <w:t>a sentence of 22 years’ imprisonment with a non-parole period of 15 years imposed in a case for importing a commercial quantity of methamphetamine, in particular, 534 kilograms hidden within over 700 folded frozen cowhides</w:t>
      </w:r>
      <w:r w:rsidRPr="002369DB">
        <w:rPr>
          <w:rStyle w:val="Superscript"/>
        </w:rPr>
        <w:footnoteReference w:id="65"/>
      </w:r>
    </w:p>
    <w:p w14:paraId="65209BCA" w14:textId="77777777" w:rsidR="004C0661" w:rsidRPr="002369DB" w:rsidRDefault="004C0661" w:rsidP="00622026">
      <w:pPr>
        <w:pStyle w:val="Bullets"/>
      </w:pPr>
      <w:r w:rsidRPr="002369DB">
        <w:t>a sentence of 35 years’ imprisonment with a non-parole period of 28 years imposed in a case in which a man pleaded guilty to committing 59 sexual offences against 43 unique child victims over a 15-year period, most of which involved engaging in sexual intercourse or other sexual conduct with 27 children overseas.</w:t>
      </w:r>
      <w:r w:rsidRPr="002369DB">
        <w:rPr>
          <w:rStyle w:val="Superscript"/>
        </w:rPr>
        <w:footnoteReference w:id="66"/>
      </w:r>
    </w:p>
    <w:p w14:paraId="2F058860" w14:textId="77777777" w:rsidR="004C0661" w:rsidRPr="002369DB" w:rsidRDefault="004C0661" w:rsidP="00C474D2">
      <w:r w:rsidRPr="002369DB">
        <w:t>In effect, the longest prison sentences for federal offenders were most commonly in cases involving terrorism-related offending (in 7 of the 9 cases with prison sentences of 20 years or more). The other 2 cases involved protracted child sex offences and importing over half a tonne of a border controlled drug.</w:t>
      </w:r>
    </w:p>
    <w:p w14:paraId="024D8540" w14:textId="77777777" w:rsidR="004C0661" w:rsidRPr="002369DB" w:rsidRDefault="004C0661" w:rsidP="00C474D2">
      <w:r w:rsidRPr="002369DB">
        <w:t xml:space="preserve">For those 847 cases resulting in an immediate prison sentence, Table 4 shows the principal offence type in the case. The most common offence type in those cases was a border controlled drug offence, accounting for almost one-quarter of prison sentences imposed on federal offenders. The </w:t>
      </w:r>
      <w:r w:rsidRPr="002369DB">
        <w:rPr>
          <w:rStyle w:val="Italic"/>
        </w:rPr>
        <w:lastRenderedPageBreak/>
        <w:t>other</w:t>
      </w:r>
      <w:r w:rsidRPr="002369DB">
        <w:t xml:space="preserve"> offence type group in Table 4 included possessing counterfeit money, terrorism-related offences, contact child abuse offences committed overseas, and proceeds of crime offences.</w:t>
      </w:r>
    </w:p>
    <w:p w14:paraId="72FD8877" w14:textId="77777777" w:rsidR="004C0661" w:rsidRPr="002369DB" w:rsidRDefault="004C0661" w:rsidP="00A775DC">
      <w:pPr>
        <w:pStyle w:val="Caption"/>
      </w:pPr>
      <w:r w:rsidRPr="002369DB">
        <w:t>Table 4: Cases involving Commonwealth offences that resulted in an imprisonment term, by principal offence type in the case (847 cases)</w:t>
      </w:r>
    </w:p>
    <w:tbl>
      <w:tblPr>
        <w:tblStyle w:val="Table"/>
        <w:tblW w:w="0" w:type="auto"/>
        <w:tblLook w:val="0020" w:firstRow="1" w:lastRow="0" w:firstColumn="0" w:lastColumn="0" w:noHBand="0" w:noVBand="0"/>
      </w:tblPr>
      <w:tblGrid>
        <w:gridCol w:w="3779"/>
        <w:gridCol w:w="1634"/>
        <w:gridCol w:w="3603"/>
      </w:tblGrid>
      <w:tr w:rsidR="004C0661" w:rsidRPr="002369DB" w14:paraId="66410E4D" w14:textId="77777777" w:rsidTr="004375E7">
        <w:trPr>
          <w:trHeight w:val="60"/>
          <w:tblHeader/>
        </w:trPr>
        <w:tc>
          <w:tcPr>
            <w:tcW w:w="0" w:type="auto"/>
          </w:tcPr>
          <w:p w14:paraId="0369417C" w14:textId="77777777" w:rsidR="004C0661" w:rsidRPr="002369DB" w:rsidRDefault="004C0661" w:rsidP="00B91C29">
            <w:pPr>
              <w:pStyle w:val="TableHeading"/>
            </w:pPr>
            <w:r w:rsidRPr="002369DB">
              <w:t>Offence type</w:t>
            </w:r>
          </w:p>
        </w:tc>
        <w:tc>
          <w:tcPr>
            <w:tcW w:w="0" w:type="auto"/>
          </w:tcPr>
          <w:p w14:paraId="7801ED03" w14:textId="77777777" w:rsidR="004C0661" w:rsidRPr="002369DB" w:rsidRDefault="004C0661" w:rsidP="00CA695F">
            <w:pPr>
              <w:pStyle w:val="TableHeading"/>
            </w:pPr>
            <w:r w:rsidRPr="002369DB">
              <w:t>Number of cases</w:t>
            </w:r>
          </w:p>
        </w:tc>
        <w:tc>
          <w:tcPr>
            <w:tcW w:w="0" w:type="auto"/>
          </w:tcPr>
          <w:p w14:paraId="7CEE8A6A" w14:textId="77777777" w:rsidR="004C0661" w:rsidRPr="002369DB" w:rsidRDefault="004C0661" w:rsidP="00CA695F">
            <w:pPr>
              <w:pStyle w:val="TableHeading"/>
            </w:pPr>
            <w:r w:rsidRPr="002369DB">
              <w:t>Percentage of cases receiving imprisonment</w:t>
            </w:r>
          </w:p>
        </w:tc>
      </w:tr>
      <w:tr w:rsidR="004C0661" w:rsidRPr="002369DB" w14:paraId="19C660B8" w14:textId="77777777" w:rsidTr="004375E7">
        <w:trPr>
          <w:trHeight w:val="60"/>
        </w:trPr>
        <w:tc>
          <w:tcPr>
            <w:tcW w:w="0" w:type="auto"/>
          </w:tcPr>
          <w:p w14:paraId="68CE7B4F" w14:textId="77777777" w:rsidR="004C0661" w:rsidRPr="002369DB" w:rsidRDefault="004C0661" w:rsidP="00B91C29">
            <w:pPr>
              <w:pStyle w:val="TableBody"/>
            </w:pPr>
            <w:r w:rsidRPr="002369DB">
              <w:t>Border controlled drug offences</w:t>
            </w:r>
          </w:p>
        </w:tc>
        <w:tc>
          <w:tcPr>
            <w:tcW w:w="0" w:type="auto"/>
          </w:tcPr>
          <w:p w14:paraId="545D6FA6" w14:textId="77777777" w:rsidR="004C0661" w:rsidRPr="002369DB" w:rsidRDefault="004C0661" w:rsidP="00B91C29">
            <w:pPr>
              <w:pStyle w:val="TableBody"/>
            </w:pPr>
            <w:r w:rsidRPr="002369DB">
              <w:t>200</w:t>
            </w:r>
          </w:p>
        </w:tc>
        <w:tc>
          <w:tcPr>
            <w:tcW w:w="0" w:type="auto"/>
          </w:tcPr>
          <w:p w14:paraId="1F910700" w14:textId="77777777" w:rsidR="004C0661" w:rsidRPr="002369DB" w:rsidRDefault="004C0661" w:rsidP="00B91C29">
            <w:pPr>
              <w:pStyle w:val="TableBody"/>
            </w:pPr>
            <w:r w:rsidRPr="002369DB">
              <w:t>23.6%</w:t>
            </w:r>
          </w:p>
        </w:tc>
      </w:tr>
      <w:tr w:rsidR="004C0661" w:rsidRPr="002369DB" w14:paraId="3FB0DDEE" w14:textId="77777777" w:rsidTr="004375E7">
        <w:trPr>
          <w:trHeight w:val="60"/>
        </w:trPr>
        <w:tc>
          <w:tcPr>
            <w:tcW w:w="0" w:type="auto"/>
          </w:tcPr>
          <w:p w14:paraId="6A7944E3" w14:textId="77777777" w:rsidR="004C0661" w:rsidRPr="002369DB" w:rsidRDefault="004C0661" w:rsidP="00B91C29">
            <w:pPr>
              <w:pStyle w:val="TableBody"/>
            </w:pPr>
            <w:r w:rsidRPr="002369DB">
              <w:t>Fraud offences against Commonwealth entity</w:t>
            </w:r>
          </w:p>
        </w:tc>
        <w:tc>
          <w:tcPr>
            <w:tcW w:w="0" w:type="auto"/>
          </w:tcPr>
          <w:p w14:paraId="4954B4B2" w14:textId="77777777" w:rsidR="004C0661" w:rsidRPr="002369DB" w:rsidRDefault="004C0661" w:rsidP="00B91C29">
            <w:pPr>
              <w:pStyle w:val="TableBody"/>
            </w:pPr>
            <w:r w:rsidRPr="002369DB">
              <w:t>150</w:t>
            </w:r>
          </w:p>
        </w:tc>
        <w:tc>
          <w:tcPr>
            <w:tcW w:w="0" w:type="auto"/>
          </w:tcPr>
          <w:p w14:paraId="51A4F0A5" w14:textId="77777777" w:rsidR="004C0661" w:rsidRPr="002369DB" w:rsidRDefault="004C0661" w:rsidP="00B91C29">
            <w:pPr>
              <w:pStyle w:val="TableBody"/>
            </w:pPr>
            <w:r w:rsidRPr="002369DB">
              <w:t>17.7%</w:t>
            </w:r>
          </w:p>
        </w:tc>
      </w:tr>
      <w:tr w:rsidR="004C0661" w:rsidRPr="002369DB" w14:paraId="64B4F87F" w14:textId="77777777" w:rsidTr="004375E7">
        <w:trPr>
          <w:trHeight w:val="60"/>
        </w:trPr>
        <w:tc>
          <w:tcPr>
            <w:tcW w:w="0" w:type="auto"/>
          </w:tcPr>
          <w:p w14:paraId="7F3ED431" w14:textId="77777777" w:rsidR="004C0661" w:rsidRPr="002369DB" w:rsidRDefault="004C0661" w:rsidP="00B91C29">
            <w:pPr>
              <w:pStyle w:val="TableBody"/>
            </w:pPr>
            <w:r w:rsidRPr="002369DB">
              <w:t>Using a carriage service to menace, harass or offend</w:t>
            </w:r>
          </w:p>
        </w:tc>
        <w:tc>
          <w:tcPr>
            <w:tcW w:w="0" w:type="auto"/>
          </w:tcPr>
          <w:p w14:paraId="285F48C0" w14:textId="77777777" w:rsidR="004C0661" w:rsidRPr="002369DB" w:rsidRDefault="004C0661" w:rsidP="00B91C29">
            <w:pPr>
              <w:pStyle w:val="TableBody"/>
            </w:pPr>
            <w:r w:rsidRPr="002369DB">
              <w:t>142</w:t>
            </w:r>
          </w:p>
        </w:tc>
        <w:tc>
          <w:tcPr>
            <w:tcW w:w="0" w:type="auto"/>
          </w:tcPr>
          <w:p w14:paraId="6A76A56B" w14:textId="77777777" w:rsidR="004C0661" w:rsidRPr="002369DB" w:rsidRDefault="004C0661" w:rsidP="00B91C29">
            <w:pPr>
              <w:pStyle w:val="TableBody"/>
            </w:pPr>
            <w:r w:rsidRPr="002369DB">
              <w:t>16.7%</w:t>
            </w:r>
          </w:p>
        </w:tc>
      </w:tr>
      <w:tr w:rsidR="004C0661" w:rsidRPr="002369DB" w14:paraId="31607289" w14:textId="77777777" w:rsidTr="004375E7">
        <w:trPr>
          <w:trHeight w:val="60"/>
        </w:trPr>
        <w:tc>
          <w:tcPr>
            <w:tcW w:w="0" w:type="auto"/>
          </w:tcPr>
          <w:p w14:paraId="0DAE1F4B" w14:textId="77777777" w:rsidR="004C0661" w:rsidRPr="002369DB" w:rsidRDefault="004C0661" w:rsidP="00B91C29">
            <w:pPr>
              <w:pStyle w:val="TableBody"/>
            </w:pPr>
            <w:r w:rsidRPr="002369DB">
              <w:t>Child abuse material offences</w:t>
            </w:r>
          </w:p>
        </w:tc>
        <w:tc>
          <w:tcPr>
            <w:tcW w:w="0" w:type="auto"/>
          </w:tcPr>
          <w:p w14:paraId="6BF33D16" w14:textId="77777777" w:rsidR="004C0661" w:rsidRPr="002369DB" w:rsidRDefault="004C0661" w:rsidP="00B91C29">
            <w:pPr>
              <w:pStyle w:val="TableBody"/>
            </w:pPr>
            <w:r w:rsidRPr="002369DB">
              <w:t>88</w:t>
            </w:r>
          </w:p>
        </w:tc>
        <w:tc>
          <w:tcPr>
            <w:tcW w:w="0" w:type="auto"/>
          </w:tcPr>
          <w:p w14:paraId="6D7B61B6" w14:textId="77777777" w:rsidR="004C0661" w:rsidRPr="002369DB" w:rsidRDefault="004C0661" w:rsidP="00B91C29">
            <w:pPr>
              <w:pStyle w:val="TableBody"/>
            </w:pPr>
            <w:r w:rsidRPr="002369DB">
              <w:t>10.4%</w:t>
            </w:r>
          </w:p>
        </w:tc>
      </w:tr>
      <w:tr w:rsidR="004C0661" w:rsidRPr="002369DB" w14:paraId="3EC56044" w14:textId="77777777" w:rsidTr="004375E7">
        <w:trPr>
          <w:trHeight w:val="60"/>
        </w:trPr>
        <w:tc>
          <w:tcPr>
            <w:tcW w:w="0" w:type="auto"/>
          </w:tcPr>
          <w:p w14:paraId="5C16CF81" w14:textId="77777777" w:rsidR="004C0661" w:rsidRPr="002369DB" w:rsidRDefault="004C0661" w:rsidP="00B91C29">
            <w:pPr>
              <w:pStyle w:val="TableBody"/>
            </w:pPr>
            <w:r w:rsidRPr="002369DB">
              <w:t>Other</w:t>
            </w:r>
          </w:p>
        </w:tc>
        <w:tc>
          <w:tcPr>
            <w:tcW w:w="0" w:type="auto"/>
          </w:tcPr>
          <w:p w14:paraId="72236A9E" w14:textId="77777777" w:rsidR="004C0661" w:rsidRPr="002369DB" w:rsidRDefault="004C0661" w:rsidP="00B91C29">
            <w:pPr>
              <w:pStyle w:val="TableBody"/>
            </w:pPr>
            <w:r w:rsidRPr="002369DB">
              <w:t>267</w:t>
            </w:r>
          </w:p>
        </w:tc>
        <w:tc>
          <w:tcPr>
            <w:tcW w:w="0" w:type="auto"/>
          </w:tcPr>
          <w:p w14:paraId="53BE18AC" w14:textId="77777777" w:rsidR="004C0661" w:rsidRPr="002369DB" w:rsidRDefault="004C0661" w:rsidP="00B91C29">
            <w:pPr>
              <w:pStyle w:val="TableBody"/>
            </w:pPr>
            <w:r w:rsidRPr="002369DB">
              <w:t>31.5%</w:t>
            </w:r>
          </w:p>
        </w:tc>
      </w:tr>
      <w:tr w:rsidR="004C0661" w:rsidRPr="002369DB" w14:paraId="0073FCBA" w14:textId="77777777" w:rsidTr="004375E7">
        <w:trPr>
          <w:trHeight w:val="60"/>
        </w:trPr>
        <w:tc>
          <w:tcPr>
            <w:tcW w:w="0" w:type="auto"/>
          </w:tcPr>
          <w:p w14:paraId="350AEC1E" w14:textId="77777777" w:rsidR="004C0661" w:rsidRPr="00066386" w:rsidRDefault="004C0661" w:rsidP="00B91C29">
            <w:pPr>
              <w:pStyle w:val="TableBody"/>
              <w:rPr>
                <w:rStyle w:val="Bold"/>
                <w:b w:val="0"/>
                <w:bCs w:val="0"/>
              </w:rPr>
            </w:pPr>
            <w:r w:rsidRPr="00066386">
              <w:rPr>
                <w:rStyle w:val="Bold"/>
                <w:b w:val="0"/>
                <w:bCs w:val="0"/>
              </w:rPr>
              <w:t>Total</w:t>
            </w:r>
          </w:p>
        </w:tc>
        <w:tc>
          <w:tcPr>
            <w:tcW w:w="0" w:type="auto"/>
          </w:tcPr>
          <w:p w14:paraId="7F110573" w14:textId="77777777" w:rsidR="004C0661" w:rsidRPr="00066386" w:rsidRDefault="004C0661" w:rsidP="00B91C29">
            <w:pPr>
              <w:pStyle w:val="TableBody"/>
              <w:rPr>
                <w:rStyle w:val="Bold"/>
                <w:b w:val="0"/>
                <w:bCs w:val="0"/>
              </w:rPr>
            </w:pPr>
            <w:r w:rsidRPr="00066386">
              <w:rPr>
                <w:rStyle w:val="Bold"/>
                <w:b w:val="0"/>
                <w:bCs w:val="0"/>
              </w:rPr>
              <w:t>847</w:t>
            </w:r>
          </w:p>
        </w:tc>
        <w:tc>
          <w:tcPr>
            <w:tcW w:w="0" w:type="auto"/>
          </w:tcPr>
          <w:p w14:paraId="4B0B02B7" w14:textId="77777777" w:rsidR="004C0661" w:rsidRPr="00066386" w:rsidRDefault="004C0661" w:rsidP="00B91C29">
            <w:pPr>
              <w:pStyle w:val="TableBody"/>
              <w:rPr>
                <w:rStyle w:val="Bold"/>
                <w:b w:val="0"/>
                <w:bCs w:val="0"/>
              </w:rPr>
            </w:pPr>
            <w:r w:rsidRPr="00066386">
              <w:rPr>
                <w:rStyle w:val="Bold"/>
                <w:b w:val="0"/>
                <w:bCs w:val="0"/>
              </w:rPr>
              <w:t>100%</w:t>
            </w:r>
          </w:p>
        </w:tc>
      </w:tr>
    </w:tbl>
    <w:p w14:paraId="7F1F7C81" w14:textId="77777777" w:rsidR="004C0661" w:rsidRPr="002369DB" w:rsidRDefault="004C0661" w:rsidP="00622026">
      <w:pPr>
        <w:pStyle w:val="Heading2"/>
      </w:pPr>
      <w:r w:rsidRPr="002369DB">
        <w:t>Presumptive minimum sentences of imprisonment for certain child sex offences</w:t>
      </w:r>
    </w:p>
    <w:p w14:paraId="75F84F14" w14:textId="77777777" w:rsidR="004C0661" w:rsidRPr="002369DB" w:rsidRDefault="004C0661" w:rsidP="00C474D2">
      <w:r w:rsidRPr="002369DB">
        <w:t>For certain child sex offences committed on or after 23 June 2020, Commonwealth legislation</w:t>
      </w:r>
      <w:r w:rsidRPr="002369DB">
        <w:rPr>
          <w:rStyle w:val="Italic"/>
        </w:rPr>
        <w:t xml:space="preserve"> </w:t>
      </w:r>
      <w:r w:rsidRPr="002369DB">
        <w:t>prescribes a minimum sentence of 5, 6 or 7 years’ imprisonment.</w:t>
      </w:r>
      <w:r w:rsidRPr="002369DB">
        <w:rPr>
          <w:rStyle w:val="Superscript"/>
        </w:rPr>
        <w:footnoteReference w:id="67"/>
      </w:r>
      <w:r w:rsidRPr="002369DB">
        <w:t xml:space="preserve"> There are two primary exceptions: first, the presumptive minimum sentences do not apply if the offender was aged under 18 at the time of the offence, and second, the court can (to a limited extent) impose a sentence shorter than the minimum if the offender pleaded guilty and/or cooperated with law enforcement investigators.</w:t>
      </w:r>
      <w:r w:rsidRPr="002369DB">
        <w:rPr>
          <w:rStyle w:val="Superscript"/>
        </w:rPr>
        <w:footnoteReference w:id="68"/>
      </w:r>
      <w:r w:rsidRPr="002369DB">
        <w:t xml:space="preserve"> </w:t>
      </w:r>
    </w:p>
    <w:p w14:paraId="51FEB9F6" w14:textId="77777777" w:rsidR="004C0661" w:rsidRPr="002369DB" w:rsidRDefault="004C0661" w:rsidP="007E07CF">
      <w:r w:rsidRPr="002369DB">
        <w:lastRenderedPageBreak/>
        <w:t xml:space="preserve">There are 15 child sex offences specified in section 16AAA as attracting minimum sentences of imprisonment. There were 89 charges of those offences sentenced during the five years to 30 June 2023, including: </w:t>
      </w:r>
    </w:p>
    <w:p w14:paraId="3430EA69" w14:textId="77777777" w:rsidR="004C0661" w:rsidRPr="002369DB" w:rsidRDefault="004C0661" w:rsidP="00622026">
      <w:pPr>
        <w:pStyle w:val="Bullets"/>
      </w:pPr>
      <w:r w:rsidRPr="002369DB">
        <w:t>27 charges of using a carriage service to engage in sexual activity with a child aged under 16 (</w:t>
      </w:r>
      <w:r w:rsidRPr="002369DB">
        <w:rPr>
          <w:rStyle w:val="Italic"/>
        </w:rPr>
        <w:t>Criminal Code</w:t>
      </w:r>
      <w:r w:rsidRPr="002369DB">
        <w:t xml:space="preserve"> (</w:t>
      </w:r>
      <w:proofErr w:type="spellStart"/>
      <w:r w:rsidRPr="002369DB">
        <w:t>Cth</w:t>
      </w:r>
      <w:proofErr w:type="spellEnd"/>
      <w:r w:rsidRPr="002369DB">
        <w:t>) s 474.25A(1))</w:t>
      </w:r>
    </w:p>
    <w:p w14:paraId="539D8207" w14:textId="77777777" w:rsidR="004C0661" w:rsidRPr="002369DB" w:rsidRDefault="004C0661" w:rsidP="00622026">
      <w:pPr>
        <w:pStyle w:val="Bullets"/>
      </w:pPr>
      <w:r w:rsidRPr="002369DB">
        <w:t>18 charges of encouraging the commission of child sex offences outside Australia (s 272.19)</w:t>
      </w:r>
    </w:p>
    <w:p w14:paraId="5C92361C" w14:textId="77777777" w:rsidR="004C0661" w:rsidRPr="002369DB" w:rsidRDefault="004C0661" w:rsidP="00622026">
      <w:pPr>
        <w:pStyle w:val="Bullets"/>
      </w:pPr>
      <w:r w:rsidRPr="002369DB">
        <w:t>16 charges of engaging in sexual activity (other than intercourse) with a child aged under 16 outside Australia (s 272.9(1))</w:t>
      </w:r>
    </w:p>
    <w:p w14:paraId="7032BBC4" w14:textId="77777777" w:rsidR="004C0661" w:rsidRPr="002369DB" w:rsidRDefault="004C0661" w:rsidP="00622026">
      <w:pPr>
        <w:pStyle w:val="Bullets"/>
      </w:pPr>
      <w:r w:rsidRPr="002369DB">
        <w:t>8 charges of causing a child aged under 16 to engage in sexual intercourse in the presence of the defendant outside Australia (s 272.8(2))</w:t>
      </w:r>
    </w:p>
    <w:p w14:paraId="655A481C" w14:textId="77777777" w:rsidR="004C0661" w:rsidRPr="002369DB" w:rsidRDefault="004C0661" w:rsidP="00622026">
      <w:pPr>
        <w:pStyle w:val="Bullets"/>
      </w:pPr>
      <w:r w:rsidRPr="002369DB">
        <w:t>7 charges of engaging in sexual intercourse with a child aged under 16 outside Australia (s 272.8(1))</w:t>
      </w:r>
    </w:p>
    <w:p w14:paraId="538D4864" w14:textId="77777777" w:rsidR="004C0661" w:rsidRPr="002369DB" w:rsidRDefault="004C0661" w:rsidP="00622026">
      <w:pPr>
        <w:pStyle w:val="Bullets"/>
      </w:pPr>
      <w:r w:rsidRPr="002369DB">
        <w:t>4 charges relating to a carriage service being used for child abuse material (s 474.23A)</w:t>
      </w:r>
    </w:p>
    <w:p w14:paraId="6E1F0595" w14:textId="77777777" w:rsidR="004C0661" w:rsidRPr="002369DB" w:rsidRDefault="004C0661" w:rsidP="00622026">
      <w:pPr>
        <w:pStyle w:val="Bullets"/>
      </w:pPr>
      <w:r w:rsidRPr="002369DB">
        <w:t>3 charges of causing a child aged under 16 to engage in sexual activity (other than intercourse) in the presence of the defendant outside Australia (s 272.9(2))</w:t>
      </w:r>
    </w:p>
    <w:p w14:paraId="37261C7E" w14:textId="77777777" w:rsidR="004C0661" w:rsidRPr="002369DB" w:rsidRDefault="004C0661" w:rsidP="00622026">
      <w:pPr>
        <w:pStyle w:val="Bullets"/>
      </w:pPr>
      <w:r w:rsidRPr="002369DB">
        <w:t>3 charges of persistent sexual abuse of a child outside Australia (s 272.11)</w:t>
      </w:r>
    </w:p>
    <w:p w14:paraId="4C1FCEE3" w14:textId="77777777" w:rsidR="004C0661" w:rsidRPr="002369DB" w:rsidRDefault="004C0661" w:rsidP="00622026">
      <w:pPr>
        <w:pStyle w:val="Bullets"/>
      </w:pPr>
      <w:r w:rsidRPr="002369DB">
        <w:t>3 charges of aggravated offences involving child abuse material (ss 474.24A, 273.7).</w:t>
      </w:r>
    </w:p>
    <w:p w14:paraId="7B50AE62" w14:textId="03ED59F5" w:rsidR="004C0661" w:rsidRPr="002369DB" w:rsidRDefault="004C0661" w:rsidP="00C474D2">
      <w:r w:rsidRPr="002369DB">
        <w:t>Very few of the 89 charges, however, attracted the operation of the presumptive minimum sentences, because the offending in almost all those cases occurred prior to 23 June 2020.</w:t>
      </w:r>
      <w:r w:rsidRPr="002369DB">
        <w:rPr>
          <w:rStyle w:val="Superscript"/>
        </w:rPr>
        <w:footnoteReference w:id="69"/>
      </w:r>
      <w:r w:rsidRPr="002369DB">
        <w:t xml:space="preserve"> Indeed, the presumptive </w:t>
      </w:r>
      <w:r w:rsidRPr="002369DB">
        <w:lastRenderedPageBreak/>
        <w:t xml:space="preserve">minimum sentences applied in just 3 cases in the five years to 30 June 2023: </w:t>
      </w:r>
      <w:r w:rsidRPr="002369DB">
        <w:rPr>
          <w:rStyle w:val="Italic"/>
        </w:rPr>
        <w:t>DPP (</w:t>
      </w:r>
      <w:proofErr w:type="spellStart"/>
      <w:r w:rsidRPr="002369DB">
        <w:rPr>
          <w:rStyle w:val="Italic"/>
        </w:rPr>
        <w:t>Cth</w:t>
      </w:r>
      <w:proofErr w:type="spellEnd"/>
      <w:r w:rsidRPr="002369DB">
        <w:rPr>
          <w:rStyle w:val="Italic"/>
        </w:rPr>
        <w:t xml:space="preserve">) v Caldwell (a pseudonym) </w:t>
      </w:r>
      <w:r w:rsidRPr="002369DB">
        <w:t xml:space="preserve">[2022] VCC 1258; </w:t>
      </w:r>
      <w:r w:rsidRPr="002369DB">
        <w:rPr>
          <w:rStyle w:val="Italic"/>
        </w:rPr>
        <w:t>DPP (</w:t>
      </w:r>
      <w:proofErr w:type="spellStart"/>
      <w:r w:rsidRPr="002369DB">
        <w:rPr>
          <w:rStyle w:val="Italic"/>
        </w:rPr>
        <w:t>Cth</w:t>
      </w:r>
      <w:proofErr w:type="spellEnd"/>
      <w:r w:rsidRPr="002369DB">
        <w:rPr>
          <w:rStyle w:val="Italic"/>
        </w:rPr>
        <w:t xml:space="preserve">) v Trinh </w:t>
      </w:r>
      <w:r w:rsidRPr="002369DB">
        <w:t>[2022] VCC 1404;</w:t>
      </w:r>
      <w:r w:rsidRPr="002369DB">
        <w:rPr>
          <w:rStyle w:val="Superscript"/>
        </w:rPr>
        <w:footnoteReference w:id="70"/>
      </w:r>
      <w:r w:rsidRPr="002369DB">
        <w:t xml:space="preserve"> and </w:t>
      </w:r>
      <w:r w:rsidRPr="002369DB">
        <w:rPr>
          <w:rStyle w:val="Italic"/>
        </w:rPr>
        <w:t>DPP (</w:t>
      </w:r>
      <w:proofErr w:type="spellStart"/>
      <w:r w:rsidRPr="002369DB">
        <w:rPr>
          <w:rStyle w:val="Italic"/>
        </w:rPr>
        <w:t>Cth</w:t>
      </w:r>
      <w:proofErr w:type="spellEnd"/>
      <w:r w:rsidRPr="002369DB">
        <w:rPr>
          <w:rStyle w:val="Italic"/>
        </w:rPr>
        <w:t xml:space="preserve">) v ABC (a pseudonym) </w:t>
      </w:r>
      <w:r w:rsidRPr="002369DB">
        <w:t>[2023] VCC 446.</w:t>
      </w:r>
      <w:r w:rsidRPr="002369DB">
        <w:rPr>
          <w:rStyle w:val="Superscript"/>
        </w:rPr>
        <w:footnoteReference w:id="71"/>
      </w:r>
      <w:r w:rsidRPr="002369DB">
        <w:t xml:space="preserve"> The sentences imposed on the relevant offences in those cases are shown in Table 5, with all 7 charges receiving prison sentences shorter than the presumptive minimum sentence. This was because all three offenders pleaded guilty and cooperated with law enforcement by making admissions and/or sharing passwords with officials.</w:t>
      </w:r>
    </w:p>
    <w:p w14:paraId="74CE183C" w14:textId="77777777" w:rsidR="005D048E" w:rsidRPr="002369DB" w:rsidRDefault="005D048E" w:rsidP="00A775DC">
      <w:pPr>
        <w:pStyle w:val="Caption"/>
      </w:pPr>
      <w:r w:rsidRPr="002369DB">
        <w:t>Table 5: Cases involving presumptive minimum sentences for Commonwealth child abuse offences sentenced in adult courts in Victoria, 1 July 2018 to 30 June 2023</w:t>
      </w:r>
    </w:p>
    <w:tbl>
      <w:tblPr>
        <w:tblStyle w:val="Table"/>
        <w:tblW w:w="5079" w:type="pct"/>
        <w:tblLayout w:type="fixed"/>
        <w:tblLook w:val="0020" w:firstRow="1" w:lastRow="0" w:firstColumn="0" w:lastColumn="0" w:noHBand="0" w:noVBand="0"/>
      </w:tblPr>
      <w:tblGrid>
        <w:gridCol w:w="1501"/>
        <w:gridCol w:w="1504"/>
        <w:gridCol w:w="1504"/>
        <w:gridCol w:w="1502"/>
        <w:gridCol w:w="1504"/>
        <w:gridCol w:w="1643"/>
      </w:tblGrid>
      <w:tr w:rsidR="00686468" w:rsidRPr="002369DB" w14:paraId="23D3244E" w14:textId="77777777" w:rsidTr="004375E7">
        <w:trPr>
          <w:trHeight w:val="60"/>
          <w:tblHeader/>
        </w:trPr>
        <w:tc>
          <w:tcPr>
            <w:tcW w:w="819" w:type="pct"/>
          </w:tcPr>
          <w:p w14:paraId="2184B0FB" w14:textId="77777777" w:rsidR="005D048E" w:rsidRPr="002369DB" w:rsidRDefault="005D048E" w:rsidP="00B91C29">
            <w:pPr>
              <w:pStyle w:val="TableHeading"/>
            </w:pPr>
            <w:r w:rsidRPr="002369DB">
              <w:t>Case</w:t>
            </w:r>
          </w:p>
        </w:tc>
        <w:tc>
          <w:tcPr>
            <w:tcW w:w="821" w:type="pct"/>
          </w:tcPr>
          <w:p w14:paraId="7A865855" w14:textId="77777777" w:rsidR="005D048E" w:rsidRPr="002369DB" w:rsidRDefault="005D048E" w:rsidP="00B91C29">
            <w:pPr>
              <w:pStyle w:val="TableHeading"/>
            </w:pPr>
            <w:r w:rsidRPr="002369DB">
              <w:t>Offence</w:t>
            </w:r>
          </w:p>
        </w:tc>
        <w:tc>
          <w:tcPr>
            <w:tcW w:w="821" w:type="pct"/>
          </w:tcPr>
          <w:p w14:paraId="0EF7BC34" w14:textId="77777777" w:rsidR="005D048E" w:rsidRPr="002369DB" w:rsidRDefault="005D048E" w:rsidP="00B91C29">
            <w:pPr>
              <w:pStyle w:val="TableHeading"/>
            </w:pPr>
            <w:r w:rsidRPr="002369DB">
              <w:t>Provision</w:t>
            </w:r>
          </w:p>
        </w:tc>
        <w:tc>
          <w:tcPr>
            <w:tcW w:w="820" w:type="pct"/>
          </w:tcPr>
          <w:p w14:paraId="50FBCC2A" w14:textId="77777777" w:rsidR="005D048E" w:rsidRPr="002369DB" w:rsidRDefault="005D048E" w:rsidP="00B91C29">
            <w:pPr>
              <w:pStyle w:val="TableHeading"/>
            </w:pPr>
            <w:r w:rsidRPr="002369DB">
              <w:t>Minimum sentence</w:t>
            </w:r>
          </w:p>
        </w:tc>
        <w:tc>
          <w:tcPr>
            <w:tcW w:w="821" w:type="pct"/>
          </w:tcPr>
          <w:p w14:paraId="66D446B7" w14:textId="77777777" w:rsidR="005D048E" w:rsidRPr="002369DB" w:rsidRDefault="005D048E" w:rsidP="00B91C29">
            <w:pPr>
              <w:pStyle w:val="TableHeading"/>
            </w:pPr>
            <w:r w:rsidRPr="002369DB">
              <w:t>Sentence imposed</w:t>
            </w:r>
          </w:p>
        </w:tc>
        <w:tc>
          <w:tcPr>
            <w:tcW w:w="897" w:type="pct"/>
          </w:tcPr>
          <w:p w14:paraId="78A9C40D" w14:textId="77777777" w:rsidR="005D048E" w:rsidRPr="002369DB" w:rsidRDefault="005D048E" w:rsidP="00B91C29">
            <w:pPr>
              <w:pStyle w:val="TableHeading"/>
            </w:pPr>
            <w:r w:rsidRPr="002369DB">
              <w:t>Discount</w:t>
            </w:r>
          </w:p>
        </w:tc>
      </w:tr>
      <w:tr w:rsidR="00686468" w:rsidRPr="002369DB" w14:paraId="7959FDA9" w14:textId="77777777" w:rsidTr="004375E7">
        <w:trPr>
          <w:trHeight w:val="60"/>
        </w:trPr>
        <w:tc>
          <w:tcPr>
            <w:tcW w:w="819" w:type="pct"/>
          </w:tcPr>
          <w:p w14:paraId="7624884B" w14:textId="77777777" w:rsidR="005D048E" w:rsidRPr="002369DB" w:rsidRDefault="005D048E" w:rsidP="00B91C29">
            <w:pPr>
              <w:pStyle w:val="TableBody"/>
            </w:pPr>
            <w:r w:rsidRPr="002369DB">
              <w:rPr>
                <w:rStyle w:val="Italic"/>
              </w:rPr>
              <w:t>DPP (</w:t>
            </w:r>
            <w:proofErr w:type="spellStart"/>
            <w:r w:rsidRPr="002369DB">
              <w:rPr>
                <w:rStyle w:val="Italic"/>
              </w:rPr>
              <w:t>Cth</w:t>
            </w:r>
            <w:proofErr w:type="spellEnd"/>
            <w:r w:rsidRPr="002369DB">
              <w:rPr>
                <w:rStyle w:val="Italic"/>
              </w:rPr>
              <w:t xml:space="preserve">) v Caldwell (a pseudonym) </w:t>
            </w:r>
            <w:r w:rsidRPr="002369DB">
              <w:t>[2022] VCC 1258</w:t>
            </w:r>
          </w:p>
        </w:tc>
        <w:tc>
          <w:tcPr>
            <w:tcW w:w="821" w:type="pct"/>
          </w:tcPr>
          <w:p w14:paraId="728D9BC8" w14:textId="77777777" w:rsidR="005D048E" w:rsidRPr="002369DB" w:rsidRDefault="005D048E" w:rsidP="00B91C29">
            <w:pPr>
              <w:pStyle w:val="TableBody"/>
            </w:pPr>
            <w:r w:rsidRPr="002369DB">
              <w:t>Aggravated offence of accessing and transmitting child abuse material</w:t>
            </w:r>
          </w:p>
        </w:tc>
        <w:tc>
          <w:tcPr>
            <w:tcW w:w="821" w:type="pct"/>
          </w:tcPr>
          <w:p w14:paraId="3D9E2F48" w14:textId="77777777" w:rsidR="005D048E" w:rsidRPr="002369DB" w:rsidRDefault="005D048E" w:rsidP="00B91C29">
            <w:pPr>
              <w:pStyle w:val="TableBody"/>
            </w:pPr>
            <w:r w:rsidRPr="002369DB">
              <w:t>474.24A</w:t>
            </w:r>
          </w:p>
        </w:tc>
        <w:tc>
          <w:tcPr>
            <w:tcW w:w="820" w:type="pct"/>
          </w:tcPr>
          <w:p w14:paraId="7888BF16" w14:textId="77777777" w:rsidR="005D048E" w:rsidRPr="002369DB" w:rsidRDefault="005D048E" w:rsidP="00B91C29">
            <w:pPr>
              <w:pStyle w:val="TableBody"/>
            </w:pPr>
            <w:r w:rsidRPr="002369DB">
              <w:t>7 years</w:t>
            </w:r>
          </w:p>
        </w:tc>
        <w:tc>
          <w:tcPr>
            <w:tcW w:w="821" w:type="pct"/>
          </w:tcPr>
          <w:p w14:paraId="31179858" w14:textId="77777777" w:rsidR="005D048E" w:rsidRPr="002369DB" w:rsidRDefault="005D048E" w:rsidP="00B91C29">
            <w:pPr>
              <w:pStyle w:val="TableBody"/>
            </w:pPr>
            <w:r w:rsidRPr="002369DB">
              <w:t>6 years and 4 months</w:t>
            </w:r>
          </w:p>
        </w:tc>
        <w:tc>
          <w:tcPr>
            <w:tcW w:w="897" w:type="pct"/>
          </w:tcPr>
          <w:p w14:paraId="713C2A6D" w14:textId="77777777" w:rsidR="005D048E" w:rsidRPr="002369DB" w:rsidRDefault="005D048E" w:rsidP="00B91C29">
            <w:pPr>
              <w:pStyle w:val="TableBody"/>
            </w:pPr>
            <w:r w:rsidRPr="002369DB">
              <w:t>Guilty plea: 25%</w:t>
            </w:r>
          </w:p>
          <w:p w14:paraId="2C349C39" w14:textId="77777777" w:rsidR="005D048E" w:rsidRPr="002369DB" w:rsidRDefault="005D048E" w:rsidP="00B91C29">
            <w:pPr>
              <w:pStyle w:val="TableBody"/>
            </w:pPr>
            <w:r w:rsidRPr="002369DB">
              <w:t>Cooperation: 5%</w:t>
            </w:r>
          </w:p>
        </w:tc>
      </w:tr>
      <w:tr w:rsidR="00686468" w:rsidRPr="002369DB" w14:paraId="6D0897BA" w14:textId="77777777" w:rsidTr="004375E7">
        <w:trPr>
          <w:trHeight w:val="60"/>
        </w:trPr>
        <w:tc>
          <w:tcPr>
            <w:tcW w:w="819" w:type="pct"/>
          </w:tcPr>
          <w:p w14:paraId="0C653D20" w14:textId="77777777" w:rsidR="005D048E" w:rsidRPr="002369DB" w:rsidRDefault="005D048E" w:rsidP="007F75D1">
            <w:pPr>
              <w:pStyle w:val="NoParagraphStyle"/>
              <w:spacing w:line="240" w:lineRule="auto"/>
              <w:textAlignment w:val="auto"/>
              <w:rPr>
                <w:rFonts w:ascii="Verdana" w:hAnsi="Verdana" w:cstheme="minorBidi"/>
                <w:color w:val="auto"/>
                <w:lang w:val="en-AU"/>
              </w:rPr>
            </w:pPr>
          </w:p>
        </w:tc>
        <w:tc>
          <w:tcPr>
            <w:tcW w:w="821" w:type="pct"/>
          </w:tcPr>
          <w:p w14:paraId="22E6AA80" w14:textId="77777777" w:rsidR="005D048E" w:rsidRPr="002369DB" w:rsidRDefault="005D048E" w:rsidP="00B91C29">
            <w:pPr>
              <w:pStyle w:val="TableBody"/>
            </w:pPr>
            <w:r w:rsidRPr="002369DB">
              <w:t>Controlling and moderating an electronic service for child abuse material</w:t>
            </w:r>
          </w:p>
        </w:tc>
        <w:tc>
          <w:tcPr>
            <w:tcW w:w="821" w:type="pct"/>
          </w:tcPr>
          <w:p w14:paraId="0627BAFC" w14:textId="77777777" w:rsidR="005D048E" w:rsidRPr="002369DB" w:rsidRDefault="005D048E" w:rsidP="00B91C29">
            <w:pPr>
              <w:pStyle w:val="TableBody"/>
            </w:pPr>
            <w:r w:rsidRPr="002369DB">
              <w:t>474.23A</w:t>
            </w:r>
          </w:p>
        </w:tc>
        <w:tc>
          <w:tcPr>
            <w:tcW w:w="820" w:type="pct"/>
          </w:tcPr>
          <w:p w14:paraId="3D3CF7CA" w14:textId="77777777" w:rsidR="005D048E" w:rsidRPr="002369DB" w:rsidRDefault="005D048E" w:rsidP="00B91C29">
            <w:pPr>
              <w:pStyle w:val="TableBody"/>
            </w:pPr>
            <w:r w:rsidRPr="002369DB">
              <w:t>5 years</w:t>
            </w:r>
          </w:p>
        </w:tc>
        <w:tc>
          <w:tcPr>
            <w:tcW w:w="821" w:type="pct"/>
          </w:tcPr>
          <w:p w14:paraId="66FADA98" w14:textId="77777777" w:rsidR="005D048E" w:rsidRPr="002369DB" w:rsidRDefault="005D048E" w:rsidP="00B91C29">
            <w:pPr>
              <w:pStyle w:val="TableBody"/>
            </w:pPr>
            <w:r w:rsidRPr="002369DB">
              <w:t>4 years and 6 months</w:t>
            </w:r>
          </w:p>
        </w:tc>
        <w:tc>
          <w:tcPr>
            <w:tcW w:w="897" w:type="pct"/>
          </w:tcPr>
          <w:p w14:paraId="40A0EDBC" w14:textId="77777777" w:rsidR="005D048E" w:rsidRPr="002369DB" w:rsidRDefault="005D048E" w:rsidP="00B91C29">
            <w:pPr>
              <w:pStyle w:val="TableBody"/>
            </w:pPr>
            <w:r w:rsidRPr="002369DB">
              <w:t>Guilty plea: 25%</w:t>
            </w:r>
          </w:p>
          <w:p w14:paraId="78CD0A14" w14:textId="77777777" w:rsidR="005D048E" w:rsidRPr="002369DB" w:rsidRDefault="005D048E" w:rsidP="00B91C29">
            <w:pPr>
              <w:pStyle w:val="TableBody"/>
            </w:pPr>
            <w:r w:rsidRPr="002369DB">
              <w:t>Cooperation: 5%</w:t>
            </w:r>
          </w:p>
        </w:tc>
      </w:tr>
      <w:tr w:rsidR="00686468" w:rsidRPr="002369DB" w14:paraId="22CB8F29" w14:textId="77777777" w:rsidTr="004375E7">
        <w:trPr>
          <w:trHeight w:val="60"/>
        </w:trPr>
        <w:tc>
          <w:tcPr>
            <w:tcW w:w="819" w:type="pct"/>
          </w:tcPr>
          <w:p w14:paraId="7DB19B26" w14:textId="77777777" w:rsidR="005D048E" w:rsidRPr="002369DB" w:rsidRDefault="005D048E" w:rsidP="007F75D1">
            <w:pPr>
              <w:pStyle w:val="NoParagraphStyle"/>
              <w:spacing w:line="240" w:lineRule="auto"/>
              <w:textAlignment w:val="auto"/>
              <w:rPr>
                <w:rFonts w:ascii="Verdana" w:hAnsi="Verdana" w:cstheme="minorBidi"/>
                <w:color w:val="auto"/>
                <w:lang w:val="en-AU"/>
              </w:rPr>
            </w:pPr>
          </w:p>
        </w:tc>
        <w:tc>
          <w:tcPr>
            <w:tcW w:w="821" w:type="pct"/>
          </w:tcPr>
          <w:p w14:paraId="219A0641" w14:textId="77777777" w:rsidR="005D048E" w:rsidRPr="002369DB" w:rsidRDefault="005D048E" w:rsidP="00B91C29">
            <w:pPr>
              <w:pStyle w:val="TableBody"/>
            </w:pPr>
            <w:r w:rsidRPr="002369DB">
              <w:t>Creating and maintaining an electronic service for child abuse material</w:t>
            </w:r>
          </w:p>
        </w:tc>
        <w:tc>
          <w:tcPr>
            <w:tcW w:w="821" w:type="pct"/>
          </w:tcPr>
          <w:p w14:paraId="2CEEB26C" w14:textId="77777777" w:rsidR="005D048E" w:rsidRPr="002369DB" w:rsidRDefault="005D048E" w:rsidP="00B91C29">
            <w:pPr>
              <w:pStyle w:val="TableBody"/>
            </w:pPr>
            <w:r w:rsidRPr="002369DB">
              <w:t>474.23A</w:t>
            </w:r>
          </w:p>
        </w:tc>
        <w:tc>
          <w:tcPr>
            <w:tcW w:w="820" w:type="pct"/>
          </w:tcPr>
          <w:p w14:paraId="5C3FA5A9" w14:textId="77777777" w:rsidR="005D048E" w:rsidRPr="002369DB" w:rsidRDefault="005D048E" w:rsidP="00B91C29">
            <w:pPr>
              <w:pStyle w:val="TableBody"/>
            </w:pPr>
            <w:r w:rsidRPr="002369DB">
              <w:t>5 years</w:t>
            </w:r>
          </w:p>
        </w:tc>
        <w:tc>
          <w:tcPr>
            <w:tcW w:w="821" w:type="pct"/>
          </w:tcPr>
          <w:p w14:paraId="10C328BA" w14:textId="77777777" w:rsidR="005D048E" w:rsidRPr="002369DB" w:rsidRDefault="005D048E" w:rsidP="00B91C29">
            <w:pPr>
              <w:pStyle w:val="TableBody"/>
            </w:pPr>
            <w:r w:rsidRPr="002369DB">
              <w:t>4 years and 3 months</w:t>
            </w:r>
          </w:p>
        </w:tc>
        <w:tc>
          <w:tcPr>
            <w:tcW w:w="897" w:type="pct"/>
          </w:tcPr>
          <w:p w14:paraId="29FE235D" w14:textId="77777777" w:rsidR="005D048E" w:rsidRPr="002369DB" w:rsidRDefault="005D048E" w:rsidP="00B91C29">
            <w:pPr>
              <w:pStyle w:val="TableBody"/>
            </w:pPr>
            <w:r w:rsidRPr="002369DB">
              <w:t>Guilty plea: 25%</w:t>
            </w:r>
          </w:p>
          <w:p w14:paraId="159F7EAE" w14:textId="77777777" w:rsidR="005D048E" w:rsidRPr="002369DB" w:rsidRDefault="005D048E" w:rsidP="00B91C29">
            <w:pPr>
              <w:pStyle w:val="TableBody"/>
            </w:pPr>
            <w:r w:rsidRPr="002369DB">
              <w:t>Cooperation: 5%</w:t>
            </w:r>
          </w:p>
        </w:tc>
      </w:tr>
      <w:tr w:rsidR="00686468" w:rsidRPr="002369DB" w14:paraId="7CB8E440" w14:textId="77777777" w:rsidTr="004375E7">
        <w:trPr>
          <w:trHeight w:val="60"/>
        </w:trPr>
        <w:tc>
          <w:tcPr>
            <w:tcW w:w="819" w:type="pct"/>
          </w:tcPr>
          <w:p w14:paraId="763FE957" w14:textId="77777777" w:rsidR="005D048E" w:rsidRPr="002369DB" w:rsidRDefault="005D048E" w:rsidP="007F75D1">
            <w:pPr>
              <w:pStyle w:val="NoParagraphStyle"/>
              <w:spacing w:line="240" w:lineRule="auto"/>
              <w:textAlignment w:val="auto"/>
              <w:rPr>
                <w:rFonts w:ascii="Verdana" w:hAnsi="Verdana" w:cstheme="minorBidi"/>
                <w:color w:val="auto"/>
                <w:lang w:val="en-AU"/>
              </w:rPr>
            </w:pPr>
          </w:p>
        </w:tc>
        <w:tc>
          <w:tcPr>
            <w:tcW w:w="821" w:type="pct"/>
          </w:tcPr>
          <w:p w14:paraId="0CE79975" w14:textId="77777777" w:rsidR="005D048E" w:rsidRPr="002369DB" w:rsidRDefault="005D048E" w:rsidP="00B91C29">
            <w:pPr>
              <w:pStyle w:val="TableBody"/>
            </w:pPr>
            <w:r w:rsidRPr="002369DB">
              <w:t>Controlling an electronic service for child abuse material</w:t>
            </w:r>
          </w:p>
        </w:tc>
        <w:tc>
          <w:tcPr>
            <w:tcW w:w="821" w:type="pct"/>
          </w:tcPr>
          <w:p w14:paraId="2BF6D1E1" w14:textId="77777777" w:rsidR="005D048E" w:rsidRPr="002369DB" w:rsidRDefault="005D048E" w:rsidP="00B91C29">
            <w:pPr>
              <w:pStyle w:val="TableBody"/>
            </w:pPr>
            <w:r w:rsidRPr="002369DB">
              <w:t>474.23A</w:t>
            </w:r>
          </w:p>
        </w:tc>
        <w:tc>
          <w:tcPr>
            <w:tcW w:w="820" w:type="pct"/>
          </w:tcPr>
          <w:p w14:paraId="36DE7D4E" w14:textId="77777777" w:rsidR="005D048E" w:rsidRPr="002369DB" w:rsidRDefault="005D048E" w:rsidP="00B91C29">
            <w:pPr>
              <w:pStyle w:val="TableBody"/>
            </w:pPr>
            <w:r w:rsidRPr="002369DB">
              <w:t>5 years</w:t>
            </w:r>
          </w:p>
        </w:tc>
        <w:tc>
          <w:tcPr>
            <w:tcW w:w="821" w:type="pct"/>
          </w:tcPr>
          <w:p w14:paraId="1079E7A4" w14:textId="77777777" w:rsidR="005D048E" w:rsidRPr="002369DB" w:rsidRDefault="005D048E" w:rsidP="00B91C29">
            <w:pPr>
              <w:pStyle w:val="TableBody"/>
            </w:pPr>
            <w:r w:rsidRPr="002369DB">
              <w:t>3 years and 6 months</w:t>
            </w:r>
          </w:p>
        </w:tc>
        <w:tc>
          <w:tcPr>
            <w:tcW w:w="897" w:type="pct"/>
          </w:tcPr>
          <w:p w14:paraId="2FB82AF0" w14:textId="77777777" w:rsidR="005D048E" w:rsidRPr="002369DB" w:rsidRDefault="005D048E" w:rsidP="00B91C29">
            <w:pPr>
              <w:pStyle w:val="TableBody"/>
            </w:pPr>
            <w:r w:rsidRPr="002369DB">
              <w:t>Guilty plea: 25%</w:t>
            </w:r>
          </w:p>
          <w:p w14:paraId="4754010B" w14:textId="77777777" w:rsidR="005D048E" w:rsidRPr="002369DB" w:rsidRDefault="005D048E" w:rsidP="00B91C29">
            <w:pPr>
              <w:pStyle w:val="TableBody"/>
            </w:pPr>
            <w:r w:rsidRPr="002369DB">
              <w:t>Cooperation: 5%</w:t>
            </w:r>
          </w:p>
        </w:tc>
      </w:tr>
      <w:tr w:rsidR="00686468" w:rsidRPr="002369DB" w14:paraId="7009D526" w14:textId="77777777" w:rsidTr="004375E7">
        <w:trPr>
          <w:trHeight w:val="60"/>
        </w:trPr>
        <w:tc>
          <w:tcPr>
            <w:tcW w:w="819" w:type="pct"/>
          </w:tcPr>
          <w:p w14:paraId="5C19629C" w14:textId="77777777" w:rsidR="005D048E" w:rsidRPr="002369DB" w:rsidRDefault="005D048E" w:rsidP="007F75D1">
            <w:pPr>
              <w:pStyle w:val="NoParagraphStyle"/>
              <w:spacing w:line="240" w:lineRule="auto"/>
              <w:textAlignment w:val="auto"/>
              <w:rPr>
                <w:rFonts w:ascii="Verdana" w:hAnsi="Verdana" w:cstheme="minorBidi"/>
                <w:color w:val="auto"/>
                <w:lang w:val="en-AU"/>
              </w:rPr>
            </w:pPr>
          </w:p>
        </w:tc>
        <w:tc>
          <w:tcPr>
            <w:tcW w:w="821" w:type="pct"/>
          </w:tcPr>
          <w:p w14:paraId="54E8E226" w14:textId="77777777" w:rsidR="005D048E" w:rsidRPr="002369DB" w:rsidRDefault="005D048E" w:rsidP="00B91C29">
            <w:pPr>
              <w:pStyle w:val="TableBody"/>
            </w:pPr>
            <w:r w:rsidRPr="002369DB">
              <w:t>Controlling an electronic service for child abuse material</w:t>
            </w:r>
          </w:p>
        </w:tc>
        <w:tc>
          <w:tcPr>
            <w:tcW w:w="821" w:type="pct"/>
          </w:tcPr>
          <w:p w14:paraId="05389FBA" w14:textId="77777777" w:rsidR="005D048E" w:rsidRPr="002369DB" w:rsidRDefault="005D048E" w:rsidP="00B91C29">
            <w:pPr>
              <w:pStyle w:val="TableBody"/>
            </w:pPr>
            <w:r w:rsidRPr="002369DB">
              <w:t>474.23A</w:t>
            </w:r>
          </w:p>
        </w:tc>
        <w:tc>
          <w:tcPr>
            <w:tcW w:w="820" w:type="pct"/>
          </w:tcPr>
          <w:p w14:paraId="685466D4" w14:textId="77777777" w:rsidR="005D048E" w:rsidRPr="002369DB" w:rsidRDefault="005D048E" w:rsidP="00B91C29">
            <w:pPr>
              <w:pStyle w:val="TableBody"/>
            </w:pPr>
            <w:r w:rsidRPr="002369DB">
              <w:t>5 years</w:t>
            </w:r>
          </w:p>
        </w:tc>
        <w:tc>
          <w:tcPr>
            <w:tcW w:w="821" w:type="pct"/>
          </w:tcPr>
          <w:p w14:paraId="08F9BF11" w14:textId="77777777" w:rsidR="005D048E" w:rsidRPr="002369DB" w:rsidRDefault="005D048E" w:rsidP="00B91C29">
            <w:pPr>
              <w:pStyle w:val="TableBody"/>
            </w:pPr>
            <w:r w:rsidRPr="002369DB">
              <w:t>3 years and 9 months</w:t>
            </w:r>
          </w:p>
        </w:tc>
        <w:tc>
          <w:tcPr>
            <w:tcW w:w="897" w:type="pct"/>
          </w:tcPr>
          <w:p w14:paraId="70239FCD" w14:textId="77777777" w:rsidR="005D048E" w:rsidRPr="002369DB" w:rsidRDefault="005D048E" w:rsidP="00B91C29">
            <w:pPr>
              <w:pStyle w:val="TableBody"/>
            </w:pPr>
            <w:r w:rsidRPr="002369DB">
              <w:t>Guilty plea: 25%</w:t>
            </w:r>
          </w:p>
          <w:p w14:paraId="21B67742" w14:textId="77777777" w:rsidR="005D048E" w:rsidRPr="002369DB" w:rsidRDefault="005D048E" w:rsidP="00B91C29">
            <w:pPr>
              <w:pStyle w:val="TableBody"/>
            </w:pPr>
            <w:r w:rsidRPr="002369DB">
              <w:t>Cooperation: 5%</w:t>
            </w:r>
          </w:p>
        </w:tc>
      </w:tr>
      <w:tr w:rsidR="00686468" w:rsidRPr="002369DB" w14:paraId="109ADEA5" w14:textId="77777777" w:rsidTr="004375E7">
        <w:trPr>
          <w:trHeight w:val="60"/>
        </w:trPr>
        <w:tc>
          <w:tcPr>
            <w:tcW w:w="819" w:type="pct"/>
          </w:tcPr>
          <w:p w14:paraId="4442F928" w14:textId="77777777" w:rsidR="005D048E" w:rsidRPr="002369DB" w:rsidRDefault="005D048E" w:rsidP="00B91C29">
            <w:pPr>
              <w:pStyle w:val="TableBody"/>
            </w:pPr>
            <w:r w:rsidRPr="002369DB">
              <w:rPr>
                <w:rStyle w:val="Italic"/>
              </w:rPr>
              <w:t>DPP (</w:t>
            </w:r>
            <w:proofErr w:type="spellStart"/>
            <w:r w:rsidRPr="002369DB">
              <w:rPr>
                <w:rStyle w:val="Italic"/>
              </w:rPr>
              <w:t>Cth</w:t>
            </w:r>
            <w:proofErr w:type="spellEnd"/>
            <w:r w:rsidRPr="002369DB">
              <w:rPr>
                <w:rStyle w:val="Italic"/>
              </w:rPr>
              <w:t xml:space="preserve">) v Trinh </w:t>
            </w:r>
            <w:r w:rsidRPr="002369DB">
              <w:t xml:space="preserve">[2022] VCC </w:t>
            </w:r>
            <w:proofErr w:type="gramStart"/>
            <w:r w:rsidRPr="002369DB">
              <w:t>1404;</w:t>
            </w:r>
            <w:proofErr w:type="gramEnd"/>
          </w:p>
          <w:p w14:paraId="585D522A" w14:textId="77777777" w:rsidR="005D048E" w:rsidRPr="002369DB" w:rsidRDefault="005D048E" w:rsidP="00B91C29">
            <w:pPr>
              <w:pStyle w:val="TableBody"/>
            </w:pPr>
            <w:r w:rsidRPr="002369DB">
              <w:rPr>
                <w:rStyle w:val="Italic"/>
              </w:rPr>
              <w:t xml:space="preserve">Trinh v The King </w:t>
            </w:r>
            <w:r w:rsidRPr="002369DB">
              <w:t>[2024] VSCA 61</w:t>
            </w:r>
          </w:p>
        </w:tc>
        <w:tc>
          <w:tcPr>
            <w:tcW w:w="821" w:type="pct"/>
          </w:tcPr>
          <w:p w14:paraId="0F25FEE9" w14:textId="77777777" w:rsidR="005D048E" w:rsidRPr="002369DB" w:rsidRDefault="005D048E" w:rsidP="00B91C29">
            <w:pPr>
              <w:pStyle w:val="TableBody"/>
            </w:pPr>
            <w:r w:rsidRPr="002369DB">
              <w:t>Using a carriage service to engage in sexual activity with a child aged under 16</w:t>
            </w:r>
          </w:p>
        </w:tc>
        <w:tc>
          <w:tcPr>
            <w:tcW w:w="821" w:type="pct"/>
          </w:tcPr>
          <w:p w14:paraId="3FB0E877" w14:textId="77777777" w:rsidR="005D048E" w:rsidRPr="002369DB" w:rsidRDefault="005D048E" w:rsidP="00B91C29">
            <w:pPr>
              <w:pStyle w:val="TableBody"/>
            </w:pPr>
            <w:r w:rsidRPr="002369DB">
              <w:t>474.25A(1)</w:t>
            </w:r>
          </w:p>
        </w:tc>
        <w:tc>
          <w:tcPr>
            <w:tcW w:w="820" w:type="pct"/>
          </w:tcPr>
          <w:p w14:paraId="00D30370" w14:textId="77777777" w:rsidR="005D048E" w:rsidRPr="002369DB" w:rsidRDefault="005D048E" w:rsidP="00B91C29">
            <w:pPr>
              <w:pStyle w:val="TableBody"/>
            </w:pPr>
            <w:r w:rsidRPr="002369DB">
              <w:t>5 years</w:t>
            </w:r>
          </w:p>
        </w:tc>
        <w:tc>
          <w:tcPr>
            <w:tcW w:w="821" w:type="pct"/>
          </w:tcPr>
          <w:p w14:paraId="3A3789DF" w14:textId="77777777" w:rsidR="005D048E" w:rsidRPr="002369DB" w:rsidRDefault="005D048E" w:rsidP="00B91C29">
            <w:pPr>
              <w:pStyle w:val="TableBody"/>
            </w:pPr>
            <w:r w:rsidRPr="002369DB">
              <w:t>4 years and 6 months</w:t>
            </w:r>
          </w:p>
        </w:tc>
        <w:tc>
          <w:tcPr>
            <w:tcW w:w="897" w:type="pct"/>
          </w:tcPr>
          <w:p w14:paraId="7FB113F7" w14:textId="77777777" w:rsidR="005D048E" w:rsidRPr="002369DB" w:rsidRDefault="005D048E" w:rsidP="00B91C29">
            <w:pPr>
              <w:pStyle w:val="TableBody"/>
            </w:pPr>
            <w:r w:rsidRPr="002369DB">
              <w:t xml:space="preserve">Guilty </w:t>
            </w:r>
            <w:proofErr w:type="gramStart"/>
            <w:r w:rsidRPr="002369DB">
              <w:t>plea: ‘take[n]</w:t>
            </w:r>
            <w:proofErr w:type="gramEnd"/>
            <w:r w:rsidRPr="002369DB">
              <w:t xml:space="preserve"> into account’</w:t>
            </w:r>
          </w:p>
          <w:p w14:paraId="4757DBDF" w14:textId="77777777" w:rsidR="005D048E" w:rsidRPr="002369DB" w:rsidRDefault="005D048E" w:rsidP="00B91C29">
            <w:pPr>
              <w:pStyle w:val="TableBody"/>
            </w:pPr>
            <w:proofErr w:type="gramStart"/>
            <w:r w:rsidRPr="002369DB">
              <w:t>Cooperation: ‘</w:t>
            </w:r>
            <w:proofErr w:type="gramEnd"/>
            <w:r w:rsidRPr="002369DB">
              <w:t>minor weight’</w:t>
            </w:r>
          </w:p>
        </w:tc>
      </w:tr>
      <w:tr w:rsidR="00686468" w:rsidRPr="002369DB" w14:paraId="43354A6B" w14:textId="77777777" w:rsidTr="004375E7">
        <w:trPr>
          <w:trHeight w:val="60"/>
        </w:trPr>
        <w:tc>
          <w:tcPr>
            <w:tcW w:w="819" w:type="pct"/>
          </w:tcPr>
          <w:p w14:paraId="205C113F" w14:textId="77777777" w:rsidR="005D048E" w:rsidRPr="002369DB" w:rsidRDefault="005D048E" w:rsidP="00B91C29">
            <w:pPr>
              <w:pStyle w:val="TableBody"/>
            </w:pPr>
            <w:r w:rsidRPr="002369DB">
              <w:rPr>
                <w:rStyle w:val="Italic"/>
              </w:rPr>
              <w:t>DPP (</w:t>
            </w:r>
            <w:proofErr w:type="spellStart"/>
            <w:r w:rsidRPr="002369DB">
              <w:rPr>
                <w:rStyle w:val="Italic"/>
              </w:rPr>
              <w:t>Cth</w:t>
            </w:r>
            <w:proofErr w:type="spellEnd"/>
            <w:r w:rsidRPr="002369DB">
              <w:rPr>
                <w:rStyle w:val="Italic"/>
              </w:rPr>
              <w:t xml:space="preserve">) v ABC (a pseudonym) </w:t>
            </w:r>
            <w:r w:rsidRPr="002369DB">
              <w:t xml:space="preserve">[2023] VCC 446; </w:t>
            </w:r>
            <w:r w:rsidRPr="002369DB">
              <w:rPr>
                <w:rStyle w:val="Italic"/>
              </w:rPr>
              <w:t xml:space="preserve">ABC (a pseudonym) v The King </w:t>
            </w:r>
            <w:r w:rsidRPr="002369DB">
              <w:t>[2023] VSCA 280</w:t>
            </w:r>
          </w:p>
        </w:tc>
        <w:tc>
          <w:tcPr>
            <w:tcW w:w="821" w:type="pct"/>
          </w:tcPr>
          <w:p w14:paraId="070E654C" w14:textId="77777777" w:rsidR="005D048E" w:rsidRPr="002369DB" w:rsidRDefault="005D048E" w:rsidP="00B91C29">
            <w:pPr>
              <w:pStyle w:val="TableBody"/>
            </w:pPr>
            <w:r w:rsidRPr="002369DB">
              <w:t>Attempting to use a carriage service to engage in sexual activity with a child aged under 16</w:t>
            </w:r>
          </w:p>
        </w:tc>
        <w:tc>
          <w:tcPr>
            <w:tcW w:w="821" w:type="pct"/>
          </w:tcPr>
          <w:p w14:paraId="4E50CC0E" w14:textId="77777777" w:rsidR="005D048E" w:rsidRPr="002369DB" w:rsidRDefault="005D048E" w:rsidP="00B91C29">
            <w:pPr>
              <w:pStyle w:val="TableBody"/>
            </w:pPr>
            <w:r w:rsidRPr="002369DB">
              <w:t>474.25A(1)</w:t>
            </w:r>
          </w:p>
        </w:tc>
        <w:tc>
          <w:tcPr>
            <w:tcW w:w="820" w:type="pct"/>
          </w:tcPr>
          <w:p w14:paraId="0CB11ED0" w14:textId="77777777" w:rsidR="005D048E" w:rsidRPr="002369DB" w:rsidRDefault="005D048E" w:rsidP="00B91C29">
            <w:pPr>
              <w:pStyle w:val="TableBody"/>
            </w:pPr>
            <w:r w:rsidRPr="002369DB">
              <w:t>5 years</w:t>
            </w:r>
          </w:p>
        </w:tc>
        <w:tc>
          <w:tcPr>
            <w:tcW w:w="821" w:type="pct"/>
          </w:tcPr>
          <w:p w14:paraId="01F7D05B" w14:textId="77777777" w:rsidR="005D048E" w:rsidRPr="002369DB" w:rsidRDefault="005D048E" w:rsidP="00B91C29">
            <w:pPr>
              <w:pStyle w:val="TableBody"/>
            </w:pPr>
            <w:r w:rsidRPr="002369DB">
              <w:t>3 years and 3 months</w:t>
            </w:r>
          </w:p>
        </w:tc>
        <w:tc>
          <w:tcPr>
            <w:tcW w:w="897" w:type="pct"/>
          </w:tcPr>
          <w:p w14:paraId="1B00EEC7" w14:textId="77777777" w:rsidR="005D048E" w:rsidRPr="002369DB" w:rsidRDefault="005D048E" w:rsidP="00B91C29">
            <w:pPr>
              <w:pStyle w:val="TableBody"/>
            </w:pPr>
            <w:r w:rsidRPr="002369DB">
              <w:t>Guilty plea: 25%</w:t>
            </w:r>
          </w:p>
          <w:p w14:paraId="0DD51939" w14:textId="77777777" w:rsidR="005D048E" w:rsidRPr="002369DB" w:rsidRDefault="005D048E" w:rsidP="00B91C29">
            <w:pPr>
              <w:pStyle w:val="TableBody"/>
            </w:pPr>
            <w:r w:rsidRPr="002369DB">
              <w:t>Cooperation: 10%</w:t>
            </w:r>
          </w:p>
        </w:tc>
      </w:tr>
    </w:tbl>
    <w:p w14:paraId="613ED039" w14:textId="77777777" w:rsidR="004C0661" w:rsidRPr="002369DB" w:rsidRDefault="004C0661" w:rsidP="007E07CF">
      <w:r w:rsidRPr="002369DB">
        <w:t>There have also been some additional cases since 30 June 2023 (outside our reference period) to which the presumptive minimum sentences in section 16AAA have applied:</w:t>
      </w:r>
    </w:p>
    <w:p w14:paraId="41C706D4" w14:textId="77777777" w:rsidR="004C0661" w:rsidRPr="00A81317" w:rsidRDefault="004C0661" w:rsidP="007E07CF">
      <w:pPr>
        <w:rPr>
          <w:rStyle w:val="Bold"/>
          <w:i/>
          <w:iCs/>
        </w:rPr>
      </w:pPr>
      <w:r w:rsidRPr="00A81317">
        <w:rPr>
          <w:rStyle w:val="Bold"/>
          <w:i/>
          <w:iCs/>
        </w:rPr>
        <w:t>Longer than the presumptive minimum sentence</w:t>
      </w:r>
    </w:p>
    <w:p w14:paraId="0B5DD0FB" w14:textId="77777777" w:rsidR="004C0661" w:rsidRPr="002369DB" w:rsidRDefault="004C0661" w:rsidP="00622026">
      <w:pPr>
        <w:pStyle w:val="Bullets"/>
      </w:pPr>
      <w:r w:rsidRPr="002369DB">
        <w:t xml:space="preserve">in </w:t>
      </w:r>
      <w:r w:rsidRPr="002369DB">
        <w:rPr>
          <w:rStyle w:val="Italic"/>
        </w:rPr>
        <w:t>DPP (</w:t>
      </w:r>
      <w:proofErr w:type="spellStart"/>
      <w:r w:rsidRPr="002369DB">
        <w:rPr>
          <w:rStyle w:val="Italic"/>
        </w:rPr>
        <w:t>Cth</w:t>
      </w:r>
      <w:proofErr w:type="spellEnd"/>
      <w:r w:rsidRPr="002369DB">
        <w:rPr>
          <w:rStyle w:val="Italic"/>
        </w:rPr>
        <w:t xml:space="preserve">) v Gardiner </w:t>
      </w:r>
      <w:r w:rsidRPr="002369DB">
        <w:t xml:space="preserve">[2024] VCC 1287, a sentence of 7 years was imposed for moderating an electronic service used for child abuse material (2 years longer than the 5-year minimum) </w:t>
      </w:r>
    </w:p>
    <w:p w14:paraId="2926D81F" w14:textId="77777777" w:rsidR="004C0661" w:rsidRPr="002369DB" w:rsidRDefault="004C0661" w:rsidP="00622026">
      <w:pPr>
        <w:pStyle w:val="Bullets"/>
      </w:pPr>
      <w:r w:rsidRPr="002369DB">
        <w:lastRenderedPageBreak/>
        <w:t xml:space="preserve">in </w:t>
      </w:r>
      <w:r w:rsidRPr="002369DB">
        <w:rPr>
          <w:rStyle w:val="Italic"/>
        </w:rPr>
        <w:t>DPP (</w:t>
      </w:r>
      <w:proofErr w:type="spellStart"/>
      <w:r w:rsidRPr="002369DB">
        <w:rPr>
          <w:rStyle w:val="Italic"/>
        </w:rPr>
        <w:t>Cth</w:t>
      </w:r>
      <w:proofErr w:type="spellEnd"/>
      <w:r w:rsidRPr="002369DB">
        <w:rPr>
          <w:rStyle w:val="Italic"/>
        </w:rPr>
        <w:t xml:space="preserve">) v Safdar </w:t>
      </w:r>
      <w:r w:rsidRPr="002369DB">
        <w:t>[2024] VCC 432, a sentence of 7 years was imposed for procuring a child aged under 16 to engage in sexual activity outside Australia (1 year longer than the 6-year minimum)</w:t>
      </w:r>
    </w:p>
    <w:p w14:paraId="523DD3CF" w14:textId="77777777" w:rsidR="004C0661" w:rsidRPr="002369DB" w:rsidRDefault="004C0661" w:rsidP="00622026">
      <w:pPr>
        <w:pStyle w:val="Bullets"/>
      </w:pPr>
      <w:r w:rsidRPr="002369DB">
        <w:t xml:space="preserve">in </w:t>
      </w:r>
      <w:r w:rsidRPr="002369DB">
        <w:rPr>
          <w:rStyle w:val="Italic"/>
        </w:rPr>
        <w:t>DPP (</w:t>
      </w:r>
      <w:proofErr w:type="spellStart"/>
      <w:r w:rsidRPr="002369DB">
        <w:rPr>
          <w:rStyle w:val="Italic"/>
        </w:rPr>
        <w:t>Cth</w:t>
      </w:r>
      <w:proofErr w:type="spellEnd"/>
      <w:r w:rsidRPr="002369DB">
        <w:rPr>
          <w:rStyle w:val="Italic"/>
        </w:rPr>
        <w:t xml:space="preserve">) v Loughnan </w:t>
      </w:r>
      <w:r w:rsidRPr="002369DB">
        <w:t>[2024] VCC 1005, a sentence of 7.5 years was imposed for an aggravated offence of using a carriage service for child abuse material (6 months longer than the 7-year minimum)</w:t>
      </w:r>
    </w:p>
    <w:p w14:paraId="28F38F08" w14:textId="77777777" w:rsidR="004C0661" w:rsidRPr="002369DB" w:rsidRDefault="004C0661" w:rsidP="00622026">
      <w:pPr>
        <w:pStyle w:val="Bullets"/>
      </w:pPr>
      <w:r w:rsidRPr="002369DB">
        <w:t xml:space="preserve">in </w:t>
      </w:r>
      <w:r w:rsidRPr="002369DB">
        <w:rPr>
          <w:rStyle w:val="Italic"/>
        </w:rPr>
        <w:t>DPP (</w:t>
      </w:r>
      <w:proofErr w:type="spellStart"/>
      <w:r w:rsidRPr="002369DB">
        <w:rPr>
          <w:rStyle w:val="Italic"/>
        </w:rPr>
        <w:t>Cth</w:t>
      </w:r>
      <w:proofErr w:type="spellEnd"/>
      <w:r w:rsidRPr="002369DB">
        <w:rPr>
          <w:rStyle w:val="Italic"/>
        </w:rPr>
        <w:t xml:space="preserve">) v Mayall </w:t>
      </w:r>
      <w:r w:rsidRPr="002369DB">
        <w:t>[2024] VCC 987, sentences of 6 years and 5.5 years were imposed on two respective charges of engaging in sexual activity (other than intercourse) with a child aged under 16 outside Australia (1 year longer and 6 months longer than the 5-year minimum)</w:t>
      </w:r>
    </w:p>
    <w:p w14:paraId="22C2EFCA" w14:textId="77777777" w:rsidR="004C0661" w:rsidRPr="00A81317" w:rsidRDefault="004C0661" w:rsidP="007E07CF">
      <w:pPr>
        <w:rPr>
          <w:rStyle w:val="Bold"/>
          <w:i/>
          <w:iCs/>
        </w:rPr>
      </w:pPr>
      <w:r w:rsidRPr="00A81317">
        <w:rPr>
          <w:rStyle w:val="Bold"/>
          <w:i/>
          <w:iCs/>
        </w:rPr>
        <w:t>Shorter than the presumptive minimum sentence</w:t>
      </w:r>
    </w:p>
    <w:p w14:paraId="2B75CF9B" w14:textId="77777777" w:rsidR="004C0661" w:rsidRPr="002369DB" w:rsidRDefault="004C0661" w:rsidP="00622026">
      <w:pPr>
        <w:pStyle w:val="Bullets"/>
      </w:pPr>
      <w:r w:rsidRPr="002369DB">
        <w:t xml:space="preserve">in </w:t>
      </w:r>
      <w:r w:rsidRPr="002369DB">
        <w:rPr>
          <w:rStyle w:val="Italic"/>
        </w:rPr>
        <w:t xml:space="preserve">DPP v Hays (a pseudonym) </w:t>
      </w:r>
      <w:r w:rsidRPr="002369DB">
        <w:t>[2024] VCC 1533, a sentence of 3.5 years was imposed for causing a child aged under 16 to engage in sexual activity in the presence of the defendant outside Australia (1.5 years shorter than the 5-year minimum)</w:t>
      </w:r>
    </w:p>
    <w:p w14:paraId="61AA4220" w14:textId="77777777" w:rsidR="004C0661" w:rsidRPr="002369DB" w:rsidRDefault="004C0661" w:rsidP="00622026">
      <w:pPr>
        <w:pStyle w:val="Bullets"/>
      </w:pPr>
      <w:r w:rsidRPr="002369DB">
        <w:t xml:space="preserve">in </w:t>
      </w:r>
      <w:r w:rsidRPr="002369DB">
        <w:rPr>
          <w:rStyle w:val="Italic"/>
        </w:rPr>
        <w:t xml:space="preserve">DPP v Smith (a pseudonym) </w:t>
      </w:r>
      <w:r w:rsidRPr="002369DB">
        <w:t>[2024] VCC 1094, sentences of 3.5 years were imposed on three respective charges of using a carriage service to engage in sexual activity with a child aged under 16 (1.5 years shorter than the minimum, the total 30% reduction constituted by a 20% discount for a guilty plea and 10% for assisting authorities).</w:t>
      </w:r>
    </w:p>
    <w:p w14:paraId="5BB7B724" w14:textId="77777777" w:rsidR="004C0661" w:rsidRPr="002369DB" w:rsidRDefault="004C0661" w:rsidP="00C474D2">
      <w:r w:rsidRPr="002369DB">
        <w:t xml:space="preserve">So too have there been </w:t>
      </w:r>
      <w:proofErr w:type="gramStart"/>
      <w:r w:rsidRPr="002369DB">
        <w:t>a number of</w:t>
      </w:r>
      <w:proofErr w:type="gramEnd"/>
      <w:r w:rsidRPr="002369DB">
        <w:t xml:space="preserve"> cases in which the presumptive minimum sentences for repeat child sex offenders pursuant to section 16AAB applied.</w:t>
      </w:r>
      <w:r w:rsidRPr="002369DB">
        <w:rPr>
          <w:rStyle w:val="Superscript"/>
        </w:rPr>
        <w:footnoteReference w:id="72"/>
      </w:r>
      <w:r w:rsidRPr="002369DB">
        <w:t xml:space="preserve"> Ultimately, however, more time will need to pass before </w:t>
      </w:r>
      <w:r w:rsidRPr="002369DB">
        <w:lastRenderedPageBreak/>
        <w:t>it will be possible to discern any trend in how the provisions are being applied. All that can be said for now, based on Victorian data and cases, is that most prison sentences for the offences with presumptive minimums seem to be relatively close to (a year above or below) the specified minimum, and that the primary reason for sentences being shorter than the presumptive minimum is a guilty plea, though cooperation with authorities during investigations seems to also result in a smaller but nonetheless significant discount.</w:t>
      </w:r>
      <w:r w:rsidRPr="002369DB">
        <w:rPr>
          <w:rStyle w:val="Superscript"/>
        </w:rPr>
        <w:footnoteReference w:id="73"/>
      </w:r>
    </w:p>
    <w:p w14:paraId="31F9C109" w14:textId="77777777" w:rsidR="004C0661" w:rsidRPr="002369DB" w:rsidRDefault="004C0661" w:rsidP="00622026">
      <w:pPr>
        <w:pStyle w:val="Heading1"/>
      </w:pPr>
      <w:bookmarkStart w:id="9" w:name="_Toc224060087"/>
      <w:r w:rsidRPr="002369DB">
        <w:t>Fine amounts imposed on federal offenders in Victoria</w:t>
      </w:r>
      <w:bookmarkEnd w:id="9"/>
    </w:p>
    <w:p w14:paraId="556F51C2" w14:textId="77777777" w:rsidR="004C0661" w:rsidRPr="002369DB" w:rsidRDefault="004C0661" w:rsidP="00C474D2">
      <w:r w:rsidRPr="002369DB">
        <w:t>Many Commonwealth offences specify the maximum fine that can permissibly be imposed. However, for some offences, the maximum penalty is specified as an imprisonment term without a maximum fine. In instances where the court considers a fine to be appropriate but the maximum fine isn’t specified, the maximum fine is the number of penalty units that can be imposed, derived by multiplying the maximum imprisonment term (expressed in months) by five.</w:t>
      </w:r>
      <w:r w:rsidRPr="002369DB">
        <w:rPr>
          <w:rStyle w:val="Superscript"/>
        </w:rPr>
        <w:footnoteReference w:id="74"/>
      </w:r>
      <w:r w:rsidRPr="002369DB">
        <w:t xml:space="preserve"> For example, the maximum imprisonment term for using a carriage service to menace, harass or offend is 5 years,</w:t>
      </w:r>
      <w:r w:rsidRPr="002369DB">
        <w:rPr>
          <w:rStyle w:val="Superscript"/>
        </w:rPr>
        <w:footnoteReference w:id="75"/>
      </w:r>
      <w:r w:rsidRPr="002369DB">
        <w:t xml:space="preserve"> or 60 months. Multiplied by five, the maximum fine equates to 300 penalty units. With a penalty unit presently valued at $330, that means the maximum fine for this offence is $99,000. </w:t>
      </w:r>
      <w:r w:rsidRPr="002369DB">
        <w:lastRenderedPageBreak/>
        <w:t>And where a body corporate is sentenced for a relevant offence, the maximum fine is multiplied by five again.</w:t>
      </w:r>
      <w:r w:rsidRPr="002369DB">
        <w:rPr>
          <w:rStyle w:val="Superscript"/>
        </w:rPr>
        <w:footnoteReference w:id="76"/>
      </w:r>
    </w:p>
    <w:p w14:paraId="2AA05100" w14:textId="77777777" w:rsidR="004C0661" w:rsidRPr="002369DB" w:rsidRDefault="004C0661" w:rsidP="007E07CF">
      <w:r w:rsidRPr="002369DB">
        <w:t>There were 7,549 charges (in 4,407 cases) that received a fine for a Commonwealth offence during the five-year reference period. We were able to identify the fine amount for 2,950 of those fines.</w:t>
      </w:r>
      <w:r w:rsidRPr="002369DB">
        <w:rPr>
          <w:rStyle w:val="Superscript"/>
        </w:rPr>
        <w:footnoteReference w:id="77"/>
      </w:r>
      <w:r w:rsidRPr="002369DB">
        <w:t xml:space="preserve"> Figure 8 shows the values of those fines, which together totalled $4,555,575 (an average of $1,544 per fine). The smallest fine for a Commonwealth offence was $10 (for 2 charges of using a carriage service to menace, harass or offend), the median fine was $500, and the largest fine was $450,000 (for a workplace health and safety breach that resulted in the death of a worker) at a Bendigo car factory.</w:t>
      </w:r>
      <w:r w:rsidRPr="002369DB">
        <w:rPr>
          <w:rStyle w:val="Superscript"/>
        </w:rPr>
        <w:footnoteReference w:id="78"/>
      </w:r>
      <w:r w:rsidRPr="002369DB">
        <w:t xml:space="preserve"> Many of the fines were for unlawful parking at Melbourne (Tullamarine) Airport, failing to vote at an election, and various taxation offences. In addition to the $450,000 for a workplace health and safety breach, the fines valued at $10,000 or more included: </w:t>
      </w:r>
    </w:p>
    <w:p w14:paraId="63503873" w14:textId="77777777" w:rsidR="004C0661" w:rsidRPr="002369DB" w:rsidRDefault="004C0661" w:rsidP="00622026">
      <w:pPr>
        <w:pStyle w:val="Bullets"/>
      </w:pPr>
      <w:r w:rsidRPr="002369DB">
        <w:t>in a single case,</w:t>
      </w:r>
      <w:r w:rsidRPr="002369DB">
        <w:rPr>
          <w:rStyle w:val="Superscript"/>
        </w:rPr>
        <w:footnoteReference w:id="79"/>
      </w:r>
      <w:r w:rsidRPr="002369DB">
        <w:t xml:space="preserve"> $95,000 for each of 18 separate charges of a company failing to remedy a defective disclosure statement</w:t>
      </w:r>
      <w:r w:rsidRPr="002369DB">
        <w:rPr>
          <w:rStyle w:val="Superscript"/>
        </w:rPr>
        <w:footnoteReference w:id="80"/>
      </w:r>
      <w:r w:rsidRPr="002369DB">
        <w:t xml:space="preserve"> (with a total fine of $1.7 million)</w:t>
      </w:r>
    </w:p>
    <w:p w14:paraId="1792909C" w14:textId="77777777" w:rsidR="004C0661" w:rsidRPr="002369DB" w:rsidRDefault="004C0661" w:rsidP="00622026">
      <w:pPr>
        <w:pStyle w:val="Bullets"/>
      </w:pPr>
      <w:r w:rsidRPr="002369DB">
        <w:t>in a single case,</w:t>
      </w:r>
      <w:r w:rsidRPr="002369DB">
        <w:rPr>
          <w:rStyle w:val="Superscript"/>
        </w:rPr>
        <w:footnoteReference w:id="81"/>
      </w:r>
      <w:r w:rsidRPr="002369DB">
        <w:t xml:space="preserve"> $10,000, $10,000 and $12,000 for 3 charges respectively of allowing an unlawful non-citizen to work</w:t>
      </w:r>
      <w:r w:rsidRPr="002369DB">
        <w:rPr>
          <w:rStyle w:val="Superscript"/>
        </w:rPr>
        <w:footnoteReference w:id="82"/>
      </w:r>
    </w:p>
    <w:p w14:paraId="6CC27BAC" w14:textId="77777777" w:rsidR="004C0661" w:rsidRPr="002369DB" w:rsidRDefault="004C0661" w:rsidP="00622026">
      <w:pPr>
        <w:pStyle w:val="Bullets"/>
      </w:pPr>
      <w:r w:rsidRPr="002369DB">
        <w:lastRenderedPageBreak/>
        <w:t>in a single case,</w:t>
      </w:r>
      <w:r w:rsidRPr="002369DB">
        <w:rPr>
          <w:rStyle w:val="Superscript"/>
        </w:rPr>
        <w:footnoteReference w:id="83"/>
      </w:r>
      <w:r w:rsidRPr="002369DB">
        <w:t xml:space="preserve"> $15,000 for each of 2 charges of engaging in dishonest conduct relating to a financial product</w:t>
      </w:r>
      <w:r w:rsidRPr="002369DB">
        <w:rPr>
          <w:rStyle w:val="Superscript"/>
        </w:rPr>
        <w:footnoteReference w:id="84"/>
      </w:r>
    </w:p>
    <w:p w14:paraId="7C0F6EDD" w14:textId="77777777" w:rsidR="004C0661" w:rsidRPr="002369DB" w:rsidRDefault="004C0661" w:rsidP="00622026">
      <w:pPr>
        <w:pStyle w:val="Bullets"/>
      </w:pPr>
      <w:r w:rsidRPr="002369DB">
        <w:t>fines ranging from $15,000 to $61,391 for 5 charges of evading payment of a duty</w:t>
      </w:r>
      <w:r w:rsidRPr="002369DB">
        <w:rPr>
          <w:rStyle w:val="Superscript"/>
        </w:rPr>
        <w:footnoteReference w:id="85"/>
      </w:r>
      <w:r w:rsidRPr="002369DB">
        <w:t xml:space="preserve"> </w:t>
      </w:r>
    </w:p>
    <w:p w14:paraId="771D1E60" w14:textId="77777777" w:rsidR="004C0661" w:rsidRPr="002369DB" w:rsidRDefault="004C0661" w:rsidP="00622026">
      <w:pPr>
        <w:pStyle w:val="Bullets"/>
      </w:pPr>
      <w:r w:rsidRPr="002369DB">
        <w:t>$15,000 for importing tier 2 goods</w:t>
      </w:r>
      <w:r w:rsidRPr="002369DB">
        <w:rPr>
          <w:rStyle w:val="Superscript"/>
        </w:rPr>
        <w:footnoteReference w:id="86"/>
      </w:r>
      <w:r w:rsidRPr="002369DB">
        <w:t xml:space="preserve"> </w:t>
      </w:r>
    </w:p>
    <w:p w14:paraId="33234016" w14:textId="77777777" w:rsidR="004C0661" w:rsidRPr="002369DB" w:rsidRDefault="004C0661" w:rsidP="00622026">
      <w:pPr>
        <w:pStyle w:val="Bullets"/>
      </w:pPr>
      <w:r w:rsidRPr="002369DB">
        <w:t>$10,000 for importing prohibited goods</w:t>
      </w:r>
      <w:r w:rsidRPr="002369DB">
        <w:rPr>
          <w:rStyle w:val="Superscript"/>
        </w:rPr>
        <w:footnoteReference w:id="87"/>
      </w:r>
    </w:p>
    <w:p w14:paraId="6A5E6587" w14:textId="77777777" w:rsidR="004C0661" w:rsidRPr="002369DB" w:rsidRDefault="004C0661" w:rsidP="00622026">
      <w:pPr>
        <w:pStyle w:val="Bullets"/>
      </w:pPr>
      <w:r w:rsidRPr="002369DB">
        <w:t>$10,000 for smuggling</w:t>
      </w:r>
      <w:r w:rsidRPr="002369DB">
        <w:rPr>
          <w:rStyle w:val="Superscript"/>
        </w:rPr>
        <w:footnoteReference w:id="88"/>
      </w:r>
    </w:p>
    <w:p w14:paraId="4269EE91" w14:textId="77777777" w:rsidR="004C0661" w:rsidRPr="002369DB" w:rsidRDefault="004C0661" w:rsidP="00622026">
      <w:pPr>
        <w:pStyle w:val="Bullets"/>
      </w:pPr>
      <w:r w:rsidRPr="002369DB">
        <w:t>$10,000 for dealing with money suspected to be proceeds of crime (valued at over $100,000)</w:t>
      </w:r>
      <w:r w:rsidRPr="002369DB">
        <w:rPr>
          <w:rStyle w:val="Superscript"/>
        </w:rPr>
        <w:footnoteReference w:id="89"/>
      </w:r>
    </w:p>
    <w:p w14:paraId="74F21A8C" w14:textId="77777777" w:rsidR="004C0661" w:rsidRPr="002369DB" w:rsidRDefault="004C0661" w:rsidP="00622026">
      <w:pPr>
        <w:pStyle w:val="Bullets"/>
      </w:pPr>
      <w:r w:rsidRPr="002369DB">
        <w:t>$10,000 for a second category 2 workplace health and safety offence</w:t>
      </w:r>
      <w:r w:rsidRPr="002369DB">
        <w:rPr>
          <w:rStyle w:val="Superscript"/>
        </w:rPr>
        <w:footnoteReference w:id="90"/>
      </w:r>
    </w:p>
    <w:p w14:paraId="06F15FF4" w14:textId="77777777" w:rsidR="004C0661" w:rsidRPr="002369DB" w:rsidRDefault="004C0661" w:rsidP="00622026">
      <w:pPr>
        <w:pStyle w:val="Bullets"/>
      </w:pPr>
      <w:r w:rsidRPr="002369DB">
        <w:t>$15,000</w:t>
      </w:r>
      <w:r w:rsidRPr="002369DB">
        <w:rPr>
          <w:rStyle w:val="Superscript"/>
        </w:rPr>
        <w:footnoteReference w:id="91"/>
      </w:r>
      <w:r w:rsidRPr="002369DB">
        <w:t xml:space="preserve"> for making or authorising a false or misleading statement in a required document</w:t>
      </w:r>
      <w:r w:rsidRPr="002369DB">
        <w:rPr>
          <w:rStyle w:val="Superscript"/>
        </w:rPr>
        <w:footnoteReference w:id="92"/>
      </w:r>
      <w:r w:rsidRPr="002369DB">
        <w:t xml:space="preserve"> </w:t>
      </w:r>
    </w:p>
    <w:p w14:paraId="74FAC71D" w14:textId="77777777" w:rsidR="004C0661" w:rsidRPr="002369DB" w:rsidRDefault="004C0661" w:rsidP="00622026">
      <w:pPr>
        <w:pStyle w:val="Bullets"/>
      </w:pPr>
      <w:r w:rsidRPr="002369DB">
        <w:t>$10,000 for using a carriage service to access child abuse material</w:t>
      </w:r>
      <w:r w:rsidRPr="002369DB">
        <w:rPr>
          <w:rStyle w:val="Superscript"/>
        </w:rPr>
        <w:footnoteReference w:id="93"/>
      </w:r>
      <w:r w:rsidRPr="002369DB">
        <w:t xml:space="preserve"> </w:t>
      </w:r>
    </w:p>
    <w:p w14:paraId="53B59B92" w14:textId="77777777" w:rsidR="004C0661" w:rsidRPr="002369DB" w:rsidRDefault="004C0661" w:rsidP="00622026">
      <w:pPr>
        <w:pStyle w:val="Bullets"/>
      </w:pPr>
      <w:r w:rsidRPr="002369DB">
        <w:t>$15,000 for possessing or controlling child abuse material obtained using a carriage service</w:t>
      </w:r>
      <w:r w:rsidRPr="002369DB">
        <w:rPr>
          <w:rStyle w:val="Superscript"/>
        </w:rPr>
        <w:footnoteReference w:id="94"/>
      </w:r>
      <w:r w:rsidRPr="002369DB">
        <w:t xml:space="preserve"> and </w:t>
      </w:r>
    </w:p>
    <w:p w14:paraId="791E0993" w14:textId="77777777" w:rsidR="004C0661" w:rsidRPr="002369DB" w:rsidRDefault="004C0661" w:rsidP="00622026">
      <w:pPr>
        <w:pStyle w:val="Bullets"/>
      </w:pPr>
      <w:r w:rsidRPr="002369DB">
        <w:lastRenderedPageBreak/>
        <w:t>$12,000 for theft of property from a Commonwealth entity.</w:t>
      </w:r>
      <w:r w:rsidRPr="002369DB">
        <w:rPr>
          <w:rStyle w:val="Superscript"/>
        </w:rPr>
        <w:footnoteReference w:id="95"/>
      </w:r>
    </w:p>
    <w:p w14:paraId="7D43EDBC" w14:textId="77777777" w:rsidR="00685C85" w:rsidRPr="002369DB" w:rsidRDefault="00685C85" w:rsidP="00A775DC">
      <w:pPr>
        <w:pStyle w:val="Caption"/>
      </w:pPr>
      <w:r w:rsidRPr="002369DB">
        <w:t>Figure 8: Fine amounts imposed for Commonwealth offences sentenced in adult courts in Victoria (non-aggregate fines only), 1 July 2018 to 30 June 2023 (2,950 charges)</w:t>
      </w:r>
    </w:p>
    <w:tbl>
      <w:tblPr>
        <w:tblStyle w:val="Table"/>
        <w:tblW w:w="5000" w:type="pct"/>
        <w:tblLook w:val="04A0" w:firstRow="1" w:lastRow="0" w:firstColumn="1" w:lastColumn="0" w:noHBand="0" w:noVBand="1"/>
      </w:tblPr>
      <w:tblGrid>
        <w:gridCol w:w="4508"/>
        <w:gridCol w:w="4508"/>
      </w:tblGrid>
      <w:tr w:rsidR="009551E6" w:rsidRPr="009551E6" w14:paraId="38693206" w14:textId="77777777" w:rsidTr="00546815">
        <w:trPr>
          <w:trHeight w:val="312"/>
          <w:tblHeader/>
        </w:trPr>
        <w:tc>
          <w:tcPr>
            <w:tcW w:w="2500" w:type="pct"/>
            <w:noWrap/>
          </w:tcPr>
          <w:p w14:paraId="7033BC93" w14:textId="6A6405A8" w:rsidR="009551E6" w:rsidRPr="009551E6" w:rsidRDefault="009551E6" w:rsidP="009551E6">
            <w:pPr>
              <w:pStyle w:val="TableHeading"/>
            </w:pPr>
            <w:r>
              <w:t>Amount</w:t>
            </w:r>
          </w:p>
        </w:tc>
        <w:tc>
          <w:tcPr>
            <w:tcW w:w="2500" w:type="pct"/>
            <w:noWrap/>
          </w:tcPr>
          <w:p w14:paraId="0BD65435" w14:textId="21C233F3" w:rsidR="009551E6" w:rsidRPr="009551E6" w:rsidRDefault="009551E6" w:rsidP="009551E6">
            <w:pPr>
              <w:pStyle w:val="TableHeading"/>
            </w:pPr>
            <w:r>
              <w:t>Number</w:t>
            </w:r>
          </w:p>
        </w:tc>
      </w:tr>
      <w:tr w:rsidR="009551E6" w:rsidRPr="009551E6" w14:paraId="7D9CF9CF" w14:textId="77777777" w:rsidTr="009551E6">
        <w:trPr>
          <w:trHeight w:val="312"/>
        </w:trPr>
        <w:tc>
          <w:tcPr>
            <w:tcW w:w="2500" w:type="pct"/>
            <w:noWrap/>
            <w:hideMark/>
          </w:tcPr>
          <w:p w14:paraId="6B87F023" w14:textId="77777777" w:rsidR="009551E6" w:rsidRPr="009551E6" w:rsidRDefault="009551E6" w:rsidP="009551E6">
            <w:pPr>
              <w:pStyle w:val="TableBody"/>
            </w:pPr>
            <w:r w:rsidRPr="009551E6">
              <w:t>Less than $500</w:t>
            </w:r>
          </w:p>
        </w:tc>
        <w:tc>
          <w:tcPr>
            <w:tcW w:w="2500" w:type="pct"/>
            <w:noWrap/>
            <w:hideMark/>
          </w:tcPr>
          <w:p w14:paraId="59145F68" w14:textId="77777777" w:rsidR="009551E6" w:rsidRPr="009551E6" w:rsidRDefault="009551E6" w:rsidP="009551E6">
            <w:pPr>
              <w:pStyle w:val="TableBody"/>
            </w:pPr>
            <w:r w:rsidRPr="009551E6">
              <w:t>1,236</w:t>
            </w:r>
          </w:p>
        </w:tc>
      </w:tr>
      <w:tr w:rsidR="009551E6" w:rsidRPr="009551E6" w14:paraId="117B03EA" w14:textId="77777777" w:rsidTr="009551E6">
        <w:trPr>
          <w:trHeight w:val="312"/>
        </w:trPr>
        <w:tc>
          <w:tcPr>
            <w:tcW w:w="2500" w:type="pct"/>
            <w:noWrap/>
            <w:hideMark/>
          </w:tcPr>
          <w:p w14:paraId="0A288306" w14:textId="77777777" w:rsidR="009551E6" w:rsidRPr="009551E6" w:rsidRDefault="009551E6" w:rsidP="009551E6">
            <w:pPr>
              <w:pStyle w:val="TableBody"/>
            </w:pPr>
            <w:r w:rsidRPr="009551E6">
              <w:t>$500 to less than $1,000</w:t>
            </w:r>
          </w:p>
        </w:tc>
        <w:tc>
          <w:tcPr>
            <w:tcW w:w="2500" w:type="pct"/>
            <w:noWrap/>
            <w:hideMark/>
          </w:tcPr>
          <w:p w14:paraId="4F37245E" w14:textId="77777777" w:rsidR="009551E6" w:rsidRPr="009551E6" w:rsidRDefault="009551E6" w:rsidP="009551E6">
            <w:pPr>
              <w:pStyle w:val="TableBody"/>
            </w:pPr>
            <w:r w:rsidRPr="009551E6">
              <w:t>952</w:t>
            </w:r>
          </w:p>
        </w:tc>
      </w:tr>
      <w:tr w:rsidR="009551E6" w:rsidRPr="009551E6" w14:paraId="6AECA756" w14:textId="77777777" w:rsidTr="009551E6">
        <w:trPr>
          <w:trHeight w:val="312"/>
        </w:trPr>
        <w:tc>
          <w:tcPr>
            <w:tcW w:w="2500" w:type="pct"/>
            <w:noWrap/>
            <w:hideMark/>
          </w:tcPr>
          <w:p w14:paraId="3751F2B6" w14:textId="77777777" w:rsidR="009551E6" w:rsidRPr="009551E6" w:rsidRDefault="009551E6" w:rsidP="009551E6">
            <w:pPr>
              <w:pStyle w:val="TableBody"/>
            </w:pPr>
            <w:r w:rsidRPr="009551E6">
              <w:t>$1,000 to less than $2,000</w:t>
            </w:r>
          </w:p>
        </w:tc>
        <w:tc>
          <w:tcPr>
            <w:tcW w:w="2500" w:type="pct"/>
            <w:noWrap/>
            <w:hideMark/>
          </w:tcPr>
          <w:p w14:paraId="5DD90DA0" w14:textId="77777777" w:rsidR="009551E6" w:rsidRPr="009551E6" w:rsidRDefault="009551E6" w:rsidP="009551E6">
            <w:pPr>
              <w:pStyle w:val="TableBody"/>
            </w:pPr>
            <w:r w:rsidRPr="009551E6">
              <w:t>499</w:t>
            </w:r>
          </w:p>
        </w:tc>
      </w:tr>
      <w:tr w:rsidR="009551E6" w:rsidRPr="009551E6" w14:paraId="0775FB8B" w14:textId="77777777" w:rsidTr="009551E6">
        <w:trPr>
          <w:trHeight w:val="312"/>
        </w:trPr>
        <w:tc>
          <w:tcPr>
            <w:tcW w:w="2500" w:type="pct"/>
            <w:noWrap/>
            <w:hideMark/>
          </w:tcPr>
          <w:p w14:paraId="13DC83E2" w14:textId="77777777" w:rsidR="009551E6" w:rsidRPr="009551E6" w:rsidRDefault="009551E6" w:rsidP="009551E6">
            <w:pPr>
              <w:pStyle w:val="TableBody"/>
            </w:pPr>
            <w:r w:rsidRPr="009551E6">
              <w:t>$2,000 to less than $5,000</w:t>
            </w:r>
          </w:p>
        </w:tc>
        <w:tc>
          <w:tcPr>
            <w:tcW w:w="2500" w:type="pct"/>
            <w:noWrap/>
            <w:hideMark/>
          </w:tcPr>
          <w:p w14:paraId="0DBC2F79" w14:textId="77777777" w:rsidR="009551E6" w:rsidRPr="009551E6" w:rsidRDefault="009551E6" w:rsidP="009551E6">
            <w:pPr>
              <w:pStyle w:val="TableBody"/>
            </w:pPr>
            <w:r w:rsidRPr="009551E6">
              <w:t>190</w:t>
            </w:r>
          </w:p>
        </w:tc>
      </w:tr>
      <w:tr w:rsidR="009551E6" w:rsidRPr="009551E6" w14:paraId="2992617A" w14:textId="77777777" w:rsidTr="009551E6">
        <w:trPr>
          <w:trHeight w:val="312"/>
        </w:trPr>
        <w:tc>
          <w:tcPr>
            <w:tcW w:w="2500" w:type="pct"/>
            <w:noWrap/>
            <w:hideMark/>
          </w:tcPr>
          <w:p w14:paraId="543FBB04" w14:textId="77777777" w:rsidR="009551E6" w:rsidRPr="009551E6" w:rsidRDefault="009551E6" w:rsidP="009551E6">
            <w:pPr>
              <w:pStyle w:val="TableBody"/>
            </w:pPr>
            <w:r w:rsidRPr="009551E6">
              <w:t>$5,000 to less than $10,000</w:t>
            </w:r>
          </w:p>
        </w:tc>
        <w:tc>
          <w:tcPr>
            <w:tcW w:w="2500" w:type="pct"/>
            <w:noWrap/>
            <w:hideMark/>
          </w:tcPr>
          <w:p w14:paraId="2BF67926" w14:textId="77777777" w:rsidR="009551E6" w:rsidRPr="009551E6" w:rsidRDefault="009551E6" w:rsidP="009551E6">
            <w:pPr>
              <w:pStyle w:val="TableBody"/>
            </w:pPr>
            <w:r w:rsidRPr="009551E6">
              <w:t>35</w:t>
            </w:r>
          </w:p>
        </w:tc>
      </w:tr>
      <w:tr w:rsidR="009551E6" w:rsidRPr="009551E6" w14:paraId="0287528D" w14:textId="77777777" w:rsidTr="009551E6">
        <w:trPr>
          <w:trHeight w:val="312"/>
        </w:trPr>
        <w:tc>
          <w:tcPr>
            <w:tcW w:w="2500" w:type="pct"/>
            <w:noWrap/>
            <w:hideMark/>
          </w:tcPr>
          <w:p w14:paraId="6FB24169" w14:textId="77777777" w:rsidR="009551E6" w:rsidRPr="009551E6" w:rsidRDefault="009551E6" w:rsidP="009551E6">
            <w:pPr>
              <w:pStyle w:val="TableBody"/>
            </w:pPr>
            <w:r w:rsidRPr="009551E6">
              <w:t>$10,000 or more</w:t>
            </w:r>
          </w:p>
        </w:tc>
        <w:tc>
          <w:tcPr>
            <w:tcW w:w="2500" w:type="pct"/>
            <w:noWrap/>
            <w:hideMark/>
          </w:tcPr>
          <w:p w14:paraId="24844CE9" w14:textId="77777777" w:rsidR="009551E6" w:rsidRPr="009551E6" w:rsidRDefault="009551E6" w:rsidP="009551E6">
            <w:pPr>
              <w:pStyle w:val="TableBody"/>
            </w:pPr>
            <w:r w:rsidRPr="009551E6">
              <w:t>38</w:t>
            </w:r>
          </w:p>
        </w:tc>
      </w:tr>
    </w:tbl>
    <w:p w14:paraId="10624EEE" w14:textId="77777777" w:rsidR="004C0661" w:rsidRPr="002369DB" w:rsidRDefault="004C0661" w:rsidP="00622026">
      <w:pPr>
        <w:pStyle w:val="Heading1"/>
      </w:pPr>
      <w:bookmarkStart w:id="10" w:name="_Toc224060088"/>
      <w:r w:rsidRPr="002369DB">
        <w:t>Sentencing outcomes for specific Commonwealth offences</w:t>
      </w:r>
      <w:bookmarkEnd w:id="10"/>
    </w:p>
    <w:p w14:paraId="267AC420" w14:textId="77777777" w:rsidR="004C0661" w:rsidRPr="002369DB" w:rsidRDefault="004C0661" w:rsidP="00C474D2">
      <w:r w:rsidRPr="002369DB">
        <w:t>One of our objectives in this report is to provide a baseline to compare sentencing outcomes for Commonwealth offences between the various states and territories. This is best achieved by examining sentencing outcomes for individual offences. The four most common Commonwealth offences sentenced were using a carriage service to menace, harass or offend (6,798 charges); failing or refusing to furnish required tax information (3,420 charges); using a carriage service to access, transmit, publish or solicit child abuse material (750 charges); and unlawful parking at Melbourne (Tullamarine) Airport (443 charges). Each of these is discussed in turn below.</w:t>
      </w:r>
    </w:p>
    <w:p w14:paraId="4EC2B3ED" w14:textId="77777777" w:rsidR="004C0661" w:rsidRPr="002369DB" w:rsidRDefault="004C0661" w:rsidP="00622026">
      <w:pPr>
        <w:pStyle w:val="Heading2"/>
      </w:pPr>
      <w:r w:rsidRPr="002369DB">
        <w:lastRenderedPageBreak/>
        <w:t>Using a carriage service to menace, harass or offend</w:t>
      </w:r>
    </w:p>
    <w:p w14:paraId="1E7D5CB2" w14:textId="77777777" w:rsidR="004C0661" w:rsidRPr="002369DB" w:rsidRDefault="004C0661" w:rsidP="00C474D2">
      <w:r w:rsidRPr="002369DB">
        <w:t>There were 6,798 charges of using a carriage service to menace, harass or offend</w:t>
      </w:r>
      <w:r w:rsidRPr="002369DB">
        <w:rPr>
          <w:rStyle w:val="Superscript"/>
        </w:rPr>
        <w:footnoteReference w:id="96"/>
      </w:r>
      <w:r w:rsidRPr="002369DB">
        <w:t xml:space="preserve"> sentenced in adult courts in Victoria in the five years to 30 June 2023. As shown in Figure 9, the most common sentence type (including diversion) for a charge of this offence was a fine (38.1% of charges), followed by a bond without conviction (19.3%), imprisonment (11.7%) and diversion (11.6%). The </w:t>
      </w:r>
      <w:r w:rsidRPr="002369DB">
        <w:rPr>
          <w:rStyle w:val="Italic"/>
        </w:rPr>
        <w:t>other</w:t>
      </w:r>
      <w:r w:rsidRPr="002369DB">
        <w:t xml:space="preserve"> group included 1 probation order and 1 youth justice centre order.</w:t>
      </w:r>
    </w:p>
    <w:p w14:paraId="4A59EB16" w14:textId="77777777" w:rsidR="004C0661" w:rsidRPr="002369DB" w:rsidRDefault="004C0661" w:rsidP="00C474D2">
      <w:r w:rsidRPr="002369DB">
        <w:t>The relatively high rate of fines for this offence (38.1% of charges) may be a result of a complexity that arises when sentencing Commonwealth and Victorian offences in the same case – they must be sentenced separately. In a mixed case, if there is a more serious Victorian charge (e.g. stalking) that results in an imprisonment term, a community correction order or an adjourned undertaking, the sentencing court would have to separately deal with the offence of using a carriage service to menace, harass or offend. The court may (a) impose a separate imprisonment term on the Commonwealth offence (if the Victorian offence resulted in an imprisonment term), (b) dismiss the Commonwealth charge without conviction, which would likely be an insufficient penalty for the behaviours involved, or (c) impose a separate fine with conviction for the Commonwealth offence.</w:t>
      </w:r>
    </w:p>
    <w:p w14:paraId="6F401CF7" w14:textId="77777777" w:rsidR="005861EC" w:rsidRPr="002369DB" w:rsidRDefault="005861EC" w:rsidP="00A775DC">
      <w:pPr>
        <w:pStyle w:val="Caption"/>
      </w:pPr>
      <w:r w:rsidRPr="002369DB">
        <w:t>Figure 9: Sentence types imposed for using a carriage service to menace, harass or offend in adult courts in Victoria, 1 July 2018 to 30 June 2023 (6,798 charges)</w:t>
      </w:r>
    </w:p>
    <w:tbl>
      <w:tblPr>
        <w:tblStyle w:val="Table"/>
        <w:tblW w:w="5000" w:type="pct"/>
        <w:tblLook w:val="04A0" w:firstRow="1" w:lastRow="0" w:firstColumn="1" w:lastColumn="0" w:noHBand="0" w:noVBand="1"/>
      </w:tblPr>
      <w:tblGrid>
        <w:gridCol w:w="4052"/>
        <w:gridCol w:w="3044"/>
        <w:gridCol w:w="1920"/>
      </w:tblGrid>
      <w:tr w:rsidR="00881AFC" w:rsidRPr="00881AFC" w14:paraId="248C91F5" w14:textId="77777777" w:rsidTr="00B02E7C">
        <w:trPr>
          <w:trHeight w:val="312"/>
          <w:tblHeader/>
        </w:trPr>
        <w:tc>
          <w:tcPr>
            <w:tcW w:w="2247" w:type="pct"/>
            <w:noWrap/>
            <w:hideMark/>
          </w:tcPr>
          <w:p w14:paraId="11D3F0DF" w14:textId="77777777" w:rsidR="00881AFC" w:rsidRPr="00881AFC" w:rsidRDefault="00881AFC" w:rsidP="00881AFC">
            <w:pPr>
              <w:pStyle w:val="TableHeading"/>
            </w:pPr>
            <w:r w:rsidRPr="00881AFC">
              <w:t>Sentence type</w:t>
            </w:r>
          </w:p>
        </w:tc>
        <w:tc>
          <w:tcPr>
            <w:tcW w:w="1688" w:type="pct"/>
            <w:noWrap/>
            <w:hideMark/>
          </w:tcPr>
          <w:p w14:paraId="0ACC4BCB" w14:textId="77777777" w:rsidR="00881AFC" w:rsidRPr="00881AFC" w:rsidRDefault="00881AFC" w:rsidP="00881AFC">
            <w:pPr>
              <w:pStyle w:val="TableHeading"/>
            </w:pPr>
            <w:r w:rsidRPr="00881AFC">
              <w:t>Number of charges</w:t>
            </w:r>
          </w:p>
        </w:tc>
        <w:tc>
          <w:tcPr>
            <w:tcW w:w="1065" w:type="pct"/>
            <w:noWrap/>
            <w:hideMark/>
          </w:tcPr>
          <w:p w14:paraId="5A8467BD" w14:textId="77777777" w:rsidR="00881AFC" w:rsidRPr="00881AFC" w:rsidRDefault="00881AFC" w:rsidP="00881AFC">
            <w:pPr>
              <w:pStyle w:val="TableHeading"/>
            </w:pPr>
            <w:r w:rsidRPr="00881AFC">
              <w:t>Percentage</w:t>
            </w:r>
          </w:p>
        </w:tc>
      </w:tr>
      <w:tr w:rsidR="00881AFC" w:rsidRPr="00881AFC" w14:paraId="4D923D0B" w14:textId="77777777" w:rsidTr="00881AFC">
        <w:trPr>
          <w:trHeight w:val="312"/>
        </w:trPr>
        <w:tc>
          <w:tcPr>
            <w:tcW w:w="2247" w:type="pct"/>
            <w:noWrap/>
            <w:hideMark/>
          </w:tcPr>
          <w:p w14:paraId="3FC824BE" w14:textId="77777777" w:rsidR="00881AFC" w:rsidRPr="00881AFC" w:rsidRDefault="00881AFC" w:rsidP="00881AFC">
            <w:pPr>
              <w:pStyle w:val="TableBody"/>
            </w:pPr>
            <w:r w:rsidRPr="00881AFC">
              <w:t>Diversion</w:t>
            </w:r>
          </w:p>
        </w:tc>
        <w:tc>
          <w:tcPr>
            <w:tcW w:w="1688" w:type="pct"/>
            <w:noWrap/>
            <w:hideMark/>
          </w:tcPr>
          <w:p w14:paraId="7C366476" w14:textId="77777777" w:rsidR="00881AFC" w:rsidRPr="00881AFC" w:rsidRDefault="00881AFC" w:rsidP="00881AFC">
            <w:pPr>
              <w:pStyle w:val="TableBody"/>
            </w:pPr>
            <w:r w:rsidRPr="00881AFC">
              <w:t>786</w:t>
            </w:r>
          </w:p>
        </w:tc>
        <w:tc>
          <w:tcPr>
            <w:tcW w:w="1065" w:type="pct"/>
            <w:noWrap/>
            <w:hideMark/>
          </w:tcPr>
          <w:p w14:paraId="4DB90218" w14:textId="5182112E" w:rsidR="00881AFC" w:rsidRPr="00881AFC" w:rsidRDefault="00881AFC" w:rsidP="00881AFC">
            <w:pPr>
              <w:pStyle w:val="TableBody"/>
            </w:pPr>
            <w:r w:rsidRPr="00881AFC">
              <w:t>11.6</w:t>
            </w:r>
            <w:r w:rsidR="000B18F3">
              <w:t>%</w:t>
            </w:r>
          </w:p>
        </w:tc>
      </w:tr>
      <w:tr w:rsidR="00881AFC" w:rsidRPr="00881AFC" w14:paraId="38342D92" w14:textId="77777777" w:rsidTr="00881AFC">
        <w:trPr>
          <w:trHeight w:val="312"/>
        </w:trPr>
        <w:tc>
          <w:tcPr>
            <w:tcW w:w="2247" w:type="pct"/>
            <w:noWrap/>
            <w:hideMark/>
          </w:tcPr>
          <w:p w14:paraId="7E3C9F2A" w14:textId="55FFC993" w:rsidR="00881AFC" w:rsidRPr="00881AFC" w:rsidRDefault="00881AFC" w:rsidP="00881AFC">
            <w:pPr>
              <w:pStyle w:val="TableBody"/>
            </w:pPr>
            <w:r w:rsidRPr="00881AFC">
              <w:t>Dismiss</w:t>
            </w:r>
            <w:r w:rsidR="00905241">
              <w:t>al</w:t>
            </w:r>
            <w:r w:rsidRPr="00881AFC">
              <w:t xml:space="preserve"> without conviction</w:t>
            </w:r>
          </w:p>
        </w:tc>
        <w:tc>
          <w:tcPr>
            <w:tcW w:w="1688" w:type="pct"/>
            <w:noWrap/>
            <w:hideMark/>
          </w:tcPr>
          <w:p w14:paraId="76B31C18" w14:textId="77777777" w:rsidR="00881AFC" w:rsidRPr="00881AFC" w:rsidRDefault="00881AFC" w:rsidP="00881AFC">
            <w:pPr>
              <w:pStyle w:val="TableBody"/>
            </w:pPr>
            <w:r w:rsidRPr="00881AFC">
              <w:t>336</w:t>
            </w:r>
          </w:p>
        </w:tc>
        <w:tc>
          <w:tcPr>
            <w:tcW w:w="1065" w:type="pct"/>
            <w:noWrap/>
            <w:hideMark/>
          </w:tcPr>
          <w:p w14:paraId="5049BF13" w14:textId="1772CC43" w:rsidR="00881AFC" w:rsidRPr="00881AFC" w:rsidRDefault="00881AFC" w:rsidP="00881AFC">
            <w:pPr>
              <w:pStyle w:val="TableBody"/>
            </w:pPr>
            <w:r w:rsidRPr="00881AFC">
              <w:t>4.9</w:t>
            </w:r>
            <w:r w:rsidR="000B18F3">
              <w:t>%</w:t>
            </w:r>
          </w:p>
        </w:tc>
      </w:tr>
      <w:tr w:rsidR="00881AFC" w:rsidRPr="00881AFC" w14:paraId="1A250829" w14:textId="77777777" w:rsidTr="00881AFC">
        <w:trPr>
          <w:trHeight w:val="312"/>
        </w:trPr>
        <w:tc>
          <w:tcPr>
            <w:tcW w:w="2247" w:type="pct"/>
            <w:noWrap/>
            <w:hideMark/>
          </w:tcPr>
          <w:p w14:paraId="44C50292" w14:textId="77777777" w:rsidR="00881AFC" w:rsidRPr="00881AFC" w:rsidRDefault="00881AFC" w:rsidP="00881AFC">
            <w:pPr>
              <w:pStyle w:val="TableBody"/>
            </w:pPr>
            <w:r w:rsidRPr="00881AFC">
              <w:t>Bond without conviction</w:t>
            </w:r>
          </w:p>
        </w:tc>
        <w:tc>
          <w:tcPr>
            <w:tcW w:w="1688" w:type="pct"/>
            <w:noWrap/>
            <w:hideMark/>
          </w:tcPr>
          <w:p w14:paraId="55006E49" w14:textId="77777777" w:rsidR="00881AFC" w:rsidRPr="00881AFC" w:rsidRDefault="00881AFC" w:rsidP="00881AFC">
            <w:pPr>
              <w:pStyle w:val="TableBody"/>
            </w:pPr>
            <w:r w:rsidRPr="00881AFC">
              <w:t>1,309</w:t>
            </w:r>
          </w:p>
        </w:tc>
        <w:tc>
          <w:tcPr>
            <w:tcW w:w="1065" w:type="pct"/>
            <w:noWrap/>
            <w:hideMark/>
          </w:tcPr>
          <w:p w14:paraId="0C93B8CB" w14:textId="2A12F5C4" w:rsidR="00881AFC" w:rsidRPr="00881AFC" w:rsidRDefault="00881AFC" w:rsidP="00881AFC">
            <w:pPr>
              <w:pStyle w:val="TableBody"/>
            </w:pPr>
            <w:r w:rsidRPr="00881AFC">
              <w:t>19.3</w:t>
            </w:r>
            <w:r w:rsidR="000B18F3">
              <w:t>%</w:t>
            </w:r>
          </w:p>
        </w:tc>
      </w:tr>
      <w:tr w:rsidR="00881AFC" w:rsidRPr="00881AFC" w14:paraId="0D9834A1" w14:textId="77777777" w:rsidTr="00881AFC">
        <w:trPr>
          <w:trHeight w:val="312"/>
        </w:trPr>
        <w:tc>
          <w:tcPr>
            <w:tcW w:w="2247" w:type="pct"/>
            <w:noWrap/>
            <w:hideMark/>
          </w:tcPr>
          <w:p w14:paraId="19B6BA27" w14:textId="77777777" w:rsidR="00881AFC" w:rsidRPr="00881AFC" w:rsidRDefault="00881AFC" w:rsidP="00881AFC">
            <w:pPr>
              <w:pStyle w:val="TableBody"/>
            </w:pPr>
            <w:r w:rsidRPr="00881AFC">
              <w:lastRenderedPageBreak/>
              <w:t>Bond with conviction</w:t>
            </w:r>
          </w:p>
        </w:tc>
        <w:tc>
          <w:tcPr>
            <w:tcW w:w="1688" w:type="pct"/>
            <w:noWrap/>
            <w:hideMark/>
          </w:tcPr>
          <w:p w14:paraId="121038EC" w14:textId="77777777" w:rsidR="00881AFC" w:rsidRPr="00881AFC" w:rsidRDefault="00881AFC" w:rsidP="00881AFC">
            <w:pPr>
              <w:pStyle w:val="TableBody"/>
            </w:pPr>
            <w:r w:rsidRPr="00881AFC">
              <w:t>494</w:t>
            </w:r>
          </w:p>
        </w:tc>
        <w:tc>
          <w:tcPr>
            <w:tcW w:w="1065" w:type="pct"/>
            <w:noWrap/>
            <w:hideMark/>
          </w:tcPr>
          <w:p w14:paraId="1364658B" w14:textId="346B285C" w:rsidR="00881AFC" w:rsidRPr="00881AFC" w:rsidRDefault="00881AFC" w:rsidP="00881AFC">
            <w:pPr>
              <w:pStyle w:val="TableBody"/>
            </w:pPr>
            <w:r w:rsidRPr="00881AFC">
              <w:t>7.3</w:t>
            </w:r>
            <w:r w:rsidR="000B18F3">
              <w:t>%</w:t>
            </w:r>
          </w:p>
        </w:tc>
      </w:tr>
      <w:tr w:rsidR="00881AFC" w:rsidRPr="00881AFC" w14:paraId="6BB63594" w14:textId="77777777" w:rsidTr="00881AFC">
        <w:trPr>
          <w:trHeight w:val="312"/>
        </w:trPr>
        <w:tc>
          <w:tcPr>
            <w:tcW w:w="2247" w:type="pct"/>
            <w:noWrap/>
            <w:hideMark/>
          </w:tcPr>
          <w:p w14:paraId="2327C1A2" w14:textId="77777777" w:rsidR="00881AFC" w:rsidRPr="00881AFC" w:rsidRDefault="00881AFC" w:rsidP="00881AFC">
            <w:pPr>
              <w:pStyle w:val="TableBody"/>
            </w:pPr>
            <w:r w:rsidRPr="00881AFC">
              <w:t>Fine with conviction</w:t>
            </w:r>
          </w:p>
        </w:tc>
        <w:tc>
          <w:tcPr>
            <w:tcW w:w="1688" w:type="pct"/>
            <w:noWrap/>
            <w:hideMark/>
          </w:tcPr>
          <w:p w14:paraId="473C1FB8" w14:textId="77777777" w:rsidR="00881AFC" w:rsidRPr="00881AFC" w:rsidRDefault="00881AFC" w:rsidP="00881AFC">
            <w:pPr>
              <w:pStyle w:val="TableBody"/>
            </w:pPr>
            <w:r w:rsidRPr="00881AFC">
              <w:t>2,587</w:t>
            </w:r>
          </w:p>
        </w:tc>
        <w:tc>
          <w:tcPr>
            <w:tcW w:w="1065" w:type="pct"/>
            <w:noWrap/>
            <w:hideMark/>
          </w:tcPr>
          <w:p w14:paraId="6899B4B3" w14:textId="0DF82831" w:rsidR="00881AFC" w:rsidRPr="00881AFC" w:rsidRDefault="00881AFC" w:rsidP="00881AFC">
            <w:pPr>
              <w:pStyle w:val="TableBody"/>
            </w:pPr>
            <w:r w:rsidRPr="00881AFC">
              <w:t>38.1</w:t>
            </w:r>
            <w:r w:rsidR="000B18F3">
              <w:t>%</w:t>
            </w:r>
          </w:p>
        </w:tc>
      </w:tr>
      <w:tr w:rsidR="00881AFC" w:rsidRPr="00881AFC" w14:paraId="5B5DA0BF" w14:textId="77777777" w:rsidTr="00881AFC">
        <w:trPr>
          <w:trHeight w:val="312"/>
        </w:trPr>
        <w:tc>
          <w:tcPr>
            <w:tcW w:w="2247" w:type="pct"/>
            <w:noWrap/>
            <w:hideMark/>
          </w:tcPr>
          <w:p w14:paraId="483266F3" w14:textId="77777777" w:rsidR="00881AFC" w:rsidRPr="00881AFC" w:rsidRDefault="00881AFC" w:rsidP="00881AFC">
            <w:pPr>
              <w:pStyle w:val="TableBody"/>
            </w:pPr>
            <w:r w:rsidRPr="00881AFC">
              <w:t>Community correction order</w:t>
            </w:r>
          </w:p>
        </w:tc>
        <w:tc>
          <w:tcPr>
            <w:tcW w:w="1688" w:type="pct"/>
            <w:noWrap/>
            <w:hideMark/>
          </w:tcPr>
          <w:p w14:paraId="50A45F9A" w14:textId="77777777" w:rsidR="00881AFC" w:rsidRPr="00881AFC" w:rsidRDefault="00881AFC" w:rsidP="00881AFC">
            <w:pPr>
              <w:pStyle w:val="TableBody"/>
            </w:pPr>
            <w:r w:rsidRPr="00881AFC">
              <w:t>490</w:t>
            </w:r>
          </w:p>
        </w:tc>
        <w:tc>
          <w:tcPr>
            <w:tcW w:w="1065" w:type="pct"/>
            <w:noWrap/>
            <w:hideMark/>
          </w:tcPr>
          <w:p w14:paraId="4CF4834B" w14:textId="042AA051" w:rsidR="00881AFC" w:rsidRPr="00881AFC" w:rsidRDefault="00881AFC" w:rsidP="00881AFC">
            <w:pPr>
              <w:pStyle w:val="TableBody"/>
            </w:pPr>
            <w:r w:rsidRPr="00881AFC">
              <w:t>7.2</w:t>
            </w:r>
            <w:r w:rsidR="000B18F3">
              <w:t>%</w:t>
            </w:r>
          </w:p>
        </w:tc>
      </w:tr>
      <w:tr w:rsidR="00881AFC" w:rsidRPr="00881AFC" w14:paraId="2AC488FB" w14:textId="77777777" w:rsidTr="00881AFC">
        <w:trPr>
          <w:trHeight w:val="312"/>
        </w:trPr>
        <w:tc>
          <w:tcPr>
            <w:tcW w:w="2247" w:type="pct"/>
            <w:noWrap/>
            <w:hideMark/>
          </w:tcPr>
          <w:p w14:paraId="31ECAAAF" w14:textId="77777777" w:rsidR="00881AFC" w:rsidRPr="00881AFC" w:rsidRDefault="00881AFC" w:rsidP="00881AFC">
            <w:pPr>
              <w:pStyle w:val="TableBody"/>
            </w:pPr>
            <w:r w:rsidRPr="00881AFC">
              <w:t>Imprisonment</w:t>
            </w:r>
          </w:p>
        </w:tc>
        <w:tc>
          <w:tcPr>
            <w:tcW w:w="1688" w:type="pct"/>
            <w:noWrap/>
            <w:hideMark/>
          </w:tcPr>
          <w:p w14:paraId="5F5CD99C" w14:textId="50C7989E" w:rsidR="00881AFC" w:rsidRPr="00881AFC" w:rsidRDefault="00881AFC" w:rsidP="00881AFC">
            <w:pPr>
              <w:pStyle w:val="TableBody"/>
            </w:pPr>
            <w:r w:rsidRPr="00881AFC">
              <w:t>79</w:t>
            </w:r>
            <w:r w:rsidR="007E30C5">
              <w:t>4</w:t>
            </w:r>
          </w:p>
        </w:tc>
        <w:tc>
          <w:tcPr>
            <w:tcW w:w="1065" w:type="pct"/>
            <w:noWrap/>
            <w:hideMark/>
          </w:tcPr>
          <w:p w14:paraId="08150DF1" w14:textId="725505F6" w:rsidR="00881AFC" w:rsidRPr="00881AFC" w:rsidRDefault="00881AFC" w:rsidP="00881AFC">
            <w:pPr>
              <w:pStyle w:val="TableBody"/>
            </w:pPr>
            <w:r w:rsidRPr="00881AFC">
              <w:t>11.7</w:t>
            </w:r>
            <w:r w:rsidR="000B18F3">
              <w:t>%</w:t>
            </w:r>
          </w:p>
        </w:tc>
      </w:tr>
      <w:tr w:rsidR="00881AFC" w:rsidRPr="00881AFC" w14:paraId="2DE60840" w14:textId="77777777" w:rsidTr="00881AFC">
        <w:trPr>
          <w:trHeight w:val="312"/>
        </w:trPr>
        <w:tc>
          <w:tcPr>
            <w:tcW w:w="2247" w:type="pct"/>
            <w:noWrap/>
            <w:hideMark/>
          </w:tcPr>
          <w:p w14:paraId="50C7C206" w14:textId="77777777" w:rsidR="00881AFC" w:rsidRPr="00881AFC" w:rsidRDefault="00881AFC" w:rsidP="00881AFC">
            <w:pPr>
              <w:pStyle w:val="TableBody"/>
            </w:pPr>
            <w:r w:rsidRPr="00881AFC">
              <w:t>Other</w:t>
            </w:r>
          </w:p>
        </w:tc>
        <w:tc>
          <w:tcPr>
            <w:tcW w:w="1688" w:type="pct"/>
            <w:noWrap/>
            <w:hideMark/>
          </w:tcPr>
          <w:p w14:paraId="1A6B4CE7" w14:textId="16419715" w:rsidR="00881AFC" w:rsidRPr="00881AFC" w:rsidRDefault="007E30C5" w:rsidP="00881AFC">
            <w:pPr>
              <w:pStyle w:val="TableBody"/>
            </w:pPr>
            <w:r>
              <w:t>2</w:t>
            </w:r>
          </w:p>
        </w:tc>
        <w:tc>
          <w:tcPr>
            <w:tcW w:w="1065" w:type="pct"/>
            <w:noWrap/>
            <w:hideMark/>
          </w:tcPr>
          <w:p w14:paraId="217202E6" w14:textId="716A998C" w:rsidR="00881AFC" w:rsidRPr="00881AFC" w:rsidRDefault="00E94A2D" w:rsidP="00881AFC">
            <w:pPr>
              <w:pStyle w:val="TableBody"/>
            </w:pPr>
            <w:r>
              <w:t>&lt;1%</w:t>
            </w:r>
          </w:p>
        </w:tc>
      </w:tr>
    </w:tbl>
    <w:p w14:paraId="769C7D56" w14:textId="77777777" w:rsidR="004C0661" w:rsidRPr="002369DB" w:rsidRDefault="004C0661" w:rsidP="00C474D2">
      <w:r w:rsidRPr="002369DB">
        <w:t xml:space="preserve">To examine if this was the case, Figure 10 shows whether the 2,587 charges of using a carriage service to menace, harass or offend were sentenced primarily in cases consisting solely of Commonwealth offences or in mixed cases. It shows that 82% of charges of this offence that received a fine </w:t>
      </w:r>
      <w:r w:rsidRPr="002369DB">
        <w:rPr>
          <w:rStyle w:val="Italic"/>
        </w:rPr>
        <w:t xml:space="preserve">were </w:t>
      </w:r>
      <w:r w:rsidRPr="002369DB">
        <w:t xml:space="preserve">in mixed cases, the majority of which had a Victorian principal proven offence (60% of charges of this offence that received a fine). Further, 69% of </w:t>
      </w:r>
      <w:r w:rsidRPr="002369DB">
        <w:rPr>
          <w:rStyle w:val="Italic"/>
        </w:rPr>
        <w:t>cases</w:t>
      </w:r>
      <w:r w:rsidRPr="002369DB">
        <w:t xml:space="preserve"> in which this offence received a fine also involved other offences that received a more severe penalty, in particular, imprisonment or a community correction order (Table 6). This seems to support the hypothesis that when this offence receives a fine, it may be because of the complex approach requiring a court to sentence the Commonwealth and Victorian offences separately, when the Victorian offences have received a more severe penalty.</w:t>
      </w:r>
    </w:p>
    <w:p w14:paraId="7C16F95F" w14:textId="77777777" w:rsidR="003C5858" w:rsidRPr="002369DB" w:rsidRDefault="003C5858" w:rsidP="00A775DC">
      <w:pPr>
        <w:pStyle w:val="Caption"/>
      </w:pPr>
      <w:r w:rsidRPr="002369DB">
        <w:t>Figure 10: Number of charges of using a carriage service to menace, harass or offend that received a fine, by whether there were other Victorian or Commonwealth offences in the case (2,587 charges)</w:t>
      </w:r>
    </w:p>
    <w:tbl>
      <w:tblPr>
        <w:tblStyle w:val="Table"/>
        <w:tblW w:w="5000" w:type="pct"/>
        <w:tblLook w:val="04A0" w:firstRow="1" w:lastRow="0" w:firstColumn="1" w:lastColumn="0" w:noHBand="0" w:noVBand="1"/>
      </w:tblPr>
      <w:tblGrid>
        <w:gridCol w:w="5445"/>
        <w:gridCol w:w="2585"/>
        <w:gridCol w:w="986"/>
      </w:tblGrid>
      <w:tr w:rsidR="00643E29" w:rsidRPr="00B632CC" w14:paraId="4698ECAD" w14:textId="77777777" w:rsidTr="00242293">
        <w:trPr>
          <w:trHeight w:val="312"/>
          <w:tblHeader/>
        </w:trPr>
        <w:tc>
          <w:tcPr>
            <w:tcW w:w="3020" w:type="pct"/>
            <w:noWrap/>
            <w:hideMark/>
          </w:tcPr>
          <w:p w14:paraId="4027B06A" w14:textId="734EC493" w:rsidR="00643E29" w:rsidRPr="00B632CC" w:rsidRDefault="00643E29" w:rsidP="00643E29">
            <w:pPr>
              <w:pStyle w:val="TableHeading"/>
            </w:pPr>
            <w:r>
              <w:t>Case type</w:t>
            </w:r>
          </w:p>
        </w:tc>
        <w:tc>
          <w:tcPr>
            <w:tcW w:w="1434" w:type="pct"/>
            <w:noWrap/>
            <w:hideMark/>
          </w:tcPr>
          <w:p w14:paraId="4DA7AA9F" w14:textId="32192CC8" w:rsidR="00643E29" w:rsidRPr="00B632CC" w:rsidRDefault="00643E29" w:rsidP="00643E29">
            <w:pPr>
              <w:pStyle w:val="TableHeading"/>
            </w:pPr>
            <w:r>
              <w:t>Commonwealth offences only in case</w:t>
            </w:r>
          </w:p>
        </w:tc>
        <w:tc>
          <w:tcPr>
            <w:tcW w:w="547" w:type="pct"/>
            <w:noWrap/>
            <w:hideMark/>
          </w:tcPr>
          <w:p w14:paraId="344986FB" w14:textId="04C727B9" w:rsidR="00643E29" w:rsidRPr="00B632CC" w:rsidRDefault="00643E29" w:rsidP="00643E29">
            <w:pPr>
              <w:pStyle w:val="TableHeading"/>
            </w:pPr>
            <w:r>
              <w:t>Mixed cases</w:t>
            </w:r>
          </w:p>
        </w:tc>
      </w:tr>
      <w:tr w:rsidR="00643E29" w:rsidRPr="00B632CC" w14:paraId="2DC804F0" w14:textId="77777777" w:rsidTr="00242293">
        <w:trPr>
          <w:trHeight w:val="312"/>
        </w:trPr>
        <w:tc>
          <w:tcPr>
            <w:tcW w:w="3020" w:type="pct"/>
            <w:noWrap/>
            <w:hideMark/>
          </w:tcPr>
          <w:p w14:paraId="73BC78DE" w14:textId="0E6E46A6" w:rsidR="00643E29" w:rsidRPr="00573319" w:rsidRDefault="00643E29" w:rsidP="00643E29">
            <w:pPr>
              <w:pStyle w:val="TableBody"/>
            </w:pPr>
            <w:r w:rsidRPr="00573319">
              <w:t>Cases with principal proven offence of using a carriage service to menace, harass or offend</w:t>
            </w:r>
          </w:p>
        </w:tc>
        <w:tc>
          <w:tcPr>
            <w:tcW w:w="1434" w:type="pct"/>
            <w:noWrap/>
            <w:hideMark/>
          </w:tcPr>
          <w:p w14:paraId="2075DC8E" w14:textId="0064A1ED" w:rsidR="00643E29" w:rsidRPr="00B632CC" w:rsidRDefault="00643E29" w:rsidP="00643E29">
            <w:pPr>
              <w:pStyle w:val="TableBody"/>
            </w:pPr>
            <w:r w:rsidRPr="00B632CC">
              <w:t>61</w:t>
            </w:r>
          </w:p>
        </w:tc>
        <w:tc>
          <w:tcPr>
            <w:tcW w:w="547" w:type="pct"/>
            <w:noWrap/>
          </w:tcPr>
          <w:p w14:paraId="649AE975" w14:textId="419D6C81" w:rsidR="00643E29" w:rsidRPr="00B632CC" w:rsidRDefault="00643E29" w:rsidP="00643E29">
            <w:pPr>
              <w:pStyle w:val="TableBody"/>
            </w:pPr>
            <w:r w:rsidRPr="00B632CC">
              <w:t>59</w:t>
            </w:r>
          </w:p>
        </w:tc>
      </w:tr>
      <w:tr w:rsidR="00643E29" w:rsidRPr="00B632CC" w14:paraId="502F194C" w14:textId="77777777" w:rsidTr="00242293">
        <w:trPr>
          <w:trHeight w:val="312"/>
        </w:trPr>
        <w:tc>
          <w:tcPr>
            <w:tcW w:w="3020" w:type="pct"/>
            <w:noWrap/>
            <w:hideMark/>
          </w:tcPr>
          <w:p w14:paraId="6D724566" w14:textId="4FB794DA" w:rsidR="00643E29" w:rsidRPr="00573319" w:rsidRDefault="00643E29" w:rsidP="00643E29">
            <w:pPr>
              <w:pStyle w:val="TableBody"/>
            </w:pPr>
            <w:r w:rsidRPr="00573319">
              <w:t>Cases with another Commonwealth principal proven offence</w:t>
            </w:r>
          </w:p>
        </w:tc>
        <w:tc>
          <w:tcPr>
            <w:tcW w:w="1434" w:type="pct"/>
            <w:noWrap/>
          </w:tcPr>
          <w:p w14:paraId="53DD4E91" w14:textId="1F9881A7" w:rsidR="00643E29" w:rsidRPr="00B632CC" w:rsidRDefault="00643E29" w:rsidP="00643E29">
            <w:pPr>
              <w:pStyle w:val="TableBody"/>
            </w:pPr>
            <w:r w:rsidRPr="00B632CC">
              <w:t>411</w:t>
            </w:r>
          </w:p>
        </w:tc>
        <w:tc>
          <w:tcPr>
            <w:tcW w:w="547" w:type="pct"/>
            <w:noWrap/>
            <w:hideMark/>
          </w:tcPr>
          <w:p w14:paraId="6C1BFBE5" w14:textId="5B951C63" w:rsidR="00643E29" w:rsidRPr="00B632CC" w:rsidRDefault="00643E29" w:rsidP="00643E29">
            <w:pPr>
              <w:pStyle w:val="TableBody"/>
            </w:pPr>
            <w:r w:rsidRPr="00B632CC">
              <w:t>494</w:t>
            </w:r>
          </w:p>
        </w:tc>
      </w:tr>
      <w:tr w:rsidR="00643E29" w:rsidRPr="00B632CC" w14:paraId="529A6235" w14:textId="77777777" w:rsidTr="00242293">
        <w:trPr>
          <w:trHeight w:val="312"/>
        </w:trPr>
        <w:tc>
          <w:tcPr>
            <w:tcW w:w="3020" w:type="pct"/>
            <w:noWrap/>
            <w:hideMark/>
          </w:tcPr>
          <w:p w14:paraId="39EA5EF6" w14:textId="5BFB2A44" w:rsidR="00643E29" w:rsidRPr="00573319" w:rsidRDefault="00643E29" w:rsidP="00643E29">
            <w:pPr>
              <w:pStyle w:val="TableBody"/>
            </w:pPr>
            <w:r w:rsidRPr="00573319">
              <w:t xml:space="preserve">Cases with Victorian principal proven offence </w:t>
            </w:r>
          </w:p>
        </w:tc>
        <w:tc>
          <w:tcPr>
            <w:tcW w:w="1434" w:type="pct"/>
            <w:noWrap/>
            <w:hideMark/>
          </w:tcPr>
          <w:p w14:paraId="6F49E1D9" w14:textId="68D28C8A" w:rsidR="00643E29" w:rsidRPr="00B632CC" w:rsidRDefault="00643E29" w:rsidP="00643E29">
            <w:pPr>
              <w:pStyle w:val="TableBody"/>
            </w:pPr>
          </w:p>
        </w:tc>
        <w:tc>
          <w:tcPr>
            <w:tcW w:w="547" w:type="pct"/>
            <w:noWrap/>
            <w:hideMark/>
          </w:tcPr>
          <w:p w14:paraId="006A43E9" w14:textId="70666E02" w:rsidR="00643E29" w:rsidRPr="00B632CC" w:rsidRDefault="00996C7A" w:rsidP="00643E29">
            <w:pPr>
              <w:pStyle w:val="TableBody"/>
            </w:pPr>
            <w:r w:rsidRPr="00B632CC">
              <w:t>1,562</w:t>
            </w:r>
          </w:p>
        </w:tc>
      </w:tr>
    </w:tbl>
    <w:p w14:paraId="6C813DFB" w14:textId="77777777" w:rsidR="004C0661" w:rsidRPr="002369DB" w:rsidRDefault="004C0661" w:rsidP="00A775DC">
      <w:pPr>
        <w:pStyle w:val="Caption"/>
      </w:pPr>
      <w:r w:rsidRPr="002369DB">
        <w:lastRenderedPageBreak/>
        <w:t>Table 6: Principal sentences in cases where charges of using a carriage service to menace, harass or offend received a fine and the principal proven offence was a Victorian offence (1,372 cases)</w:t>
      </w:r>
    </w:p>
    <w:tbl>
      <w:tblPr>
        <w:tblStyle w:val="Table"/>
        <w:tblW w:w="5000" w:type="pct"/>
        <w:tblLook w:val="0020" w:firstRow="1" w:lastRow="0" w:firstColumn="0" w:lastColumn="0" w:noHBand="0" w:noVBand="0"/>
      </w:tblPr>
      <w:tblGrid>
        <w:gridCol w:w="3155"/>
        <w:gridCol w:w="2678"/>
        <w:gridCol w:w="3183"/>
      </w:tblGrid>
      <w:tr w:rsidR="004C0661" w:rsidRPr="002369DB" w14:paraId="288241DA" w14:textId="77777777" w:rsidTr="004375E7">
        <w:trPr>
          <w:trHeight w:val="60"/>
          <w:tblHeader/>
        </w:trPr>
        <w:tc>
          <w:tcPr>
            <w:tcW w:w="1750" w:type="pct"/>
          </w:tcPr>
          <w:p w14:paraId="3533BC32" w14:textId="77777777" w:rsidR="004C0661" w:rsidRPr="002369DB" w:rsidRDefault="004C0661" w:rsidP="00B91C29">
            <w:pPr>
              <w:pStyle w:val="TableHeading"/>
            </w:pPr>
            <w:r w:rsidRPr="002369DB">
              <w:t xml:space="preserve">Principal sentence </w:t>
            </w:r>
          </w:p>
        </w:tc>
        <w:tc>
          <w:tcPr>
            <w:tcW w:w="1485" w:type="pct"/>
          </w:tcPr>
          <w:p w14:paraId="1CC7A74D" w14:textId="77777777" w:rsidR="004C0661" w:rsidRPr="002369DB" w:rsidRDefault="004C0661" w:rsidP="00CA695F">
            <w:pPr>
              <w:pStyle w:val="TableHeading"/>
            </w:pPr>
            <w:r w:rsidRPr="002369DB">
              <w:t>Number of cases</w:t>
            </w:r>
          </w:p>
        </w:tc>
        <w:tc>
          <w:tcPr>
            <w:tcW w:w="1765" w:type="pct"/>
          </w:tcPr>
          <w:p w14:paraId="326A0659" w14:textId="77777777" w:rsidR="004C0661" w:rsidRPr="002369DB" w:rsidRDefault="004C0661" w:rsidP="00CA695F">
            <w:pPr>
              <w:pStyle w:val="TableHeading"/>
            </w:pPr>
            <w:r w:rsidRPr="002369DB">
              <w:t>Percentage of cases</w:t>
            </w:r>
          </w:p>
        </w:tc>
      </w:tr>
      <w:tr w:rsidR="004C0661" w:rsidRPr="002369DB" w14:paraId="58A8E323" w14:textId="77777777" w:rsidTr="004375E7">
        <w:trPr>
          <w:trHeight w:val="60"/>
        </w:trPr>
        <w:tc>
          <w:tcPr>
            <w:tcW w:w="1750" w:type="pct"/>
          </w:tcPr>
          <w:p w14:paraId="2825008B" w14:textId="77777777" w:rsidR="004C0661" w:rsidRPr="002369DB" w:rsidRDefault="004C0661" w:rsidP="00B91C29">
            <w:pPr>
              <w:pStyle w:val="TableBody"/>
            </w:pPr>
            <w:r w:rsidRPr="002369DB">
              <w:t>Imprisonment</w:t>
            </w:r>
          </w:p>
        </w:tc>
        <w:tc>
          <w:tcPr>
            <w:tcW w:w="1485" w:type="pct"/>
          </w:tcPr>
          <w:p w14:paraId="2E929EC0" w14:textId="77777777" w:rsidR="004C0661" w:rsidRPr="002369DB" w:rsidRDefault="004C0661" w:rsidP="00B91C29">
            <w:pPr>
              <w:pStyle w:val="TableBody"/>
            </w:pPr>
            <w:r w:rsidRPr="002369DB">
              <w:t>510</w:t>
            </w:r>
          </w:p>
        </w:tc>
        <w:tc>
          <w:tcPr>
            <w:tcW w:w="1765" w:type="pct"/>
          </w:tcPr>
          <w:p w14:paraId="49E105D0" w14:textId="77777777" w:rsidR="004C0661" w:rsidRPr="002369DB" w:rsidRDefault="004C0661" w:rsidP="00B91C29">
            <w:pPr>
              <w:pStyle w:val="TableBody"/>
            </w:pPr>
            <w:r w:rsidRPr="002369DB">
              <w:t>37.2%</w:t>
            </w:r>
          </w:p>
        </w:tc>
      </w:tr>
      <w:tr w:rsidR="004C0661" w:rsidRPr="002369DB" w14:paraId="7F9DCE83" w14:textId="77777777" w:rsidTr="004375E7">
        <w:trPr>
          <w:trHeight w:val="60"/>
        </w:trPr>
        <w:tc>
          <w:tcPr>
            <w:tcW w:w="1750" w:type="pct"/>
          </w:tcPr>
          <w:p w14:paraId="621EA91A" w14:textId="77777777" w:rsidR="004C0661" w:rsidRPr="002369DB" w:rsidRDefault="004C0661" w:rsidP="00B91C29">
            <w:pPr>
              <w:pStyle w:val="TableBody"/>
            </w:pPr>
            <w:r w:rsidRPr="002369DB">
              <w:t>Community correction order</w:t>
            </w:r>
          </w:p>
        </w:tc>
        <w:tc>
          <w:tcPr>
            <w:tcW w:w="1485" w:type="pct"/>
          </w:tcPr>
          <w:p w14:paraId="4D4A4028" w14:textId="77777777" w:rsidR="004C0661" w:rsidRPr="002369DB" w:rsidRDefault="004C0661" w:rsidP="00B91C29">
            <w:pPr>
              <w:pStyle w:val="TableBody"/>
            </w:pPr>
            <w:r w:rsidRPr="002369DB">
              <w:t>431</w:t>
            </w:r>
          </w:p>
        </w:tc>
        <w:tc>
          <w:tcPr>
            <w:tcW w:w="1765" w:type="pct"/>
          </w:tcPr>
          <w:p w14:paraId="348C2615" w14:textId="77777777" w:rsidR="004C0661" w:rsidRPr="002369DB" w:rsidRDefault="004C0661" w:rsidP="00B91C29">
            <w:pPr>
              <w:pStyle w:val="TableBody"/>
            </w:pPr>
            <w:r w:rsidRPr="002369DB">
              <w:t>31.4%</w:t>
            </w:r>
          </w:p>
        </w:tc>
      </w:tr>
      <w:tr w:rsidR="004C0661" w:rsidRPr="002369DB" w14:paraId="55A01CD5" w14:textId="77777777" w:rsidTr="004375E7">
        <w:trPr>
          <w:trHeight w:val="60"/>
        </w:trPr>
        <w:tc>
          <w:tcPr>
            <w:tcW w:w="1750" w:type="pct"/>
          </w:tcPr>
          <w:p w14:paraId="64088474" w14:textId="77777777" w:rsidR="004C0661" w:rsidRPr="002369DB" w:rsidRDefault="004C0661" w:rsidP="00B91C29">
            <w:pPr>
              <w:pStyle w:val="TableBody"/>
            </w:pPr>
            <w:r w:rsidRPr="002369DB">
              <w:t>Fine</w:t>
            </w:r>
          </w:p>
        </w:tc>
        <w:tc>
          <w:tcPr>
            <w:tcW w:w="1485" w:type="pct"/>
          </w:tcPr>
          <w:p w14:paraId="35CE4290" w14:textId="77777777" w:rsidR="004C0661" w:rsidRPr="002369DB" w:rsidRDefault="004C0661" w:rsidP="00B91C29">
            <w:pPr>
              <w:pStyle w:val="TableBody"/>
            </w:pPr>
            <w:r w:rsidRPr="002369DB">
              <w:t>427</w:t>
            </w:r>
          </w:p>
        </w:tc>
        <w:tc>
          <w:tcPr>
            <w:tcW w:w="1765" w:type="pct"/>
          </w:tcPr>
          <w:p w14:paraId="44DC61C8" w14:textId="77777777" w:rsidR="004C0661" w:rsidRPr="002369DB" w:rsidRDefault="004C0661" w:rsidP="00B91C29">
            <w:pPr>
              <w:pStyle w:val="TableBody"/>
            </w:pPr>
            <w:r w:rsidRPr="002369DB">
              <w:t>31.1%</w:t>
            </w:r>
          </w:p>
        </w:tc>
      </w:tr>
      <w:tr w:rsidR="004C0661" w:rsidRPr="002369DB" w14:paraId="2175AE03" w14:textId="77777777" w:rsidTr="004375E7">
        <w:trPr>
          <w:trHeight w:val="60"/>
        </w:trPr>
        <w:tc>
          <w:tcPr>
            <w:tcW w:w="1750" w:type="pct"/>
          </w:tcPr>
          <w:p w14:paraId="7A7EF5C9" w14:textId="77777777" w:rsidR="004C0661" w:rsidRPr="002369DB" w:rsidRDefault="004C0661" w:rsidP="00B91C29">
            <w:pPr>
              <w:pStyle w:val="TableBody"/>
            </w:pPr>
            <w:r w:rsidRPr="002369DB">
              <w:t>Other</w:t>
            </w:r>
          </w:p>
        </w:tc>
        <w:tc>
          <w:tcPr>
            <w:tcW w:w="1485" w:type="pct"/>
          </w:tcPr>
          <w:p w14:paraId="73A81B20" w14:textId="77777777" w:rsidR="004C0661" w:rsidRPr="002369DB" w:rsidRDefault="004C0661" w:rsidP="00B91C29">
            <w:pPr>
              <w:pStyle w:val="TableBody"/>
            </w:pPr>
            <w:r w:rsidRPr="002369DB">
              <w:t>4</w:t>
            </w:r>
          </w:p>
        </w:tc>
        <w:tc>
          <w:tcPr>
            <w:tcW w:w="1765" w:type="pct"/>
          </w:tcPr>
          <w:p w14:paraId="13258540" w14:textId="77777777" w:rsidR="004C0661" w:rsidRPr="002369DB" w:rsidRDefault="004C0661" w:rsidP="00B91C29">
            <w:pPr>
              <w:pStyle w:val="TableBody"/>
            </w:pPr>
            <w:r w:rsidRPr="002369DB">
              <w:t>0.3%</w:t>
            </w:r>
          </w:p>
        </w:tc>
      </w:tr>
    </w:tbl>
    <w:p w14:paraId="5C07113C" w14:textId="77777777" w:rsidR="004C0661" w:rsidRPr="002369DB" w:rsidRDefault="004C0661" w:rsidP="00C474D2">
      <w:r w:rsidRPr="002369DB">
        <w:t xml:space="preserve">Turning next to the 794 prison sentences imposed for using a carriage service to menace, harass or offend, 524 </w:t>
      </w:r>
      <w:r w:rsidRPr="002369DB">
        <w:rPr>
          <w:rStyle w:val="Italic"/>
        </w:rPr>
        <w:t>were not</w:t>
      </w:r>
      <w:r w:rsidRPr="002369DB">
        <w:t xml:space="preserve"> part of an aggregate prison sentence imposed on multiple offences,</w:t>
      </w:r>
      <w:r w:rsidRPr="002369DB">
        <w:rPr>
          <w:rStyle w:val="Superscript"/>
        </w:rPr>
        <w:footnoteReference w:id="97"/>
      </w:r>
      <w:r w:rsidRPr="002369DB">
        <w:t xml:space="preserve"> meaning the lengths of prison sentences could be discerned (468 prison sentences imposed in the Magistrates’ Court and 56 in the higher courts). The maximum penalty for this offence was previously 3 years’ imprisonment, but following a recommendation by the Australian Senate’s Legal and Constitutional Affairs Reference Committee,</w:t>
      </w:r>
      <w:r w:rsidRPr="002369DB">
        <w:rPr>
          <w:rStyle w:val="Superscript"/>
        </w:rPr>
        <w:footnoteReference w:id="98"/>
      </w:r>
      <w:r w:rsidRPr="002369DB">
        <w:t xml:space="preserve"> it was increased to 5 years on 23 January 2022.</w:t>
      </w:r>
      <w:r w:rsidRPr="002369DB">
        <w:rPr>
          <w:rStyle w:val="Superscript"/>
        </w:rPr>
        <w:footnoteReference w:id="99"/>
      </w:r>
      <w:r w:rsidRPr="002369DB">
        <w:t xml:space="preserve"> The shortest prison sentence was 1 day (in 2 cases), and the longest prison sentences were 18 months (1 charge), 15 months (1 charge) and 12 months (4 charges). The median charge-level prison sentence was 1.7 months (Figure 11). </w:t>
      </w:r>
    </w:p>
    <w:p w14:paraId="162D07B6" w14:textId="77777777" w:rsidR="004C0661" w:rsidRPr="002369DB" w:rsidRDefault="004C0661" w:rsidP="00A775DC">
      <w:pPr>
        <w:pStyle w:val="Caption"/>
      </w:pPr>
      <w:r w:rsidRPr="002369DB">
        <w:t>Figure 11: Lengths of prison sentences imposed for charges of using a carriage service to menace, harass or offend in adult courts in Victoria (non-aggregate prison sentences only), 1 July 2018 to 30 June 2023 (524 charges)</w:t>
      </w:r>
    </w:p>
    <w:tbl>
      <w:tblPr>
        <w:tblStyle w:val="Table"/>
        <w:tblW w:w="5000" w:type="pct"/>
        <w:tblLook w:val="04A0" w:firstRow="1" w:lastRow="0" w:firstColumn="1" w:lastColumn="0" w:noHBand="0" w:noVBand="1"/>
      </w:tblPr>
      <w:tblGrid>
        <w:gridCol w:w="4508"/>
        <w:gridCol w:w="4508"/>
      </w:tblGrid>
      <w:tr w:rsidR="00571CE7" w:rsidRPr="00571CE7" w14:paraId="5F150F38" w14:textId="77777777" w:rsidTr="00BF6D39">
        <w:trPr>
          <w:trHeight w:val="20"/>
          <w:tblHeader/>
        </w:trPr>
        <w:tc>
          <w:tcPr>
            <w:tcW w:w="2500" w:type="pct"/>
            <w:noWrap/>
            <w:hideMark/>
          </w:tcPr>
          <w:p w14:paraId="4F78EC0C" w14:textId="77777777" w:rsidR="00571CE7" w:rsidRPr="00571CE7" w:rsidRDefault="00571CE7" w:rsidP="00571CE7">
            <w:pPr>
              <w:pStyle w:val="TableHeading"/>
            </w:pPr>
            <w:r w:rsidRPr="00571CE7">
              <w:t>Sentence length</w:t>
            </w:r>
          </w:p>
        </w:tc>
        <w:tc>
          <w:tcPr>
            <w:tcW w:w="2500" w:type="pct"/>
            <w:noWrap/>
            <w:hideMark/>
          </w:tcPr>
          <w:p w14:paraId="6D04754D" w14:textId="24FEB209" w:rsidR="00571CE7" w:rsidRPr="00571CE7" w:rsidRDefault="00571CE7" w:rsidP="00571CE7">
            <w:pPr>
              <w:pStyle w:val="TableHeading"/>
            </w:pPr>
            <w:r>
              <w:t>Charges</w:t>
            </w:r>
          </w:p>
        </w:tc>
      </w:tr>
      <w:tr w:rsidR="00571CE7" w:rsidRPr="00571CE7" w14:paraId="14C7F052" w14:textId="77777777" w:rsidTr="00BF6D39">
        <w:trPr>
          <w:trHeight w:val="20"/>
        </w:trPr>
        <w:tc>
          <w:tcPr>
            <w:tcW w:w="2500" w:type="pct"/>
            <w:noWrap/>
            <w:hideMark/>
          </w:tcPr>
          <w:p w14:paraId="45F5C81C" w14:textId="77777777" w:rsidR="00571CE7" w:rsidRPr="00571CE7" w:rsidRDefault="00571CE7" w:rsidP="00571CE7">
            <w:pPr>
              <w:pStyle w:val="TableBody"/>
            </w:pPr>
            <w:r w:rsidRPr="00571CE7">
              <w:t>Less than 1 month</w:t>
            </w:r>
          </w:p>
        </w:tc>
        <w:tc>
          <w:tcPr>
            <w:tcW w:w="2500" w:type="pct"/>
            <w:noWrap/>
            <w:hideMark/>
          </w:tcPr>
          <w:p w14:paraId="010AC22D" w14:textId="77777777" w:rsidR="00571CE7" w:rsidRPr="00571CE7" w:rsidRDefault="00571CE7" w:rsidP="00571CE7">
            <w:pPr>
              <w:pStyle w:val="TableBody"/>
            </w:pPr>
            <w:r w:rsidRPr="00571CE7">
              <w:t>94</w:t>
            </w:r>
          </w:p>
        </w:tc>
      </w:tr>
      <w:tr w:rsidR="00571CE7" w:rsidRPr="00571CE7" w14:paraId="78D6B712" w14:textId="77777777" w:rsidTr="00BF6D39">
        <w:trPr>
          <w:trHeight w:val="20"/>
        </w:trPr>
        <w:tc>
          <w:tcPr>
            <w:tcW w:w="2500" w:type="pct"/>
            <w:noWrap/>
            <w:hideMark/>
          </w:tcPr>
          <w:p w14:paraId="555B4791" w14:textId="77777777" w:rsidR="00571CE7" w:rsidRPr="00571CE7" w:rsidRDefault="00571CE7" w:rsidP="00571CE7">
            <w:pPr>
              <w:pStyle w:val="TableBody"/>
            </w:pPr>
            <w:r w:rsidRPr="00571CE7">
              <w:lastRenderedPageBreak/>
              <w:t>1 to less than 2 months</w:t>
            </w:r>
          </w:p>
        </w:tc>
        <w:tc>
          <w:tcPr>
            <w:tcW w:w="2500" w:type="pct"/>
            <w:noWrap/>
            <w:hideMark/>
          </w:tcPr>
          <w:p w14:paraId="29D5597C" w14:textId="77777777" w:rsidR="00571CE7" w:rsidRPr="00571CE7" w:rsidRDefault="00571CE7" w:rsidP="00571CE7">
            <w:pPr>
              <w:pStyle w:val="TableBody"/>
            </w:pPr>
            <w:r w:rsidRPr="00571CE7">
              <w:t>171</w:t>
            </w:r>
          </w:p>
        </w:tc>
      </w:tr>
      <w:tr w:rsidR="00571CE7" w:rsidRPr="00571CE7" w14:paraId="5F8AB43B" w14:textId="77777777" w:rsidTr="00BF6D39">
        <w:trPr>
          <w:trHeight w:val="20"/>
        </w:trPr>
        <w:tc>
          <w:tcPr>
            <w:tcW w:w="2500" w:type="pct"/>
            <w:noWrap/>
            <w:hideMark/>
          </w:tcPr>
          <w:p w14:paraId="603A2340" w14:textId="77777777" w:rsidR="00571CE7" w:rsidRPr="00571CE7" w:rsidRDefault="00571CE7" w:rsidP="00571CE7">
            <w:pPr>
              <w:pStyle w:val="TableBody"/>
            </w:pPr>
            <w:r w:rsidRPr="00571CE7">
              <w:t>2 to less than 3 months</w:t>
            </w:r>
          </w:p>
        </w:tc>
        <w:tc>
          <w:tcPr>
            <w:tcW w:w="2500" w:type="pct"/>
            <w:noWrap/>
            <w:hideMark/>
          </w:tcPr>
          <w:p w14:paraId="316735E1" w14:textId="77777777" w:rsidR="00571CE7" w:rsidRPr="00571CE7" w:rsidRDefault="00571CE7" w:rsidP="00571CE7">
            <w:pPr>
              <w:pStyle w:val="TableBody"/>
            </w:pPr>
            <w:r w:rsidRPr="00571CE7">
              <w:t>90</w:t>
            </w:r>
          </w:p>
        </w:tc>
      </w:tr>
      <w:tr w:rsidR="00571CE7" w:rsidRPr="00571CE7" w14:paraId="70A8165E" w14:textId="77777777" w:rsidTr="00BF6D39">
        <w:trPr>
          <w:trHeight w:val="20"/>
        </w:trPr>
        <w:tc>
          <w:tcPr>
            <w:tcW w:w="2500" w:type="pct"/>
            <w:noWrap/>
            <w:hideMark/>
          </w:tcPr>
          <w:p w14:paraId="67311DD0" w14:textId="77777777" w:rsidR="00571CE7" w:rsidRPr="00571CE7" w:rsidRDefault="00571CE7" w:rsidP="00571CE7">
            <w:pPr>
              <w:pStyle w:val="TableBody"/>
            </w:pPr>
            <w:r w:rsidRPr="00571CE7">
              <w:t>3 to less than 6 months</w:t>
            </w:r>
          </w:p>
        </w:tc>
        <w:tc>
          <w:tcPr>
            <w:tcW w:w="2500" w:type="pct"/>
            <w:noWrap/>
            <w:hideMark/>
          </w:tcPr>
          <w:p w14:paraId="6251A15B" w14:textId="77777777" w:rsidR="00571CE7" w:rsidRPr="00571CE7" w:rsidRDefault="00571CE7" w:rsidP="00571CE7">
            <w:pPr>
              <w:pStyle w:val="TableBody"/>
            </w:pPr>
            <w:r w:rsidRPr="00571CE7">
              <w:t>109</w:t>
            </w:r>
          </w:p>
        </w:tc>
      </w:tr>
      <w:tr w:rsidR="00571CE7" w:rsidRPr="00571CE7" w14:paraId="6A8F99F5" w14:textId="77777777" w:rsidTr="00BF6D39">
        <w:trPr>
          <w:trHeight w:val="20"/>
        </w:trPr>
        <w:tc>
          <w:tcPr>
            <w:tcW w:w="2500" w:type="pct"/>
            <w:noWrap/>
            <w:hideMark/>
          </w:tcPr>
          <w:p w14:paraId="7B6F0D14" w14:textId="77777777" w:rsidR="00571CE7" w:rsidRPr="00571CE7" w:rsidRDefault="00571CE7" w:rsidP="00571CE7">
            <w:pPr>
              <w:pStyle w:val="TableBody"/>
            </w:pPr>
            <w:r w:rsidRPr="00571CE7">
              <w:t>6 to less than 12 months</w:t>
            </w:r>
          </w:p>
        </w:tc>
        <w:tc>
          <w:tcPr>
            <w:tcW w:w="2500" w:type="pct"/>
            <w:noWrap/>
            <w:hideMark/>
          </w:tcPr>
          <w:p w14:paraId="6E55BF0F" w14:textId="77777777" w:rsidR="00571CE7" w:rsidRPr="00571CE7" w:rsidRDefault="00571CE7" w:rsidP="00571CE7">
            <w:pPr>
              <w:pStyle w:val="TableBody"/>
            </w:pPr>
            <w:r w:rsidRPr="00571CE7">
              <w:t>52</w:t>
            </w:r>
          </w:p>
        </w:tc>
      </w:tr>
      <w:tr w:rsidR="00571CE7" w:rsidRPr="00571CE7" w14:paraId="7564F33B" w14:textId="77777777" w:rsidTr="00BF6D39">
        <w:trPr>
          <w:trHeight w:val="20"/>
        </w:trPr>
        <w:tc>
          <w:tcPr>
            <w:tcW w:w="2500" w:type="pct"/>
            <w:noWrap/>
            <w:hideMark/>
          </w:tcPr>
          <w:p w14:paraId="2212416B" w14:textId="77777777" w:rsidR="00571CE7" w:rsidRPr="00571CE7" w:rsidRDefault="00571CE7" w:rsidP="00571CE7">
            <w:pPr>
              <w:pStyle w:val="TableBody"/>
            </w:pPr>
            <w:r w:rsidRPr="00571CE7">
              <w:t>12 months or more</w:t>
            </w:r>
          </w:p>
        </w:tc>
        <w:tc>
          <w:tcPr>
            <w:tcW w:w="2500" w:type="pct"/>
            <w:noWrap/>
            <w:hideMark/>
          </w:tcPr>
          <w:p w14:paraId="3164718D" w14:textId="77777777" w:rsidR="00571CE7" w:rsidRPr="00571CE7" w:rsidRDefault="00571CE7" w:rsidP="00571CE7">
            <w:pPr>
              <w:pStyle w:val="TableBody"/>
            </w:pPr>
            <w:r w:rsidRPr="00571CE7">
              <w:t>8</w:t>
            </w:r>
          </w:p>
        </w:tc>
      </w:tr>
    </w:tbl>
    <w:p w14:paraId="497D7D5F" w14:textId="77777777" w:rsidR="004C0661" w:rsidRPr="002369DB" w:rsidRDefault="004C0661" w:rsidP="007E07CF">
      <w:r w:rsidRPr="002369DB">
        <w:t xml:space="preserve">There were 2 charges that received prison sentences of </w:t>
      </w:r>
      <w:r w:rsidRPr="002369DB">
        <w:rPr>
          <w:rStyle w:val="Italic"/>
        </w:rPr>
        <w:t>more than</w:t>
      </w:r>
      <w:r w:rsidRPr="002369DB">
        <w:t xml:space="preserve"> 12 months: </w:t>
      </w:r>
    </w:p>
    <w:p w14:paraId="6E3F8318" w14:textId="77777777" w:rsidR="004C0661" w:rsidRPr="002369DB" w:rsidRDefault="004C0661" w:rsidP="00622026">
      <w:pPr>
        <w:pStyle w:val="Bullets"/>
      </w:pPr>
      <w:r w:rsidRPr="002369DB">
        <w:t>first, an 18-month prison sentence was imposed for a rolled-up charge of using a carriage service to menace, harass or offend involving ‘sexually explicit and offensive messages’ sent to social media users, including underage females, over a 10-month period, some of which ‘included photographs of [the offender’s] erect penis, and of [him] masturbating’.</w:t>
      </w:r>
      <w:r w:rsidRPr="002369DB">
        <w:rPr>
          <w:rStyle w:val="Superscript"/>
        </w:rPr>
        <w:footnoteReference w:id="100"/>
      </w:r>
      <w:r w:rsidRPr="002369DB">
        <w:t xml:space="preserve"> That offence was co-sentenced alongside a rolled-up charge of entering into an agreement for provision of sexual services by a child, as well as failing to comply with reporting obligations as a registered sex offender. The total effective sentence imposed in the case was 6 years’ imprisonment</w:t>
      </w:r>
    </w:p>
    <w:p w14:paraId="15952AE7" w14:textId="77777777" w:rsidR="004C0661" w:rsidRPr="002369DB" w:rsidRDefault="004C0661" w:rsidP="00622026">
      <w:pPr>
        <w:pStyle w:val="Bullets"/>
      </w:pPr>
      <w:r w:rsidRPr="002369DB">
        <w:t>second, a 15-month prison sentence was imposed for a rolled-up charge of using a carriage service to menace, harass or offend.</w:t>
      </w:r>
      <w:r w:rsidRPr="002369DB">
        <w:rPr>
          <w:rStyle w:val="Superscript"/>
        </w:rPr>
        <w:footnoteReference w:id="101"/>
      </w:r>
      <w:r w:rsidRPr="002369DB">
        <w:t xml:space="preserve"> The offender in that case was a man in his early 30s who would make contact with the victims (all of whom were children) on social media and ask for pornographic photos and/or videos of themselves. The rolled-up charge receiving the 15-month prison sentence resulted from repeated threats to tell the father and aunt of one of the victims (a 16-year-old) about photos she had shared with the offender when she was 15. For this and the other offences </w:t>
      </w:r>
      <w:r w:rsidRPr="002369DB">
        <w:lastRenderedPageBreak/>
        <w:t>in the case, the total effective sentence imposed was 12 years and 5 months’ imprisonment.</w:t>
      </w:r>
    </w:p>
    <w:p w14:paraId="169BAB13" w14:textId="77777777" w:rsidR="004C0661" w:rsidRPr="002369DB" w:rsidRDefault="004C0661" w:rsidP="00C474D2">
      <w:r w:rsidRPr="002369DB">
        <w:t xml:space="preserve">In effect, prison sentences longer than 12 months were only imposed for this offence in cases that also involved some form of child sex offending, and both cases involved rolled-up charges. Both cases were sentenced while the maximum penalty for the offence was 3 years’ imprisonment (rather than 5 years’ imprisonment). </w:t>
      </w:r>
    </w:p>
    <w:p w14:paraId="6CFEB27E" w14:textId="77777777" w:rsidR="004C0661" w:rsidRPr="002369DB" w:rsidRDefault="004C0661" w:rsidP="00C474D2">
      <w:r w:rsidRPr="002369DB">
        <w:t>The average and median prison sentences for using a carriage service to menace, harass or offend were relatively consistent throughout the five-year period (Figure 12). Note that most prison sentences were shorter in 2020–21, in particular, due to the various consequences of COVID-19, including enhanced guilty plea discounts and prison being more burdensome than usual.</w:t>
      </w:r>
      <w:r w:rsidRPr="002369DB">
        <w:rPr>
          <w:rStyle w:val="Superscript"/>
        </w:rPr>
        <w:footnoteReference w:id="102"/>
      </w:r>
      <w:r w:rsidRPr="002369DB">
        <w:t xml:space="preserve"> There was no discernible difference in the lengths of prison sentences as a result of the change in the maximum penalty for this offence in January 2022; indeed, both the median and the average prison sentence were slightly lower in 2022–23 than in the previous year. Further, 2022–23 had the lowest imprisonment rate for this offence (9.1%) of any financial year during the reference period (the imprisonment rates in the four preceding years were 11.7%, 14.1%, 14.2% and 10.8%). The lack of increase in the rate or length of prison sentences for this offence following the change in maximum penalty could potentially be due to delays in court processes, with the applicable maximum penalty being that at the date of offence, not at sentencing. There is, however, also some evidence to suggest that increasing the maximum penalty for an offence may have little effect on sentencing practices.</w:t>
      </w:r>
      <w:r w:rsidRPr="002369DB">
        <w:rPr>
          <w:rStyle w:val="Superscript"/>
        </w:rPr>
        <w:footnoteReference w:id="103"/>
      </w:r>
      <w:r w:rsidRPr="002369DB">
        <w:t xml:space="preserve"> </w:t>
      </w:r>
    </w:p>
    <w:p w14:paraId="5BC58194" w14:textId="77777777" w:rsidR="00F05513" w:rsidRPr="002369DB" w:rsidRDefault="00F05513" w:rsidP="00A775DC">
      <w:pPr>
        <w:pStyle w:val="Caption"/>
      </w:pPr>
      <w:r w:rsidRPr="002369DB">
        <w:lastRenderedPageBreak/>
        <w:t xml:space="preserve">Figure 12: Average and median lengths of prison sentences imposed for using a carriage service to menace, harass or offend in adult courts in Victoria (non-aggregate prison sentences only), by financial year (524 charges) </w:t>
      </w:r>
    </w:p>
    <w:tbl>
      <w:tblPr>
        <w:tblStyle w:val="Table"/>
        <w:tblW w:w="0" w:type="auto"/>
        <w:tblLayout w:type="fixed"/>
        <w:tblLook w:val="04A0" w:firstRow="1" w:lastRow="0" w:firstColumn="1" w:lastColumn="0" w:noHBand="0" w:noVBand="1"/>
      </w:tblPr>
      <w:tblGrid>
        <w:gridCol w:w="2254"/>
        <w:gridCol w:w="2254"/>
        <w:gridCol w:w="2254"/>
        <w:gridCol w:w="2254"/>
      </w:tblGrid>
      <w:tr w:rsidR="009F7734" w:rsidRPr="00BA2124" w14:paraId="5DCB36B1" w14:textId="77777777" w:rsidTr="00943497">
        <w:trPr>
          <w:trHeight w:val="20"/>
        </w:trPr>
        <w:tc>
          <w:tcPr>
            <w:tcW w:w="2254" w:type="dxa"/>
            <w:noWrap/>
            <w:hideMark/>
          </w:tcPr>
          <w:p w14:paraId="1E1F74B6" w14:textId="2D63648C" w:rsidR="009F7734" w:rsidRPr="00D00496" w:rsidRDefault="00751EAC" w:rsidP="0086079E">
            <w:pPr>
              <w:pStyle w:val="TableHeading"/>
            </w:pPr>
            <w:r>
              <w:t>Financial year</w:t>
            </w:r>
          </w:p>
        </w:tc>
        <w:tc>
          <w:tcPr>
            <w:tcW w:w="2254" w:type="dxa"/>
          </w:tcPr>
          <w:p w14:paraId="6D58B04D" w14:textId="2505134E" w:rsidR="009F7734" w:rsidRPr="00D00496" w:rsidRDefault="009F7734" w:rsidP="0086079E">
            <w:pPr>
              <w:pStyle w:val="TableHeading"/>
            </w:pPr>
            <w:r w:rsidRPr="00D00496">
              <w:t>Charges</w:t>
            </w:r>
          </w:p>
        </w:tc>
        <w:tc>
          <w:tcPr>
            <w:tcW w:w="2254" w:type="dxa"/>
            <w:noWrap/>
            <w:hideMark/>
          </w:tcPr>
          <w:p w14:paraId="37CD2D07" w14:textId="00EF09D4" w:rsidR="009F7734" w:rsidRPr="00D00496" w:rsidRDefault="009F7734" w:rsidP="0086079E">
            <w:pPr>
              <w:pStyle w:val="TableHeading"/>
            </w:pPr>
            <w:r w:rsidRPr="00D00496">
              <w:t>Average prison sentence (months)</w:t>
            </w:r>
          </w:p>
        </w:tc>
        <w:tc>
          <w:tcPr>
            <w:tcW w:w="2254" w:type="dxa"/>
            <w:noWrap/>
            <w:hideMark/>
          </w:tcPr>
          <w:p w14:paraId="55454740" w14:textId="77777777" w:rsidR="009F7734" w:rsidRPr="00D00496" w:rsidRDefault="009F7734" w:rsidP="0086079E">
            <w:pPr>
              <w:pStyle w:val="TableHeading"/>
            </w:pPr>
            <w:r w:rsidRPr="00D00496">
              <w:t xml:space="preserve">Median </w:t>
            </w:r>
            <w:proofErr w:type="gramStart"/>
            <w:r w:rsidRPr="00D00496">
              <w:t>prison sentence</w:t>
            </w:r>
            <w:proofErr w:type="gramEnd"/>
            <w:r w:rsidRPr="00D00496">
              <w:t xml:space="preserve"> (months)</w:t>
            </w:r>
          </w:p>
        </w:tc>
      </w:tr>
      <w:tr w:rsidR="009F7734" w:rsidRPr="00BA2124" w14:paraId="51910BE8" w14:textId="77777777" w:rsidTr="00943497">
        <w:trPr>
          <w:trHeight w:val="20"/>
        </w:trPr>
        <w:tc>
          <w:tcPr>
            <w:tcW w:w="2254" w:type="dxa"/>
            <w:hideMark/>
          </w:tcPr>
          <w:p w14:paraId="57FE1956" w14:textId="4E6727C9" w:rsidR="009F7734" w:rsidRPr="00BA2124" w:rsidRDefault="009F7734" w:rsidP="0086079E">
            <w:pPr>
              <w:pStyle w:val="TableBody"/>
            </w:pPr>
            <w:r w:rsidRPr="00BA2124">
              <w:t>2018-19</w:t>
            </w:r>
          </w:p>
        </w:tc>
        <w:tc>
          <w:tcPr>
            <w:tcW w:w="2254" w:type="dxa"/>
          </w:tcPr>
          <w:p w14:paraId="3B009996" w14:textId="122F9959" w:rsidR="009F7734" w:rsidRPr="00BA2124" w:rsidRDefault="0086079E" w:rsidP="0086079E">
            <w:pPr>
              <w:pStyle w:val="TableBody"/>
            </w:pPr>
            <w:r w:rsidRPr="00BA2124">
              <w:t xml:space="preserve">89 </w:t>
            </w:r>
          </w:p>
        </w:tc>
        <w:tc>
          <w:tcPr>
            <w:tcW w:w="2254" w:type="dxa"/>
            <w:noWrap/>
            <w:hideMark/>
          </w:tcPr>
          <w:p w14:paraId="4A1EEDCE" w14:textId="7E707334" w:rsidR="009F7734" w:rsidRPr="00BA2124" w:rsidRDefault="009F7734" w:rsidP="0086079E">
            <w:pPr>
              <w:pStyle w:val="TableBody"/>
            </w:pPr>
            <w:r w:rsidRPr="00BA2124">
              <w:t>2.4</w:t>
            </w:r>
          </w:p>
        </w:tc>
        <w:tc>
          <w:tcPr>
            <w:tcW w:w="2254" w:type="dxa"/>
            <w:noWrap/>
            <w:hideMark/>
          </w:tcPr>
          <w:p w14:paraId="1F95D174" w14:textId="77777777" w:rsidR="009F7734" w:rsidRPr="00BA2124" w:rsidRDefault="009F7734" w:rsidP="0086079E">
            <w:pPr>
              <w:pStyle w:val="TableBody"/>
            </w:pPr>
            <w:r w:rsidRPr="00BA2124">
              <w:t>1.0</w:t>
            </w:r>
          </w:p>
        </w:tc>
      </w:tr>
      <w:tr w:rsidR="009F7734" w:rsidRPr="00BA2124" w14:paraId="386D5572" w14:textId="77777777" w:rsidTr="00943497">
        <w:trPr>
          <w:trHeight w:val="20"/>
        </w:trPr>
        <w:tc>
          <w:tcPr>
            <w:tcW w:w="2254" w:type="dxa"/>
            <w:hideMark/>
          </w:tcPr>
          <w:p w14:paraId="4482A909" w14:textId="70C4EA2A" w:rsidR="009F7734" w:rsidRPr="00BA2124" w:rsidRDefault="009F7734" w:rsidP="0086079E">
            <w:pPr>
              <w:pStyle w:val="TableBody"/>
            </w:pPr>
            <w:r w:rsidRPr="00BA2124">
              <w:t>2019-20</w:t>
            </w:r>
          </w:p>
        </w:tc>
        <w:tc>
          <w:tcPr>
            <w:tcW w:w="2254" w:type="dxa"/>
          </w:tcPr>
          <w:p w14:paraId="208F36A8" w14:textId="6F3E0191" w:rsidR="009F7734" w:rsidRPr="00BA2124" w:rsidRDefault="0086079E" w:rsidP="0086079E">
            <w:pPr>
              <w:pStyle w:val="TableBody"/>
            </w:pPr>
            <w:r w:rsidRPr="00BA2124">
              <w:t xml:space="preserve">118 </w:t>
            </w:r>
          </w:p>
        </w:tc>
        <w:tc>
          <w:tcPr>
            <w:tcW w:w="2254" w:type="dxa"/>
            <w:noWrap/>
            <w:hideMark/>
          </w:tcPr>
          <w:p w14:paraId="639B8B5E" w14:textId="2110E789" w:rsidR="009F7734" w:rsidRPr="00BA2124" w:rsidRDefault="009F7734" w:rsidP="0086079E">
            <w:pPr>
              <w:pStyle w:val="TableBody"/>
            </w:pPr>
            <w:r w:rsidRPr="00BA2124">
              <w:t>2.5</w:t>
            </w:r>
          </w:p>
        </w:tc>
        <w:tc>
          <w:tcPr>
            <w:tcW w:w="2254" w:type="dxa"/>
            <w:noWrap/>
            <w:hideMark/>
          </w:tcPr>
          <w:p w14:paraId="613E91D4" w14:textId="77777777" w:rsidR="009F7734" w:rsidRPr="00BA2124" w:rsidRDefault="009F7734" w:rsidP="0086079E">
            <w:pPr>
              <w:pStyle w:val="TableBody"/>
            </w:pPr>
            <w:r w:rsidRPr="00BA2124">
              <w:t>2.0</w:t>
            </w:r>
          </w:p>
        </w:tc>
      </w:tr>
      <w:tr w:rsidR="009F7734" w:rsidRPr="00BA2124" w14:paraId="6C6008B8" w14:textId="77777777" w:rsidTr="00943497">
        <w:trPr>
          <w:trHeight w:val="20"/>
        </w:trPr>
        <w:tc>
          <w:tcPr>
            <w:tcW w:w="2254" w:type="dxa"/>
            <w:hideMark/>
          </w:tcPr>
          <w:p w14:paraId="5573D1AD" w14:textId="05142465" w:rsidR="009F7734" w:rsidRPr="00BA2124" w:rsidRDefault="009F7734" w:rsidP="0086079E">
            <w:pPr>
              <w:pStyle w:val="TableBody"/>
            </w:pPr>
            <w:r w:rsidRPr="00BA2124">
              <w:t>2020-21</w:t>
            </w:r>
          </w:p>
        </w:tc>
        <w:tc>
          <w:tcPr>
            <w:tcW w:w="2254" w:type="dxa"/>
          </w:tcPr>
          <w:p w14:paraId="2FB3AD65" w14:textId="0AB13290" w:rsidR="009F7734" w:rsidRPr="00BA2124" w:rsidRDefault="0086079E" w:rsidP="0086079E">
            <w:pPr>
              <w:pStyle w:val="TableBody"/>
            </w:pPr>
            <w:r w:rsidRPr="00BA2124">
              <w:t xml:space="preserve">92 </w:t>
            </w:r>
          </w:p>
        </w:tc>
        <w:tc>
          <w:tcPr>
            <w:tcW w:w="2254" w:type="dxa"/>
            <w:noWrap/>
            <w:hideMark/>
          </w:tcPr>
          <w:p w14:paraId="573FBCD4" w14:textId="3130943D" w:rsidR="009F7734" w:rsidRPr="00BA2124" w:rsidRDefault="009F7734" w:rsidP="0086079E">
            <w:pPr>
              <w:pStyle w:val="TableBody"/>
            </w:pPr>
            <w:r w:rsidRPr="00BA2124">
              <w:t>2.2</w:t>
            </w:r>
          </w:p>
        </w:tc>
        <w:tc>
          <w:tcPr>
            <w:tcW w:w="2254" w:type="dxa"/>
            <w:noWrap/>
            <w:hideMark/>
          </w:tcPr>
          <w:p w14:paraId="433BE8D5" w14:textId="77777777" w:rsidR="009F7734" w:rsidRPr="00BA2124" w:rsidRDefault="009F7734" w:rsidP="0086079E">
            <w:pPr>
              <w:pStyle w:val="TableBody"/>
            </w:pPr>
            <w:r w:rsidRPr="00BA2124">
              <w:t>1.0</w:t>
            </w:r>
          </w:p>
        </w:tc>
      </w:tr>
      <w:tr w:rsidR="009F7734" w:rsidRPr="00BA2124" w14:paraId="11EAFB36" w14:textId="77777777" w:rsidTr="00943497">
        <w:trPr>
          <w:trHeight w:val="20"/>
        </w:trPr>
        <w:tc>
          <w:tcPr>
            <w:tcW w:w="2254" w:type="dxa"/>
            <w:hideMark/>
          </w:tcPr>
          <w:p w14:paraId="3B3B76C7" w14:textId="00A18D69" w:rsidR="009F7734" w:rsidRPr="00BA2124" w:rsidRDefault="009F7734" w:rsidP="0086079E">
            <w:pPr>
              <w:pStyle w:val="TableBody"/>
            </w:pPr>
            <w:r w:rsidRPr="00BA2124">
              <w:t>2021-22</w:t>
            </w:r>
            <w:r w:rsidR="00233BF2">
              <w:t>*</w:t>
            </w:r>
          </w:p>
        </w:tc>
        <w:tc>
          <w:tcPr>
            <w:tcW w:w="2254" w:type="dxa"/>
          </w:tcPr>
          <w:p w14:paraId="488E1EF1" w14:textId="057A8C9B" w:rsidR="009F7734" w:rsidRPr="00BA2124" w:rsidRDefault="0086079E" w:rsidP="0086079E">
            <w:pPr>
              <w:pStyle w:val="TableBody"/>
            </w:pPr>
            <w:r w:rsidRPr="00BA2124">
              <w:t xml:space="preserve">114 </w:t>
            </w:r>
          </w:p>
        </w:tc>
        <w:tc>
          <w:tcPr>
            <w:tcW w:w="2254" w:type="dxa"/>
            <w:noWrap/>
            <w:hideMark/>
          </w:tcPr>
          <w:p w14:paraId="7348748D" w14:textId="1B0FCF3D" w:rsidR="009F7734" w:rsidRPr="00BA2124" w:rsidRDefault="009F7734" w:rsidP="0086079E">
            <w:pPr>
              <w:pStyle w:val="TableBody"/>
            </w:pPr>
            <w:r w:rsidRPr="00BA2124">
              <w:t>2.5</w:t>
            </w:r>
          </w:p>
        </w:tc>
        <w:tc>
          <w:tcPr>
            <w:tcW w:w="2254" w:type="dxa"/>
            <w:noWrap/>
            <w:hideMark/>
          </w:tcPr>
          <w:p w14:paraId="3DAC3145" w14:textId="77777777" w:rsidR="009F7734" w:rsidRPr="00BA2124" w:rsidRDefault="009F7734" w:rsidP="0086079E">
            <w:pPr>
              <w:pStyle w:val="TableBody"/>
            </w:pPr>
            <w:r w:rsidRPr="00BA2124">
              <w:t>2.0</w:t>
            </w:r>
          </w:p>
        </w:tc>
      </w:tr>
      <w:tr w:rsidR="009F7734" w:rsidRPr="00BA2124" w14:paraId="4FBA87B1" w14:textId="77777777" w:rsidTr="00943497">
        <w:trPr>
          <w:trHeight w:val="20"/>
        </w:trPr>
        <w:tc>
          <w:tcPr>
            <w:tcW w:w="2254" w:type="dxa"/>
            <w:hideMark/>
          </w:tcPr>
          <w:p w14:paraId="7EB4039B" w14:textId="386AF3FB" w:rsidR="009F7734" w:rsidRPr="00BA2124" w:rsidRDefault="009F7734" w:rsidP="0086079E">
            <w:pPr>
              <w:pStyle w:val="TableBody"/>
            </w:pPr>
            <w:r w:rsidRPr="00BA2124">
              <w:t>2022-23</w:t>
            </w:r>
          </w:p>
        </w:tc>
        <w:tc>
          <w:tcPr>
            <w:tcW w:w="2254" w:type="dxa"/>
          </w:tcPr>
          <w:p w14:paraId="065C563A" w14:textId="44C41754" w:rsidR="009F7734" w:rsidRPr="00BA2124" w:rsidRDefault="0086079E" w:rsidP="0086079E">
            <w:pPr>
              <w:pStyle w:val="TableBody"/>
            </w:pPr>
            <w:r w:rsidRPr="00BA2124">
              <w:t xml:space="preserve">111 </w:t>
            </w:r>
          </w:p>
        </w:tc>
        <w:tc>
          <w:tcPr>
            <w:tcW w:w="2254" w:type="dxa"/>
            <w:noWrap/>
            <w:hideMark/>
          </w:tcPr>
          <w:p w14:paraId="5AFB4BF7" w14:textId="0F45DDD8" w:rsidR="009F7734" w:rsidRPr="00BA2124" w:rsidRDefault="009F7734" w:rsidP="0086079E">
            <w:pPr>
              <w:pStyle w:val="TableBody"/>
            </w:pPr>
            <w:r w:rsidRPr="00BA2124">
              <w:t>2.4</w:t>
            </w:r>
          </w:p>
        </w:tc>
        <w:tc>
          <w:tcPr>
            <w:tcW w:w="2254" w:type="dxa"/>
            <w:noWrap/>
            <w:hideMark/>
          </w:tcPr>
          <w:p w14:paraId="759E29E7" w14:textId="77777777" w:rsidR="009F7734" w:rsidRPr="00BA2124" w:rsidRDefault="009F7734" w:rsidP="0086079E">
            <w:pPr>
              <w:pStyle w:val="TableBody"/>
            </w:pPr>
            <w:r w:rsidRPr="00BA2124">
              <w:t>1.7</w:t>
            </w:r>
          </w:p>
        </w:tc>
      </w:tr>
    </w:tbl>
    <w:p w14:paraId="0D0F80E2" w14:textId="2D8760E7" w:rsidR="0050242E" w:rsidRPr="00BA2124" w:rsidRDefault="00CD691D" w:rsidP="00B319D5">
      <w:r>
        <w:t xml:space="preserve">*January 2022: Maximum penalty increased from 3 </w:t>
      </w:r>
      <w:proofErr w:type="gramStart"/>
      <w:r>
        <w:t>years’</w:t>
      </w:r>
      <w:proofErr w:type="gramEnd"/>
      <w:r>
        <w:t xml:space="preserve"> to 5 years’ imprisonment</w:t>
      </w:r>
    </w:p>
    <w:p w14:paraId="02128DA1" w14:textId="77777777" w:rsidR="004C0661" w:rsidRPr="002369DB" w:rsidRDefault="004C0661" w:rsidP="00C474D2">
      <w:r w:rsidRPr="002369DB">
        <w:t>To understand the context in which this offence might be committed, innovations in court data over the last decade make it possible to know how many of those charges were in cases with a family violence indicator (meaning at least one of the offences in the case was believed to have occurred in a family violence context). This is a welcome innovation as the data was not previously available and it provides a context in which this offence might be committed. In 2010, the Australian Law Reform Commission (ALRC) commented that ‘it is not clear how often federal offences are committed or prosecuted in a family violence context’, in part because of ‘the absence of centralised statistics’ on federal offences.</w:t>
      </w:r>
      <w:r w:rsidRPr="002369DB">
        <w:rPr>
          <w:rStyle w:val="Superscript"/>
        </w:rPr>
        <w:footnoteReference w:id="104"/>
      </w:r>
      <w:r w:rsidRPr="002369DB">
        <w:t xml:space="preserve"> The ALRC did, though, observe that research from the NSW Bureau of Crime Statistics and Research had found that using a carriage service to </w:t>
      </w:r>
      <w:r w:rsidRPr="002369DB">
        <w:lastRenderedPageBreak/>
        <w:t>menace, harass or offend was the only federal offence identified in family violence cases.</w:t>
      </w:r>
      <w:r w:rsidRPr="002369DB">
        <w:rPr>
          <w:rStyle w:val="Superscript"/>
        </w:rPr>
        <w:footnoteReference w:id="105"/>
      </w:r>
      <w:r w:rsidRPr="002369DB">
        <w:t xml:space="preserve"> </w:t>
      </w:r>
    </w:p>
    <w:p w14:paraId="108A5060" w14:textId="77777777" w:rsidR="00187615" w:rsidRPr="002369DB" w:rsidRDefault="00187615" w:rsidP="00A775DC">
      <w:pPr>
        <w:pStyle w:val="Caption"/>
      </w:pPr>
      <w:r w:rsidRPr="002369DB">
        <w:t>Figure 13: The number of cases involving using a carriage service to menace, harass or offend, by whether the case included a family violence indicator, Magistrates’ Court, 1 July 2018 to 30 June 2023 (5,620 cases)</w:t>
      </w:r>
    </w:p>
    <w:tbl>
      <w:tblPr>
        <w:tblStyle w:val="Table"/>
        <w:tblW w:w="5000" w:type="pct"/>
        <w:tblLook w:val="04A0" w:firstRow="1" w:lastRow="0" w:firstColumn="1" w:lastColumn="0" w:noHBand="0" w:noVBand="1"/>
      </w:tblPr>
      <w:tblGrid>
        <w:gridCol w:w="4508"/>
        <w:gridCol w:w="4508"/>
      </w:tblGrid>
      <w:tr w:rsidR="00C1715B" w:rsidRPr="00C1715B" w14:paraId="05732324" w14:textId="77777777" w:rsidTr="005E7B6F">
        <w:trPr>
          <w:trHeight w:val="312"/>
          <w:tblHeader/>
        </w:trPr>
        <w:tc>
          <w:tcPr>
            <w:tcW w:w="2500" w:type="pct"/>
            <w:noWrap/>
          </w:tcPr>
          <w:p w14:paraId="211D2AED" w14:textId="23CDA938" w:rsidR="00C1715B" w:rsidRPr="00C1715B" w:rsidRDefault="00C1715B" w:rsidP="00C1715B">
            <w:pPr>
              <w:pStyle w:val="TableHeading"/>
            </w:pPr>
            <w:r>
              <w:t>Indicator</w:t>
            </w:r>
          </w:p>
        </w:tc>
        <w:tc>
          <w:tcPr>
            <w:tcW w:w="2500" w:type="pct"/>
            <w:noWrap/>
          </w:tcPr>
          <w:p w14:paraId="77049272" w14:textId="438FE6B3" w:rsidR="00C1715B" w:rsidRPr="00C1715B" w:rsidRDefault="00C1715B" w:rsidP="00C1715B">
            <w:pPr>
              <w:pStyle w:val="TableHeading"/>
            </w:pPr>
            <w:r>
              <w:t>Number</w:t>
            </w:r>
          </w:p>
        </w:tc>
      </w:tr>
      <w:tr w:rsidR="00C1715B" w:rsidRPr="00C1715B" w14:paraId="014D61D8" w14:textId="77777777" w:rsidTr="005B7CEF">
        <w:trPr>
          <w:trHeight w:val="312"/>
        </w:trPr>
        <w:tc>
          <w:tcPr>
            <w:tcW w:w="2500" w:type="pct"/>
            <w:noWrap/>
            <w:hideMark/>
          </w:tcPr>
          <w:p w14:paraId="1EA2D621" w14:textId="77777777" w:rsidR="00C1715B" w:rsidRPr="00C1715B" w:rsidRDefault="00C1715B" w:rsidP="00C1715B">
            <w:pPr>
              <w:pStyle w:val="TableBody"/>
            </w:pPr>
            <w:r w:rsidRPr="00C1715B">
              <w:t>Family violence indicator</w:t>
            </w:r>
          </w:p>
        </w:tc>
        <w:tc>
          <w:tcPr>
            <w:tcW w:w="2500" w:type="pct"/>
            <w:noWrap/>
            <w:hideMark/>
          </w:tcPr>
          <w:p w14:paraId="67FD73B9" w14:textId="77777777" w:rsidR="00C1715B" w:rsidRPr="00C1715B" w:rsidRDefault="00C1715B" w:rsidP="00C1715B">
            <w:pPr>
              <w:pStyle w:val="TableBody"/>
            </w:pPr>
            <w:r w:rsidRPr="00C1715B">
              <w:t>3,932</w:t>
            </w:r>
          </w:p>
        </w:tc>
      </w:tr>
      <w:tr w:rsidR="00C1715B" w:rsidRPr="00C1715B" w14:paraId="69EDFE6C" w14:textId="77777777" w:rsidTr="005B7CEF">
        <w:trPr>
          <w:trHeight w:val="312"/>
        </w:trPr>
        <w:tc>
          <w:tcPr>
            <w:tcW w:w="2500" w:type="pct"/>
            <w:noWrap/>
            <w:hideMark/>
          </w:tcPr>
          <w:p w14:paraId="10AF4296" w14:textId="77777777" w:rsidR="00C1715B" w:rsidRPr="00C1715B" w:rsidRDefault="00C1715B" w:rsidP="00C1715B">
            <w:pPr>
              <w:pStyle w:val="TableBody"/>
            </w:pPr>
            <w:r w:rsidRPr="00C1715B">
              <w:t>No family violence indicator</w:t>
            </w:r>
          </w:p>
        </w:tc>
        <w:tc>
          <w:tcPr>
            <w:tcW w:w="2500" w:type="pct"/>
            <w:noWrap/>
            <w:hideMark/>
          </w:tcPr>
          <w:p w14:paraId="2E9A20ED" w14:textId="77777777" w:rsidR="00C1715B" w:rsidRPr="00C1715B" w:rsidRDefault="00C1715B" w:rsidP="00C1715B">
            <w:pPr>
              <w:pStyle w:val="TableBody"/>
            </w:pPr>
            <w:r w:rsidRPr="00C1715B">
              <w:t>1,688</w:t>
            </w:r>
          </w:p>
        </w:tc>
      </w:tr>
    </w:tbl>
    <w:p w14:paraId="1CD004B9" w14:textId="77777777" w:rsidR="004C0661" w:rsidRPr="002369DB" w:rsidRDefault="004C0661" w:rsidP="00C474D2">
      <w:r w:rsidRPr="002369DB">
        <w:t xml:space="preserve">The data from our reference period confirms how frequently this offence is charged in a family violence context. Over the five-year period, 4,876 Commonwealth offences were sentenced in cases with a family violence indicator in the Magistrates’ Court, and almost </w:t>
      </w:r>
      <w:proofErr w:type="gramStart"/>
      <w:r w:rsidRPr="002369DB">
        <w:t>all of</w:t>
      </w:r>
      <w:proofErr w:type="gramEnd"/>
      <w:r w:rsidRPr="002369DB">
        <w:t xml:space="preserve"> those offences (93.5% or 4,560 charges) were using a carriage service to menace, harass or offend. The next most common Commonwealth offence in a family violence case was possessing counterfeit money, and there were just 68 charges of that offence. </w:t>
      </w:r>
    </w:p>
    <w:p w14:paraId="7351FFA1" w14:textId="77777777" w:rsidR="004C0661" w:rsidRPr="002369DB" w:rsidRDefault="004C0661" w:rsidP="00C474D2">
      <w:r w:rsidRPr="002369DB">
        <w:t>Table 7 provides details about cases in which there was a sentenced charge of using a carriage service to menace, harass or offend, broken down by whether there was a family violence indicator in the case. The data shows that in the family violence cases, the offenders were more likely to be male, they were slightly younger, they seem more likely to have been on bail (given that one-third had a bail-related offence), they were co-sentenced in just over half of cases for breaching a family violence intervention order or safety notice (often persistently), and they were imprisoned at just over twice the rate of offenders in cases without a family violence indicator.</w:t>
      </w:r>
    </w:p>
    <w:p w14:paraId="4C9B7691" w14:textId="6F09A9D1" w:rsidR="004C0661" w:rsidRPr="002369DB" w:rsidRDefault="004C0661" w:rsidP="00A775DC">
      <w:pPr>
        <w:pStyle w:val="Caption"/>
      </w:pPr>
      <w:r w:rsidRPr="002369DB">
        <w:lastRenderedPageBreak/>
        <w:t>Table 7: Features of cases involving using a carriage service to menace, harass or offend, by family violence indicator, Magistrates’ Court, 1 July 2018 to 30 June 2023 (5,620 cases)</w:t>
      </w:r>
    </w:p>
    <w:tbl>
      <w:tblPr>
        <w:tblStyle w:val="Table"/>
        <w:tblW w:w="0" w:type="auto"/>
        <w:tblLayout w:type="fixed"/>
        <w:tblLook w:val="0020" w:firstRow="1" w:lastRow="0" w:firstColumn="0" w:lastColumn="0" w:noHBand="0" w:noVBand="0"/>
      </w:tblPr>
      <w:tblGrid>
        <w:gridCol w:w="2835"/>
        <w:gridCol w:w="2835"/>
        <w:gridCol w:w="2835"/>
      </w:tblGrid>
      <w:tr w:rsidR="004C0661" w:rsidRPr="002369DB" w14:paraId="14A92B26" w14:textId="77777777" w:rsidTr="004375E7">
        <w:trPr>
          <w:trHeight w:val="60"/>
          <w:tblHeader/>
        </w:trPr>
        <w:tc>
          <w:tcPr>
            <w:tcW w:w="2834" w:type="dxa"/>
          </w:tcPr>
          <w:p w14:paraId="032076F1" w14:textId="77777777" w:rsidR="004C0661" w:rsidRPr="002369DB" w:rsidRDefault="004C0661" w:rsidP="000259B0">
            <w:pPr>
              <w:pStyle w:val="TableHeading"/>
            </w:pPr>
            <w:r w:rsidRPr="002369DB">
              <w:t>Feature</w:t>
            </w:r>
          </w:p>
        </w:tc>
        <w:tc>
          <w:tcPr>
            <w:tcW w:w="2835" w:type="dxa"/>
          </w:tcPr>
          <w:p w14:paraId="0F7F9BFF" w14:textId="77777777" w:rsidR="004C0661" w:rsidRPr="002369DB" w:rsidRDefault="004C0661" w:rsidP="00B91C29">
            <w:pPr>
              <w:pStyle w:val="TableHeading"/>
            </w:pPr>
            <w:r w:rsidRPr="002369DB">
              <w:t xml:space="preserve">Cases </w:t>
            </w:r>
            <w:r w:rsidRPr="00A81317">
              <w:rPr>
                <w:i/>
                <w:iCs/>
              </w:rPr>
              <w:t>with</w:t>
            </w:r>
            <w:r w:rsidRPr="002369DB">
              <w:t xml:space="preserve"> a family violence indicator</w:t>
            </w:r>
          </w:p>
        </w:tc>
        <w:tc>
          <w:tcPr>
            <w:tcW w:w="2835" w:type="dxa"/>
          </w:tcPr>
          <w:p w14:paraId="2D905211" w14:textId="77777777" w:rsidR="004C0661" w:rsidRPr="002369DB" w:rsidRDefault="004C0661" w:rsidP="00B91C29">
            <w:pPr>
              <w:pStyle w:val="TableHeading"/>
            </w:pPr>
            <w:r w:rsidRPr="002369DB">
              <w:t xml:space="preserve">Cases </w:t>
            </w:r>
            <w:r w:rsidRPr="00A81317">
              <w:rPr>
                <w:bCs/>
                <w:i/>
                <w:iCs/>
              </w:rPr>
              <w:t>without</w:t>
            </w:r>
            <w:r w:rsidRPr="002369DB">
              <w:t xml:space="preserve"> a family violence indicator</w:t>
            </w:r>
          </w:p>
        </w:tc>
      </w:tr>
      <w:tr w:rsidR="004C0661" w:rsidRPr="002369DB" w14:paraId="446F6EFB" w14:textId="77777777" w:rsidTr="004375E7">
        <w:trPr>
          <w:trHeight w:val="60"/>
        </w:trPr>
        <w:tc>
          <w:tcPr>
            <w:tcW w:w="2835" w:type="dxa"/>
          </w:tcPr>
          <w:p w14:paraId="38E90388" w14:textId="77777777" w:rsidR="004C0661" w:rsidRPr="007F21B7" w:rsidRDefault="004C0661" w:rsidP="007F21B7">
            <w:pPr>
              <w:pStyle w:val="TableBody"/>
            </w:pPr>
            <w:r w:rsidRPr="007F21B7">
              <w:t>Number of cases</w:t>
            </w:r>
          </w:p>
        </w:tc>
        <w:tc>
          <w:tcPr>
            <w:tcW w:w="2834" w:type="dxa"/>
          </w:tcPr>
          <w:p w14:paraId="5E39511F" w14:textId="77777777" w:rsidR="004C0661" w:rsidRPr="002369DB" w:rsidRDefault="004C0661" w:rsidP="00B91C29">
            <w:pPr>
              <w:pStyle w:val="TableBody"/>
            </w:pPr>
            <w:r w:rsidRPr="002369DB">
              <w:t>3,932 (70%)</w:t>
            </w:r>
          </w:p>
        </w:tc>
        <w:tc>
          <w:tcPr>
            <w:tcW w:w="2835" w:type="dxa"/>
          </w:tcPr>
          <w:p w14:paraId="57E9EE7F" w14:textId="77777777" w:rsidR="004C0661" w:rsidRPr="002369DB" w:rsidRDefault="004C0661" w:rsidP="00B91C29">
            <w:pPr>
              <w:pStyle w:val="TableBody"/>
            </w:pPr>
            <w:r w:rsidRPr="002369DB">
              <w:t>1,688 (30%)</w:t>
            </w:r>
          </w:p>
        </w:tc>
      </w:tr>
      <w:tr w:rsidR="004C0661" w:rsidRPr="002369DB" w14:paraId="2AC31514" w14:textId="77777777" w:rsidTr="004375E7">
        <w:trPr>
          <w:trHeight w:val="60"/>
        </w:trPr>
        <w:tc>
          <w:tcPr>
            <w:tcW w:w="2835" w:type="dxa"/>
          </w:tcPr>
          <w:p w14:paraId="02015BCB" w14:textId="77777777" w:rsidR="004C0661" w:rsidRPr="007F21B7" w:rsidRDefault="004C0661" w:rsidP="007F21B7">
            <w:pPr>
              <w:pStyle w:val="TableBody"/>
            </w:pPr>
            <w:r w:rsidRPr="007F21B7">
              <w:t>Gender</w:t>
            </w:r>
          </w:p>
        </w:tc>
        <w:tc>
          <w:tcPr>
            <w:tcW w:w="2834" w:type="dxa"/>
          </w:tcPr>
          <w:p w14:paraId="092B2E9A" w14:textId="77777777" w:rsidR="004C0661" w:rsidRPr="002369DB" w:rsidRDefault="004C0661" w:rsidP="00B91C29">
            <w:pPr>
              <w:pStyle w:val="TableBody"/>
            </w:pPr>
            <w:r w:rsidRPr="002369DB">
              <w:t>86% male, 14% female</w:t>
            </w:r>
          </w:p>
        </w:tc>
        <w:tc>
          <w:tcPr>
            <w:tcW w:w="2835" w:type="dxa"/>
          </w:tcPr>
          <w:p w14:paraId="58A771BC" w14:textId="77777777" w:rsidR="004C0661" w:rsidRPr="002369DB" w:rsidRDefault="004C0661" w:rsidP="00B91C29">
            <w:pPr>
              <w:pStyle w:val="TableBody"/>
            </w:pPr>
            <w:r w:rsidRPr="002369DB">
              <w:t>79% male, 21% female</w:t>
            </w:r>
          </w:p>
        </w:tc>
      </w:tr>
      <w:tr w:rsidR="004C0661" w:rsidRPr="002369DB" w14:paraId="1E6F29DF" w14:textId="77777777" w:rsidTr="004375E7">
        <w:trPr>
          <w:trHeight w:val="60"/>
        </w:trPr>
        <w:tc>
          <w:tcPr>
            <w:tcW w:w="2835" w:type="dxa"/>
          </w:tcPr>
          <w:p w14:paraId="190C5804" w14:textId="77777777" w:rsidR="004C0661" w:rsidRPr="007F21B7" w:rsidRDefault="004C0661" w:rsidP="007F21B7">
            <w:pPr>
              <w:pStyle w:val="TableBody"/>
            </w:pPr>
            <w:r w:rsidRPr="007F21B7">
              <w:t>Median age</w:t>
            </w:r>
          </w:p>
        </w:tc>
        <w:tc>
          <w:tcPr>
            <w:tcW w:w="2834" w:type="dxa"/>
          </w:tcPr>
          <w:p w14:paraId="09994A54" w14:textId="77777777" w:rsidR="004C0661" w:rsidRPr="002369DB" w:rsidRDefault="004C0661" w:rsidP="00B91C29">
            <w:pPr>
              <w:pStyle w:val="TableBody"/>
            </w:pPr>
            <w:r w:rsidRPr="002369DB">
              <w:t>36 years</w:t>
            </w:r>
          </w:p>
        </w:tc>
        <w:tc>
          <w:tcPr>
            <w:tcW w:w="2835" w:type="dxa"/>
          </w:tcPr>
          <w:p w14:paraId="58C526D2" w14:textId="77777777" w:rsidR="004C0661" w:rsidRPr="002369DB" w:rsidRDefault="004C0661" w:rsidP="00B91C29">
            <w:pPr>
              <w:pStyle w:val="TableBody"/>
            </w:pPr>
            <w:r w:rsidRPr="002369DB">
              <w:t>39 years</w:t>
            </w:r>
          </w:p>
        </w:tc>
      </w:tr>
      <w:tr w:rsidR="004C0661" w:rsidRPr="002369DB" w14:paraId="39482E9C" w14:textId="77777777" w:rsidTr="004375E7">
        <w:trPr>
          <w:trHeight w:val="60"/>
        </w:trPr>
        <w:tc>
          <w:tcPr>
            <w:tcW w:w="2835" w:type="dxa"/>
          </w:tcPr>
          <w:p w14:paraId="29A612D9" w14:textId="77777777" w:rsidR="004C0661" w:rsidRPr="007F21B7" w:rsidRDefault="004C0661" w:rsidP="007F21B7">
            <w:pPr>
              <w:pStyle w:val="TableBody"/>
            </w:pPr>
            <w:r w:rsidRPr="007F21B7">
              <w:t>Most common co-sentenced offence</w:t>
            </w:r>
          </w:p>
        </w:tc>
        <w:tc>
          <w:tcPr>
            <w:tcW w:w="2834" w:type="dxa"/>
          </w:tcPr>
          <w:p w14:paraId="632DE992" w14:textId="77777777" w:rsidR="004C0661" w:rsidRPr="002369DB" w:rsidRDefault="004C0661" w:rsidP="00B91C29">
            <w:pPr>
              <w:pStyle w:val="TableBody"/>
            </w:pPr>
            <w:r w:rsidRPr="002369DB">
              <w:t>Persistently contravening a family violence order (34% of cases)</w:t>
            </w:r>
          </w:p>
        </w:tc>
        <w:tc>
          <w:tcPr>
            <w:tcW w:w="2835" w:type="dxa"/>
          </w:tcPr>
          <w:p w14:paraId="73665E9A" w14:textId="77777777" w:rsidR="004C0661" w:rsidRPr="002369DB" w:rsidRDefault="004C0661" w:rsidP="00B91C29">
            <w:pPr>
              <w:pStyle w:val="TableBody"/>
            </w:pPr>
            <w:r w:rsidRPr="002369DB">
              <w:t>Committing an indictable offence while on bail (13% of cases)</w:t>
            </w:r>
          </w:p>
        </w:tc>
      </w:tr>
      <w:tr w:rsidR="004C0661" w:rsidRPr="002369DB" w14:paraId="61FBD32C" w14:textId="77777777" w:rsidTr="004375E7">
        <w:trPr>
          <w:trHeight w:val="60"/>
        </w:trPr>
        <w:tc>
          <w:tcPr>
            <w:tcW w:w="2835" w:type="dxa"/>
          </w:tcPr>
          <w:p w14:paraId="2130E978" w14:textId="77777777" w:rsidR="004C0661" w:rsidRPr="000259B0" w:rsidRDefault="004C0661" w:rsidP="000259B0">
            <w:pPr>
              <w:pStyle w:val="TableBody"/>
            </w:pPr>
            <w:r w:rsidRPr="007F21B7">
              <w:t xml:space="preserve">Percentage of cases with any breach of </w:t>
            </w:r>
            <w:proofErr w:type="gramStart"/>
            <w:r w:rsidRPr="007F21B7">
              <w:t>a family</w:t>
            </w:r>
            <w:proofErr w:type="gramEnd"/>
            <w:r w:rsidRPr="007F21B7">
              <w:t xml:space="preserve"> violence </w:t>
            </w:r>
            <w:proofErr w:type="spellStart"/>
            <w:r w:rsidRPr="007F21B7">
              <w:t>order</w:t>
            </w:r>
            <w:r w:rsidRPr="007F21B7">
              <w:rPr>
                <w:vertAlign w:val="superscript"/>
              </w:rPr>
              <w:t>a</w:t>
            </w:r>
            <w:proofErr w:type="spellEnd"/>
          </w:p>
        </w:tc>
        <w:tc>
          <w:tcPr>
            <w:tcW w:w="2834" w:type="dxa"/>
          </w:tcPr>
          <w:p w14:paraId="6C796F6A" w14:textId="77777777" w:rsidR="004C0661" w:rsidRPr="002369DB" w:rsidRDefault="004C0661" w:rsidP="00B91C29">
            <w:pPr>
              <w:pStyle w:val="TableBody"/>
            </w:pPr>
            <w:r w:rsidRPr="002369DB">
              <w:t>51%</w:t>
            </w:r>
          </w:p>
        </w:tc>
        <w:tc>
          <w:tcPr>
            <w:tcW w:w="2835" w:type="dxa"/>
          </w:tcPr>
          <w:p w14:paraId="09B43903" w14:textId="77777777" w:rsidR="004C0661" w:rsidRPr="002369DB" w:rsidRDefault="004C0661" w:rsidP="00B91C29">
            <w:pPr>
              <w:pStyle w:val="TableBody"/>
            </w:pPr>
            <w:r w:rsidRPr="002369DB">
              <w:t>2%</w:t>
            </w:r>
            <w:r w:rsidRPr="002369DB">
              <w:rPr>
                <w:rStyle w:val="Superscript"/>
              </w:rPr>
              <w:t>b</w:t>
            </w:r>
          </w:p>
        </w:tc>
      </w:tr>
      <w:tr w:rsidR="004C0661" w:rsidRPr="002369DB" w14:paraId="608BADBF" w14:textId="77777777" w:rsidTr="004375E7">
        <w:trPr>
          <w:trHeight w:val="60"/>
        </w:trPr>
        <w:tc>
          <w:tcPr>
            <w:tcW w:w="2835" w:type="dxa"/>
          </w:tcPr>
          <w:p w14:paraId="14E129D6" w14:textId="77777777" w:rsidR="004C0661" w:rsidRPr="000259B0" w:rsidRDefault="004C0661" w:rsidP="000259B0">
            <w:pPr>
              <w:pStyle w:val="TableBody"/>
            </w:pPr>
            <w:r w:rsidRPr="007F21B7">
              <w:t xml:space="preserve">Percentage of cases with any bail-related </w:t>
            </w:r>
            <w:proofErr w:type="spellStart"/>
            <w:r w:rsidRPr="007F21B7">
              <w:t>offence</w:t>
            </w:r>
            <w:r w:rsidRPr="007F21B7">
              <w:rPr>
                <w:vertAlign w:val="superscript"/>
              </w:rPr>
              <w:t>c</w:t>
            </w:r>
            <w:proofErr w:type="spellEnd"/>
          </w:p>
        </w:tc>
        <w:tc>
          <w:tcPr>
            <w:tcW w:w="2834" w:type="dxa"/>
          </w:tcPr>
          <w:p w14:paraId="1D0EAAF8" w14:textId="77777777" w:rsidR="004C0661" w:rsidRPr="002369DB" w:rsidRDefault="004C0661" w:rsidP="00B91C29">
            <w:pPr>
              <w:pStyle w:val="TableBody"/>
            </w:pPr>
            <w:r w:rsidRPr="002369DB">
              <w:t>33%</w:t>
            </w:r>
          </w:p>
        </w:tc>
        <w:tc>
          <w:tcPr>
            <w:tcW w:w="2835" w:type="dxa"/>
          </w:tcPr>
          <w:p w14:paraId="56C1B6B9" w14:textId="77777777" w:rsidR="004C0661" w:rsidRPr="002369DB" w:rsidRDefault="004C0661" w:rsidP="00B91C29">
            <w:pPr>
              <w:pStyle w:val="TableBody"/>
            </w:pPr>
            <w:r w:rsidRPr="002369DB">
              <w:t>20%</w:t>
            </w:r>
          </w:p>
        </w:tc>
      </w:tr>
      <w:tr w:rsidR="004C0661" w:rsidRPr="002369DB" w14:paraId="4A76A942" w14:textId="77777777" w:rsidTr="004375E7">
        <w:trPr>
          <w:trHeight w:val="60"/>
        </w:trPr>
        <w:tc>
          <w:tcPr>
            <w:tcW w:w="2835" w:type="dxa"/>
          </w:tcPr>
          <w:p w14:paraId="699570B8" w14:textId="77777777" w:rsidR="004C0661" w:rsidRPr="007F21B7" w:rsidRDefault="004C0661" w:rsidP="007F21B7">
            <w:pPr>
              <w:pStyle w:val="TableBody"/>
            </w:pPr>
            <w:r w:rsidRPr="007F21B7">
              <w:t>Imprisonment rate</w:t>
            </w:r>
          </w:p>
        </w:tc>
        <w:tc>
          <w:tcPr>
            <w:tcW w:w="2834" w:type="dxa"/>
          </w:tcPr>
          <w:p w14:paraId="2512381C" w14:textId="77777777" w:rsidR="004C0661" w:rsidRPr="002369DB" w:rsidRDefault="004C0661" w:rsidP="00B91C29">
            <w:pPr>
              <w:pStyle w:val="TableBody"/>
            </w:pPr>
            <w:r w:rsidRPr="002369DB">
              <w:t>28%</w:t>
            </w:r>
          </w:p>
        </w:tc>
        <w:tc>
          <w:tcPr>
            <w:tcW w:w="2835" w:type="dxa"/>
          </w:tcPr>
          <w:p w14:paraId="46FF47EA" w14:textId="77777777" w:rsidR="004C0661" w:rsidRPr="002369DB" w:rsidRDefault="004C0661" w:rsidP="00B91C29">
            <w:pPr>
              <w:pStyle w:val="TableBody"/>
            </w:pPr>
            <w:r w:rsidRPr="002369DB">
              <w:t>13%</w:t>
            </w:r>
          </w:p>
        </w:tc>
      </w:tr>
    </w:tbl>
    <w:p w14:paraId="7CFC0B9E" w14:textId="57A9A9A2" w:rsidR="004C0661" w:rsidRPr="002369DB" w:rsidRDefault="004C0661" w:rsidP="007860D9">
      <w:pPr>
        <w:pStyle w:val="ListParagraph"/>
        <w:numPr>
          <w:ilvl w:val="0"/>
          <w:numId w:val="10"/>
        </w:numPr>
      </w:pPr>
      <w:r w:rsidRPr="002369DB">
        <w:t xml:space="preserve">These offences include contravening a family violence intervention order or safety notice, doing so while intending to cause harm or fear for safety, and persistently contravening a family violence intervention order or safety notice: </w:t>
      </w:r>
      <w:r w:rsidRPr="002369DB">
        <w:rPr>
          <w:rStyle w:val="Italic"/>
        </w:rPr>
        <w:t xml:space="preserve">Family Violence Protection Act 2008 </w:t>
      </w:r>
      <w:r w:rsidRPr="002369DB">
        <w:t>(Vic) ss 37, 37A, 123, 123A, 125A.</w:t>
      </w:r>
    </w:p>
    <w:p w14:paraId="6C56AEC5" w14:textId="64E0AAD8" w:rsidR="004C0661" w:rsidRPr="002369DB" w:rsidRDefault="004C0661" w:rsidP="007860D9">
      <w:pPr>
        <w:pStyle w:val="ListParagraph"/>
        <w:numPr>
          <w:ilvl w:val="0"/>
          <w:numId w:val="10"/>
        </w:numPr>
      </w:pPr>
      <w:r w:rsidRPr="002369DB">
        <w:t xml:space="preserve">It is possible to breach a family violence order in a way that does not constitute </w:t>
      </w:r>
      <w:r w:rsidRPr="002369DB">
        <w:rPr>
          <w:rStyle w:val="Italic"/>
        </w:rPr>
        <w:t xml:space="preserve">family violence </w:t>
      </w:r>
      <w:r w:rsidRPr="002369DB">
        <w:t xml:space="preserve">as defined in the </w:t>
      </w:r>
      <w:r w:rsidRPr="002369DB">
        <w:rPr>
          <w:rStyle w:val="Italic"/>
        </w:rPr>
        <w:t xml:space="preserve">Family Violence Protection Act 2008 </w:t>
      </w:r>
      <w:r w:rsidRPr="002369DB">
        <w:t>(Vic), such as breaching a condition of an intervention order, for example, not to enter a particular neighbourhood, in a way that does not involve or relate to the protected person.</w:t>
      </w:r>
    </w:p>
    <w:p w14:paraId="547BBDDE" w14:textId="1A071031" w:rsidR="004C0661" w:rsidRPr="002369DB" w:rsidRDefault="004C0661" w:rsidP="007860D9">
      <w:pPr>
        <w:pStyle w:val="ListParagraph"/>
        <w:numPr>
          <w:ilvl w:val="0"/>
          <w:numId w:val="10"/>
        </w:numPr>
      </w:pPr>
      <w:r w:rsidRPr="002369DB">
        <w:t xml:space="preserve">Bail-related offences include failing to answer bail, committing an indictable offence while on bail, and breaching a condition of bail: </w:t>
      </w:r>
      <w:r w:rsidRPr="002369DB">
        <w:rPr>
          <w:rStyle w:val="Italic"/>
        </w:rPr>
        <w:t xml:space="preserve">Bail Act 1977 </w:t>
      </w:r>
      <w:r w:rsidRPr="002369DB">
        <w:t>(Vic) ss 30, 30A (as in effect at the time), 30B.</w:t>
      </w:r>
    </w:p>
    <w:p w14:paraId="2A2FC2B2" w14:textId="77777777" w:rsidR="004C0661" w:rsidRPr="002369DB" w:rsidRDefault="004C0661" w:rsidP="00622026">
      <w:pPr>
        <w:pStyle w:val="Heading2"/>
      </w:pPr>
      <w:r w:rsidRPr="002369DB">
        <w:lastRenderedPageBreak/>
        <w:t>Failing or refusing to furnish required tax information</w:t>
      </w:r>
    </w:p>
    <w:p w14:paraId="054CE05D" w14:textId="77777777" w:rsidR="004C0661" w:rsidRPr="002369DB" w:rsidRDefault="004C0661" w:rsidP="00C474D2">
      <w:r w:rsidRPr="002369DB">
        <w:t xml:space="preserve">Section 8C of the </w:t>
      </w:r>
      <w:r w:rsidRPr="002369DB">
        <w:rPr>
          <w:rStyle w:val="Italic"/>
        </w:rPr>
        <w:t xml:space="preserve">Taxation Administration Act 1953 </w:t>
      </w:r>
      <w:r w:rsidRPr="002369DB">
        <w:t>(</w:t>
      </w:r>
      <w:proofErr w:type="spellStart"/>
      <w:r w:rsidRPr="002369DB">
        <w:t>Cth</w:t>
      </w:r>
      <w:proofErr w:type="spellEnd"/>
      <w:r w:rsidRPr="002369DB">
        <w:t>) makes it an offence to refuse or fail to give any information or document to the ATO when required by taxation law to do so. The maximum penalty is 20 penalty units for a first offence, 40 penalty units for a second offence, and 12 months’ imprisonment or 50 penalty units for a third or subsequent offence.</w:t>
      </w:r>
      <w:r w:rsidRPr="002369DB">
        <w:rPr>
          <w:rStyle w:val="Superscript"/>
        </w:rPr>
        <w:footnoteReference w:id="106"/>
      </w:r>
    </w:p>
    <w:p w14:paraId="7147FE03" w14:textId="77777777" w:rsidR="004C0661" w:rsidRPr="002369DB" w:rsidRDefault="004C0661" w:rsidP="00C474D2">
      <w:r w:rsidRPr="002369DB">
        <w:t>There were 254 cases in which people were sentenced for this offence (181 males, 33 females and 40 unspecified</w:t>
      </w:r>
      <w:r w:rsidRPr="002369DB">
        <w:rPr>
          <w:rStyle w:val="Superscript"/>
        </w:rPr>
        <w:footnoteReference w:id="107"/>
      </w:r>
      <w:r w:rsidRPr="002369DB">
        <w:t xml:space="preserve">), and those cases involved 3,422 charges of this offence (an average of 13.4 charges per case). Those 254 cases involved 248 unique offenders, with six people sentenced on two occasions, and no person sentenced on three or more occasions. This suggests that very few (if any) people were subject to the maximum of 12 months’ imprisonment or 50 penalty units for a third or subsequent offence during the five-year reference period. </w:t>
      </w:r>
    </w:p>
    <w:p w14:paraId="71E8BC10" w14:textId="77777777" w:rsidR="004C0661" w:rsidRPr="002369DB" w:rsidRDefault="004C0661" w:rsidP="00C474D2">
      <w:r w:rsidRPr="002369DB">
        <w:t>As shown in Figure 14, a fine with conviction was the most common sentence imposed on the 3,422 charges of failing or refusing to furnish required tax information (76% of charges).</w:t>
      </w:r>
    </w:p>
    <w:p w14:paraId="08839F23" w14:textId="77777777" w:rsidR="004C0661" w:rsidRPr="002369DB" w:rsidRDefault="004C0661" w:rsidP="00A775DC">
      <w:pPr>
        <w:pStyle w:val="Caption"/>
      </w:pPr>
      <w:r w:rsidRPr="002369DB">
        <w:t>Figure 14: Sentence types imposed for failing or refusing to furnish required tax information in adult courts in Victoria, 1 July 2018 to 30 June 2023 (3,422 charges)</w:t>
      </w:r>
    </w:p>
    <w:tbl>
      <w:tblPr>
        <w:tblStyle w:val="Table"/>
        <w:tblW w:w="5000" w:type="pct"/>
        <w:tblLook w:val="04A0" w:firstRow="1" w:lastRow="0" w:firstColumn="1" w:lastColumn="0" w:noHBand="0" w:noVBand="1"/>
      </w:tblPr>
      <w:tblGrid>
        <w:gridCol w:w="4508"/>
        <w:gridCol w:w="4508"/>
      </w:tblGrid>
      <w:tr w:rsidR="001140B1" w:rsidRPr="001140B1" w14:paraId="5000C812" w14:textId="77777777" w:rsidTr="001140B1">
        <w:trPr>
          <w:trHeight w:val="312"/>
        </w:trPr>
        <w:tc>
          <w:tcPr>
            <w:tcW w:w="2500" w:type="pct"/>
            <w:noWrap/>
            <w:hideMark/>
          </w:tcPr>
          <w:p w14:paraId="5C463EF0" w14:textId="77777777" w:rsidR="001140B1" w:rsidRPr="001140B1" w:rsidRDefault="001140B1" w:rsidP="001140B1">
            <w:pPr>
              <w:pStyle w:val="TableHeading"/>
            </w:pPr>
            <w:r w:rsidRPr="001140B1">
              <w:t>Sentence type</w:t>
            </w:r>
          </w:p>
        </w:tc>
        <w:tc>
          <w:tcPr>
            <w:tcW w:w="2500" w:type="pct"/>
            <w:noWrap/>
            <w:hideMark/>
          </w:tcPr>
          <w:p w14:paraId="0DE97381" w14:textId="77777777" w:rsidR="001140B1" w:rsidRPr="001140B1" w:rsidRDefault="001140B1" w:rsidP="001140B1">
            <w:pPr>
              <w:pStyle w:val="TableHeading"/>
            </w:pPr>
            <w:r w:rsidRPr="001140B1">
              <w:t>Number of charges</w:t>
            </w:r>
          </w:p>
        </w:tc>
      </w:tr>
      <w:tr w:rsidR="001140B1" w:rsidRPr="001140B1" w14:paraId="40F7DCA2" w14:textId="77777777" w:rsidTr="001140B1">
        <w:trPr>
          <w:trHeight w:val="312"/>
        </w:trPr>
        <w:tc>
          <w:tcPr>
            <w:tcW w:w="2500" w:type="pct"/>
            <w:noWrap/>
            <w:hideMark/>
          </w:tcPr>
          <w:p w14:paraId="49083AD2" w14:textId="797E183C" w:rsidR="001140B1" w:rsidRPr="001140B1" w:rsidRDefault="001140B1" w:rsidP="001140B1">
            <w:pPr>
              <w:pStyle w:val="TableBody"/>
            </w:pPr>
            <w:r w:rsidRPr="001140B1">
              <w:t>Dismiss</w:t>
            </w:r>
            <w:r w:rsidR="0060176E">
              <w:t>al</w:t>
            </w:r>
            <w:r w:rsidRPr="001140B1">
              <w:t xml:space="preserve"> without conviction</w:t>
            </w:r>
          </w:p>
        </w:tc>
        <w:tc>
          <w:tcPr>
            <w:tcW w:w="2500" w:type="pct"/>
            <w:noWrap/>
            <w:hideMark/>
          </w:tcPr>
          <w:p w14:paraId="5BC573C9" w14:textId="77777777" w:rsidR="001140B1" w:rsidRPr="001140B1" w:rsidRDefault="001140B1" w:rsidP="001140B1">
            <w:pPr>
              <w:pStyle w:val="TableBody"/>
            </w:pPr>
            <w:r w:rsidRPr="001140B1">
              <w:t>4</w:t>
            </w:r>
          </w:p>
        </w:tc>
      </w:tr>
      <w:tr w:rsidR="001140B1" w:rsidRPr="001140B1" w14:paraId="0DB428D6" w14:textId="77777777" w:rsidTr="001140B1">
        <w:trPr>
          <w:trHeight w:val="312"/>
        </w:trPr>
        <w:tc>
          <w:tcPr>
            <w:tcW w:w="2500" w:type="pct"/>
            <w:noWrap/>
            <w:hideMark/>
          </w:tcPr>
          <w:p w14:paraId="7FD7FAEE" w14:textId="77777777" w:rsidR="001140B1" w:rsidRPr="001140B1" w:rsidRDefault="001140B1" w:rsidP="001140B1">
            <w:pPr>
              <w:pStyle w:val="TableBody"/>
            </w:pPr>
            <w:r w:rsidRPr="001140B1">
              <w:t>Bond without conviction</w:t>
            </w:r>
          </w:p>
        </w:tc>
        <w:tc>
          <w:tcPr>
            <w:tcW w:w="2500" w:type="pct"/>
            <w:noWrap/>
            <w:hideMark/>
          </w:tcPr>
          <w:p w14:paraId="1BC272A0" w14:textId="77777777" w:rsidR="001140B1" w:rsidRPr="001140B1" w:rsidRDefault="001140B1" w:rsidP="001140B1">
            <w:pPr>
              <w:pStyle w:val="TableBody"/>
            </w:pPr>
            <w:r w:rsidRPr="001140B1">
              <w:t>590</w:t>
            </w:r>
          </w:p>
        </w:tc>
      </w:tr>
      <w:tr w:rsidR="001140B1" w:rsidRPr="001140B1" w14:paraId="6FA0103E" w14:textId="77777777" w:rsidTr="001140B1">
        <w:trPr>
          <w:trHeight w:val="312"/>
        </w:trPr>
        <w:tc>
          <w:tcPr>
            <w:tcW w:w="2500" w:type="pct"/>
            <w:noWrap/>
            <w:hideMark/>
          </w:tcPr>
          <w:p w14:paraId="538F62DF" w14:textId="77777777" w:rsidR="001140B1" w:rsidRPr="001140B1" w:rsidRDefault="001140B1" w:rsidP="001140B1">
            <w:pPr>
              <w:pStyle w:val="TableBody"/>
            </w:pPr>
            <w:r w:rsidRPr="001140B1">
              <w:t>Bond with conviction</w:t>
            </w:r>
          </w:p>
        </w:tc>
        <w:tc>
          <w:tcPr>
            <w:tcW w:w="2500" w:type="pct"/>
            <w:noWrap/>
            <w:hideMark/>
          </w:tcPr>
          <w:p w14:paraId="3ED0E9A4" w14:textId="77777777" w:rsidR="001140B1" w:rsidRPr="001140B1" w:rsidRDefault="001140B1" w:rsidP="001140B1">
            <w:pPr>
              <w:pStyle w:val="TableBody"/>
            </w:pPr>
            <w:r w:rsidRPr="001140B1">
              <w:t>238</w:t>
            </w:r>
          </w:p>
        </w:tc>
      </w:tr>
      <w:tr w:rsidR="001140B1" w:rsidRPr="001140B1" w14:paraId="653FF9AE" w14:textId="77777777" w:rsidTr="001140B1">
        <w:trPr>
          <w:trHeight w:val="312"/>
        </w:trPr>
        <w:tc>
          <w:tcPr>
            <w:tcW w:w="2500" w:type="pct"/>
            <w:noWrap/>
            <w:hideMark/>
          </w:tcPr>
          <w:p w14:paraId="6A9C084B" w14:textId="77777777" w:rsidR="001140B1" w:rsidRPr="001140B1" w:rsidRDefault="001140B1" w:rsidP="001140B1">
            <w:pPr>
              <w:pStyle w:val="TableBody"/>
            </w:pPr>
            <w:r w:rsidRPr="001140B1">
              <w:t>Fine with conviction</w:t>
            </w:r>
          </w:p>
        </w:tc>
        <w:tc>
          <w:tcPr>
            <w:tcW w:w="2500" w:type="pct"/>
            <w:noWrap/>
            <w:hideMark/>
          </w:tcPr>
          <w:p w14:paraId="7EF70321" w14:textId="77777777" w:rsidR="001140B1" w:rsidRPr="001140B1" w:rsidRDefault="001140B1" w:rsidP="001140B1">
            <w:pPr>
              <w:pStyle w:val="TableBody"/>
            </w:pPr>
            <w:r w:rsidRPr="001140B1">
              <w:t>2,590</w:t>
            </w:r>
          </w:p>
        </w:tc>
      </w:tr>
    </w:tbl>
    <w:p w14:paraId="1756E971" w14:textId="77777777" w:rsidR="004C0661" w:rsidRPr="002369DB" w:rsidRDefault="004C0661" w:rsidP="00C474D2">
      <w:r w:rsidRPr="002369DB">
        <w:lastRenderedPageBreak/>
        <w:t xml:space="preserve">It is not possible to present information about the values of the fines imposed for individual charges of this offence. This is because of two interrelated matters: first, the offence is often sentenced alongside other offences – of the 198 cases in which a fine was imposed for this offence, only one of those cases involved a single charge; second, in cases involving multiple charges, courts almost invariably impose an aggregate fine across multiple charges, as occurred in 183 of those 198 cases. For this reason, Figure 15 presents the </w:t>
      </w:r>
      <w:r w:rsidRPr="002369DB">
        <w:rPr>
          <w:rStyle w:val="Italic"/>
        </w:rPr>
        <w:t>case-level</w:t>
      </w:r>
      <w:r w:rsidRPr="002369DB">
        <w:t xml:space="preserve"> fine amounts imposed on offenders sentenced for this offence. The lowest fine was $250, the highest was $50,000, and the median was $3,000. Figure 15 also shows that case-level fine amounts increased as the number of charges in the case increased. There was an average of 6 charges per case in cases involving fines of less than $1,000, but there was an average of 36 charges per case in cases involving fines of $20,000 or more. </w:t>
      </w:r>
    </w:p>
    <w:p w14:paraId="7C464C78" w14:textId="77777777" w:rsidR="004C0661" w:rsidRPr="002369DB" w:rsidRDefault="004C0661" w:rsidP="00A775DC">
      <w:pPr>
        <w:pStyle w:val="Caption"/>
      </w:pPr>
      <w:r w:rsidRPr="002369DB">
        <w:t>Figure 15: Case-level fine amounts imposed for failing or refusing to furnish required tax information in adult courts in Victoria, 1 July 2018 to 30 June 2023 (198 cases)</w:t>
      </w:r>
    </w:p>
    <w:tbl>
      <w:tblPr>
        <w:tblStyle w:val="Table"/>
        <w:tblW w:w="5000" w:type="pct"/>
        <w:tblLayout w:type="fixed"/>
        <w:tblLook w:val="04A0" w:firstRow="1" w:lastRow="0" w:firstColumn="1" w:lastColumn="0" w:noHBand="0" w:noVBand="1"/>
      </w:tblPr>
      <w:tblGrid>
        <w:gridCol w:w="3005"/>
        <w:gridCol w:w="3005"/>
        <w:gridCol w:w="3006"/>
      </w:tblGrid>
      <w:tr w:rsidR="00E2412B" w:rsidRPr="00E2412B" w14:paraId="57454062" w14:textId="77777777" w:rsidTr="00DC2FF4">
        <w:trPr>
          <w:trHeight w:val="312"/>
        </w:trPr>
        <w:tc>
          <w:tcPr>
            <w:tcW w:w="1666" w:type="pct"/>
            <w:noWrap/>
            <w:hideMark/>
          </w:tcPr>
          <w:p w14:paraId="6AAD82D8" w14:textId="77777777" w:rsidR="00E2412B" w:rsidRPr="00E2412B" w:rsidRDefault="00E2412B" w:rsidP="00E2412B">
            <w:pPr>
              <w:pStyle w:val="TableHeading"/>
            </w:pPr>
            <w:r w:rsidRPr="00E2412B">
              <w:t>Fine amount</w:t>
            </w:r>
          </w:p>
        </w:tc>
        <w:tc>
          <w:tcPr>
            <w:tcW w:w="1666" w:type="pct"/>
            <w:noWrap/>
            <w:hideMark/>
          </w:tcPr>
          <w:p w14:paraId="1D819022" w14:textId="77777777" w:rsidR="00E2412B" w:rsidRPr="00E2412B" w:rsidRDefault="00E2412B" w:rsidP="00E2412B">
            <w:pPr>
              <w:pStyle w:val="TableHeading"/>
            </w:pPr>
            <w:r w:rsidRPr="00E2412B">
              <w:t>Number of cases</w:t>
            </w:r>
          </w:p>
        </w:tc>
        <w:tc>
          <w:tcPr>
            <w:tcW w:w="1667" w:type="pct"/>
            <w:noWrap/>
            <w:hideMark/>
          </w:tcPr>
          <w:p w14:paraId="0E831EE7" w14:textId="77777777" w:rsidR="00E2412B" w:rsidRPr="00E2412B" w:rsidRDefault="00E2412B" w:rsidP="00E2412B">
            <w:pPr>
              <w:pStyle w:val="TableHeading"/>
            </w:pPr>
            <w:r w:rsidRPr="00E2412B">
              <w:t>Average number of charges per case</w:t>
            </w:r>
          </w:p>
        </w:tc>
      </w:tr>
      <w:tr w:rsidR="00E2412B" w:rsidRPr="00E2412B" w14:paraId="6BA51F6F" w14:textId="77777777" w:rsidTr="00DC2FF4">
        <w:trPr>
          <w:trHeight w:val="312"/>
        </w:trPr>
        <w:tc>
          <w:tcPr>
            <w:tcW w:w="1666" w:type="pct"/>
            <w:noWrap/>
            <w:hideMark/>
          </w:tcPr>
          <w:p w14:paraId="16C3DFD9" w14:textId="77777777" w:rsidR="00E2412B" w:rsidRPr="00E2412B" w:rsidRDefault="00E2412B" w:rsidP="00E2412B">
            <w:pPr>
              <w:pStyle w:val="TableBody"/>
            </w:pPr>
            <w:r w:rsidRPr="00E2412B">
              <w:t>Less than $500</w:t>
            </w:r>
          </w:p>
        </w:tc>
        <w:tc>
          <w:tcPr>
            <w:tcW w:w="1666" w:type="pct"/>
            <w:noWrap/>
            <w:hideMark/>
          </w:tcPr>
          <w:p w14:paraId="736F3F0D" w14:textId="77777777" w:rsidR="00E2412B" w:rsidRPr="00E2412B" w:rsidRDefault="00E2412B" w:rsidP="00E2412B">
            <w:pPr>
              <w:pStyle w:val="TableBody"/>
            </w:pPr>
            <w:r w:rsidRPr="00E2412B">
              <w:t>3</w:t>
            </w:r>
          </w:p>
        </w:tc>
        <w:tc>
          <w:tcPr>
            <w:tcW w:w="1667" w:type="pct"/>
            <w:noWrap/>
            <w:hideMark/>
          </w:tcPr>
          <w:p w14:paraId="0DD2D0E8" w14:textId="77777777" w:rsidR="00E2412B" w:rsidRPr="00E2412B" w:rsidRDefault="00E2412B" w:rsidP="00E2412B">
            <w:pPr>
              <w:pStyle w:val="TableBody"/>
            </w:pPr>
            <w:r w:rsidRPr="00E2412B">
              <w:t>6</w:t>
            </w:r>
          </w:p>
        </w:tc>
      </w:tr>
      <w:tr w:rsidR="00E2412B" w:rsidRPr="00E2412B" w14:paraId="7C855E76" w14:textId="77777777" w:rsidTr="00DC2FF4">
        <w:trPr>
          <w:trHeight w:val="312"/>
        </w:trPr>
        <w:tc>
          <w:tcPr>
            <w:tcW w:w="1666" w:type="pct"/>
            <w:noWrap/>
            <w:hideMark/>
          </w:tcPr>
          <w:p w14:paraId="38B3C648" w14:textId="77777777" w:rsidR="00E2412B" w:rsidRPr="00E2412B" w:rsidRDefault="00E2412B" w:rsidP="00E2412B">
            <w:pPr>
              <w:pStyle w:val="TableBody"/>
            </w:pPr>
            <w:r w:rsidRPr="00E2412B">
              <w:t>$500 to less than $1,000</w:t>
            </w:r>
          </w:p>
        </w:tc>
        <w:tc>
          <w:tcPr>
            <w:tcW w:w="1666" w:type="pct"/>
            <w:noWrap/>
            <w:hideMark/>
          </w:tcPr>
          <w:p w14:paraId="63CA93CB" w14:textId="77777777" w:rsidR="00E2412B" w:rsidRPr="00E2412B" w:rsidRDefault="00E2412B" w:rsidP="00E2412B">
            <w:pPr>
              <w:pStyle w:val="TableBody"/>
            </w:pPr>
            <w:r w:rsidRPr="00E2412B">
              <w:t>18</w:t>
            </w:r>
          </w:p>
        </w:tc>
        <w:tc>
          <w:tcPr>
            <w:tcW w:w="1667" w:type="pct"/>
            <w:noWrap/>
            <w:hideMark/>
          </w:tcPr>
          <w:p w14:paraId="6D94B234" w14:textId="77777777" w:rsidR="00E2412B" w:rsidRPr="00E2412B" w:rsidRDefault="00E2412B" w:rsidP="00E2412B">
            <w:pPr>
              <w:pStyle w:val="TableBody"/>
            </w:pPr>
            <w:r w:rsidRPr="00E2412B">
              <w:t>6</w:t>
            </w:r>
          </w:p>
        </w:tc>
      </w:tr>
      <w:tr w:rsidR="00E2412B" w:rsidRPr="00E2412B" w14:paraId="0A3A37F4" w14:textId="77777777" w:rsidTr="00DC2FF4">
        <w:trPr>
          <w:trHeight w:val="312"/>
        </w:trPr>
        <w:tc>
          <w:tcPr>
            <w:tcW w:w="1666" w:type="pct"/>
            <w:noWrap/>
            <w:hideMark/>
          </w:tcPr>
          <w:p w14:paraId="2385D286" w14:textId="77777777" w:rsidR="00E2412B" w:rsidRPr="00E2412B" w:rsidRDefault="00E2412B" w:rsidP="00E2412B">
            <w:pPr>
              <w:pStyle w:val="TableBody"/>
            </w:pPr>
            <w:r w:rsidRPr="00E2412B">
              <w:t>$1,000 to less than $2,000</w:t>
            </w:r>
          </w:p>
        </w:tc>
        <w:tc>
          <w:tcPr>
            <w:tcW w:w="1666" w:type="pct"/>
            <w:noWrap/>
            <w:hideMark/>
          </w:tcPr>
          <w:p w14:paraId="5FEA29AE" w14:textId="77777777" w:rsidR="00E2412B" w:rsidRPr="00E2412B" w:rsidRDefault="00E2412B" w:rsidP="00E2412B">
            <w:pPr>
              <w:pStyle w:val="TableBody"/>
            </w:pPr>
            <w:r w:rsidRPr="00E2412B">
              <w:t>41</w:t>
            </w:r>
          </w:p>
        </w:tc>
        <w:tc>
          <w:tcPr>
            <w:tcW w:w="1667" w:type="pct"/>
            <w:noWrap/>
            <w:hideMark/>
          </w:tcPr>
          <w:p w14:paraId="354DF199" w14:textId="77777777" w:rsidR="00E2412B" w:rsidRPr="00E2412B" w:rsidRDefault="00E2412B" w:rsidP="00E2412B">
            <w:pPr>
              <w:pStyle w:val="TableBody"/>
            </w:pPr>
            <w:r w:rsidRPr="00E2412B">
              <w:t>10</w:t>
            </w:r>
          </w:p>
        </w:tc>
      </w:tr>
      <w:tr w:rsidR="00E2412B" w:rsidRPr="00E2412B" w14:paraId="7EADDE85" w14:textId="77777777" w:rsidTr="00DC2FF4">
        <w:trPr>
          <w:trHeight w:val="312"/>
        </w:trPr>
        <w:tc>
          <w:tcPr>
            <w:tcW w:w="1666" w:type="pct"/>
            <w:noWrap/>
            <w:hideMark/>
          </w:tcPr>
          <w:p w14:paraId="7681360C" w14:textId="77777777" w:rsidR="00E2412B" w:rsidRPr="00E2412B" w:rsidRDefault="00E2412B" w:rsidP="00E2412B">
            <w:pPr>
              <w:pStyle w:val="TableBody"/>
            </w:pPr>
            <w:r w:rsidRPr="00E2412B">
              <w:t>$2,000 to less than $3,000</w:t>
            </w:r>
          </w:p>
        </w:tc>
        <w:tc>
          <w:tcPr>
            <w:tcW w:w="1666" w:type="pct"/>
            <w:noWrap/>
            <w:hideMark/>
          </w:tcPr>
          <w:p w14:paraId="56036338" w14:textId="77777777" w:rsidR="00E2412B" w:rsidRPr="00E2412B" w:rsidRDefault="00E2412B" w:rsidP="00E2412B">
            <w:pPr>
              <w:pStyle w:val="TableBody"/>
            </w:pPr>
            <w:r w:rsidRPr="00E2412B">
              <w:t>20</w:t>
            </w:r>
          </w:p>
        </w:tc>
        <w:tc>
          <w:tcPr>
            <w:tcW w:w="1667" w:type="pct"/>
            <w:noWrap/>
            <w:hideMark/>
          </w:tcPr>
          <w:p w14:paraId="5B0234BB" w14:textId="77777777" w:rsidR="00E2412B" w:rsidRPr="00E2412B" w:rsidRDefault="00E2412B" w:rsidP="00E2412B">
            <w:pPr>
              <w:pStyle w:val="TableBody"/>
            </w:pPr>
            <w:r w:rsidRPr="00E2412B">
              <w:t>11</w:t>
            </w:r>
          </w:p>
        </w:tc>
      </w:tr>
      <w:tr w:rsidR="00E2412B" w:rsidRPr="00E2412B" w14:paraId="0E4B6DD8" w14:textId="77777777" w:rsidTr="00DC2FF4">
        <w:trPr>
          <w:trHeight w:val="312"/>
        </w:trPr>
        <w:tc>
          <w:tcPr>
            <w:tcW w:w="1666" w:type="pct"/>
            <w:noWrap/>
            <w:hideMark/>
          </w:tcPr>
          <w:p w14:paraId="6F3E866E" w14:textId="77777777" w:rsidR="00E2412B" w:rsidRPr="00E2412B" w:rsidRDefault="00E2412B" w:rsidP="00E2412B">
            <w:pPr>
              <w:pStyle w:val="TableBody"/>
            </w:pPr>
            <w:r w:rsidRPr="00E2412B">
              <w:t>$3,000 to less than $4,000</w:t>
            </w:r>
          </w:p>
        </w:tc>
        <w:tc>
          <w:tcPr>
            <w:tcW w:w="1666" w:type="pct"/>
            <w:noWrap/>
            <w:hideMark/>
          </w:tcPr>
          <w:p w14:paraId="4CB81C60" w14:textId="77777777" w:rsidR="00E2412B" w:rsidRPr="00E2412B" w:rsidRDefault="00E2412B" w:rsidP="00E2412B">
            <w:pPr>
              <w:pStyle w:val="TableBody"/>
            </w:pPr>
            <w:r w:rsidRPr="00E2412B">
              <w:t>27</w:t>
            </w:r>
          </w:p>
        </w:tc>
        <w:tc>
          <w:tcPr>
            <w:tcW w:w="1667" w:type="pct"/>
            <w:noWrap/>
            <w:hideMark/>
          </w:tcPr>
          <w:p w14:paraId="4E2576CD" w14:textId="77777777" w:rsidR="00E2412B" w:rsidRPr="00E2412B" w:rsidRDefault="00E2412B" w:rsidP="00E2412B">
            <w:pPr>
              <w:pStyle w:val="TableBody"/>
            </w:pPr>
            <w:r w:rsidRPr="00E2412B">
              <w:t>13</w:t>
            </w:r>
          </w:p>
        </w:tc>
      </w:tr>
      <w:tr w:rsidR="00E2412B" w:rsidRPr="00E2412B" w14:paraId="7D5F6CD4" w14:textId="77777777" w:rsidTr="00DC2FF4">
        <w:trPr>
          <w:trHeight w:val="312"/>
        </w:trPr>
        <w:tc>
          <w:tcPr>
            <w:tcW w:w="1666" w:type="pct"/>
            <w:noWrap/>
            <w:hideMark/>
          </w:tcPr>
          <w:p w14:paraId="7EC1A300" w14:textId="77777777" w:rsidR="00E2412B" w:rsidRPr="00E2412B" w:rsidRDefault="00E2412B" w:rsidP="00E2412B">
            <w:pPr>
              <w:pStyle w:val="TableBody"/>
            </w:pPr>
            <w:r w:rsidRPr="00E2412B">
              <w:t>$4,000 to less than $5,000</w:t>
            </w:r>
          </w:p>
        </w:tc>
        <w:tc>
          <w:tcPr>
            <w:tcW w:w="1666" w:type="pct"/>
            <w:noWrap/>
            <w:hideMark/>
          </w:tcPr>
          <w:p w14:paraId="6597254B" w14:textId="77777777" w:rsidR="00E2412B" w:rsidRPr="00E2412B" w:rsidRDefault="00E2412B" w:rsidP="00E2412B">
            <w:pPr>
              <w:pStyle w:val="TableBody"/>
            </w:pPr>
            <w:r w:rsidRPr="00E2412B">
              <w:t>15</w:t>
            </w:r>
          </w:p>
        </w:tc>
        <w:tc>
          <w:tcPr>
            <w:tcW w:w="1667" w:type="pct"/>
            <w:noWrap/>
            <w:hideMark/>
          </w:tcPr>
          <w:p w14:paraId="727E9678" w14:textId="77777777" w:rsidR="00E2412B" w:rsidRPr="00E2412B" w:rsidRDefault="00E2412B" w:rsidP="00E2412B">
            <w:pPr>
              <w:pStyle w:val="TableBody"/>
            </w:pPr>
            <w:r w:rsidRPr="00E2412B">
              <w:t>8</w:t>
            </w:r>
          </w:p>
        </w:tc>
      </w:tr>
      <w:tr w:rsidR="00E2412B" w:rsidRPr="00E2412B" w14:paraId="1EF551B5" w14:textId="77777777" w:rsidTr="00DC2FF4">
        <w:trPr>
          <w:trHeight w:val="312"/>
        </w:trPr>
        <w:tc>
          <w:tcPr>
            <w:tcW w:w="1666" w:type="pct"/>
            <w:noWrap/>
            <w:hideMark/>
          </w:tcPr>
          <w:p w14:paraId="50DF0F4E" w14:textId="77777777" w:rsidR="00E2412B" w:rsidRPr="00E2412B" w:rsidRDefault="00E2412B" w:rsidP="00E2412B">
            <w:pPr>
              <w:pStyle w:val="TableBody"/>
            </w:pPr>
            <w:r w:rsidRPr="00E2412B">
              <w:t>$5,000 to less $10,000</w:t>
            </w:r>
          </w:p>
        </w:tc>
        <w:tc>
          <w:tcPr>
            <w:tcW w:w="1666" w:type="pct"/>
            <w:noWrap/>
            <w:hideMark/>
          </w:tcPr>
          <w:p w14:paraId="185AFAC8" w14:textId="77777777" w:rsidR="00E2412B" w:rsidRPr="00E2412B" w:rsidRDefault="00E2412B" w:rsidP="00E2412B">
            <w:pPr>
              <w:pStyle w:val="TableBody"/>
            </w:pPr>
            <w:r w:rsidRPr="00E2412B">
              <w:t>42</w:t>
            </w:r>
          </w:p>
        </w:tc>
        <w:tc>
          <w:tcPr>
            <w:tcW w:w="1667" w:type="pct"/>
            <w:noWrap/>
            <w:hideMark/>
          </w:tcPr>
          <w:p w14:paraId="75537D28" w14:textId="77777777" w:rsidR="00E2412B" w:rsidRPr="00E2412B" w:rsidRDefault="00E2412B" w:rsidP="00E2412B">
            <w:pPr>
              <w:pStyle w:val="TableBody"/>
            </w:pPr>
            <w:r w:rsidRPr="00E2412B">
              <w:t>14</w:t>
            </w:r>
          </w:p>
        </w:tc>
      </w:tr>
      <w:tr w:rsidR="00E2412B" w:rsidRPr="00E2412B" w14:paraId="7F7F9CE6" w14:textId="77777777" w:rsidTr="00DC2FF4">
        <w:trPr>
          <w:trHeight w:val="312"/>
        </w:trPr>
        <w:tc>
          <w:tcPr>
            <w:tcW w:w="1666" w:type="pct"/>
            <w:noWrap/>
            <w:hideMark/>
          </w:tcPr>
          <w:p w14:paraId="444C4F11" w14:textId="77777777" w:rsidR="00E2412B" w:rsidRPr="00E2412B" w:rsidRDefault="00E2412B" w:rsidP="00E2412B">
            <w:pPr>
              <w:pStyle w:val="TableBody"/>
            </w:pPr>
            <w:r w:rsidRPr="00E2412B">
              <w:t>$10,000 to less than $20,000</w:t>
            </w:r>
          </w:p>
        </w:tc>
        <w:tc>
          <w:tcPr>
            <w:tcW w:w="1666" w:type="pct"/>
            <w:noWrap/>
            <w:hideMark/>
          </w:tcPr>
          <w:p w14:paraId="3E820F80" w14:textId="77777777" w:rsidR="00E2412B" w:rsidRPr="00E2412B" w:rsidRDefault="00E2412B" w:rsidP="00E2412B">
            <w:pPr>
              <w:pStyle w:val="TableBody"/>
            </w:pPr>
            <w:r w:rsidRPr="00E2412B">
              <w:t>25</w:t>
            </w:r>
          </w:p>
        </w:tc>
        <w:tc>
          <w:tcPr>
            <w:tcW w:w="1667" w:type="pct"/>
            <w:noWrap/>
            <w:hideMark/>
          </w:tcPr>
          <w:p w14:paraId="1E99708D" w14:textId="77777777" w:rsidR="00E2412B" w:rsidRPr="00E2412B" w:rsidRDefault="00E2412B" w:rsidP="00E2412B">
            <w:pPr>
              <w:pStyle w:val="TableBody"/>
            </w:pPr>
            <w:r w:rsidRPr="00E2412B">
              <w:t>21</w:t>
            </w:r>
          </w:p>
        </w:tc>
      </w:tr>
      <w:tr w:rsidR="00E2412B" w:rsidRPr="00E2412B" w14:paraId="08E9CFEA" w14:textId="77777777" w:rsidTr="00DC2FF4">
        <w:trPr>
          <w:trHeight w:val="312"/>
        </w:trPr>
        <w:tc>
          <w:tcPr>
            <w:tcW w:w="1666" w:type="pct"/>
            <w:noWrap/>
            <w:hideMark/>
          </w:tcPr>
          <w:p w14:paraId="5DB30EED" w14:textId="77777777" w:rsidR="00E2412B" w:rsidRPr="00E2412B" w:rsidRDefault="00E2412B" w:rsidP="00E2412B">
            <w:pPr>
              <w:pStyle w:val="TableBody"/>
            </w:pPr>
            <w:r w:rsidRPr="00E2412B">
              <w:t>$20,000 or more</w:t>
            </w:r>
          </w:p>
        </w:tc>
        <w:tc>
          <w:tcPr>
            <w:tcW w:w="1666" w:type="pct"/>
            <w:noWrap/>
            <w:hideMark/>
          </w:tcPr>
          <w:p w14:paraId="39507F2D" w14:textId="77777777" w:rsidR="00E2412B" w:rsidRPr="00E2412B" w:rsidRDefault="00E2412B" w:rsidP="00E2412B">
            <w:pPr>
              <w:pStyle w:val="TableBody"/>
            </w:pPr>
            <w:r w:rsidRPr="00E2412B">
              <w:t>7</w:t>
            </w:r>
          </w:p>
        </w:tc>
        <w:tc>
          <w:tcPr>
            <w:tcW w:w="1667" w:type="pct"/>
            <w:noWrap/>
            <w:hideMark/>
          </w:tcPr>
          <w:p w14:paraId="602BBC75" w14:textId="77777777" w:rsidR="00E2412B" w:rsidRPr="00E2412B" w:rsidRDefault="00E2412B" w:rsidP="00E2412B">
            <w:pPr>
              <w:pStyle w:val="TableBody"/>
            </w:pPr>
            <w:r w:rsidRPr="00E2412B">
              <w:t>36</w:t>
            </w:r>
          </w:p>
        </w:tc>
      </w:tr>
    </w:tbl>
    <w:p w14:paraId="3AB1ADA8" w14:textId="77777777" w:rsidR="004C0661" w:rsidRPr="002369DB" w:rsidRDefault="004C0661" w:rsidP="00622026">
      <w:pPr>
        <w:pStyle w:val="Heading2"/>
      </w:pPr>
      <w:r w:rsidRPr="002369DB">
        <w:lastRenderedPageBreak/>
        <w:t>Using a carriage service to access, transmit, publish or solicit child abuse material</w:t>
      </w:r>
    </w:p>
    <w:p w14:paraId="4D5FC69E" w14:textId="77777777" w:rsidR="004C0661" w:rsidRPr="002369DB" w:rsidRDefault="004C0661" w:rsidP="00C474D2">
      <w:r w:rsidRPr="002369DB">
        <w:t>On 21 September 2019,</w:t>
      </w:r>
      <w:r w:rsidRPr="002369DB">
        <w:rPr>
          <w:rStyle w:val="Superscript"/>
        </w:rPr>
        <w:footnoteReference w:id="108"/>
      </w:r>
      <w:r w:rsidRPr="002369DB">
        <w:t xml:space="preserve"> the current offence of using a carriage service to access, transmit, publish or solicit child abuse material</w:t>
      </w:r>
      <w:r w:rsidRPr="002369DB">
        <w:rPr>
          <w:rStyle w:val="Superscript"/>
        </w:rPr>
        <w:footnoteReference w:id="109"/>
      </w:r>
      <w:r w:rsidRPr="002369DB">
        <w:t xml:space="preserve"> amalgamated</w:t>
      </w:r>
      <w:r w:rsidRPr="002369DB">
        <w:rPr>
          <w:rStyle w:val="Superscript"/>
        </w:rPr>
        <w:footnoteReference w:id="110"/>
      </w:r>
      <w:r w:rsidRPr="002369DB">
        <w:t xml:space="preserve"> two pre-existing offences</w:t>
      </w:r>
      <w:r w:rsidRPr="002369DB">
        <w:rPr>
          <w:rStyle w:val="Superscript"/>
        </w:rPr>
        <w:footnoteReference w:id="111"/>
      </w:r>
      <w:r w:rsidRPr="002369DB">
        <w:t xml:space="preserve"> relating to using a carriage service for child abuse material. The maximum penalty for the offence is 15 years’ imprisonment, as it was prior to that amalgamation. Together, there were 750 charges of using a carriage service to access, transmit, publish or solicit child abuse material (including the pre-existing offences) sentenced in the five years to 30 June 2023. Those charges were sentenced in 203 cases and involved 203 unique offenders (no one was sentenced for this offence on more than one occasion in the five-year period). It was, though, relatively common for offenders to be sentenced for numerous charges of this offence at once; the largest numbers of charges of this offence in a case were 47, 32, 28, 25 and 22.</w:t>
      </w:r>
      <w:r w:rsidRPr="002369DB">
        <w:rPr>
          <w:rStyle w:val="Superscript"/>
        </w:rPr>
        <w:footnoteReference w:id="112"/>
      </w:r>
      <w:r w:rsidRPr="002369DB">
        <w:t xml:space="preserve"> </w:t>
      </w:r>
    </w:p>
    <w:p w14:paraId="6E538B44" w14:textId="77777777" w:rsidR="004C0661" w:rsidRPr="002369DB" w:rsidRDefault="004C0661" w:rsidP="00C474D2">
      <w:r w:rsidRPr="002369DB">
        <w:t xml:space="preserve">The sentencing outcomes for all 750 charges are shown in Figure 16: 93.3% received an imprisonment term (700 charges), 4.9% received a </w:t>
      </w:r>
      <w:r w:rsidRPr="002369DB">
        <w:lastRenderedPageBreak/>
        <w:t>community correction order (37 charges), and 1.7% received another outcome (13 charges).</w:t>
      </w:r>
      <w:r w:rsidRPr="002369DB">
        <w:rPr>
          <w:rStyle w:val="Superscript"/>
        </w:rPr>
        <w:footnoteReference w:id="113"/>
      </w:r>
    </w:p>
    <w:p w14:paraId="161290D0" w14:textId="77777777" w:rsidR="004C0661" w:rsidRDefault="004C0661" w:rsidP="00A775DC">
      <w:pPr>
        <w:pStyle w:val="Caption"/>
      </w:pPr>
      <w:r w:rsidRPr="002369DB">
        <w:t>Figure 16: Sentence types imposed for using a carriage service for child abuse material in adult courts in Victoria, 1 July 2018 to 30 June 2023 (750 charges)</w:t>
      </w:r>
    </w:p>
    <w:tbl>
      <w:tblPr>
        <w:tblStyle w:val="Table"/>
        <w:tblW w:w="5000" w:type="pct"/>
        <w:tblLook w:val="04A0" w:firstRow="1" w:lastRow="0" w:firstColumn="1" w:lastColumn="0" w:noHBand="0" w:noVBand="1"/>
      </w:tblPr>
      <w:tblGrid>
        <w:gridCol w:w="4508"/>
        <w:gridCol w:w="4508"/>
      </w:tblGrid>
      <w:tr w:rsidR="0037516E" w:rsidRPr="0037516E" w14:paraId="301A59D8" w14:textId="77777777" w:rsidTr="00DA55E7">
        <w:trPr>
          <w:trHeight w:val="312"/>
          <w:tblHeader/>
        </w:trPr>
        <w:tc>
          <w:tcPr>
            <w:tcW w:w="2500" w:type="pct"/>
            <w:noWrap/>
            <w:hideMark/>
          </w:tcPr>
          <w:p w14:paraId="5477A8EE" w14:textId="77777777" w:rsidR="0037516E" w:rsidRPr="0037516E" w:rsidRDefault="0037516E" w:rsidP="0037516E">
            <w:pPr>
              <w:pStyle w:val="TableHeading"/>
            </w:pPr>
            <w:r w:rsidRPr="0037516E">
              <w:t>Sentence type</w:t>
            </w:r>
          </w:p>
        </w:tc>
        <w:tc>
          <w:tcPr>
            <w:tcW w:w="2500" w:type="pct"/>
            <w:noWrap/>
            <w:hideMark/>
          </w:tcPr>
          <w:p w14:paraId="0D988B08" w14:textId="77777777" w:rsidR="0037516E" w:rsidRPr="0037516E" w:rsidRDefault="0037516E" w:rsidP="0037516E">
            <w:pPr>
              <w:pStyle w:val="TableHeading"/>
            </w:pPr>
            <w:r w:rsidRPr="0037516E">
              <w:t>Number of charges</w:t>
            </w:r>
          </w:p>
        </w:tc>
      </w:tr>
      <w:tr w:rsidR="0037516E" w:rsidRPr="0037516E" w14:paraId="11C3875E" w14:textId="77777777" w:rsidTr="0037516E">
        <w:trPr>
          <w:trHeight w:val="312"/>
        </w:trPr>
        <w:tc>
          <w:tcPr>
            <w:tcW w:w="2500" w:type="pct"/>
            <w:noWrap/>
            <w:hideMark/>
          </w:tcPr>
          <w:p w14:paraId="7DF58630" w14:textId="77777777" w:rsidR="0037516E" w:rsidRPr="0037516E" w:rsidRDefault="0037516E" w:rsidP="0037516E">
            <w:pPr>
              <w:pStyle w:val="TableBody"/>
            </w:pPr>
            <w:r w:rsidRPr="0037516E">
              <w:t>Imprisonment</w:t>
            </w:r>
          </w:p>
        </w:tc>
        <w:tc>
          <w:tcPr>
            <w:tcW w:w="2500" w:type="pct"/>
            <w:noWrap/>
            <w:hideMark/>
          </w:tcPr>
          <w:p w14:paraId="4F29CDA8" w14:textId="77777777" w:rsidR="0037516E" w:rsidRPr="0037516E" w:rsidRDefault="0037516E" w:rsidP="0037516E">
            <w:pPr>
              <w:pStyle w:val="TableBody"/>
            </w:pPr>
            <w:r w:rsidRPr="0037516E">
              <w:t>700</w:t>
            </w:r>
          </w:p>
        </w:tc>
      </w:tr>
      <w:tr w:rsidR="0037516E" w:rsidRPr="0037516E" w14:paraId="0D81473C" w14:textId="77777777" w:rsidTr="0037516E">
        <w:trPr>
          <w:trHeight w:val="312"/>
        </w:trPr>
        <w:tc>
          <w:tcPr>
            <w:tcW w:w="2500" w:type="pct"/>
            <w:noWrap/>
            <w:hideMark/>
          </w:tcPr>
          <w:p w14:paraId="152CD2C1" w14:textId="77777777" w:rsidR="0037516E" w:rsidRPr="0037516E" w:rsidRDefault="0037516E" w:rsidP="0037516E">
            <w:pPr>
              <w:pStyle w:val="TableBody"/>
            </w:pPr>
            <w:r w:rsidRPr="0037516E">
              <w:t>Community correction order</w:t>
            </w:r>
          </w:p>
        </w:tc>
        <w:tc>
          <w:tcPr>
            <w:tcW w:w="2500" w:type="pct"/>
            <w:noWrap/>
            <w:hideMark/>
          </w:tcPr>
          <w:p w14:paraId="739DF307" w14:textId="77777777" w:rsidR="0037516E" w:rsidRPr="0037516E" w:rsidRDefault="0037516E" w:rsidP="0037516E">
            <w:pPr>
              <w:pStyle w:val="TableBody"/>
            </w:pPr>
            <w:r w:rsidRPr="0037516E">
              <w:t>37</w:t>
            </w:r>
          </w:p>
        </w:tc>
      </w:tr>
      <w:tr w:rsidR="0037516E" w:rsidRPr="0037516E" w14:paraId="76C5C477" w14:textId="77777777" w:rsidTr="0037516E">
        <w:trPr>
          <w:trHeight w:val="312"/>
        </w:trPr>
        <w:tc>
          <w:tcPr>
            <w:tcW w:w="2500" w:type="pct"/>
            <w:noWrap/>
            <w:hideMark/>
          </w:tcPr>
          <w:p w14:paraId="33968DA8" w14:textId="77777777" w:rsidR="0037516E" w:rsidRPr="0037516E" w:rsidRDefault="0037516E" w:rsidP="0037516E">
            <w:pPr>
              <w:pStyle w:val="TableBody"/>
            </w:pPr>
            <w:r w:rsidRPr="0037516E">
              <w:t>Other</w:t>
            </w:r>
          </w:p>
        </w:tc>
        <w:tc>
          <w:tcPr>
            <w:tcW w:w="2500" w:type="pct"/>
            <w:noWrap/>
            <w:hideMark/>
          </w:tcPr>
          <w:p w14:paraId="31C53D19" w14:textId="77777777" w:rsidR="0037516E" w:rsidRPr="0037516E" w:rsidRDefault="0037516E" w:rsidP="0037516E">
            <w:pPr>
              <w:pStyle w:val="TableBody"/>
            </w:pPr>
            <w:r w:rsidRPr="0037516E">
              <w:t>13</w:t>
            </w:r>
          </w:p>
        </w:tc>
      </w:tr>
    </w:tbl>
    <w:p w14:paraId="78514967" w14:textId="77777777" w:rsidR="004C0661" w:rsidRPr="002369DB" w:rsidRDefault="004C0661" w:rsidP="00C474D2">
      <w:r w:rsidRPr="002369DB">
        <w:t>Of the 700 charges that received imprisonment, 655 were not part of an aggregate prison sentence. The lengths of those 655 charge-level prison sentences are shown in Figure 17: the shortest was 1 month,</w:t>
      </w:r>
      <w:r w:rsidRPr="002369DB">
        <w:rPr>
          <w:rStyle w:val="Superscript"/>
        </w:rPr>
        <w:footnoteReference w:id="114"/>
      </w:r>
      <w:r w:rsidRPr="002369DB">
        <w:t xml:space="preserve"> the longest was 7 years,</w:t>
      </w:r>
      <w:r w:rsidRPr="002369DB">
        <w:rPr>
          <w:rStyle w:val="Superscript"/>
        </w:rPr>
        <w:footnoteReference w:id="115"/>
      </w:r>
      <w:r w:rsidRPr="002369DB">
        <w:t xml:space="preserve"> and the median was 18 months.</w:t>
      </w:r>
      <w:r w:rsidRPr="002369DB">
        <w:rPr>
          <w:rStyle w:val="Superscript"/>
        </w:rPr>
        <w:footnoteReference w:id="116"/>
      </w:r>
      <w:r w:rsidRPr="002369DB">
        <w:t xml:space="preserve"> </w:t>
      </w:r>
    </w:p>
    <w:p w14:paraId="6179E6FB" w14:textId="77777777" w:rsidR="004C0661" w:rsidRPr="002369DB" w:rsidRDefault="004C0661" w:rsidP="00A775DC">
      <w:pPr>
        <w:pStyle w:val="Caption"/>
      </w:pPr>
      <w:r w:rsidRPr="002369DB">
        <w:t>Figure 17: Lengths of prison sentences imposed for using a carriage service to access, transmit, publish or solicit child abuse material in adult courts in Victoria (non-aggregate prison sentences only), 1 July 2018 to 30 June 2023 (655 charges)</w:t>
      </w:r>
    </w:p>
    <w:tbl>
      <w:tblPr>
        <w:tblStyle w:val="Table"/>
        <w:tblW w:w="5000" w:type="pct"/>
        <w:tblLook w:val="04A0" w:firstRow="1" w:lastRow="0" w:firstColumn="1" w:lastColumn="0" w:noHBand="0" w:noVBand="1"/>
      </w:tblPr>
      <w:tblGrid>
        <w:gridCol w:w="4508"/>
        <w:gridCol w:w="4508"/>
      </w:tblGrid>
      <w:tr w:rsidR="00AE6B74" w:rsidRPr="00AE6B74" w14:paraId="0DA7F37D" w14:textId="77777777" w:rsidTr="000D34EA">
        <w:trPr>
          <w:trHeight w:val="312"/>
          <w:tblHeader/>
        </w:trPr>
        <w:tc>
          <w:tcPr>
            <w:tcW w:w="2500" w:type="pct"/>
            <w:noWrap/>
            <w:hideMark/>
          </w:tcPr>
          <w:p w14:paraId="2069635E" w14:textId="1BE04A86" w:rsidR="00AE6B74" w:rsidRPr="00AE6B74" w:rsidRDefault="00AE6B74" w:rsidP="007E369F">
            <w:pPr>
              <w:pStyle w:val="TableHeading"/>
            </w:pPr>
            <w:r w:rsidRPr="00AE6B74">
              <w:t>Sentence length</w:t>
            </w:r>
          </w:p>
        </w:tc>
        <w:tc>
          <w:tcPr>
            <w:tcW w:w="2500" w:type="pct"/>
            <w:noWrap/>
            <w:hideMark/>
          </w:tcPr>
          <w:p w14:paraId="0615CEB7" w14:textId="3DCCFD42" w:rsidR="00AE6B74" w:rsidRPr="00AE6B74" w:rsidRDefault="00AE6B74" w:rsidP="007E369F">
            <w:pPr>
              <w:pStyle w:val="TableHeading"/>
            </w:pPr>
            <w:r>
              <w:t>Number</w:t>
            </w:r>
          </w:p>
        </w:tc>
      </w:tr>
      <w:tr w:rsidR="00AE6B74" w:rsidRPr="00AE6B74" w14:paraId="1AB51AB2" w14:textId="77777777" w:rsidTr="000D34EA">
        <w:trPr>
          <w:trHeight w:val="312"/>
        </w:trPr>
        <w:tc>
          <w:tcPr>
            <w:tcW w:w="2500" w:type="pct"/>
            <w:noWrap/>
            <w:hideMark/>
          </w:tcPr>
          <w:p w14:paraId="7F34ADF1" w14:textId="77777777" w:rsidR="00AE6B74" w:rsidRPr="00AE6B74" w:rsidRDefault="00AE6B74" w:rsidP="00AE6B74">
            <w:pPr>
              <w:pStyle w:val="TableBody"/>
            </w:pPr>
            <w:r w:rsidRPr="00AE6B74">
              <w:t>Less than 3 months</w:t>
            </w:r>
          </w:p>
        </w:tc>
        <w:tc>
          <w:tcPr>
            <w:tcW w:w="2500" w:type="pct"/>
            <w:noWrap/>
            <w:hideMark/>
          </w:tcPr>
          <w:p w14:paraId="2301E4D9" w14:textId="77777777" w:rsidR="00AE6B74" w:rsidRPr="00AE6B74" w:rsidRDefault="00AE6B74" w:rsidP="00AE6B74">
            <w:pPr>
              <w:pStyle w:val="TableBody"/>
            </w:pPr>
            <w:r w:rsidRPr="00AE6B74">
              <w:t>7</w:t>
            </w:r>
          </w:p>
        </w:tc>
      </w:tr>
      <w:tr w:rsidR="00AE6B74" w:rsidRPr="00AE6B74" w14:paraId="1FAD5814" w14:textId="77777777" w:rsidTr="000D34EA">
        <w:trPr>
          <w:trHeight w:val="312"/>
        </w:trPr>
        <w:tc>
          <w:tcPr>
            <w:tcW w:w="2500" w:type="pct"/>
            <w:noWrap/>
            <w:hideMark/>
          </w:tcPr>
          <w:p w14:paraId="30CDEB8B" w14:textId="77777777" w:rsidR="00AE6B74" w:rsidRPr="00AE6B74" w:rsidRDefault="00AE6B74" w:rsidP="00AE6B74">
            <w:pPr>
              <w:pStyle w:val="TableBody"/>
            </w:pPr>
            <w:r w:rsidRPr="00AE6B74">
              <w:t>3 to less than 6 months</w:t>
            </w:r>
          </w:p>
        </w:tc>
        <w:tc>
          <w:tcPr>
            <w:tcW w:w="2500" w:type="pct"/>
            <w:noWrap/>
            <w:hideMark/>
          </w:tcPr>
          <w:p w14:paraId="66D1F4E8" w14:textId="77777777" w:rsidR="00AE6B74" w:rsidRPr="00AE6B74" w:rsidRDefault="00AE6B74" w:rsidP="00AE6B74">
            <w:pPr>
              <w:pStyle w:val="TableBody"/>
            </w:pPr>
            <w:r w:rsidRPr="00AE6B74">
              <w:t>68</w:t>
            </w:r>
          </w:p>
        </w:tc>
      </w:tr>
      <w:tr w:rsidR="00AE6B74" w:rsidRPr="00AE6B74" w14:paraId="0A1C899F" w14:textId="77777777" w:rsidTr="000D34EA">
        <w:trPr>
          <w:trHeight w:val="312"/>
        </w:trPr>
        <w:tc>
          <w:tcPr>
            <w:tcW w:w="2500" w:type="pct"/>
            <w:noWrap/>
            <w:hideMark/>
          </w:tcPr>
          <w:p w14:paraId="5818AB0A" w14:textId="77777777" w:rsidR="00AE6B74" w:rsidRPr="00AE6B74" w:rsidRDefault="00AE6B74" w:rsidP="00AE6B74">
            <w:pPr>
              <w:pStyle w:val="TableBody"/>
            </w:pPr>
            <w:r w:rsidRPr="00AE6B74">
              <w:t>6 to less than 9 months</w:t>
            </w:r>
          </w:p>
        </w:tc>
        <w:tc>
          <w:tcPr>
            <w:tcW w:w="2500" w:type="pct"/>
            <w:noWrap/>
            <w:hideMark/>
          </w:tcPr>
          <w:p w14:paraId="45668C2E" w14:textId="77777777" w:rsidR="00AE6B74" w:rsidRPr="00AE6B74" w:rsidRDefault="00AE6B74" w:rsidP="00AE6B74">
            <w:pPr>
              <w:pStyle w:val="TableBody"/>
            </w:pPr>
            <w:r w:rsidRPr="00AE6B74">
              <w:t>61</w:t>
            </w:r>
          </w:p>
        </w:tc>
      </w:tr>
      <w:tr w:rsidR="00AE6B74" w:rsidRPr="00AE6B74" w14:paraId="76529A87" w14:textId="77777777" w:rsidTr="000D34EA">
        <w:trPr>
          <w:trHeight w:val="312"/>
        </w:trPr>
        <w:tc>
          <w:tcPr>
            <w:tcW w:w="2500" w:type="pct"/>
            <w:noWrap/>
            <w:hideMark/>
          </w:tcPr>
          <w:p w14:paraId="03D84220" w14:textId="77777777" w:rsidR="00AE6B74" w:rsidRPr="00AE6B74" w:rsidRDefault="00AE6B74" w:rsidP="00AE6B74">
            <w:pPr>
              <w:pStyle w:val="TableBody"/>
            </w:pPr>
            <w:r w:rsidRPr="00AE6B74">
              <w:t>9 to less than 12 months</w:t>
            </w:r>
          </w:p>
        </w:tc>
        <w:tc>
          <w:tcPr>
            <w:tcW w:w="2500" w:type="pct"/>
            <w:noWrap/>
            <w:hideMark/>
          </w:tcPr>
          <w:p w14:paraId="1A6D834B" w14:textId="77777777" w:rsidR="00AE6B74" w:rsidRPr="00AE6B74" w:rsidRDefault="00AE6B74" w:rsidP="00AE6B74">
            <w:pPr>
              <w:pStyle w:val="TableBody"/>
            </w:pPr>
            <w:r w:rsidRPr="00AE6B74">
              <w:t>47</w:t>
            </w:r>
          </w:p>
        </w:tc>
      </w:tr>
      <w:tr w:rsidR="00AE6B74" w:rsidRPr="00AE6B74" w14:paraId="6522ECFA" w14:textId="77777777" w:rsidTr="000D34EA">
        <w:trPr>
          <w:trHeight w:val="312"/>
        </w:trPr>
        <w:tc>
          <w:tcPr>
            <w:tcW w:w="2500" w:type="pct"/>
            <w:noWrap/>
            <w:hideMark/>
          </w:tcPr>
          <w:p w14:paraId="59FF156B" w14:textId="77777777" w:rsidR="00AE6B74" w:rsidRPr="00AE6B74" w:rsidRDefault="00AE6B74" w:rsidP="00AE6B74">
            <w:pPr>
              <w:pStyle w:val="TableBody"/>
            </w:pPr>
            <w:r w:rsidRPr="00AE6B74">
              <w:lastRenderedPageBreak/>
              <w:t>1 to less than 1.5 years</w:t>
            </w:r>
          </w:p>
        </w:tc>
        <w:tc>
          <w:tcPr>
            <w:tcW w:w="2500" w:type="pct"/>
            <w:noWrap/>
            <w:hideMark/>
          </w:tcPr>
          <w:p w14:paraId="29E584C3" w14:textId="77777777" w:rsidR="00AE6B74" w:rsidRPr="00AE6B74" w:rsidRDefault="00AE6B74" w:rsidP="00AE6B74">
            <w:pPr>
              <w:pStyle w:val="TableBody"/>
            </w:pPr>
            <w:r w:rsidRPr="00AE6B74">
              <w:t>150</w:t>
            </w:r>
          </w:p>
        </w:tc>
      </w:tr>
      <w:tr w:rsidR="00AE6B74" w:rsidRPr="00AE6B74" w14:paraId="6B3ED773" w14:textId="77777777" w:rsidTr="000D34EA">
        <w:trPr>
          <w:trHeight w:val="312"/>
        </w:trPr>
        <w:tc>
          <w:tcPr>
            <w:tcW w:w="2500" w:type="pct"/>
            <w:noWrap/>
            <w:hideMark/>
          </w:tcPr>
          <w:p w14:paraId="07EA1F3F" w14:textId="77777777" w:rsidR="00AE6B74" w:rsidRPr="00AE6B74" w:rsidRDefault="00AE6B74" w:rsidP="00AE6B74">
            <w:pPr>
              <w:pStyle w:val="TableBody"/>
            </w:pPr>
            <w:r w:rsidRPr="00AE6B74">
              <w:t>1.5 to less than 2 years</w:t>
            </w:r>
          </w:p>
        </w:tc>
        <w:tc>
          <w:tcPr>
            <w:tcW w:w="2500" w:type="pct"/>
            <w:noWrap/>
            <w:hideMark/>
          </w:tcPr>
          <w:p w14:paraId="3BBD60FF" w14:textId="77777777" w:rsidR="00AE6B74" w:rsidRPr="00AE6B74" w:rsidRDefault="00AE6B74" w:rsidP="00AE6B74">
            <w:pPr>
              <w:pStyle w:val="TableBody"/>
            </w:pPr>
            <w:r w:rsidRPr="00AE6B74">
              <w:t>74</w:t>
            </w:r>
          </w:p>
        </w:tc>
      </w:tr>
      <w:tr w:rsidR="00AE6B74" w:rsidRPr="00AE6B74" w14:paraId="39449A42" w14:textId="77777777" w:rsidTr="000D34EA">
        <w:trPr>
          <w:trHeight w:val="312"/>
        </w:trPr>
        <w:tc>
          <w:tcPr>
            <w:tcW w:w="2500" w:type="pct"/>
            <w:noWrap/>
            <w:hideMark/>
          </w:tcPr>
          <w:p w14:paraId="64DC352F" w14:textId="77777777" w:rsidR="00AE6B74" w:rsidRPr="00AE6B74" w:rsidRDefault="00AE6B74" w:rsidP="00AE6B74">
            <w:pPr>
              <w:pStyle w:val="TableBody"/>
            </w:pPr>
            <w:r w:rsidRPr="00AE6B74">
              <w:t>2 to less than 2.5 years</w:t>
            </w:r>
          </w:p>
        </w:tc>
        <w:tc>
          <w:tcPr>
            <w:tcW w:w="2500" w:type="pct"/>
            <w:noWrap/>
            <w:hideMark/>
          </w:tcPr>
          <w:p w14:paraId="6EF1472E" w14:textId="77777777" w:rsidR="00AE6B74" w:rsidRPr="00AE6B74" w:rsidRDefault="00AE6B74" w:rsidP="00AE6B74">
            <w:pPr>
              <w:pStyle w:val="TableBody"/>
            </w:pPr>
            <w:r w:rsidRPr="00AE6B74">
              <w:t>116</w:t>
            </w:r>
          </w:p>
        </w:tc>
      </w:tr>
      <w:tr w:rsidR="00AE6B74" w:rsidRPr="00AE6B74" w14:paraId="3737C45A" w14:textId="77777777" w:rsidTr="000D34EA">
        <w:trPr>
          <w:trHeight w:val="312"/>
        </w:trPr>
        <w:tc>
          <w:tcPr>
            <w:tcW w:w="2500" w:type="pct"/>
            <w:noWrap/>
            <w:hideMark/>
          </w:tcPr>
          <w:p w14:paraId="17DEBB35" w14:textId="77777777" w:rsidR="00AE6B74" w:rsidRPr="00AE6B74" w:rsidRDefault="00AE6B74" w:rsidP="00AE6B74">
            <w:pPr>
              <w:pStyle w:val="TableBody"/>
            </w:pPr>
            <w:r w:rsidRPr="00AE6B74">
              <w:t>2.5 to less than 3 years</w:t>
            </w:r>
          </w:p>
        </w:tc>
        <w:tc>
          <w:tcPr>
            <w:tcW w:w="2500" w:type="pct"/>
            <w:noWrap/>
            <w:hideMark/>
          </w:tcPr>
          <w:p w14:paraId="56C0A2F0" w14:textId="77777777" w:rsidR="00AE6B74" w:rsidRPr="00AE6B74" w:rsidRDefault="00AE6B74" w:rsidP="00AE6B74">
            <w:pPr>
              <w:pStyle w:val="TableBody"/>
            </w:pPr>
            <w:r w:rsidRPr="00AE6B74">
              <w:t>62</w:t>
            </w:r>
          </w:p>
        </w:tc>
      </w:tr>
      <w:tr w:rsidR="00AE6B74" w:rsidRPr="00AE6B74" w14:paraId="0D67EF5A" w14:textId="77777777" w:rsidTr="000D34EA">
        <w:trPr>
          <w:trHeight w:val="312"/>
        </w:trPr>
        <w:tc>
          <w:tcPr>
            <w:tcW w:w="2500" w:type="pct"/>
            <w:noWrap/>
            <w:hideMark/>
          </w:tcPr>
          <w:p w14:paraId="71749180" w14:textId="77777777" w:rsidR="00AE6B74" w:rsidRPr="00AE6B74" w:rsidRDefault="00AE6B74" w:rsidP="00AE6B74">
            <w:pPr>
              <w:pStyle w:val="TableBody"/>
            </w:pPr>
            <w:r w:rsidRPr="00AE6B74">
              <w:t>3 to less than 4 years</w:t>
            </w:r>
          </w:p>
        </w:tc>
        <w:tc>
          <w:tcPr>
            <w:tcW w:w="2500" w:type="pct"/>
            <w:noWrap/>
            <w:hideMark/>
          </w:tcPr>
          <w:p w14:paraId="1FFECF6B" w14:textId="77777777" w:rsidR="00AE6B74" w:rsidRPr="00AE6B74" w:rsidRDefault="00AE6B74" w:rsidP="00AE6B74">
            <w:pPr>
              <w:pStyle w:val="TableBody"/>
            </w:pPr>
            <w:r w:rsidRPr="00AE6B74">
              <w:t>35</w:t>
            </w:r>
          </w:p>
        </w:tc>
      </w:tr>
      <w:tr w:rsidR="00AE6B74" w:rsidRPr="00AE6B74" w14:paraId="3E8D7057" w14:textId="77777777" w:rsidTr="000D34EA">
        <w:trPr>
          <w:trHeight w:val="312"/>
        </w:trPr>
        <w:tc>
          <w:tcPr>
            <w:tcW w:w="2500" w:type="pct"/>
            <w:noWrap/>
            <w:hideMark/>
          </w:tcPr>
          <w:p w14:paraId="6755FB00" w14:textId="77777777" w:rsidR="00AE6B74" w:rsidRPr="00AE6B74" w:rsidRDefault="00AE6B74" w:rsidP="00AE6B74">
            <w:pPr>
              <w:pStyle w:val="TableBody"/>
            </w:pPr>
            <w:r w:rsidRPr="00AE6B74">
              <w:t>4 to less than 5 years</w:t>
            </w:r>
          </w:p>
        </w:tc>
        <w:tc>
          <w:tcPr>
            <w:tcW w:w="2500" w:type="pct"/>
            <w:noWrap/>
            <w:hideMark/>
          </w:tcPr>
          <w:p w14:paraId="688B2EC0" w14:textId="77777777" w:rsidR="00AE6B74" w:rsidRPr="00AE6B74" w:rsidRDefault="00AE6B74" w:rsidP="00AE6B74">
            <w:pPr>
              <w:pStyle w:val="TableBody"/>
            </w:pPr>
            <w:r w:rsidRPr="00AE6B74">
              <w:t>22</w:t>
            </w:r>
          </w:p>
        </w:tc>
      </w:tr>
      <w:tr w:rsidR="00AE6B74" w:rsidRPr="00AE6B74" w14:paraId="32AEB7F0" w14:textId="77777777" w:rsidTr="000D34EA">
        <w:trPr>
          <w:trHeight w:val="312"/>
        </w:trPr>
        <w:tc>
          <w:tcPr>
            <w:tcW w:w="2500" w:type="pct"/>
            <w:noWrap/>
            <w:hideMark/>
          </w:tcPr>
          <w:p w14:paraId="531B855B" w14:textId="77777777" w:rsidR="00AE6B74" w:rsidRPr="00AE6B74" w:rsidRDefault="00AE6B74" w:rsidP="00AE6B74">
            <w:pPr>
              <w:pStyle w:val="TableBody"/>
            </w:pPr>
            <w:r w:rsidRPr="00AE6B74">
              <w:t>5 years or more</w:t>
            </w:r>
          </w:p>
        </w:tc>
        <w:tc>
          <w:tcPr>
            <w:tcW w:w="2500" w:type="pct"/>
            <w:noWrap/>
            <w:hideMark/>
          </w:tcPr>
          <w:p w14:paraId="61D7E666" w14:textId="77777777" w:rsidR="00AE6B74" w:rsidRPr="00AE6B74" w:rsidRDefault="00AE6B74" w:rsidP="00AE6B74">
            <w:pPr>
              <w:pStyle w:val="TableBody"/>
            </w:pPr>
            <w:r w:rsidRPr="00AE6B74">
              <w:t>13</w:t>
            </w:r>
          </w:p>
        </w:tc>
      </w:tr>
    </w:tbl>
    <w:p w14:paraId="1FC3987C" w14:textId="77777777" w:rsidR="004C0661" w:rsidRPr="002369DB" w:rsidRDefault="004C0661" w:rsidP="00C474D2">
      <w:r w:rsidRPr="002369DB">
        <w:t>The prison sentence of 7 years was imposed for a rolled-up charge ‘comprising 57 occasions’ of using a carriage service to transmit child abuse material relating to the offender’s three children (aged 11, 9 and 5 at the time).</w:t>
      </w:r>
      <w:r w:rsidRPr="002369DB">
        <w:rPr>
          <w:rStyle w:val="Superscript"/>
        </w:rPr>
        <w:footnoteReference w:id="117"/>
      </w:r>
      <w:r w:rsidRPr="002369DB">
        <w:t xml:space="preserve"> The offending in that case was co-sentenced with charges involving persistent sexual abuse of the offender’s 5-year-old daughter over a number of months, sexual assault of his 11-year-old son, possessing child abuse material, and producing child abuse material. The total effective sentence imposed in that case was 16 years’ imprisonment (for the Victorian and Commonwealth offending together) with a non-parole period of 12 years. The next-longest prison sentence for this offence was 6 years (for 4 charges in 3 cases). Two of those cases involved high-volume child sex offending over a protracted period with young children,</w:t>
      </w:r>
      <w:r w:rsidRPr="002369DB">
        <w:rPr>
          <w:rStyle w:val="Superscript"/>
        </w:rPr>
        <w:footnoteReference w:id="118"/>
      </w:r>
      <w:r w:rsidRPr="002369DB">
        <w:t xml:space="preserve"> and the other case involved an offender with a prior conviction for possessing child abuse material who, during phone calls, communicated ‘depraved and explicit descriptions of sexual activity between adults and children’.</w:t>
      </w:r>
      <w:r w:rsidRPr="002369DB">
        <w:rPr>
          <w:rStyle w:val="Superscript"/>
        </w:rPr>
        <w:footnoteReference w:id="119"/>
      </w:r>
    </w:p>
    <w:p w14:paraId="2DBD9FB2" w14:textId="77777777" w:rsidR="004C0661" w:rsidRPr="002369DB" w:rsidRDefault="004C0661" w:rsidP="007E07CF">
      <w:r w:rsidRPr="002369DB">
        <w:lastRenderedPageBreak/>
        <w:t xml:space="preserve">Using a carriage service to access, transmit, publish or solicit child abuse material was the principal proven offence in 92 of the 203 cases involving that offence. The total effective sentence lengths in those 92 cases are shown in Figure 18. Total effective sentence lengths ranged from 51 days to 13.5 years, with a median of 1 year. There were 22 cases in which the offender was sentenced to imprisonment with immediate release on a recognizance release order, without any time served on remand. The 5 cases that received a prison sentence of 5 years or more included: </w:t>
      </w:r>
    </w:p>
    <w:p w14:paraId="5EA4308D" w14:textId="77777777" w:rsidR="004C0661" w:rsidRPr="002369DB" w:rsidRDefault="004C0661" w:rsidP="00622026">
      <w:pPr>
        <w:pStyle w:val="Bullets"/>
      </w:pPr>
      <w:r w:rsidRPr="002369DB">
        <w:t>7.5 years’ imprisonment imposed on an offender who had prior convictions for child abuse material offences</w:t>
      </w:r>
      <w:r w:rsidRPr="002369DB">
        <w:rPr>
          <w:rStyle w:val="Superscript"/>
        </w:rPr>
        <w:footnoteReference w:id="120"/>
      </w:r>
    </w:p>
    <w:p w14:paraId="5BE77699" w14:textId="77777777" w:rsidR="004C0661" w:rsidRPr="002369DB" w:rsidRDefault="004C0661" w:rsidP="00622026">
      <w:pPr>
        <w:pStyle w:val="Bullets"/>
      </w:pPr>
      <w:r w:rsidRPr="002369DB">
        <w:t>8 years’ imprisonment imposed on another offender who had prior convictions for child abuse material offences</w:t>
      </w:r>
      <w:r w:rsidRPr="002369DB">
        <w:rPr>
          <w:rStyle w:val="Superscript"/>
        </w:rPr>
        <w:footnoteReference w:id="121"/>
      </w:r>
    </w:p>
    <w:p w14:paraId="59BDC291" w14:textId="77777777" w:rsidR="004C0661" w:rsidRPr="002369DB" w:rsidRDefault="004C0661" w:rsidP="00622026">
      <w:pPr>
        <w:pStyle w:val="Bullets"/>
      </w:pPr>
      <w:r w:rsidRPr="002369DB">
        <w:t>10 and 8 years’ imprisonment, respectively, imposed on two male offenders in the same case who were in a relationship and (among other things) regularly exchanged detailed text messages of hypothetical and violent sexual situations they imagined engaging in with children, 19 of whom were known to the offenders (with the offenders also exchanging images of those children), and the children ranged in age from ‘a few months to 14 years’,</w:t>
      </w:r>
      <w:r w:rsidRPr="002369DB">
        <w:rPr>
          <w:rStyle w:val="Superscript"/>
        </w:rPr>
        <w:footnoteReference w:id="122"/>
      </w:r>
      <w:r w:rsidRPr="002369DB">
        <w:t xml:space="preserve"> and</w:t>
      </w:r>
    </w:p>
    <w:p w14:paraId="5FDE1F99" w14:textId="77777777" w:rsidR="004C0661" w:rsidRPr="002369DB" w:rsidRDefault="004C0661" w:rsidP="00622026">
      <w:pPr>
        <w:pStyle w:val="Bullets"/>
      </w:pPr>
      <w:r w:rsidRPr="002369DB">
        <w:t xml:space="preserve">13.5 years’ imprisonment imposed on a man who encouraged children to send ‘images and videos of themselves naked and performing sex acts’ via social media, and then threatened to share, </w:t>
      </w:r>
      <w:r w:rsidRPr="002369DB">
        <w:lastRenderedPageBreak/>
        <w:t xml:space="preserve">and </w:t>
      </w:r>
      <w:proofErr w:type="gramStart"/>
      <w:r w:rsidRPr="002369DB">
        <w:t>actually did</w:t>
      </w:r>
      <w:proofErr w:type="gramEnd"/>
      <w:r w:rsidRPr="002369DB">
        <w:t xml:space="preserve"> share, copies of those photos and videos with the children’s friends and families if they did not share more photos and videos.</w:t>
      </w:r>
      <w:r w:rsidRPr="002369DB">
        <w:rPr>
          <w:rStyle w:val="Superscript"/>
        </w:rPr>
        <w:footnoteReference w:id="123"/>
      </w:r>
    </w:p>
    <w:p w14:paraId="18FA431D" w14:textId="77777777" w:rsidR="00D217F0" w:rsidRPr="002369DB" w:rsidRDefault="00D217F0" w:rsidP="00A775DC">
      <w:pPr>
        <w:pStyle w:val="Caption"/>
      </w:pPr>
      <w:r w:rsidRPr="002369DB">
        <w:t>Figure 18: Total effective sentence lengths imposed for using a carriage service for child abuse material in adult courts in Victoria, 1 July 2018 to 30 June 2023 (92 cases)</w:t>
      </w:r>
    </w:p>
    <w:tbl>
      <w:tblPr>
        <w:tblStyle w:val="Table"/>
        <w:tblW w:w="5000" w:type="pct"/>
        <w:tblLook w:val="04A0" w:firstRow="1" w:lastRow="0" w:firstColumn="1" w:lastColumn="0" w:noHBand="0" w:noVBand="1"/>
      </w:tblPr>
      <w:tblGrid>
        <w:gridCol w:w="7390"/>
        <w:gridCol w:w="1626"/>
      </w:tblGrid>
      <w:tr w:rsidR="00A96F0B" w:rsidRPr="00CC5594" w14:paraId="2FEEBCC0" w14:textId="77777777" w:rsidTr="00266462">
        <w:trPr>
          <w:trHeight w:val="312"/>
          <w:tblHeader/>
        </w:trPr>
        <w:tc>
          <w:tcPr>
            <w:tcW w:w="4098" w:type="pct"/>
            <w:noWrap/>
          </w:tcPr>
          <w:p w14:paraId="7FC49EC7" w14:textId="77777777" w:rsidR="00A96F0B" w:rsidRPr="00F76A6E" w:rsidRDefault="00A96F0B" w:rsidP="00F76A6E">
            <w:pPr>
              <w:pStyle w:val="TableHeading"/>
            </w:pPr>
            <w:r w:rsidRPr="00F76A6E">
              <w:t>Length</w:t>
            </w:r>
          </w:p>
        </w:tc>
        <w:tc>
          <w:tcPr>
            <w:tcW w:w="902" w:type="pct"/>
            <w:noWrap/>
          </w:tcPr>
          <w:p w14:paraId="350C3234" w14:textId="77777777" w:rsidR="00A96F0B" w:rsidRPr="00F76A6E" w:rsidRDefault="00A96F0B" w:rsidP="00F76A6E">
            <w:pPr>
              <w:pStyle w:val="TableHeading"/>
            </w:pPr>
            <w:r w:rsidRPr="00F76A6E">
              <w:t>Number</w:t>
            </w:r>
          </w:p>
        </w:tc>
      </w:tr>
      <w:tr w:rsidR="00A96F0B" w:rsidRPr="00CC5594" w14:paraId="67EF2CA9" w14:textId="77777777" w:rsidTr="00266462">
        <w:trPr>
          <w:trHeight w:val="312"/>
        </w:trPr>
        <w:tc>
          <w:tcPr>
            <w:tcW w:w="4098" w:type="pct"/>
            <w:noWrap/>
            <w:hideMark/>
          </w:tcPr>
          <w:p w14:paraId="74CBCCA4" w14:textId="77777777" w:rsidR="00A96F0B" w:rsidRPr="00CC5594" w:rsidRDefault="00A96F0B" w:rsidP="007F75D1">
            <w:pPr>
              <w:pStyle w:val="TableBody"/>
            </w:pPr>
            <w:r w:rsidRPr="00CC5594">
              <w:t>Less than 1 year</w:t>
            </w:r>
          </w:p>
        </w:tc>
        <w:tc>
          <w:tcPr>
            <w:tcW w:w="902" w:type="pct"/>
            <w:noWrap/>
            <w:hideMark/>
          </w:tcPr>
          <w:p w14:paraId="4976A6F0" w14:textId="77777777" w:rsidR="00A96F0B" w:rsidRPr="00CC5594" w:rsidRDefault="00A96F0B" w:rsidP="007F75D1">
            <w:pPr>
              <w:pStyle w:val="TableBody"/>
            </w:pPr>
            <w:r w:rsidRPr="00CC5594">
              <w:t>27</w:t>
            </w:r>
          </w:p>
        </w:tc>
      </w:tr>
      <w:tr w:rsidR="00A96F0B" w:rsidRPr="00CC5594" w14:paraId="6D1C53A3" w14:textId="77777777" w:rsidTr="00266462">
        <w:trPr>
          <w:trHeight w:val="312"/>
        </w:trPr>
        <w:tc>
          <w:tcPr>
            <w:tcW w:w="4098" w:type="pct"/>
            <w:noWrap/>
            <w:hideMark/>
          </w:tcPr>
          <w:p w14:paraId="5D9149AD" w14:textId="77777777" w:rsidR="00A96F0B" w:rsidRPr="00CC5594" w:rsidRDefault="00A96F0B" w:rsidP="007F75D1">
            <w:pPr>
              <w:pStyle w:val="TableBody"/>
            </w:pPr>
            <w:r w:rsidRPr="00CC5594">
              <w:t>1 to less than 2 years</w:t>
            </w:r>
          </w:p>
        </w:tc>
        <w:tc>
          <w:tcPr>
            <w:tcW w:w="902" w:type="pct"/>
            <w:noWrap/>
            <w:hideMark/>
          </w:tcPr>
          <w:p w14:paraId="29C45C79" w14:textId="77777777" w:rsidR="00A96F0B" w:rsidRPr="00CC5594" w:rsidRDefault="00A96F0B" w:rsidP="007F75D1">
            <w:pPr>
              <w:pStyle w:val="TableBody"/>
            </w:pPr>
            <w:r w:rsidRPr="00CC5594">
              <w:t>18</w:t>
            </w:r>
          </w:p>
        </w:tc>
      </w:tr>
      <w:tr w:rsidR="00A96F0B" w:rsidRPr="00CC5594" w14:paraId="4EC93BFC" w14:textId="77777777" w:rsidTr="00266462">
        <w:trPr>
          <w:trHeight w:val="312"/>
        </w:trPr>
        <w:tc>
          <w:tcPr>
            <w:tcW w:w="4098" w:type="pct"/>
            <w:noWrap/>
            <w:hideMark/>
          </w:tcPr>
          <w:p w14:paraId="72C19191" w14:textId="77777777" w:rsidR="00A96F0B" w:rsidRPr="00CC5594" w:rsidRDefault="00A96F0B" w:rsidP="007F75D1">
            <w:pPr>
              <w:pStyle w:val="TableBody"/>
            </w:pPr>
            <w:r w:rsidRPr="00CC5594">
              <w:t>2 to less than 3 years</w:t>
            </w:r>
          </w:p>
        </w:tc>
        <w:tc>
          <w:tcPr>
            <w:tcW w:w="902" w:type="pct"/>
            <w:noWrap/>
            <w:hideMark/>
          </w:tcPr>
          <w:p w14:paraId="06FA6389" w14:textId="77777777" w:rsidR="00A96F0B" w:rsidRPr="00CC5594" w:rsidRDefault="00A96F0B" w:rsidP="007F75D1">
            <w:pPr>
              <w:pStyle w:val="TableBody"/>
            </w:pPr>
            <w:r w:rsidRPr="00CC5594">
              <w:t>5</w:t>
            </w:r>
          </w:p>
        </w:tc>
      </w:tr>
      <w:tr w:rsidR="00A96F0B" w:rsidRPr="00CC5594" w14:paraId="1A0A2931" w14:textId="77777777" w:rsidTr="00266462">
        <w:trPr>
          <w:trHeight w:val="312"/>
        </w:trPr>
        <w:tc>
          <w:tcPr>
            <w:tcW w:w="4098" w:type="pct"/>
            <w:noWrap/>
            <w:hideMark/>
          </w:tcPr>
          <w:p w14:paraId="190F1BC0" w14:textId="77777777" w:rsidR="00A96F0B" w:rsidRPr="00CC5594" w:rsidRDefault="00A96F0B" w:rsidP="007F75D1">
            <w:pPr>
              <w:pStyle w:val="TableBody"/>
            </w:pPr>
            <w:r w:rsidRPr="00CC5594">
              <w:t>3 to less than 4 years</w:t>
            </w:r>
          </w:p>
        </w:tc>
        <w:tc>
          <w:tcPr>
            <w:tcW w:w="902" w:type="pct"/>
            <w:noWrap/>
            <w:hideMark/>
          </w:tcPr>
          <w:p w14:paraId="73A8491F" w14:textId="77777777" w:rsidR="00A96F0B" w:rsidRPr="00CC5594" w:rsidRDefault="00A96F0B" w:rsidP="007F75D1">
            <w:pPr>
              <w:pStyle w:val="TableBody"/>
            </w:pPr>
            <w:r w:rsidRPr="00CC5594">
              <w:t>3</w:t>
            </w:r>
          </w:p>
        </w:tc>
      </w:tr>
      <w:tr w:rsidR="00A96F0B" w:rsidRPr="00CC5594" w14:paraId="021D8843" w14:textId="77777777" w:rsidTr="00266462">
        <w:trPr>
          <w:trHeight w:val="312"/>
        </w:trPr>
        <w:tc>
          <w:tcPr>
            <w:tcW w:w="4098" w:type="pct"/>
            <w:noWrap/>
            <w:hideMark/>
          </w:tcPr>
          <w:p w14:paraId="12DB0B41" w14:textId="77777777" w:rsidR="00A96F0B" w:rsidRPr="00CC5594" w:rsidRDefault="00A96F0B" w:rsidP="007F75D1">
            <w:pPr>
              <w:pStyle w:val="TableBody"/>
            </w:pPr>
            <w:r w:rsidRPr="00CC5594">
              <w:t>4 to less than 5 years</w:t>
            </w:r>
          </w:p>
        </w:tc>
        <w:tc>
          <w:tcPr>
            <w:tcW w:w="902" w:type="pct"/>
            <w:noWrap/>
            <w:hideMark/>
          </w:tcPr>
          <w:p w14:paraId="784B76E8" w14:textId="77777777" w:rsidR="00A96F0B" w:rsidRPr="00CC5594" w:rsidRDefault="00A96F0B" w:rsidP="007F75D1">
            <w:pPr>
              <w:pStyle w:val="TableBody"/>
            </w:pPr>
            <w:r w:rsidRPr="00CC5594">
              <w:t>12</w:t>
            </w:r>
          </w:p>
        </w:tc>
      </w:tr>
      <w:tr w:rsidR="00A96F0B" w:rsidRPr="00CC5594" w14:paraId="2FD721F3" w14:textId="77777777" w:rsidTr="00266462">
        <w:trPr>
          <w:trHeight w:val="312"/>
        </w:trPr>
        <w:tc>
          <w:tcPr>
            <w:tcW w:w="4098" w:type="pct"/>
            <w:noWrap/>
            <w:hideMark/>
          </w:tcPr>
          <w:p w14:paraId="42012E0F" w14:textId="77777777" w:rsidR="00A96F0B" w:rsidRPr="00CC5594" w:rsidRDefault="00A96F0B" w:rsidP="007F75D1">
            <w:pPr>
              <w:pStyle w:val="TableBody"/>
            </w:pPr>
            <w:r w:rsidRPr="00CC5594">
              <w:t>5 years or more</w:t>
            </w:r>
          </w:p>
        </w:tc>
        <w:tc>
          <w:tcPr>
            <w:tcW w:w="902" w:type="pct"/>
            <w:noWrap/>
            <w:hideMark/>
          </w:tcPr>
          <w:p w14:paraId="4250C660" w14:textId="77777777" w:rsidR="00A96F0B" w:rsidRPr="00CC5594" w:rsidRDefault="00A96F0B" w:rsidP="007F75D1">
            <w:pPr>
              <w:pStyle w:val="TableBody"/>
            </w:pPr>
            <w:r w:rsidRPr="00CC5594">
              <w:t>5</w:t>
            </w:r>
          </w:p>
        </w:tc>
      </w:tr>
      <w:tr w:rsidR="00A96F0B" w:rsidRPr="00CC5594" w14:paraId="25B46174" w14:textId="77777777" w:rsidTr="00266462">
        <w:trPr>
          <w:trHeight w:val="312"/>
        </w:trPr>
        <w:tc>
          <w:tcPr>
            <w:tcW w:w="4098" w:type="pct"/>
            <w:noWrap/>
            <w:hideMark/>
          </w:tcPr>
          <w:p w14:paraId="6B3E2F48" w14:textId="3C29B76E" w:rsidR="00A96F0B" w:rsidRPr="00CC5594" w:rsidRDefault="007D2168" w:rsidP="007F75D1">
            <w:pPr>
              <w:pStyle w:val="TableBody"/>
            </w:pPr>
            <w:r>
              <w:t>Recognizance release order</w:t>
            </w:r>
            <w:r w:rsidR="00A96F0B" w:rsidRPr="00CC5594">
              <w:t xml:space="preserve"> with no time served</w:t>
            </w:r>
          </w:p>
        </w:tc>
        <w:tc>
          <w:tcPr>
            <w:tcW w:w="902" w:type="pct"/>
            <w:noWrap/>
            <w:hideMark/>
          </w:tcPr>
          <w:p w14:paraId="4BA8CC59" w14:textId="77777777" w:rsidR="00A96F0B" w:rsidRPr="00CC5594" w:rsidRDefault="00A96F0B" w:rsidP="007F75D1">
            <w:pPr>
              <w:pStyle w:val="TableBody"/>
            </w:pPr>
            <w:r w:rsidRPr="00CC5594">
              <w:t>22</w:t>
            </w:r>
          </w:p>
        </w:tc>
      </w:tr>
    </w:tbl>
    <w:p w14:paraId="676F1223" w14:textId="07926F24" w:rsidR="004C0661" w:rsidRPr="002369DB" w:rsidRDefault="004C0661" w:rsidP="00622026">
      <w:pPr>
        <w:pStyle w:val="Heading2"/>
      </w:pPr>
      <w:r w:rsidRPr="002369DB">
        <w:t xml:space="preserve">Unlawful parking at Melbourne (Tullamarine) Airport </w:t>
      </w:r>
    </w:p>
    <w:p w14:paraId="2B17B596" w14:textId="77777777" w:rsidR="004C0661" w:rsidRPr="002369DB" w:rsidRDefault="004C0661" w:rsidP="00C474D2">
      <w:r w:rsidRPr="002369DB">
        <w:t xml:space="preserve">Regulation 107(2) of the </w:t>
      </w:r>
      <w:r w:rsidRPr="002369DB">
        <w:rPr>
          <w:rStyle w:val="Italic"/>
        </w:rPr>
        <w:t xml:space="preserve">Airports (Control of On-Airport Activities) Regulations 1997 </w:t>
      </w:r>
      <w:r w:rsidRPr="002369DB">
        <w:t>(</w:t>
      </w:r>
      <w:proofErr w:type="spellStart"/>
      <w:r w:rsidRPr="002369DB">
        <w:t>Cth</w:t>
      </w:r>
      <w:proofErr w:type="spellEnd"/>
      <w:r w:rsidRPr="002369DB">
        <w:t xml:space="preserve">) (‘the </w:t>
      </w:r>
      <w:r w:rsidRPr="002369DB">
        <w:rPr>
          <w:rStyle w:val="Italic"/>
        </w:rPr>
        <w:t>Airports Regulations</w:t>
      </w:r>
      <w:r w:rsidRPr="002369DB">
        <w:t xml:space="preserve">’) picks up various offences pertaining to </w:t>
      </w:r>
      <w:proofErr w:type="gramStart"/>
      <w:r w:rsidRPr="002369DB">
        <w:t>a number of</w:t>
      </w:r>
      <w:proofErr w:type="gramEnd"/>
      <w:r w:rsidRPr="002369DB">
        <w:t xml:space="preserve"> airports around the country in the </w:t>
      </w:r>
      <w:r w:rsidRPr="002369DB">
        <w:rPr>
          <w:rStyle w:val="Italic"/>
        </w:rPr>
        <w:t xml:space="preserve">Australian Road Rules </w:t>
      </w:r>
      <w:r w:rsidRPr="002369DB">
        <w:t xml:space="preserve">if those offences are specified in Schedule 2 of the </w:t>
      </w:r>
      <w:r w:rsidRPr="002369DB">
        <w:rPr>
          <w:rStyle w:val="Italic"/>
        </w:rPr>
        <w:t>Airports</w:t>
      </w:r>
      <w:r w:rsidRPr="002369DB">
        <w:t xml:space="preserve"> </w:t>
      </w:r>
      <w:r w:rsidRPr="002369DB">
        <w:rPr>
          <w:rStyle w:val="Italic"/>
        </w:rPr>
        <w:t>Regulations</w:t>
      </w:r>
      <w:r w:rsidRPr="002369DB">
        <w:t xml:space="preserve">. There are dozens of offences in Schedule 2, two of which are parking in a no-parking area (maximum penalty of 3 penalty units) and failing to comply with a parking fee sign (maximum penalty of 3 penalty units). Recent figures suggest that fines for unlawful parking at Melbourne (Tullamarine) Airport amount to over $300,000 per year, </w:t>
      </w:r>
      <w:r w:rsidRPr="002369DB">
        <w:lastRenderedPageBreak/>
        <w:t>though the cost of administering the infringement notices was said to exceed that amount.</w:t>
      </w:r>
      <w:r w:rsidRPr="002369DB">
        <w:rPr>
          <w:rStyle w:val="Superscript"/>
        </w:rPr>
        <w:footnoteReference w:id="124"/>
      </w:r>
    </w:p>
    <w:p w14:paraId="479E1269" w14:textId="77777777" w:rsidR="004C0661" w:rsidRPr="002369DB" w:rsidRDefault="004C0661" w:rsidP="00C474D2">
      <w:r w:rsidRPr="002369DB">
        <w:t>Court data indicates that there were 289 charges of failing to comply with a parking fee sign (item 26 of Schedule 2) sentenced in 282 cases, and 154 charges of parking in a no-parking area (item 2 of Schedule 2) sentenced in 151 cases. These are only the charges that were brought to court (most infringement notices for other offences in Schedule 2 would have been paid and expiated prior to any court proceedings). Given the relative similarity between the two parking offences (items 2 and 26 of Schedule 2), including an identical maximum fine and extremely similar sentencing practices, we have grouped them here for reporting purposes.</w:t>
      </w:r>
    </w:p>
    <w:p w14:paraId="16351499" w14:textId="77777777" w:rsidR="004C0661" w:rsidRPr="002369DB" w:rsidRDefault="004C0661" w:rsidP="00C474D2">
      <w:r w:rsidRPr="002369DB">
        <w:t>Of the 443 charges of these two unlawful parking offences sentenced in Victorian courts during the five-year period, the vast majority received a fine (94%, or 415 charges) (Figure 19). The remaining 28 charges were dismissed without conviction.</w:t>
      </w:r>
    </w:p>
    <w:p w14:paraId="49E088C2" w14:textId="77777777" w:rsidR="00AA64A8" w:rsidRPr="002369DB" w:rsidRDefault="00AA64A8" w:rsidP="00B80CF2">
      <w:pPr>
        <w:pStyle w:val="Caption"/>
      </w:pPr>
      <w:r w:rsidRPr="002369DB">
        <w:t>Figure 19: Sentence types imposed for unlawful parking at Melbourne (Tullamarine) Airport in adult courts in Victoria, 1 July 2018 to 30 June 2023 (443 charges)</w:t>
      </w:r>
    </w:p>
    <w:tbl>
      <w:tblPr>
        <w:tblStyle w:val="Table"/>
        <w:tblW w:w="5000" w:type="pct"/>
        <w:tblLook w:val="04A0" w:firstRow="1" w:lastRow="0" w:firstColumn="1" w:lastColumn="0" w:noHBand="0" w:noVBand="1"/>
      </w:tblPr>
      <w:tblGrid>
        <w:gridCol w:w="4508"/>
        <w:gridCol w:w="4508"/>
      </w:tblGrid>
      <w:tr w:rsidR="00AB0AEA" w:rsidRPr="00AB0AEA" w14:paraId="68993988" w14:textId="77777777" w:rsidTr="00AB0AEA">
        <w:trPr>
          <w:trHeight w:val="312"/>
          <w:tblHeader/>
        </w:trPr>
        <w:tc>
          <w:tcPr>
            <w:tcW w:w="2500" w:type="pct"/>
            <w:noWrap/>
          </w:tcPr>
          <w:p w14:paraId="6E141AC3" w14:textId="052A97FF" w:rsidR="00AB0AEA" w:rsidRPr="00AB0AEA" w:rsidRDefault="00AB0AEA" w:rsidP="00AB0AEA">
            <w:pPr>
              <w:pStyle w:val="TableHeading"/>
            </w:pPr>
            <w:r w:rsidRPr="00AB0AEA">
              <w:t>Sentence type</w:t>
            </w:r>
          </w:p>
        </w:tc>
        <w:tc>
          <w:tcPr>
            <w:tcW w:w="2500" w:type="pct"/>
            <w:noWrap/>
          </w:tcPr>
          <w:p w14:paraId="1453A979" w14:textId="547547E5" w:rsidR="00AB0AEA" w:rsidRPr="00AB0AEA" w:rsidRDefault="00AB0AEA" w:rsidP="00AB0AEA">
            <w:pPr>
              <w:pStyle w:val="TableHeading"/>
            </w:pPr>
            <w:r w:rsidRPr="00AB0AEA">
              <w:t>Number</w:t>
            </w:r>
          </w:p>
        </w:tc>
      </w:tr>
      <w:tr w:rsidR="00AB0AEA" w:rsidRPr="00AB0AEA" w14:paraId="6EF87771" w14:textId="77777777" w:rsidTr="00AB0AEA">
        <w:trPr>
          <w:trHeight w:val="312"/>
        </w:trPr>
        <w:tc>
          <w:tcPr>
            <w:tcW w:w="2500" w:type="pct"/>
            <w:noWrap/>
            <w:hideMark/>
          </w:tcPr>
          <w:p w14:paraId="1861BA18" w14:textId="77777777" w:rsidR="00AB0AEA" w:rsidRPr="00AB0AEA" w:rsidRDefault="00AB0AEA" w:rsidP="00AB0AEA">
            <w:pPr>
              <w:pStyle w:val="TableBody"/>
            </w:pPr>
            <w:r w:rsidRPr="00AB0AEA">
              <w:t>Dismissed without conviction</w:t>
            </w:r>
          </w:p>
        </w:tc>
        <w:tc>
          <w:tcPr>
            <w:tcW w:w="2500" w:type="pct"/>
            <w:noWrap/>
            <w:hideMark/>
          </w:tcPr>
          <w:p w14:paraId="782CEFCD" w14:textId="77777777" w:rsidR="00AB0AEA" w:rsidRPr="00AB0AEA" w:rsidRDefault="00AB0AEA" w:rsidP="00AB0AEA">
            <w:pPr>
              <w:pStyle w:val="TableBody"/>
            </w:pPr>
            <w:r w:rsidRPr="00AB0AEA">
              <w:t>28</w:t>
            </w:r>
          </w:p>
        </w:tc>
      </w:tr>
      <w:tr w:rsidR="00AB0AEA" w:rsidRPr="00AB0AEA" w14:paraId="5D8AD0FE" w14:textId="77777777" w:rsidTr="00AB0AEA">
        <w:trPr>
          <w:trHeight w:val="312"/>
        </w:trPr>
        <w:tc>
          <w:tcPr>
            <w:tcW w:w="2500" w:type="pct"/>
            <w:noWrap/>
            <w:hideMark/>
          </w:tcPr>
          <w:p w14:paraId="4D0B2083" w14:textId="77777777" w:rsidR="00AB0AEA" w:rsidRPr="00AB0AEA" w:rsidRDefault="00AB0AEA" w:rsidP="00AB0AEA">
            <w:pPr>
              <w:pStyle w:val="TableBody"/>
            </w:pPr>
            <w:r w:rsidRPr="00AB0AEA">
              <w:t>Fine</w:t>
            </w:r>
          </w:p>
        </w:tc>
        <w:tc>
          <w:tcPr>
            <w:tcW w:w="2500" w:type="pct"/>
            <w:noWrap/>
            <w:hideMark/>
          </w:tcPr>
          <w:p w14:paraId="3EEB222C" w14:textId="77777777" w:rsidR="00AB0AEA" w:rsidRPr="00AB0AEA" w:rsidRDefault="00AB0AEA" w:rsidP="00AB0AEA">
            <w:pPr>
              <w:pStyle w:val="TableBody"/>
            </w:pPr>
            <w:r w:rsidRPr="00AB0AEA">
              <w:t>415</w:t>
            </w:r>
          </w:p>
        </w:tc>
      </w:tr>
    </w:tbl>
    <w:p w14:paraId="0D63EBE1" w14:textId="77777777" w:rsidR="004C0661" w:rsidRPr="002369DB" w:rsidRDefault="004C0661" w:rsidP="00C474D2">
      <w:r w:rsidRPr="002369DB">
        <w:t xml:space="preserve">As to the values of those fines, regulation 147 of the </w:t>
      </w:r>
      <w:r w:rsidRPr="002369DB">
        <w:rPr>
          <w:rStyle w:val="Italic"/>
        </w:rPr>
        <w:t>Airports</w:t>
      </w:r>
      <w:r w:rsidRPr="002369DB">
        <w:t xml:space="preserve"> </w:t>
      </w:r>
      <w:r w:rsidRPr="002369DB">
        <w:rPr>
          <w:rStyle w:val="Italic"/>
        </w:rPr>
        <w:t xml:space="preserve">Regulations </w:t>
      </w:r>
      <w:r w:rsidRPr="002369DB">
        <w:t>specifies that the infringement penalty for contravening an offence in Schedule 2 is one-fifth of the maximum penalty; therefore, a maximum of 3 penalty units equates to an infringement penalty of 0.6 penalty units.</w:t>
      </w:r>
      <w:r w:rsidRPr="002369DB">
        <w:rPr>
          <w:rStyle w:val="Superscript"/>
        </w:rPr>
        <w:footnoteReference w:id="125"/>
      </w:r>
      <w:r w:rsidRPr="002369DB">
        <w:t xml:space="preserve"> The dollar value of a penalty unit in federal legislation is set by section 4AA of the </w:t>
      </w:r>
      <w:r w:rsidRPr="002369DB">
        <w:rPr>
          <w:rStyle w:val="Italic"/>
        </w:rPr>
        <w:t xml:space="preserve">Crimes Act 1914 </w:t>
      </w:r>
      <w:r w:rsidRPr="002369DB">
        <w:t>(</w:t>
      </w:r>
      <w:proofErr w:type="spellStart"/>
      <w:r w:rsidRPr="002369DB">
        <w:t>Cth</w:t>
      </w:r>
      <w:proofErr w:type="spellEnd"/>
      <w:r w:rsidRPr="002369DB">
        <w:t xml:space="preserve">). At the beginning of the reference </w:t>
      </w:r>
      <w:r w:rsidRPr="002369DB">
        <w:lastRenderedPageBreak/>
        <w:t>period (1 July 2018), a penalty unit was valued at $210; it was increased to $222 on 1 July 2020 by automatic penalty unit indexation, and it was then increased to $275 by legislative amendment in January 2023.</w:t>
      </w:r>
      <w:r w:rsidRPr="002369DB">
        <w:rPr>
          <w:rStyle w:val="Superscript"/>
        </w:rPr>
        <w:footnoteReference w:id="126"/>
      </w:r>
      <w:r w:rsidRPr="002369DB">
        <w:t xml:space="preserve"> Therefore, the value of an infringement penalty for the two unlawful parking offences would have been $126 at the beginning of the reference period, $133.20 as of 1 July 2020, and $165 for the 6 months from 1 January 2023 to 30 June 2023. It is important to understand these numbers because we recently found that courts seem to be frequently confirming original infringement penalty values when infringement offences are later sentenced in court (for example, if the recipient challenges the infringement notice).</w:t>
      </w:r>
      <w:r w:rsidRPr="002369DB">
        <w:rPr>
          <w:rStyle w:val="Superscript"/>
        </w:rPr>
        <w:footnoteReference w:id="127"/>
      </w:r>
      <w:r w:rsidRPr="002369DB">
        <w:t xml:space="preserve"> </w:t>
      </w:r>
    </w:p>
    <w:p w14:paraId="56C0F08F" w14:textId="0DA2CEFD" w:rsidR="00934981" w:rsidRPr="002369DB" w:rsidRDefault="004C0661" w:rsidP="00C474D2">
      <w:r w:rsidRPr="002369DB">
        <w:t>In that context, Figure 20 presents the values of fines imposed on the 395 charges of these unlawful parking offences that received a non-aggregate fine (20 charges were part of an aggregate fine imposed on multiple offences). Most of those 395 charges (81%) received a fine of precisely $126, which, as mentioned above, represents 0.6 penalty units for the period from 1 July 2018 to 30 June 2020. The next most common fine amounts imposed were $210, which is identical to 20% of 5 penalty units when a penalty unit was valued at $210,</w:t>
      </w:r>
      <w:r w:rsidRPr="002369DB">
        <w:rPr>
          <w:rStyle w:val="Superscript"/>
        </w:rPr>
        <w:footnoteReference w:id="128"/>
      </w:r>
      <w:r w:rsidRPr="002369DB">
        <w:t xml:space="preserve"> and $108, which is identical to 20% of 3 penalty units when a penalty unit was valued at $180 prior to 30 June 2017. There were then just two anomalous fine amounts: $180, which was the value of 1 penalty unit prior to 30 June 2017, and $50.</w:t>
      </w:r>
    </w:p>
    <w:p w14:paraId="4D5CD65A" w14:textId="6A4F347F" w:rsidR="004C0661" w:rsidRPr="002369DB" w:rsidRDefault="001255A1" w:rsidP="00A775DC">
      <w:pPr>
        <w:pStyle w:val="Caption"/>
      </w:pPr>
      <w:r w:rsidRPr="002369DB">
        <w:lastRenderedPageBreak/>
        <w:t>Figure 20: Fine amounts imposed for unlawful parking at Melbourne (Tullamarine) Airport in adult courts in Victoria (non-aggregate fines only), 1 July 2018 to 30 June 2023 (395 charges)</w:t>
      </w:r>
    </w:p>
    <w:tbl>
      <w:tblPr>
        <w:tblStyle w:val="Table"/>
        <w:tblW w:w="5000" w:type="pct"/>
        <w:tblLook w:val="04A0" w:firstRow="1" w:lastRow="0" w:firstColumn="1" w:lastColumn="0" w:noHBand="0" w:noVBand="1"/>
      </w:tblPr>
      <w:tblGrid>
        <w:gridCol w:w="4508"/>
        <w:gridCol w:w="4508"/>
      </w:tblGrid>
      <w:tr w:rsidR="00C163F2" w:rsidRPr="00C163F2" w14:paraId="63B1A108" w14:textId="77777777" w:rsidTr="00C163F2">
        <w:trPr>
          <w:trHeight w:val="312"/>
          <w:tblHeader/>
        </w:trPr>
        <w:tc>
          <w:tcPr>
            <w:tcW w:w="2500" w:type="pct"/>
            <w:noWrap/>
            <w:hideMark/>
          </w:tcPr>
          <w:p w14:paraId="16F7088E" w14:textId="77777777" w:rsidR="00C163F2" w:rsidRPr="00C163F2" w:rsidRDefault="00C163F2" w:rsidP="00C163F2">
            <w:pPr>
              <w:pStyle w:val="TableHeading"/>
            </w:pPr>
            <w:r w:rsidRPr="00C163F2">
              <w:t>Fine amount</w:t>
            </w:r>
          </w:p>
        </w:tc>
        <w:tc>
          <w:tcPr>
            <w:tcW w:w="2500" w:type="pct"/>
            <w:noWrap/>
            <w:hideMark/>
          </w:tcPr>
          <w:p w14:paraId="1E0FEADB" w14:textId="77777777" w:rsidR="00C163F2" w:rsidRPr="00C163F2" w:rsidRDefault="00C163F2" w:rsidP="00C163F2">
            <w:pPr>
              <w:pStyle w:val="TableHeading"/>
            </w:pPr>
            <w:r w:rsidRPr="00C163F2">
              <w:t>Number of charges</w:t>
            </w:r>
          </w:p>
        </w:tc>
      </w:tr>
      <w:tr w:rsidR="00C163F2" w:rsidRPr="00C163F2" w14:paraId="2AFF9D23" w14:textId="77777777" w:rsidTr="00C163F2">
        <w:trPr>
          <w:trHeight w:val="312"/>
        </w:trPr>
        <w:tc>
          <w:tcPr>
            <w:tcW w:w="2500" w:type="pct"/>
            <w:noWrap/>
            <w:hideMark/>
          </w:tcPr>
          <w:p w14:paraId="307BA911" w14:textId="77777777" w:rsidR="00C163F2" w:rsidRPr="00C163F2" w:rsidRDefault="00C163F2" w:rsidP="00C163F2">
            <w:pPr>
              <w:pStyle w:val="TableBody"/>
            </w:pPr>
            <w:r w:rsidRPr="00C163F2">
              <w:t xml:space="preserve">$50 </w:t>
            </w:r>
          </w:p>
        </w:tc>
        <w:tc>
          <w:tcPr>
            <w:tcW w:w="2500" w:type="pct"/>
            <w:noWrap/>
            <w:hideMark/>
          </w:tcPr>
          <w:p w14:paraId="1311C001" w14:textId="77777777" w:rsidR="00C163F2" w:rsidRPr="00C163F2" w:rsidRDefault="00C163F2" w:rsidP="00C163F2">
            <w:pPr>
              <w:pStyle w:val="TableBody"/>
            </w:pPr>
            <w:r w:rsidRPr="00C163F2">
              <w:t>1</w:t>
            </w:r>
          </w:p>
        </w:tc>
      </w:tr>
      <w:tr w:rsidR="00C163F2" w:rsidRPr="00C163F2" w14:paraId="4EADFDB8" w14:textId="77777777" w:rsidTr="00C163F2">
        <w:trPr>
          <w:trHeight w:val="312"/>
        </w:trPr>
        <w:tc>
          <w:tcPr>
            <w:tcW w:w="2500" w:type="pct"/>
            <w:noWrap/>
            <w:hideMark/>
          </w:tcPr>
          <w:p w14:paraId="2B3C1917" w14:textId="77777777" w:rsidR="00C163F2" w:rsidRPr="00C163F2" w:rsidRDefault="00C163F2" w:rsidP="00C163F2">
            <w:pPr>
              <w:pStyle w:val="TableBody"/>
            </w:pPr>
            <w:r w:rsidRPr="00C163F2">
              <w:t xml:space="preserve">$108 </w:t>
            </w:r>
          </w:p>
        </w:tc>
        <w:tc>
          <w:tcPr>
            <w:tcW w:w="2500" w:type="pct"/>
            <w:noWrap/>
            <w:hideMark/>
          </w:tcPr>
          <w:p w14:paraId="3B9B44DF" w14:textId="77777777" w:rsidR="00C163F2" w:rsidRPr="00C163F2" w:rsidRDefault="00C163F2" w:rsidP="00C163F2">
            <w:pPr>
              <w:pStyle w:val="TableBody"/>
            </w:pPr>
            <w:r w:rsidRPr="00C163F2">
              <w:t>37</w:t>
            </w:r>
          </w:p>
        </w:tc>
      </w:tr>
      <w:tr w:rsidR="00C163F2" w:rsidRPr="00C163F2" w14:paraId="740BC509" w14:textId="77777777" w:rsidTr="00C163F2">
        <w:trPr>
          <w:trHeight w:val="312"/>
        </w:trPr>
        <w:tc>
          <w:tcPr>
            <w:tcW w:w="2500" w:type="pct"/>
            <w:noWrap/>
            <w:hideMark/>
          </w:tcPr>
          <w:p w14:paraId="03EB6C77" w14:textId="77777777" w:rsidR="00C163F2" w:rsidRPr="00C163F2" w:rsidRDefault="00C163F2" w:rsidP="00C163F2">
            <w:pPr>
              <w:pStyle w:val="TableBody"/>
            </w:pPr>
            <w:r w:rsidRPr="00C163F2">
              <w:t xml:space="preserve">$126 </w:t>
            </w:r>
          </w:p>
        </w:tc>
        <w:tc>
          <w:tcPr>
            <w:tcW w:w="2500" w:type="pct"/>
            <w:noWrap/>
            <w:hideMark/>
          </w:tcPr>
          <w:p w14:paraId="79ACC4EE" w14:textId="77777777" w:rsidR="00C163F2" w:rsidRPr="00C163F2" w:rsidRDefault="00C163F2" w:rsidP="00C163F2">
            <w:pPr>
              <w:pStyle w:val="TableBody"/>
            </w:pPr>
            <w:r w:rsidRPr="00C163F2">
              <w:t>319</w:t>
            </w:r>
          </w:p>
        </w:tc>
      </w:tr>
      <w:tr w:rsidR="00C163F2" w:rsidRPr="00C163F2" w14:paraId="64D18956" w14:textId="77777777" w:rsidTr="00C163F2">
        <w:trPr>
          <w:trHeight w:val="312"/>
        </w:trPr>
        <w:tc>
          <w:tcPr>
            <w:tcW w:w="2500" w:type="pct"/>
            <w:noWrap/>
            <w:hideMark/>
          </w:tcPr>
          <w:p w14:paraId="0292DDBD" w14:textId="77777777" w:rsidR="00C163F2" w:rsidRPr="00C163F2" w:rsidRDefault="00C163F2" w:rsidP="00C163F2">
            <w:pPr>
              <w:pStyle w:val="TableBody"/>
            </w:pPr>
            <w:r w:rsidRPr="00C163F2">
              <w:t xml:space="preserve">$180 </w:t>
            </w:r>
          </w:p>
        </w:tc>
        <w:tc>
          <w:tcPr>
            <w:tcW w:w="2500" w:type="pct"/>
            <w:noWrap/>
            <w:hideMark/>
          </w:tcPr>
          <w:p w14:paraId="57514BB0" w14:textId="77777777" w:rsidR="00C163F2" w:rsidRPr="00C163F2" w:rsidRDefault="00C163F2" w:rsidP="00C163F2">
            <w:pPr>
              <w:pStyle w:val="TableBody"/>
            </w:pPr>
            <w:r w:rsidRPr="00C163F2">
              <w:t>1</w:t>
            </w:r>
          </w:p>
        </w:tc>
      </w:tr>
      <w:tr w:rsidR="00C163F2" w:rsidRPr="00C163F2" w14:paraId="6BF748BB" w14:textId="77777777" w:rsidTr="00C163F2">
        <w:trPr>
          <w:trHeight w:val="312"/>
        </w:trPr>
        <w:tc>
          <w:tcPr>
            <w:tcW w:w="2500" w:type="pct"/>
            <w:noWrap/>
            <w:hideMark/>
          </w:tcPr>
          <w:p w14:paraId="558E9663" w14:textId="77777777" w:rsidR="00C163F2" w:rsidRPr="00C163F2" w:rsidRDefault="00C163F2" w:rsidP="00C163F2">
            <w:pPr>
              <w:pStyle w:val="TableBody"/>
            </w:pPr>
            <w:r w:rsidRPr="00C163F2">
              <w:t xml:space="preserve">$210 </w:t>
            </w:r>
          </w:p>
        </w:tc>
        <w:tc>
          <w:tcPr>
            <w:tcW w:w="2500" w:type="pct"/>
            <w:noWrap/>
            <w:hideMark/>
          </w:tcPr>
          <w:p w14:paraId="5A2C2E41" w14:textId="77777777" w:rsidR="00C163F2" w:rsidRPr="00C163F2" w:rsidRDefault="00C163F2" w:rsidP="00C163F2">
            <w:pPr>
              <w:pStyle w:val="TableBody"/>
            </w:pPr>
            <w:r w:rsidRPr="00C163F2">
              <w:t>37</w:t>
            </w:r>
          </w:p>
        </w:tc>
      </w:tr>
    </w:tbl>
    <w:p w14:paraId="7D981CB3" w14:textId="77777777" w:rsidR="004C0661" w:rsidRPr="002369DB" w:rsidRDefault="004C0661" w:rsidP="00C474D2">
      <w:r w:rsidRPr="002369DB">
        <w:t>There are two strong implications from these findings: the first is that fines for unlawful parking at Melbourne (Tullamarine) Airport that are eventually imposed in court are almost invariably the same amount as the original infringement penalty (albeit a handful of charges do seem to be dismissed without any pecuniary penalty); the second is that the values of infringement penalties imposed at the airport may not have been increased to account for the increased value of a penalty unit since 2020.</w:t>
      </w:r>
      <w:r w:rsidRPr="002369DB">
        <w:rPr>
          <w:rStyle w:val="Superscript"/>
        </w:rPr>
        <w:footnoteReference w:id="129"/>
      </w:r>
    </w:p>
    <w:p w14:paraId="5A9CB03F" w14:textId="77777777" w:rsidR="004C0661" w:rsidRPr="002369DB" w:rsidRDefault="004C0661" w:rsidP="00622026">
      <w:pPr>
        <w:pStyle w:val="Heading1"/>
      </w:pPr>
      <w:bookmarkStart w:id="11" w:name="_Toc224060089"/>
      <w:r w:rsidRPr="002369DB">
        <w:t>Conclusion</w:t>
      </w:r>
      <w:bookmarkEnd w:id="11"/>
    </w:p>
    <w:p w14:paraId="48224EA8" w14:textId="77777777" w:rsidR="004C0661" w:rsidRPr="002369DB" w:rsidRDefault="004C0661" w:rsidP="00C474D2">
      <w:r w:rsidRPr="002369DB">
        <w:t xml:space="preserve">This report has presented court data about Commonwealth offences sentenced in Victoria for the five years from 1 July 2018 to 30 June 2023. The aim of this report has been to provide a statistical profile of Commonwealth offences sentenced in Victoria – that is, crimes specified in federal legislation rather than Victorian legislation – </w:t>
      </w:r>
      <w:proofErr w:type="gramStart"/>
      <w:r w:rsidRPr="002369DB">
        <w:t>in order to</w:t>
      </w:r>
      <w:proofErr w:type="gramEnd"/>
      <w:r w:rsidRPr="002369DB">
        <w:t xml:space="preserve"> provide a baseline for comparison against which other jurisdictions might begin examining the sentencing of Commonwealth offences.</w:t>
      </w:r>
    </w:p>
    <w:p w14:paraId="673060D7" w14:textId="77777777" w:rsidR="004C0661" w:rsidRPr="002369DB" w:rsidRDefault="004C0661" w:rsidP="007E07CF">
      <w:r w:rsidRPr="002369DB">
        <w:lastRenderedPageBreak/>
        <w:t xml:space="preserve">Key findings in this report include: </w:t>
      </w:r>
    </w:p>
    <w:p w14:paraId="460001D4" w14:textId="77777777" w:rsidR="004C0661" w:rsidRPr="002369DB" w:rsidRDefault="004C0661" w:rsidP="00622026">
      <w:pPr>
        <w:pStyle w:val="Bullets"/>
      </w:pPr>
      <w:r w:rsidRPr="002369DB">
        <w:t>there were 9,570 cases that included at least one Commonwealth offence sentenced during the five-year period. These cases included 57,737 charges, of which 17,618 were Commonwealth offences (the remainder were Victorian offences)</w:t>
      </w:r>
    </w:p>
    <w:p w14:paraId="0953072C" w14:textId="77777777" w:rsidR="004C0661" w:rsidRPr="002369DB" w:rsidRDefault="004C0661" w:rsidP="00622026">
      <w:pPr>
        <w:pStyle w:val="Bullets"/>
      </w:pPr>
      <w:r w:rsidRPr="002369DB">
        <w:t>Commonwealth offences are only present in a small fraction of cases sentenced in adult courts in Victoria (2.3% of all cases), but they are more prevalent in the higher courts (10.2% of cases) than they are in the Magistrates’ Court (2.1% of cases)</w:t>
      </w:r>
    </w:p>
    <w:p w14:paraId="5146DEB4" w14:textId="77777777" w:rsidR="004C0661" w:rsidRPr="002369DB" w:rsidRDefault="004C0661" w:rsidP="00622026">
      <w:pPr>
        <w:pStyle w:val="Bullets"/>
      </w:pPr>
      <w:r w:rsidRPr="002369DB">
        <w:t>most cases involving a Commonwealth offence – regardless of whether the offence is the principal proven offence in the case or not – are sentenced in the Magistrates’ Court (91% of cases)</w:t>
      </w:r>
    </w:p>
    <w:p w14:paraId="26DA7051" w14:textId="77777777" w:rsidR="004C0661" w:rsidRPr="002369DB" w:rsidRDefault="004C0661" w:rsidP="00622026">
      <w:pPr>
        <w:pStyle w:val="Bullets"/>
      </w:pPr>
      <w:r w:rsidRPr="002369DB">
        <w:t xml:space="preserve">most cases involving Commonwealth offences </w:t>
      </w:r>
      <w:r w:rsidRPr="002369DB">
        <w:rPr>
          <w:rStyle w:val="Italic"/>
        </w:rPr>
        <w:t xml:space="preserve">also </w:t>
      </w:r>
      <w:r w:rsidRPr="002369DB">
        <w:t>involve Victorian offences (59% of cases)</w:t>
      </w:r>
    </w:p>
    <w:p w14:paraId="25138D7F" w14:textId="77777777" w:rsidR="004C0661" w:rsidRPr="002369DB" w:rsidRDefault="004C0661" w:rsidP="00622026">
      <w:pPr>
        <w:pStyle w:val="Bullets"/>
      </w:pPr>
      <w:r w:rsidRPr="002369DB">
        <w:t>most federal offenders are male (80%)</w:t>
      </w:r>
    </w:p>
    <w:p w14:paraId="7A281235" w14:textId="77777777" w:rsidR="004C0661" w:rsidRPr="002369DB" w:rsidRDefault="004C0661" w:rsidP="00622026">
      <w:pPr>
        <w:pStyle w:val="Bullets"/>
      </w:pPr>
      <w:r w:rsidRPr="002369DB">
        <w:t>most federal offenders are aged between 25 and 44 (59%)</w:t>
      </w:r>
    </w:p>
    <w:p w14:paraId="6E4F699F" w14:textId="77777777" w:rsidR="004C0661" w:rsidRPr="002369DB" w:rsidRDefault="004C0661" w:rsidP="00622026">
      <w:pPr>
        <w:pStyle w:val="Bullets"/>
      </w:pPr>
      <w:r w:rsidRPr="002369DB">
        <w:t>Victoria Police was the prosecuting agency in 70% of cases involving Commonwealth offences</w:t>
      </w:r>
    </w:p>
    <w:p w14:paraId="7793E807" w14:textId="77777777" w:rsidR="004C0661" w:rsidRPr="002369DB" w:rsidRDefault="004C0661" w:rsidP="00622026">
      <w:pPr>
        <w:pStyle w:val="Bullets"/>
      </w:pPr>
      <w:r w:rsidRPr="002369DB">
        <w:t>the most common Commonwealth offence sentenced in Victoria was using a carriage service to menace, harass or offend (39% of all Commonwealth offences sentenced)</w:t>
      </w:r>
    </w:p>
    <w:p w14:paraId="00394AB6" w14:textId="77777777" w:rsidR="004C0661" w:rsidRPr="002369DB" w:rsidRDefault="004C0661" w:rsidP="00622026">
      <w:pPr>
        <w:pStyle w:val="Bullets"/>
      </w:pPr>
      <w:r w:rsidRPr="002369DB">
        <w:t>the most common type of Commonwealth offence in the higher courts was a child abuse offence, collectively accounting for over half (55%) of Commonwealth offences sentenced in the higher courts</w:t>
      </w:r>
    </w:p>
    <w:p w14:paraId="30F3C677" w14:textId="77777777" w:rsidR="004C0661" w:rsidRPr="002369DB" w:rsidRDefault="004C0661" w:rsidP="00622026">
      <w:pPr>
        <w:pStyle w:val="Bullets"/>
      </w:pPr>
      <w:r w:rsidRPr="002369DB">
        <w:t xml:space="preserve">in the higher courts, the most common sentence imposed in cases where a Commonwealth offence was the principal proven offence was an imprisonment term (91% of cases) </w:t>
      </w:r>
    </w:p>
    <w:p w14:paraId="13118C5D" w14:textId="77777777" w:rsidR="004C0661" w:rsidRPr="002369DB" w:rsidRDefault="004C0661" w:rsidP="00622026">
      <w:pPr>
        <w:pStyle w:val="Bullets"/>
      </w:pPr>
      <w:r w:rsidRPr="002369DB">
        <w:lastRenderedPageBreak/>
        <w:t>in the Magistrates’ Court, the most common sentence imposed in cases where a Commonwealth offence was the principal proven offence was a fine (50% of cases)</w:t>
      </w:r>
    </w:p>
    <w:p w14:paraId="23429870" w14:textId="77777777" w:rsidR="004C0661" w:rsidRPr="002369DB" w:rsidRDefault="004C0661" w:rsidP="00622026">
      <w:pPr>
        <w:pStyle w:val="Bullets"/>
      </w:pPr>
      <w:r w:rsidRPr="002369DB">
        <w:t>there were 847 cases in which offenders received a prison sentence with an active custodial component (not fully suspended) and a Commonwealth offence was the principal proven offence. For those 847 cases, the median prison sentence length was 9 months, and the longest prison sentence was 42 years. Of the 9 cases in which a prison sentence of more than 20 years was imposed, 7 cases involved terrorism-related offending</w:t>
      </w:r>
    </w:p>
    <w:p w14:paraId="4CDED38F" w14:textId="77777777" w:rsidR="004C0661" w:rsidRPr="002369DB" w:rsidRDefault="004C0661" w:rsidP="00622026">
      <w:pPr>
        <w:pStyle w:val="Bullets"/>
      </w:pPr>
      <w:r w:rsidRPr="002369DB">
        <w:t>there have been a growing number of cases in which presumptive minimum sentences for federal child sex offenders have applied, and while there have (to date) been too few cases to reliably identify any trends, charge-level prison sentence lengths in those handful of cases seem to be hovering around 1 year above and below the prescribed minimum sentence and</w:t>
      </w:r>
    </w:p>
    <w:p w14:paraId="1B66EABF" w14:textId="77777777" w:rsidR="004C0661" w:rsidRPr="002369DB" w:rsidRDefault="004C0661" w:rsidP="00622026">
      <w:pPr>
        <w:pStyle w:val="Bullets"/>
      </w:pPr>
      <w:r w:rsidRPr="002369DB">
        <w:t xml:space="preserve">in terms of the four most common Commonwealth offences: </w:t>
      </w:r>
    </w:p>
    <w:p w14:paraId="5648540A" w14:textId="77777777" w:rsidR="004C0661" w:rsidRPr="0036651F" w:rsidRDefault="004C0661" w:rsidP="0036651F">
      <w:pPr>
        <w:pStyle w:val="Bullets"/>
        <w:numPr>
          <w:ilvl w:val="1"/>
          <w:numId w:val="2"/>
        </w:numPr>
      </w:pPr>
      <w:r w:rsidRPr="0036651F">
        <w:t xml:space="preserve">the most common sentence for using a carriage service to menace, harass or offend was a fine (38% of charges); 12% of charges received imprisonment, with a median charge-level prison sentence of 1.7 months. Most cases of this offence involved family violence (70%), and family violence offenders were about twice as likely as non-family violence offenders to receive imprisonment for this offence (28% vs 13%). The relatively high rate of fines for this offence (38%) seems to be a product of courts being required to sentence Commonwealth and state or territory offences separately, because most of those carriage service charges were sentenced in cases that also involved a Victorian offence that received imprisonment or a community correction order, leaving </w:t>
      </w:r>
      <w:r w:rsidRPr="0036651F">
        <w:lastRenderedPageBreak/>
        <w:t>courts with few options when having to separately sentence the carriage service offence</w:t>
      </w:r>
    </w:p>
    <w:p w14:paraId="2FCCD562" w14:textId="77777777" w:rsidR="004C0661" w:rsidRPr="0036651F" w:rsidRDefault="004C0661" w:rsidP="0036651F">
      <w:pPr>
        <w:pStyle w:val="Bullets"/>
        <w:numPr>
          <w:ilvl w:val="1"/>
          <w:numId w:val="2"/>
        </w:numPr>
      </w:pPr>
      <w:r w:rsidRPr="0036651F">
        <w:t>the most common sentence for failing or refusing to furnish required tax information was also a fine (76% of charges), and people sentenced for this offence received a median fine of $3,000, with higher fines often associated with more charges per case</w:t>
      </w:r>
    </w:p>
    <w:p w14:paraId="6022CA98" w14:textId="77777777" w:rsidR="004C0661" w:rsidRPr="0036651F" w:rsidRDefault="004C0661" w:rsidP="0036651F">
      <w:pPr>
        <w:pStyle w:val="Bullets"/>
        <w:numPr>
          <w:ilvl w:val="1"/>
          <w:numId w:val="2"/>
        </w:numPr>
      </w:pPr>
      <w:r w:rsidRPr="0036651F">
        <w:t>the most common sentence for using a carriage service to access, transmit, publish or solicit child abuse material was imprisonment (93% of charges), with a median charge-level prison sentence of 18 months and a median total effective sentence of 1 year</w:t>
      </w:r>
    </w:p>
    <w:p w14:paraId="31C319B0" w14:textId="77777777" w:rsidR="004C0661" w:rsidRPr="0036651F" w:rsidRDefault="004C0661" w:rsidP="0036651F">
      <w:pPr>
        <w:pStyle w:val="Bullets"/>
        <w:numPr>
          <w:ilvl w:val="1"/>
          <w:numId w:val="2"/>
        </w:numPr>
      </w:pPr>
      <w:r w:rsidRPr="0036651F">
        <w:t>the most common sentence for unlawful parking at Melbourne (Tullamarine) Airport was also a fine (94% of charges), with the most common fine amount being $126 (precisely 0.6 of the penalty unit value applicable from 1 July 2017 to 30 June 2020).</w:t>
      </w:r>
    </w:p>
    <w:p w14:paraId="24BD4111" w14:textId="77777777" w:rsidR="004C0661" w:rsidRPr="002369DB" w:rsidRDefault="004C0661" w:rsidP="00C474D2">
      <w:r w:rsidRPr="002369DB">
        <w:t xml:space="preserve">There has been a consensus for decades now that sentencing Commonwealth offences is an incredibly complex exercise, especially in cases that also include state or territory offences. The above findings are intended to assist courts by providing a baseline for comparing current sentencing practices for Commonwealth offences, especially for some of the more common ones, with the aim of promoting consistency in sentencing. </w:t>
      </w:r>
    </w:p>
    <w:p w14:paraId="7FD74998" w14:textId="1CE10469" w:rsidR="00F55406" w:rsidRPr="002369DB" w:rsidRDefault="00F55406" w:rsidP="00E3268C">
      <w:pPr>
        <w:pStyle w:val="IntenseQuote"/>
      </w:pPr>
      <w:r w:rsidRPr="002369DB">
        <w:t xml:space="preserve">For further information, data about sentencing practices for dozens of federal offences is available via </w:t>
      </w:r>
      <w:hyperlink r:id="rId8" w:history="1">
        <w:r w:rsidRPr="002369DB">
          <w:rPr>
            <w:rStyle w:val="Hyperlink"/>
          </w:rPr>
          <w:t>SACStat</w:t>
        </w:r>
      </w:hyperlink>
      <w:r w:rsidR="000D6D6B" w:rsidRPr="002369DB">
        <w:t xml:space="preserve">, </w:t>
      </w:r>
      <w:r w:rsidRPr="002369DB">
        <w:t>our public database of sentencing outcomes for courts in Victoria.</w:t>
      </w:r>
    </w:p>
    <w:p w14:paraId="0B75F1A3" w14:textId="77777777" w:rsidR="004C0661" w:rsidRPr="002369DB" w:rsidRDefault="004C0661" w:rsidP="00622026">
      <w:pPr>
        <w:pStyle w:val="Heading1"/>
      </w:pPr>
      <w:bookmarkStart w:id="12" w:name="_Toc224060090"/>
      <w:r w:rsidRPr="002369DB">
        <w:lastRenderedPageBreak/>
        <w:t>Data used in this report</w:t>
      </w:r>
      <w:bookmarkEnd w:id="12"/>
    </w:p>
    <w:p w14:paraId="46C3A021" w14:textId="77777777" w:rsidR="004C0661" w:rsidRPr="002369DB" w:rsidRDefault="004C0661" w:rsidP="00C474D2">
      <w:r w:rsidRPr="002369DB">
        <w:t xml:space="preserve">This report uses data routinely provided to the Council by the various adult courts in Victoria: the Magistrates’ Court, the County Court and the Supreme Court. This includes unit record data about all cases in which a person was sentenced or diverted for at least one criminal offence. Unit record data includes offender name and date of birth, the offences they were sentenced for, the dates of those offences, the types of sentences imposed, and the lengths of sentences or fine amounts imposed. </w:t>
      </w:r>
    </w:p>
    <w:p w14:paraId="59E2E861" w14:textId="77777777" w:rsidR="004C0661" w:rsidRPr="002369DB" w:rsidRDefault="004C0661" w:rsidP="00C474D2">
      <w:proofErr w:type="gramStart"/>
      <w:r w:rsidRPr="002369DB">
        <w:t>In order to</w:t>
      </w:r>
      <w:proofErr w:type="gramEnd"/>
      <w:r w:rsidRPr="002369DB">
        <w:t xml:space="preserve"> ensure that the data is as representative as possible, the Council routinely cleans first-instance sentencing data based on outcomes in the Court of Appeal. If a conviction is overturned, it is removed from the data. If a sentence is changed, the data is revised to reflect that change. This ensures that the data is an accurate representation of current sentencing practices. In this report, the court data on first-instance outcomes covers the period 1 July 2018 to 30 June 2023 and accounts for Court of Appeal decisions to 31 December 2024. </w:t>
      </w:r>
    </w:p>
    <w:p w14:paraId="70F9BBA2" w14:textId="77777777" w:rsidR="004C0661" w:rsidRPr="002369DB" w:rsidRDefault="004C0661" w:rsidP="00C474D2">
      <w:r w:rsidRPr="002369DB">
        <w:t xml:space="preserve">There is always a rare possibility that additional Court of Appeal decisions occurred after that date and these decisions are not reflected in the data presented in this report. For instance, the Court of Appeal in </w:t>
      </w:r>
      <w:r w:rsidRPr="002369DB">
        <w:rPr>
          <w:rStyle w:val="Italic"/>
        </w:rPr>
        <w:t>Cullinan-</w:t>
      </w:r>
      <w:proofErr w:type="spellStart"/>
      <w:r w:rsidRPr="002369DB">
        <w:rPr>
          <w:rStyle w:val="Italic"/>
        </w:rPr>
        <w:t>Smayle</w:t>
      </w:r>
      <w:proofErr w:type="spellEnd"/>
      <w:r w:rsidRPr="002369DB">
        <w:rPr>
          <w:rStyle w:val="Italic"/>
        </w:rPr>
        <w:t xml:space="preserve"> v The King </w:t>
      </w:r>
      <w:r w:rsidRPr="002369DB">
        <w:t>[2025] VSCA 109 reduced the total effective sentence imposed on an offender for various child abuse material offences, and that appeal judgment was delivered more than two years after the original sentence was imposed. While we are aware of this judgment, we have not revised the data in this report to reflect the changes made by the Court of Appeal because we cannot confirm whether that is the only case affected by Court of Appeal decisions after 31 December 2024. In any data analysis, there must always be a definitive end point to a reference period. In this report, that means we have only examined first-instance outcomes to 30 June 2023 and have only accounted for Court of Appeal outcomes in the 18 months after that, to 31 December 2024.</w:t>
      </w:r>
    </w:p>
    <w:p w14:paraId="37A0335B" w14:textId="77777777" w:rsidR="004C0661" w:rsidRPr="002369DB" w:rsidRDefault="004C0661" w:rsidP="00622026">
      <w:pPr>
        <w:pStyle w:val="Heading1"/>
      </w:pPr>
      <w:bookmarkStart w:id="13" w:name="_Toc224060091"/>
      <w:r w:rsidRPr="002369DB">
        <w:lastRenderedPageBreak/>
        <w:t>References</w:t>
      </w:r>
      <w:bookmarkEnd w:id="13"/>
    </w:p>
    <w:p w14:paraId="17DF0D7E" w14:textId="77777777" w:rsidR="004C0661" w:rsidRPr="002369DB" w:rsidRDefault="004C0661" w:rsidP="00622026">
      <w:pPr>
        <w:pStyle w:val="Heading2"/>
      </w:pPr>
      <w:r w:rsidRPr="002369DB">
        <w:t>Bibliography</w:t>
      </w:r>
    </w:p>
    <w:p w14:paraId="63154FAC" w14:textId="77777777" w:rsidR="004C0661" w:rsidRPr="002369DB" w:rsidRDefault="004C0661" w:rsidP="004C0661">
      <w:pPr>
        <w:pStyle w:val="Bibliography"/>
      </w:pPr>
      <w:r w:rsidRPr="002369DB">
        <w:t xml:space="preserve">Australian Bureau of Statistics, </w:t>
      </w:r>
      <w:r w:rsidRPr="002369DB">
        <w:rPr>
          <w:rStyle w:val="Italic"/>
        </w:rPr>
        <w:t>National Offence Index (NOI)</w:t>
      </w:r>
      <w:r w:rsidRPr="002369DB">
        <w:t xml:space="preserve"> (abs.gov.au, 2023) &lt;https://www.abs.gov.au/statistics/classifications/australian-and-new-zealand-standard-offence-classification-anzsoc/2023/national-offence-index-noi&gt;.</w:t>
      </w:r>
    </w:p>
    <w:p w14:paraId="439E5C77" w14:textId="77777777" w:rsidR="004C0661" w:rsidRPr="002369DB" w:rsidRDefault="004C0661" w:rsidP="004C0661">
      <w:pPr>
        <w:pStyle w:val="Bibliography"/>
      </w:pPr>
      <w:r w:rsidRPr="002369DB">
        <w:t xml:space="preserve">Australian Law Reform Commission and New South Wales Law Reform Commission, </w:t>
      </w:r>
      <w:r w:rsidRPr="002369DB">
        <w:rPr>
          <w:rStyle w:val="Italic"/>
        </w:rPr>
        <w:t>Family Violence – A National Legal Response</w:t>
      </w:r>
      <w:r w:rsidRPr="002369DB">
        <w:t>, ALRC Report 114 (Australian Law Reform Commission and New South Wales Law Reform Commission, 2010).</w:t>
      </w:r>
    </w:p>
    <w:p w14:paraId="2D4E190C" w14:textId="77777777" w:rsidR="004C0661" w:rsidRPr="002369DB" w:rsidRDefault="004C0661" w:rsidP="004C0661">
      <w:pPr>
        <w:pStyle w:val="Bibliography"/>
      </w:pPr>
      <w:r w:rsidRPr="002369DB">
        <w:t xml:space="preserve">Collier, Karen, ‘Motorists at Melbourne Airport Pay Price for Illegal Parking’, </w:t>
      </w:r>
      <w:r w:rsidRPr="002369DB">
        <w:rPr>
          <w:rStyle w:val="Italic"/>
        </w:rPr>
        <w:t>Herald Sun</w:t>
      </w:r>
      <w:r w:rsidRPr="002369DB">
        <w:t xml:space="preserve"> (25 May 2018) &lt;https://www.heraldsun.com.au/news/victoria/motorists-at-melbourne-airport-pay-price-for-illegal-parking/news-story/9262b2566fe4d84fc33892af874d391d&gt;.</w:t>
      </w:r>
    </w:p>
    <w:p w14:paraId="2823B6B4" w14:textId="77777777" w:rsidR="004C0661" w:rsidRPr="002369DB" w:rsidRDefault="004C0661" w:rsidP="004C0661">
      <w:pPr>
        <w:pStyle w:val="Bibliography"/>
      </w:pPr>
      <w:r w:rsidRPr="002369DB">
        <w:t xml:space="preserve">Commonwealth Attorney-General’s Department, </w:t>
      </w:r>
      <w:r w:rsidRPr="002369DB">
        <w:rPr>
          <w:rStyle w:val="Italic"/>
        </w:rPr>
        <w:t xml:space="preserve">Statutory Review of Sentencing for Commonwealth Child Sex Offences </w:t>
      </w:r>
      <w:r w:rsidRPr="002369DB">
        <w:t>(Commonwealth Attorney-General’s Department, 2024).</w:t>
      </w:r>
    </w:p>
    <w:p w14:paraId="7D24ECF5" w14:textId="77777777" w:rsidR="004C0661" w:rsidRPr="002369DB" w:rsidRDefault="004C0661" w:rsidP="004C0661">
      <w:pPr>
        <w:pStyle w:val="Bibliography"/>
      </w:pPr>
      <w:r w:rsidRPr="002369DB">
        <w:t xml:space="preserve">Commonwealth Director of Public Prosecutions, </w:t>
      </w:r>
      <w:r w:rsidRPr="002369DB">
        <w:rPr>
          <w:rStyle w:val="Italic"/>
        </w:rPr>
        <w:t xml:space="preserve">Sentencing of Federal Offenders in Australia: A Guide for Practitioners </w:t>
      </w:r>
      <w:r w:rsidRPr="002369DB">
        <w:t>(7th ed., Commonwealth Director of Public Prosecutions, 2024).</w:t>
      </w:r>
    </w:p>
    <w:p w14:paraId="0CA35D7B" w14:textId="77777777" w:rsidR="004C0661" w:rsidRPr="002369DB" w:rsidRDefault="004C0661" w:rsidP="004C0661">
      <w:pPr>
        <w:pStyle w:val="Bibliography"/>
      </w:pPr>
      <w:r w:rsidRPr="002369DB">
        <w:t xml:space="preserve">Dalton, Tyrone, ‘Bushmaster Maker Thales Australia Fined $450k over Death of Worker Joe Kane’, </w:t>
      </w:r>
      <w:r w:rsidRPr="002369DB">
        <w:rPr>
          <w:rStyle w:val="Italic"/>
        </w:rPr>
        <w:t xml:space="preserve">ABC News </w:t>
      </w:r>
      <w:r w:rsidRPr="002369DB">
        <w:t>(2 June 2023) &lt;https://www.abc.net.au/news/2023-06-02/thales-fined-over-death-of-worker-when-hawkei-fell/102425478&gt;.</w:t>
      </w:r>
    </w:p>
    <w:p w14:paraId="7245EF81" w14:textId="77777777" w:rsidR="004C0661" w:rsidRPr="002369DB" w:rsidRDefault="004C0661" w:rsidP="004C0661">
      <w:pPr>
        <w:pStyle w:val="Bibliography"/>
      </w:pPr>
      <w:proofErr w:type="spellStart"/>
      <w:r w:rsidRPr="002369DB">
        <w:t>Frangež</w:t>
      </w:r>
      <w:proofErr w:type="spellEnd"/>
      <w:r w:rsidRPr="002369DB">
        <w:t xml:space="preserve">, Danijela, Anton Toni Klančnik, Mojca Žagar </w:t>
      </w:r>
      <w:proofErr w:type="spellStart"/>
      <w:r w:rsidRPr="002369DB">
        <w:t>Karer</w:t>
      </w:r>
      <w:proofErr w:type="spellEnd"/>
      <w:r w:rsidRPr="002369DB">
        <w:t xml:space="preserve">, Bjørn-Erik Ludvigsen, Jarosław Kończyk, Fernando Ruiz Perez, Mikko Veijalainen and Maurine Lewin, ‘The Importance of Terminology Related to Child Sexual </w:t>
      </w:r>
      <w:r w:rsidRPr="002369DB">
        <w:lastRenderedPageBreak/>
        <w:t xml:space="preserve">Exploitation’ (2015) 66(4) </w:t>
      </w:r>
      <w:r w:rsidRPr="002369DB">
        <w:rPr>
          <w:rStyle w:val="Italic"/>
        </w:rPr>
        <w:t xml:space="preserve">Journal of Criminal Investigation and Criminology </w:t>
      </w:r>
      <w:r w:rsidRPr="002369DB">
        <w:t>291.</w:t>
      </w:r>
    </w:p>
    <w:p w14:paraId="00020E12" w14:textId="77777777" w:rsidR="004C0661" w:rsidRPr="002369DB" w:rsidRDefault="004C0661" w:rsidP="004C0661">
      <w:pPr>
        <w:pStyle w:val="Bibliography"/>
      </w:pPr>
      <w:r w:rsidRPr="002369DB">
        <w:t xml:space="preserve">Interagency Working Group on Sexual Exploitation of Children, </w:t>
      </w:r>
      <w:r w:rsidRPr="002369DB">
        <w:rPr>
          <w:rStyle w:val="Italic"/>
        </w:rPr>
        <w:t xml:space="preserve">Terminology Guidelines for the Protection of Children from Sexual Exploitation and Sexual Abuse </w:t>
      </w:r>
      <w:r w:rsidRPr="002369DB">
        <w:t>(ECPAT International, 2016).</w:t>
      </w:r>
    </w:p>
    <w:p w14:paraId="69E272B9" w14:textId="77777777" w:rsidR="004C0661" w:rsidRPr="002369DB" w:rsidRDefault="004C0661" w:rsidP="004C0661">
      <w:pPr>
        <w:pStyle w:val="Bibliography"/>
      </w:pPr>
      <w:r w:rsidRPr="002369DB">
        <w:t xml:space="preserve">Judicial College of Victoria, </w:t>
      </w:r>
      <w:r w:rsidRPr="002369DB">
        <w:rPr>
          <w:rStyle w:val="Italic"/>
        </w:rPr>
        <w:t xml:space="preserve">Criminal Charge Book </w:t>
      </w:r>
      <w:r w:rsidRPr="002369DB">
        <w:t>(2025) &lt;https://resources.judicialcollege.vic.edu.au/article/1053858&gt;.</w:t>
      </w:r>
    </w:p>
    <w:p w14:paraId="2F58072A" w14:textId="77777777" w:rsidR="004C0661" w:rsidRPr="002369DB" w:rsidRDefault="004C0661" w:rsidP="004C0661">
      <w:pPr>
        <w:pStyle w:val="Bibliography"/>
      </w:pPr>
      <w:r w:rsidRPr="002369DB">
        <w:t xml:space="preserve">Kewley, Stephanie and </w:t>
      </w:r>
      <w:proofErr w:type="spellStart"/>
      <w:r w:rsidRPr="002369DB">
        <w:t>Kairika</w:t>
      </w:r>
      <w:proofErr w:type="spellEnd"/>
      <w:r w:rsidRPr="002369DB">
        <w:t xml:space="preserve"> Karsna, </w:t>
      </w:r>
      <w:r w:rsidRPr="002369DB">
        <w:rPr>
          <w:rStyle w:val="Italic"/>
        </w:rPr>
        <w:t xml:space="preserve">Child Sexual Abuse in 2023/24: Trends in Official Data </w:t>
      </w:r>
      <w:r w:rsidRPr="002369DB">
        <w:t>(Centre of Expertise on Child Sexual Abuse, 2025).</w:t>
      </w:r>
    </w:p>
    <w:p w14:paraId="5F17A36F" w14:textId="77777777" w:rsidR="004C0661" w:rsidRPr="002369DB" w:rsidRDefault="004C0661" w:rsidP="004C0661">
      <w:pPr>
        <w:pStyle w:val="Bibliography"/>
      </w:pPr>
      <w:r w:rsidRPr="002369DB">
        <w:t xml:space="preserve">Legal and Constitutional Affairs References Committee, </w:t>
      </w:r>
      <w:r w:rsidRPr="002369DB">
        <w:rPr>
          <w:rStyle w:val="Italic"/>
        </w:rPr>
        <w:t xml:space="preserve">Adequacy of Existing Offences in the Commonwealth Criminal Code and of State and Territory Criminal Laws to Capture Cyberbullying </w:t>
      </w:r>
      <w:r w:rsidRPr="002369DB">
        <w:t>(Parliament of Australia, 2018).</w:t>
      </w:r>
    </w:p>
    <w:p w14:paraId="28E5B69D" w14:textId="77777777" w:rsidR="004C0661" w:rsidRPr="002369DB" w:rsidRDefault="004C0661" w:rsidP="004C0661">
      <w:pPr>
        <w:pStyle w:val="Bibliography"/>
      </w:pPr>
      <w:r w:rsidRPr="002369DB">
        <w:t xml:space="preserve">McGorrery, Paul, Catherine Jeffreys and Pallavi Waghmode, ‘Revisiting </w:t>
      </w:r>
      <w:r w:rsidRPr="002369DB">
        <w:rPr>
          <w:rStyle w:val="Italic"/>
        </w:rPr>
        <w:t>Pham</w:t>
      </w:r>
      <w:r w:rsidRPr="002369DB">
        <w:t xml:space="preserve">: Federal Sentencing Statistics as a Means of Achieving Consistency’ (forthcoming) </w:t>
      </w:r>
      <w:r w:rsidRPr="002369DB">
        <w:rPr>
          <w:rStyle w:val="Italic"/>
        </w:rPr>
        <w:t>Journal of Judicial Administration</w:t>
      </w:r>
      <w:r w:rsidRPr="002369DB">
        <w:t>.</w:t>
      </w:r>
    </w:p>
    <w:p w14:paraId="0F9B5DFC" w14:textId="77777777" w:rsidR="004C0661" w:rsidRPr="002369DB" w:rsidRDefault="004C0661" w:rsidP="004C0661">
      <w:pPr>
        <w:pStyle w:val="Bibliography"/>
      </w:pPr>
      <w:r w:rsidRPr="002369DB">
        <w:t>McNaughton, Sarah, ‘Basics of Commonwealth Sentencing Law’ (Public Lecture, Reasonable Cause CPD Conference, New South Wales, 25 March 2017).</w:t>
      </w:r>
    </w:p>
    <w:p w14:paraId="567141D2" w14:textId="77777777" w:rsidR="004C0661" w:rsidRPr="002369DB" w:rsidRDefault="004C0661" w:rsidP="004C0661">
      <w:pPr>
        <w:pStyle w:val="Bibliography"/>
      </w:pPr>
      <w:r w:rsidRPr="002369DB">
        <w:t xml:space="preserve">Ringland, Clare and Jacqueline Fitzgerald, </w:t>
      </w:r>
      <w:r w:rsidRPr="002369DB">
        <w:rPr>
          <w:rStyle w:val="Italic"/>
        </w:rPr>
        <w:t>Factors Which Influence the Sentencing of Domestic Violence Offenders</w:t>
      </w:r>
      <w:r w:rsidRPr="002369DB">
        <w:t>, Issue Paper no. 48 (NSW Bureau of Crime Statistics and Research, 2010).</w:t>
      </w:r>
    </w:p>
    <w:p w14:paraId="51F6F4BF" w14:textId="77777777" w:rsidR="004C0661" w:rsidRPr="002369DB" w:rsidRDefault="004C0661" w:rsidP="00A775DC">
      <w:r w:rsidRPr="002369DB">
        <w:t xml:space="preserve">Sentencing Advisory Council, </w:t>
      </w:r>
      <w:r w:rsidRPr="002369DB">
        <w:rPr>
          <w:rStyle w:val="Italic"/>
        </w:rPr>
        <w:t xml:space="preserve">Aggregate Prison Sentences in Victoria </w:t>
      </w:r>
      <w:r w:rsidRPr="002369DB">
        <w:t>(Sentencing Advisory Council, 2023).</w:t>
      </w:r>
    </w:p>
    <w:p w14:paraId="0A182CF7" w14:textId="77777777" w:rsidR="004C0661" w:rsidRPr="002369DB" w:rsidRDefault="004C0661" w:rsidP="004C0661">
      <w:pPr>
        <w:pStyle w:val="Bibliography"/>
      </w:pPr>
      <w:r w:rsidRPr="002369DB">
        <w:t xml:space="preserve">Sentencing Advisory Council, </w:t>
      </w:r>
      <w:r w:rsidRPr="002369DB">
        <w:rPr>
          <w:rStyle w:val="Italic"/>
        </w:rPr>
        <w:t xml:space="preserve">Assessing the Impact of Inflation and Penalty Unit Indexation on Fine Amounts in Victoria </w:t>
      </w:r>
      <w:r w:rsidRPr="002369DB">
        <w:t>(Sentencing Advisory Council, 2024).</w:t>
      </w:r>
    </w:p>
    <w:p w14:paraId="5C81B095" w14:textId="77777777" w:rsidR="004C0661" w:rsidRPr="002369DB" w:rsidRDefault="004C0661" w:rsidP="004C0661">
      <w:pPr>
        <w:pStyle w:val="Bibliography"/>
      </w:pPr>
      <w:r w:rsidRPr="002369DB">
        <w:lastRenderedPageBreak/>
        <w:t xml:space="preserve">Sentencing Advisory Council, </w:t>
      </w:r>
      <w:r w:rsidRPr="002369DB">
        <w:rPr>
          <w:rStyle w:val="Italic"/>
        </w:rPr>
        <w:t xml:space="preserve">Gender Differences in Sentencing Outcomes </w:t>
      </w:r>
      <w:r w:rsidRPr="002369DB">
        <w:t>(Sentencing Advisory Council, 2010).</w:t>
      </w:r>
    </w:p>
    <w:p w14:paraId="76602E73" w14:textId="77777777" w:rsidR="004C0661" w:rsidRPr="002369DB" w:rsidRDefault="004C0661" w:rsidP="004C0661">
      <w:pPr>
        <w:pStyle w:val="Bibliography"/>
      </w:pPr>
      <w:r w:rsidRPr="002369DB">
        <w:t xml:space="preserve">Sentencing Advisory Council, </w:t>
      </w:r>
      <w:r w:rsidRPr="002369DB">
        <w:rPr>
          <w:rStyle w:val="Italic"/>
        </w:rPr>
        <w:t xml:space="preserve">Major Driving Offences: Current Sentencing Practices </w:t>
      </w:r>
      <w:r w:rsidRPr="002369DB">
        <w:t>(Sentencing Advisory Council, 2015).</w:t>
      </w:r>
    </w:p>
    <w:p w14:paraId="62E2E850" w14:textId="77777777" w:rsidR="004C0661" w:rsidRPr="002369DB" w:rsidRDefault="004C0661" w:rsidP="004C0661">
      <w:pPr>
        <w:pStyle w:val="Bibliography"/>
      </w:pPr>
      <w:r w:rsidRPr="002369DB">
        <w:t xml:space="preserve">Sentencing Advisory Council, </w:t>
      </w:r>
      <w:r w:rsidRPr="002369DB">
        <w:rPr>
          <w:rStyle w:val="Italic"/>
        </w:rPr>
        <w:t xml:space="preserve">Sentencing Breaches of Family Violence Intervention Orders and Safety Notices: Third Monitoring Report </w:t>
      </w:r>
      <w:r w:rsidRPr="002369DB">
        <w:t>(Sentencing Advisory Council, 2022).</w:t>
      </w:r>
    </w:p>
    <w:p w14:paraId="35F72CB0" w14:textId="77777777" w:rsidR="004C0661" w:rsidRPr="002369DB" w:rsidRDefault="004C0661" w:rsidP="004C0661">
      <w:pPr>
        <w:pStyle w:val="Bibliography"/>
      </w:pPr>
      <w:r w:rsidRPr="002369DB">
        <w:t xml:space="preserve">Sentencing Advisory Council, </w:t>
      </w:r>
      <w:proofErr w:type="gramStart"/>
      <w:r w:rsidRPr="002369DB">
        <w:rPr>
          <w:rStyle w:val="Italic"/>
        </w:rPr>
        <w:t>Sentencing</w:t>
      </w:r>
      <w:proofErr w:type="gramEnd"/>
      <w:r w:rsidRPr="002369DB">
        <w:rPr>
          <w:rStyle w:val="Italic"/>
        </w:rPr>
        <w:t xml:space="preserve"> in Victoria: 2013–14 to 2022–23 </w:t>
      </w:r>
      <w:r w:rsidRPr="002369DB">
        <w:t>(Sentencing Advisory Council, 2024).</w:t>
      </w:r>
    </w:p>
    <w:p w14:paraId="667A3DCB" w14:textId="77777777" w:rsidR="004C0661" w:rsidRPr="002369DB" w:rsidRDefault="004C0661" w:rsidP="004C0661">
      <w:pPr>
        <w:pStyle w:val="Bibliography"/>
      </w:pPr>
      <w:r w:rsidRPr="002369DB">
        <w:t xml:space="preserve">Sentencing Advisory Council, </w:t>
      </w:r>
      <w:proofErr w:type="gramStart"/>
      <w:r w:rsidRPr="002369DB">
        <w:rPr>
          <w:rStyle w:val="Italic"/>
        </w:rPr>
        <w:t>Sentencing</w:t>
      </w:r>
      <w:proofErr w:type="gramEnd"/>
      <w:r w:rsidRPr="002369DB">
        <w:rPr>
          <w:rStyle w:val="Italic"/>
        </w:rPr>
        <w:t xml:space="preserve"> in Victoria: 2014–15 to 2023–24 </w:t>
      </w:r>
      <w:r w:rsidRPr="002369DB">
        <w:t>(Sentencing Advisory Council, 2025).</w:t>
      </w:r>
    </w:p>
    <w:p w14:paraId="7AA17720" w14:textId="77777777" w:rsidR="004C0661" w:rsidRPr="002369DB" w:rsidRDefault="004C0661" w:rsidP="004C0661">
      <w:pPr>
        <w:pStyle w:val="Bibliography"/>
      </w:pPr>
      <w:r w:rsidRPr="002369DB">
        <w:t>Sentencing Advisory Council, ‘Sentencing Outcomes in the Higher Courts’ (sentencingcouncil.vic.gov.au, 2024) &lt;https://www.sentencingcouncil.vic.gov.au/sentencing-statistics/sentencing-outcomes-higher-courts&gt;.</w:t>
      </w:r>
    </w:p>
    <w:p w14:paraId="1F63F36C" w14:textId="77777777" w:rsidR="004C0661" w:rsidRPr="002369DB" w:rsidRDefault="004C0661" w:rsidP="004C0661">
      <w:pPr>
        <w:pStyle w:val="Bibliography"/>
      </w:pPr>
      <w:r w:rsidRPr="002369DB">
        <w:t>Sentencing Advisory Council, ‘Sentencing Outcomes in the Magistrates’ Court’ (sentencingcouncil.vic.gov.au, 2024) &lt;https://www.sentencingcouncil.vic.gov.au/sentencing-statistics/sentencing-outcomes-magistrates-court&gt;.</w:t>
      </w:r>
    </w:p>
    <w:p w14:paraId="587E462F" w14:textId="77777777" w:rsidR="004C0661" w:rsidRPr="002369DB" w:rsidRDefault="004C0661" w:rsidP="004C0661">
      <w:pPr>
        <w:pStyle w:val="Bibliography"/>
      </w:pPr>
      <w:r w:rsidRPr="002369DB">
        <w:t xml:space="preserve">Sentencing Advisory Council, </w:t>
      </w:r>
      <w:r w:rsidRPr="002369DB">
        <w:rPr>
          <w:rStyle w:val="Italic"/>
        </w:rPr>
        <w:t xml:space="preserve">Sentencing Sex Offences in Victoria: An Analysis of Three Sentencing Reforms </w:t>
      </w:r>
      <w:r w:rsidRPr="002369DB">
        <w:t>(Sentencing Advisory Council, 2021).</w:t>
      </w:r>
    </w:p>
    <w:p w14:paraId="7F574BA4" w14:textId="77777777" w:rsidR="004C0661" w:rsidRPr="002369DB" w:rsidRDefault="004C0661" w:rsidP="004C0661">
      <w:pPr>
        <w:pStyle w:val="Bibliography"/>
      </w:pPr>
      <w:r w:rsidRPr="002369DB">
        <w:t xml:space="preserve">Sentencing Advisory Council, </w:t>
      </w:r>
      <w:r w:rsidRPr="002369DB">
        <w:rPr>
          <w:rStyle w:val="Italic"/>
        </w:rPr>
        <w:t xml:space="preserve">The Criminal Justice Diversion Program in Victoria: Second Statistical Profile </w:t>
      </w:r>
      <w:r w:rsidRPr="002369DB">
        <w:t>(Sentencing Advisory Council, 2024).</w:t>
      </w:r>
    </w:p>
    <w:p w14:paraId="52FDD939" w14:textId="77777777" w:rsidR="004C0661" w:rsidRPr="002369DB" w:rsidRDefault="004C0661" w:rsidP="00622026">
      <w:pPr>
        <w:pStyle w:val="Heading2"/>
      </w:pPr>
      <w:r w:rsidRPr="002369DB">
        <w:t>Cases</w:t>
      </w:r>
    </w:p>
    <w:p w14:paraId="6F834947" w14:textId="77777777" w:rsidR="004C0661" w:rsidRPr="002369DB" w:rsidRDefault="004C0661" w:rsidP="00622026">
      <w:pPr>
        <w:pStyle w:val="Heading3"/>
      </w:pPr>
      <w:r w:rsidRPr="002369DB">
        <w:t>Victoria</w:t>
      </w:r>
    </w:p>
    <w:p w14:paraId="1A9F2660" w14:textId="77777777" w:rsidR="004C0661" w:rsidRPr="002369DB" w:rsidRDefault="004C0661" w:rsidP="00622026">
      <w:r w:rsidRPr="002369DB">
        <w:rPr>
          <w:rStyle w:val="Italic"/>
        </w:rPr>
        <w:t xml:space="preserve">ABC (a pseudonym) v The King </w:t>
      </w:r>
      <w:r w:rsidRPr="002369DB">
        <w:t>[2023] VSCA 280</w:t>
      </w:r>
    </w:p>
    <w:p w14:paraId="668FF4D5" w14:textId="77777777" w:rsidR="004C0661" w:rsidRPr="002369DB" w:rsidRDefault="004C0661" w:rsidP="00622026">
      <w:r w:rsidRPr="002369DB">
        <w:rPr>
          <w:rStyle w:val="Italic"/>
        </w:rPr>
        <w:lastRenderedPageBreak/>
        <w:t xml:space="preserve">Chaarani v The King </w:t>
      </w:r>
      <w:r w:rsidRPr="002369DB">
        <w:t>[2023] VSCA 275</w:t>
      </w:r>
    </w:p>
    <w:p w14:paraId="3BB085EB" w14:textId="77777777" w:rsidR="004C0661" w:rsidRPr="002369DB" w:rsidRDefault="004C0661" w:rsidP="00622026">
      <w:r w:rsidRPr="002369DB">
        <w:rPr>
          <w:rStyle w:val="Italic"/>
        </w:rPr>
        <w:t>Cullinan-</w:t>
      </w:r>
      <w:proofErr w:type="spellStart"/>
      <w:r w:rsidRPr="002369DB">
        <w:rPr>
          <w:rStyle w:val="Italic"/>
        </w:rPr>
        <w:t>Smayle</w:t>
      </w:r>
      <w:proofErr w:type="spellEnd"/>
      <w:r w:rsidRPr="002369DB">
        <w:rPr>
          <w:rStyle w:val="Italic"/>
        </w:rPr>
        <w:t xml:space="preserve"> v The King </w:t>
      </w:r>
      <w:r w:rsidRPr="002369DB">
        <w:t>[2025] VSCA 109</w:t>
      </w:r>
    </w:p>
    <w:p w14:paraId="7E0E497B" w14:textId="77777777" w:rsidR="004C0661" w:rsidRPr="002369DB" w:rsidRDefault="004C0661" w:rsidP="00622026">
      <w:r w:rsidRPr="002369DB">
        <w:rPr>
          <w:rStyle w:val="Italic"/>
        </w:rPr>
        <w:t>DPP &amp; DPP (</w:t>
      </w:r>
      <w:proofErr w:type="spellStart"/>
      <w:r w:rsidRPr="002369DB">
        <w:rPr>
          <w:rStyle w:val="Italic"/>
        </w:rPr>
        <w:t>Cth</w:t>
      </w:r>
      <w:proofErr w:type="spellEnd"/>
      <w:r w:rsidRPr="002369DB">
        <w:rPr>
          <w:rStyle w:val="Italic"/>
        </w:rPr>
        <w:t xml:space="preserve">) v McKenny (a pseudonym) </w:t>
      </w:r>
      <w:r w:rsidRPr="002369DB">
        <w:t>[2018] VCC 1065</w:t>
      </w:r>
    </w:p>
    <w:p w14:paraId="0525EDF8" w14:textId="77777777" w:rsidR="004C0661" w:rsidRPr="002369DB" w:rsidRDefault="004C0661" w:rsidP="00622026">
      <w:r w:rsidRPr="002369DB">
        <w:rPr>
          <w:rStyle w:val="Italic"/>
        </w:rPr>
        <w:t>DPP &amp; DPP (</w:t>
      </w:r>
      <w:proofErr w:type="spellStart"/>
      <w:r w:rsidRPr="002369DB">
        <w:rPr>
          <w:rStyle w:val="Italic"/>
        </w:rPr>
        <w:t>Cth</w:t>
      </w:r>
      <w:proofErr w:type="spellEnd"/>
      <w:r w:rsidRPr="002369DB">
        <w:rPr>
          <w:rStyle w:val="Italic"/>
        </w:rPr>
        <w:t xml:space="preserve">) v Swingler </w:t>
      </w:r>
      <w:r w:rsidRPr="002369DB">
        <w:t>[2017] VSCA 305</w:t>
      </w:r>
    </w:p>
    <w:p w14:paraId="1B27075B"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ABC (a pseudonym) </w:t>
      </w:r>
      <w:r w:rsidRPr="002369DB">
        <w:t>[2023] VCC 446</w:t>
      </w:r>
    </w:p>
    <w:p w14:paraId="4351F3BE"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Amarasinghe </w:t>
      </w:r>
      <w:r w:rsidRPr="002369DB">
        <w:t>[2022] VCC 200</w:t>
      </w:r>
    </w:p>
    <w:p w14:paraId="3A009704"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Baird </w:t>
      </w:r>
      <w:r w:rsidRPr="002369DB">
        <w:t>[2024] VCC 827</w:t>
      </w:r>
    </w:p>
    <w:p w14:paraId="43AE49DF"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w:t>
      </w:r>
      <w:proofErr w:type="spellStart"/>
      <w:r w:rsidRPr="002369DB">
        <w:rPr>
          <w:rStyle w:val="Italic"/>
        </w:rPr>
        <w:t>Ballintine</w:t>
      </w:r>
      <w:proofErr w:type="spellEnd"/>
      <w:r w:rsidRPr="002369DB">
        <w:rPr>
          <w:rStyle w:val="Italic"/>
        </w:rPr>
        <w:t xml:space="preserve"> &amp; Anor </w:t>
      </w:r>
      <w:r w:rsidRPr="002369DB">
        <w:t>[2020] VCC 211</w:t>
      </w:r>
    </w:p>
    <w:p w14:paraId="1054CC8D"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Boucher </w:t>
      </w:r>
      <w:r w:rsidRPr="002369DB">
        <w:t>[2021] VCC 1165</w:t>
      </w:r>
    </w:p>
    <w:p w14:paraId="2037FD37"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Cai &amp; Ors </w:t>
      </w:r>
      <w:r w:rsidRPr="002369DB">
        <w:t>[2021] VCC 633</w:t>
      </w:r>
    </w:p>
    <w:p w14:paraId="1EF9DF1B"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Caldwell (a pseudonym) </w:t>
      </w:r>
      <w:r w:rsidRPr="002369DB">
        <w:t>[2022] VCC 1258</w:t>
      </w:r>
    </w:p>
    <w:p w14:paraId="72F0C428"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Cartledge </w:t>
      </w:r>
      <w:r w:rsidRPr="002369DB">
        <w:t>[2024] VCC 1280</w:t>
      </w:r>
    </w:p>
    <w:p w14:paraId="19A218F6"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Clayton </w:t>
      </w:r>
      <w:r w:rsidRPr="002369DB">
        <w:t>[2019] VCC 1591</w:t>
      </w:r>
    </w:p>
    <w:p w14:paraId="7AA45487"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Collins (a pseudonym) </w:t>
      </w:r>
      <w:r w:rsidRPr="002369DB">
        <w:t>[2021] VCC 1497</w:t>
      </w:r>
    </w:p>
    <w:p w14:paraId="0D4BC3F8"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Collins </w:t>
      </w:r>
      <w:r w:rsidRPr="002369DB">
        <w:t>[2024] VCC 1050</w:t>
      </w:r>
    </w:p>
    <w:p w14:paraId="2EA9BD90"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Cooper </w:t>
      </w:r>
      <w:r w:rsidRPr="002369DB">
        <w:t>[2021] VCC 1515</w:t>
      </w:r>
    </w:p>
    <w:p w14:paraId="40DA0731"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v Cullinan-</w:t>
      </w:r>
      <w:proofErr w:type="spellStart"/>
      <w:r w:rsidRPr="002369DB">
        <w:rPr>
          <w:rStyle w:val="Italic"/>
        </w:rPr>
        <w:t>Smayle</w:t>
      </w:r>
      <w:proofErr w:type="spellEnd"/>
      <w:r w:rsidRPr="002369DB">
        <w:rPr>
          <w:rStyle w:val="Italic"/>
        </w:rPr>
        <w:t xml:space="preserve"> &amp; Anor </w:t>
      </w:r>
      <w:r w:rsidRPr="002369DB">
        <w:t>[2023] VCC 480</w:t>
      </w:r>
    </w:p>
    <w:p w14:paraId="0752C064"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Dierickx </w:t>
      </w:r>
      <w:r w:rsidRPr="002369DB">
        <w:t>[2022] VCC 928</w:t>
      </w:r>
    </w:p>
    <w:p w14:paraId="0CAB6ACA"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EB Ocean </w:t>
      </w:r>
      <w:r w:rsidRPr="002369DB">
        <w:t>[2019] VCC 2072</w:t>
      </w:r>
    </w:p>
    <w:p w14:paraId="272C6C2D"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Gardiner </w:t>
      </w:r>
      <w:r w:rsidRPr="002369DB">
        <w:t>[2024] VCC 1287</w:t>
      </w:r>
    </w:p>
    <w:p w14:paraId="6E3EB4F0"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Gibson </w:t>
      </w:r>
      <w:r w:rsidRPr="002369DB">
        <w:t>[2024] VCC 65</w:t>
      </w:r>
    </w:p>
    <w:p w14:paraId="76B05D09"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w:t>
      </w:r>
      <w:proofErr w:type="spellStart"/>
      <w:r w:rsidRPr="002369DB">
        <w:rPr>
          <w:rStyle w:val="Italic"/>
        </w:rPr>
        <w:t>Hedditch</w:t>
      </w:r>
      <w:proofErr w:type="spellEnd"/>
      <w:r w:rsidRPr="002369DB">
        <w:rPr>
          <w:rStyle w:val="Italic"/>
        </w:rPr>
        <w:t xml:space="preserve"> (a pseudonym) </w:t>
      </w:r>
      <w:r w:rsidRPr="002369DB">
        <w:t>[2018] VCC 1631</w:t>
      </w:r>
    </w:p>
    <w:p w14:paraId="66EE1A3A"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Hewitt </w:t>
      </w:r>
      <w:r w:rsidRPr="002369DB">
        <w:t>[2023] VCC 843</w:t>
      </w:r>
    </w:p>
    <w:p w14:paraId="57711BEE" w14:textId="77777777" w:rsidR="004C0661" w:rsidRPr="002369DB" w:rsidRDefault="004C0661" w:rsidP="00622026">
      <w:r w:rsidRPr="002369DB">
        <w:rPr>
          <w:rStyle w:val="Italic"/>
        </w:rPr>
        <w:lastRenderedPageBreak/>
        <w:t>DPP (</w:t>
      </w:r>
      <w:proofErr w:type="spellStart"/>
      <w:r w:rsidRPr="002369DB">
        <w:rPr>
          <w:rStyle w:val="Italic"/>
        </w:rPr>
        <w:t>Cth</w:t>
      </w:r>
      <w:proofErr w:type="spellEnd"/>
      <w:r w:rsidRPr="002369DB">
        <w:rPr>
          <w:rStyle w:val="Italic"/>
        </w:rPr>
        <w:t xml:space="preserve">) v Huerta (a pseudonym) </w:t>
      </w:r>
      <w:r w:rsidRPr="002369DB">
        <w:t>[2024] VCC 1511</w:t>
      </w:r>
    </w:p>
    <w:p w14:paraId="294952C7"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Hunter (a pseudonym) </w:t>
      </w:r>
      <w:r w:rsidRPr="002369DB">
        <w:t>[2022] VCC 1576</w:t>
      </w:r>
    </w:p>
    <w:p w14:paraId="7CF9638C"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w:t>
      </w:r>
      <w:proofErr w:type="spellStart"/>
      <w:r w:rsidRPr="002369DB">
        <w:rPr>
          <w:rStyle w:val="Italic"/>
        </w:rPr>
        <w:t>Kamarelddin</w:t>
      </w:r>
      <w:proofErr w:type="spellEnd"/>
      <w:r w:rsidRPr="002369DB">
        <w:rPr>
          <w:rStyle w:val="Italic"/>
        </w:rPr>
        <w:t xml:space="preserve"> </w:t>
      </w:r>
      <w:r w:rsidRPr="002369DB">
        <w:t>[2018] VCC 1193</w:t>
      </w:r>
    </w:p>
    <w:p w14:paraId="066CE81A"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Kawecki </w:t>
      </w:r>
      <w:r w:rsidRPr="002369DB">
        <w:t>[2020] VCC 1751</w:t>
      </w:r>
    </w:p>
    <w:p w14:paraId="1B10D2D6"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Kit </w:t>
      </w:r>
      <w:r w:rsidRPr="002369DB">
        <w:t>[2021] VCC 421</w:t>
      </w:r>
    </w:p>
    <w:p w14:paraId="6F7527B8"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Loughnan </w:t>
      </w:r>
      <w:r w:rsidRPr="002369DB">
        <w:t>[2024] VCC 1005</w:t>
      </w:r>
    </w:p>
    <w:p w14:paraId="7C819EB9"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M &amp; G </w:t>
      </w:r>
      <w:proofErr w:type="spellStart"/>
      <w:r w:rsidRPr="002369DB">
        <w:rPr>
          <w:rStyle w:val="Italic"/>
        </w:rPr>
        <w:t>Vizzarri</w:t>
      </w:r>
      <w:proofErr w:type="spellEnd"/>
      <w:r w:rsidRPr="002369DB">
        <w:rPr>
          <w:rStyle w:val="Italic"/>
        </w:rPr>
        <w:t xml:space="preserve"> Pty Ltd </w:t>
      </w:r>
      <w:r w:rsidRPr="002369DB">
        <w:t>[2022] VCC 894</w:t>
      </w:r>
    </w:p>
    <w:p w14:paraId="13B31A2B"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Magri </w:t>
      </w:r>
      <w:r w:rsidRPr="002369DB">
        <w:t>[2022] VCC 109</w:t>
      </w:r>
    </w:p>
    <w:p w14:paraId="58FF99F1"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Mayall </w:t>
      </w:r>
      <w:r w:rsidRPr="002369DB">
        <w:t>[2024] VCC 987</w:t>
      </w:r>
    </w:p>
    <w:p w14:paraId="60C1A6D6"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McLaren </w:t>
      </w:r>
      <w:r w:rsidRPr="002369DB">
        <w:t>[2023] VCC 296</w:t>
      </w:r>
    </w:p>
    <w:p w14:paraId="002A5C5A"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Newling </w:t>
      </w:r>
      <w:r w:rsidRPr="002369DB">
        <w:t>[2018] VCC 1691</w:t>
      </w:r>
    </w:p>
    <w:p w14:paraId="74259ECA"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Pisano </w:t>
      </w:r>
      <w:r w:rsidRPr="002369DB">
        <w:t>[2020] VCC 1725</w:t>
      </w:r>
    </w:p>
    <w:p w14:paraId="6249B121"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Radford </w:t>
      </w:r>
      <w:r w:rsidRPr="002369DB">
        <w:t>[2023] VCC 1907</w:t>
      </w:r>
    </w:p>
    <w:p w14:paraId="401D300E"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w:t>
      </w:r>
      <w:proofErr w:type="spellStart"/>
      <w:r w:rsidRPr="002369DB">
        <w:rPr>
          <w:rStyle w:val="Italic"/>
        </w:rPr>
        <w:t>Rivo</w:t>
      </w:r>
      <w:proofErr w:type="spellEnd"/>
      <w:r w:rsidRPr="002369DB">
        <w:rPr>
          <w:rStyle w:val="Italic"/>
        </w:rPr>
        <w:t xml:space="preserve"> </w:t>
      </w:r>
      <w:r w:rsidRPr="002369DB">
        <w:t>[2021] VCC 1799</w:t>
      </w:r>
    </w:p>
    <w:p w14:paraId="3AC96699"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Robertson </w:t>
      </w:r>
      <w:r w:rsidRPr="002369DB">
        <w:t>[2022] VCC 1078</w:t>
      </w:r>
    </w:p>
    <w:p w14:paraId="5B71C96E"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Rogerson (a pseudonym) </w:t>
      </w:r>
      <w:r w:rsidRPr="002369DB">
        <w:t>[2023] VCC 295</w:t>
      </w:r>
    </w:p>
    <w:p w14:paraId="37497699"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Safdar </w:t>
      </w:r>
      <w:r w:rsidRPr="002369DB">
        <w:t>[2024] VCC 432</w:t>
      </w:r>
    </w:p>
    <w:p w14:paraId="1857AC2B"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Trinh </w:t>
      </w:r>
      <w:r w:rsidRPr="002369DB">
        <w:t>[2022] VCC 1404</w:t>
      </w:r>
    </w:p>
    <w:p w14:paraId="7674A644"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Uppiah </w:t>
      </w:r>
      <w:r w:rsidRPr="002369DB">
        <w:t>[2019] VCC 1324</w:t>
      </w:r>
    </w:p>
    <w:p w14:paraId="741B64D4"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Waller </w:t>
      </w:r>
      <w:r w:rsidRPr="002369DB">
        <w:t>[2021] VCC 79</w:t>
      </w:r>
    </w:p>
    <w:p w14:paraId="59F80908"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Warner (a pseudonym) </w:t>
      </w:r>
      <w:r w:rsidRPr="002369DB">
        <w:t>[2023] VCC 803</w:t>
      </w:r>
    </w:p>
    <w:p w14:paraId="1B7F6707" w14:textId="77777777" w:rsidR="004C0661" w:rsidRPr="002369DB" w:rsidRDefault="004C0661" w:rsidP="00622026">
      <w:r w:rsidRPr="002369DB">
        <w:rPr>
          <w:rStyle w:val="Italic"/>
        </w:rPr>
        <w:t>DPP (</w:t>
      </w:r>
      <w:proofErr w:type="spellStart"/>
      <w:r w:rsidRPr="002369DB">
        <w:rPr>
          <w:rStyle w:val="Italic"/>
        </w:rPr>
        <w:t>Cth</w:t>
      </w:r>
      <w:proofErr w:type="spellEnd"/>
      <w:r w:rsidRPr="002369DB">
        <w:rPr>
          <w:rStyle w:val="Italic"/>
        </w:rPr>
        <w:t xml:space="preserve">) v Willet </w:t>
      </w:r>
      <w:r w:rsidRPr="002369DB">
        <w:t>[2024] VCC 831</w:t>
      </w:r>
    </w:p>
    <w:p w14:paraId="01A03956" w14:textId="77777777" w:rsidR="004C0661" w:rsidRPr="002369DB" w:rsidRDefault="004C0661" w:rsidP="00622026">
      <w:r w:rsidRPr="002369DB">
        <w:rPr>
          <w:rStyle w:val="Italic"/>
        </w:rPr>
        <w:t xml:space="preserve">DPP v Chapman </w:t>
      </w:r>
      <w:r w:rsidRPr="002369DB">
        <w:t>[2020] VCC 1136</w:t>
      </w:r>
    </w:p>
    <w:p w14:paraId="7AC437C9" w14:textId="77777777" w:rsidR="004C0661" w:rsidRPr="002369DB" w:rsidRDefault="004C0661" w:rsidP="00622026">
      <w:r w:rsidRPr="002369DB">
        <w:rPr>
          <w:rStyle w:val="Italic"/>
        </w:rPr>
        <w:lastRenderedPageBreak/>
        <w:t xml:space="preserve">DPP v Cooper </w:t>
      </w:r>
      <w:r w:rsidRPr="002369DB">
        <w:t>[2018] VCC 2134</w:t>
      </w:r>
    </w:p>
    <w:p w14:paraId="549D05EB" w14:textId="77777777" w:rsidR="004C0661" w:rsidRPr="002369DB" w:rsidRDefault="004C0661" w:rsidP="00622026">
      <w:r w:rsidRPr="002369DB">
        <w:rPr>
          <w:rStyle w:val="Italic"/>
        </w:rPr>
        <w:t xml:space="preserve">DPP v Donaldson </w:t>
      </w:r>
      <w:r w:rsidRPr="002369DB">
        <w:t>[2022] VCC 129</w:t>
      </w:r>
    </w:p>
    <w:p w14:paraId="26F8DCF8" w14:textId="77777777" w:rsidR="004C0661" w:rsidRPr="002369DB" w:rsidRDefault="004C0661" w:rsidP="00622026">
      <w:r w:rsidRPr="002369DB">
        <w:rPr>
          <w:rStyle w:val="Italic"/>
        </w:rPr>
        <w:t xml:space="preserve">DPP v Hays (a pseudonym) </w:t>
      </w:r>
      <w:r w:rsidRPr="002369DB">
        <w:t>[2024] VCC 1533</w:t>
      </w:r>
    </w:p>
    <w:p w14:paraId="3441CC58" w14:textId="77777777" w:rsidR="004C0661" w:rsidRPr="002369DB" w:rsidRDefault="004C0661" w:rsidP="00622026">
      <w:r w:rsidRPr="002369DB">
        <w:rPr>
          <w:rStyle w:val="Italic"/>
        </w:rPr>
        <w:t xml:space="preserve">DPP v Hulsman </w:t>
      </w:r>
      <w:r w:rsidRPr="002369DB">
        <w:t>[2024] VCC 1466</w:t>
      </w:r>
    </w:p>
    <w:p w14:paraId="5B4912ED" w14:textId="77777777" w:rsidR="004C0661" w:rsidRPr="002369DB" w:rsidRDefault="004C0661" w:rsidP="00622026">
      <w:r w:rsidRPr="002369DB">
        <w:rPr>
          <w:rStyle w:val="Italic"/>
        </w:rPr>
        <w:t xml:space="preserve">DPP v Murphy (a pseudonym) </w:t>
      </w:r>
      <w:r w:rsidRPr="002369DB">
        <w:t>[2021] VCC 1525</w:t>
      </w:r>
    </w:p>
    <w:p w14:paraId="1D67E877" w14:textId="77777777" w:rsidR="004C0661" w:rsidRPr="002369DB" w:rsidRDefault="004C0661" w:rsidP="00622026">
      <w:r w:rsidRPr="002369DB">
        <w:rPr>
          <w:rStyle w:val="Italic"/>
        </w:rPr>
        <w:t xml:space="preserve">DPP v Phibbs </w:t>
      </w:r>
      <w:r w:rsidRPr="002369DB">
        <w:t xml:space="preserve">[2022] VCC 2126 </w:t>
      </w:r>
    </w:p>
    <w:p w14:paraId="364DD2F4" w14:textId="77777777" w:rsidR="004C0661" w:rsidRPr="002369DB" w:rsidRDefault="004C0661" w:rsidP="00622026">
      <w:r w:rsidRPr="002369DB">
        <w:rPr>
          <w:rStyle w:val="Italic"/>
        </w:rPr>
        <w:t xml:space="preserve">DPP v Smith (a pseudonym) </w:t>
      </w:r>
      <w:r w:rsidRPr="002369DB">
        <w:t>[2024] VCC 1094</w:t>
      </w:r>
    </w:p>
    <w:p w14:paraId="62A2BD8B" w14:textId="77777777" w:rsidR="004C0661" w:rsidRPr="002369DB" w:rsidRDefault="004C0661" w:rsidP="00622026">
      <w:r w:rsidRPr="002369DB">
        <w:rPr>
          <w:rStyle w:val="Italic"/>
        </w:rPr>
        <w:t xml:space="preserve">Heels v The King </w:t>
      </w:r>
      <w:r w:rsidRPr="002369DB">
        <w:t>[2024] VSCA 133</w:t>
      </w:r>
    </w:p>
    <w:p w14:paraId="184E74B6" w14:textId="77777777" w:rsidR="004C0661" w:rsidRPr="002369DB" w:rsidRDefault="004C0661" w:rsidP="00622026">
      <w:r w:rsidRPr="002369DB">
        <w:rPr>
          <w:rStyle w:val="Italic"/>
        </w:rPr>
        <w:t xml:space="preserve">Hulsman v The King </w:t>
      </w:r>
      <w:r w:rsidRPr="002369DB">
        <w:t>[2025] VSCA 63</w:t>
      </w:r>
    </w:p>
    <w:p w14:paraId="14E01D39" w14:textId="77777777" w:rsidR="004C0661" w:rsidRPr="002369DB" w:rsidRDefault="004C0661" w:rsidP="00622026">
      <w:r w:rsidRPr="002369DB">
        <w:rPr>
          <w:rStyle w:val="Italic"/>
        </w:rPr>
        <w:t xml:space="preserve">Nguyen v The Queen </w:t>
      </w:r>
      <w:r w:rsidRPr="002369DB">
        <w:t>[2016] VSCA 198</w:t>
      </w:r>
    </w:p>
    <w:p w14:paraId="74CDC289" w14:textId="77777777" w:rsidR="004C0661" w:rsidRPr="002369DB" w:rsidRDefault="004C0661" w:rsidP="00622026">
      <w:r w:rsidRPr="002369DB">
        <w:rPr>
          <w:rStyle w:val="Italic"/>
        </w:rPr>
        <w:t>Phibbs v The King</w:t>
      </w:r>
      <w:r w:rsidRPr="002369DB">
        <w:t xml:space="preserve"> [2023] VSCA 123</w:t>
      </w:r>
    </w:p>
    <w:p w14:paraId="14ACEFC4" w14:textId="77777777" w:rsidR="004C0661" w:rsidRPr="002369DB" w:rsidRDefault="004C0661" w:rsidP="00622026">
      <w:r w:rsidRPr="002369DB">
        <w:rPr>
          <w:rStyle w:val="Italic"/>
        </w:rPr>
        <w:t xml:space="preserve">Plaza Lopez v The King </w:t>
      </w:r>
      <w:r w:rsidRPr="002369DB">
        <w:t>[2024] VSCA 265</w:t>
      </w:r>
    </w:p>
    <w:p w14:paraId="4976FE8E" w14:textId="77777777" w:rsidR="004C0661" w:rsidRPr="002369DB" w:rsidRDefault="004C0661" w:rsidP="00622026">
      <w:r w:rsidRPr="002369DB">
        <w:rPr>
          <w:rStyle w:val="Italic"/>
        </w:rPr>
        <w:t xml:space="preserve">R v Abbas &amp; Ors </w:t>
      </w:r>
      <w:r w:rsidRPr="002369DB">
        <w:t>[2019] VSC 775</w:t>
      </w:r>
    </w:p>
    <w:p w14:paraId="75106AF2" w14:textId="77777777" w:rsidR="004C0661" w:rsidRPr="002369DB" w:rsidRDefault="004C0661" w:rsidP="00622026">
      <w:r w:rsidRPr="002369DB">
        <w:rPr>
          <w:rStyle w:val="Italic"/>
        </w:rPr>
        <w:t xml:space="preserve">R v Abbas </w:t>
      </w:r>
      <w:r w:rsidRPr="002369DB">
        <w:t>[2018] VSC 553</w:t>
      </w:r>
    </w:p>
    <w:p w14:paraId="11E3AC32" w14:textId="77777777" w:rsidR="004C0661" w:rsidRPr="002369DB" w:rsidRDefault="004C0661" w:rsidP="00622026">
      <w:r w:rsidRPr="002369DB">
        <w:rPr>
          <w:rStyle w:val="Italic"/>
        </w:rPr>
        <w:t xml:space="preserve">R v </w:t>
      </w:r>
      <w:proofErr w:type="spellStart"/>
      <w:r w:rsidRPr="002369DB">
        <w:rPr>
          <w:rStyle w:val="Italic"/>
        </w:rPr>
        <w:t>Avanteos</w:t>
      </w:r>
      <w:proofErr w:type="spellEnd"/>
      <w:r w:rsidRPr="002369DB">
        <w:rPr>
          <w:rStyle w:val="Italic"/>
        </w:rPr>
        <w:t xml:space="preserve"> Investments Ltd </w:t>
      </w:r>
      <w:r w:rsidRPr="002369DB">
        <w:t>[2022] VCC 869</w:t>
      </w:r>
    </w:p>
    <w:p w14:paraId="6651AB64" w14:textId="77777777" w:rsidR="004C0661" w:rsidRPr="002369DB" w:rsidRDefault="004C0661" w:rsidP="00622026">
      <w:r w:rsidRPr="002369DB">
        <w:rPr>
          <w:rStyle w:val="Italic"/>
        </w:rPr>
        <w:t xml:space="preserve">R v Carroll </w:t>
      </w:r>
      <w:r w:rsidRPr="002369DB">
        <w:t>[1991] 2 VR 509</w:t>
      </w:r>
    </w:p>
    <w:p w14:paraId="66290221" w14:textId="77777777" w:rsidR="004C0661" w:rsidRPr="002369DB" w:rsidRDefault="004C0661" w:rsidP="00622026">
      <w:r w:rsidRPr="002369DB">
        <w:rPr>
          <w:rStyle w:val="Italic"/>
        </w:rPr>
        <w:t xml:space="preserve">R v Kunsevitsky </w:t>
      </w:r>
      <w:r w:rsidRPr="002369DB">
        <w:t>[2020] VSC 41</w:t>
      </w:r>
    </w:p>
    <w:p w14:paraId="4E438DEB" w14:textId="77777777" w:rsidR="004C0661" w:rsidRPr="002369DB" w:rsidRDefault="004C0661" w:rsidP="00622026">
      <w:r w:rsidRPr="002369DB">
        <w:rPr>
          <w:rStyle w:val="Italic"/>
        </w:rPr>
        <w:t xml:space="preserve">R v Mohamed &amp; Ors </w:t>
      </w:r>
      <w:r w:rsidRPr="002369DB">
        <w:t>[2019] VSC 498</w:t>
      </w:r>
    </w:p>
    <w:p w14:paraId="10A859B9" w14:textId="77777777" w:rsidR="004C0661" w:rsidRPr="002369DB" w:rsidRDefault="004C0661" w:rsidP="00622026">
      <w:r w:rsidRPr="002369DB">
        <w:rPr>
          <w:rStyle w:val="Italic"/>
        </w:rPr>
        <w:t xml:space="preserve">R v Shoma </w:t>
      </w:r>
      <w:r w:rsidRPr="002369DB">
        <w:t>[2019] VSC 367</w:t>
      </w:r>
    </w:p>
    <w:p w14:paraId="2586D085" w14:textId="77777777" w:rsidR="004C0661" w:rsidRPr="002369DB" w:rsidRDefault="004C0661" w:rsidP="00622026">
      <w:r w:rsidRPr="002369DB">
        <w:rPr>
          <w:rStyle w:val="Italic"/>
        </w:rPr>
        <w:t xml:space="preserve">Trinh v The King </w:t>
      </w:r>
      <w:r w:rsidRPr="002369DB">
        <w:t>[2024] VSCA 61</w:t>
      </w:r>
    </w:p>
    <w:p w14:paraId="3FFA4EA4" w14:textId="77777777" w:rsidR="004C0661" w:rsidRPr="002369DB" w:rsidRDefault="004C0661" w:rsidP="00622026">
      <w:proofErr w:type="spellStart"/>
      <w:r w:rsidRPr="002369DB">
        <w:rPr>
          <w:rStyle w:val="Italic"/>
        </w:rPr>
        <w:t>Worboyes</w:t>
      </w:r>
      <w:proofErr w:type="spellEnd"/>
      <w:r w:rsidRPr="002369DB">
        <w:rPr>
          <w:rStyle w:val="Italic"/>
        </w:rPr>
        <w:t xml:space="preserve"> v The Queen </w:t>
      </w:r>
      <w:r w:rsidRPr="002369DB">
        <w:t>[2021] VSCA 169</w:t>
      </w:r>
    </w:p>
    <w:p w14:paraId="00A7B8A2" w14:textId="77777777" w:rsidR="004C0661" w:rsidRPr="002369DB" w:rsidRDefault="004C0661" w:rsidP="00622026">
      <w:pPr>
        <w:pStyle w:val="Heading3"/>
      </w:pPr>
      <w:r w:rsidRPr="002369DB">
        <w:t>Commonwealth</w:t>
      </w:r>
    </w:p>
    <w:p w14:paraId="3D62C42B" w14:textId="77777777" w:rsidR="004C0661" w:rsidRPr="002369DB" w:rsidRDefault="004C0661" w:rsidP="00622026">
      <w:r w:rsidRPr="002369DB">
        <w:rPr>
          <w:rStyle w:val="Italic"/>
        </w:rPr>
        <w:t xml:space="preserve">Barbaro &amp; Anor v The Queen </w:t>
      </w:r>
      <w:r w:rsidRPr="002369DB">
        <w:t>[2014] HCA 2</w:t>
      </w:r>
    </w:p>
    <w:p w14:paraId="110C6AA2" w14:textId="77777777" w:rsidR="004C0661" w:rsidRPr="002369DB" w:rsidRDefault="004C0661" w:rsidP="00622026">
      <w:r w:rsidRPr="002369DB">
        <w:rPr>
          <w:rStyle w:val="Italic"/>
        </w:rPr>
        <w:lastRenderedPageBreak/>
        <w:t>DPP (</w:t>
      </w:r>
      <w:proofErr w:type="spellStart"/>
      <w:r w:rsidRPr="002369DB">
        <w:rPr>
          <w:rStyle w:val="Italic"/>
        </w:rPr>
        <w:t>Cth</w:t>
      </w:r>
      <w:proofErr w:type="spellEnd"/>
      <w:r w:rsidRPr="002369DB">
        <w:rPr>
          <w:rStyle w:val="Italic"/>
        </w:rPr>
        <w:t xml:space="preserve">) v Bingo Industries Pty Ltd &amp; Anor </w:t>
      </w:r>
      <w:r w:rsidRPr="002369DB">
        <w:t>[2024] FCA 121</w:t>
      </w:r>
    </w:p>
    <w:p w14:paraId="246392F5" w14:textId="77777777" w:rsidR="004C0661" w:rsidRPr="002369DB" w:rsidRDefault="004C0661" w:rsidP="00622026">
      <w:proofErr w:type="spellStart"/>
      <w:r w:rsidRPr="002369DB">
        <w:rPr>
          <w:rStyle w:val="Italic"/>
        </w:rPr>
        <w:t>Hili</w:t>
      </w:r>
      <w:proofErr w:type="spellEnd"/>
      <w:r w:rsidRPr="002369DB">
        <w:rPr>
          <w:rStyle w:val="Italic"/>
        </w:rPr>
        <w:t xml:space="preserve"> &amp; Anor v The Queen </w:t>
      </w:r>
      <w:r w:rsidRPr="002369DB">
        <w:t>[2010] HCA 45</w:t>
      </w:r>
    </w:p>
    <w:p w14:paraId="1B098D22" w14:textId="77777777" w:rsidR="004C0661" w:rsidRPr="002369DB" w:rsidRDefault="004C0661" w:rsidP="00622026">
      <w:r w:rsidRPr="002369DB">
        <w:rPr>
          <w:rStyle w:val="Italic"/>
        </w:rPr>
        <w:t xml:space="preserve">Hurt &amp; Anor v The King </w:t>
      </w:r>
      <w:r w:rsidRPr="002369DB">
        <w:t>[2024] HCA 8</w:t>
      </w:r>
    </w:p>
    <w:p w14:paraId="587819CE" w14:textId="77777777" w:rsidR="004C0661" w:rsidRPr="002369DB" w:rsidRDefault="004C0661" w:rsidP="00622026">
      <w:pPr>
        <w:pStyle w:val="Heading2"/>
      </w:pPr>
      <w:r w:rsidRPr="002369DB">
        <w:t>Legislation and regulations</w:t>
      </w:r>
    </w:p>
    <w:p w14:paraId="1282E67B" w14:textId="77777777" w:rsidR="004C0661" w:rsidRPr="002369DB" w:rsidRDefault="004C0661" w:rsidP="00622026">
      <w:pPr>
        <w:pStyle w:val="Heading3"/>
      </w:pPr>
      <w:r w:rsidRPr="002369DB">
        <w:t>Victoria</w:t>
      </w:r>
    </w:p>
    <w:p w14:paraId="42D0ACB6" w14:textId="77777777" w:rsidR="004C0661" w:rsidRPr="002369DB" w:rsidRDefault="004C0661" w:rsidP="00622026">
      <w:r w:rsidRPr="002369DB">
        <w:rPr>
          <w:rStyle w:val="Italic"/>
        </w:rPr>
        <w:t xml:space="preserve">Bail Act 1977 </w:t>
      </w:r>
      <w:r w:rsidRPr="002369DB">
        <w:t>(Vic)</w:t>
      </w:r>
    </w:p>
    <w:p w14:paraId="5A7EAC84" w14:textId="77777777" w:rsidR="004C0661" w:rsidRPr="002369DB" w:rsidRDefault="004C0661" w:rsidP="00622026">
      <w:r w:rsidRPr="002369DB">
        <w:rPr>
          <w:rStyle w:val="Italic"/>
        </w:rPr>
        <w:t xml:space="preserve">Criminal Procedure Act 2009 </w:t>
      </w:r>
      <w:r w:rsidRPr="002369DB">
        <w:t>(Vic)</w:t>
      </w:r>
    </w:p>
    <w:p w14:paraId="48AD1B18" w14:textId="77777777" w:rsidR="004C0661" w:rsidRPr="002369DB" w:rsidRDefault="004C0661" w:rsidP="00622026">
      <w:r w:rsidRPr="002369DB">
        <w:rPr>
          <w:rStyle w:val="Italic"/>
        </w:rPr>
        <w:t xml:space="preserve">Family Violence Protection Act 2008 </w:t>
      </w:r>
      <w:r w:rsidRPr="002369DB">
        <w:t>(Vic)</w:t>
      </w:r>
    </w:p>
    <w:p w14:paraId="33F54B13" w14:textId="77777777" w:rsidR="004C0661" w:rsidRPr="002369DB" w:rsidRDefault="004C0661" w:rsidP="00622026">
      <w:r w:rsidRPr="002369DB">
        <w:rPr>
          <w:rStyle w:val="Italic"/>
        </w:rPr>
        <w:t xml:space="preserve">Public Prosecutions Act 1994 </w:t>
      </w:r>
      <w:r w:rsidRPr="002369DB">
        <w:t>(Vic)</w:t>
      </w:r>
    </w:p>
    <w:p w14:paraId="644DEC32" w14:textId="77777777" w:rsidR="004C0661" w:rsidRPr="002369DB" w:rsidRDefault="004C0661" w:rsidP="00622026">
      <w:r w:rsidRPr="002369DB">
        <w:rPr>
          <w:rStyle w:val="Italic"/>
        </w:rPr>
        <w:t xml:space="preserve">Sentencing Act 1991 </w:t>
      </w:r>
      <w:r w:rsidRPr="002369DB">
        <w:t>(Vic)</w:t>
      </w:r>
    </w:p>
    <w:p w14:paraId="1C6B2145" w14:textId="77777777" w:rsidR="004C0661" w:rsidRPr="002369DB" w:rsidRDefault="004C0661" w:rsidP="00622026">
      <w:pPr>
        <w:pStyle w:val="Heading3"/>
      </w:pPr>
      <w:r w:rsidRPr="002369DB">
        <w:t>Commonwealth</w:t>
      </w:r>
    </w:p>
    <w:p w14:paraId="54E80525" w14:textId="77777777" w:rsidR="004C0661" w:rsidRPr="002369DB" w:rsidRDefault="004C0661" w:rsidP="00622026">
      <w:r w:rsidRPr="002369DB">
        <w:rPr>
          <w:rStyle w:val="Italic"/>
        </w:rPr>
        <w:t xml:space="preserve">Airports (Control of On-Airport Activities) Regulations 1997 </w:t>
      </w:r>
      <w:r w:rsidRPr="002369DB">
        <w:t>(</w:t>
      </w:r>
      <w:proofErr w:type="spellStart"/>
      <w:r w:rsidRPr="002369DB">
        <w:t>Cth</w:t>
      </w:r>
      <w:proofErr w:type="spellEnd"/>
      <w:r w:rsidRPr="002369DB">
        <w:t>)</w:t>
      </w:r>
    </w:p>
    <w:p w14:paraId="641A354E" w14:textId="77777777" w:rsidR="004C0661" w:rsidRPr="002369DB" w:rsidRDefault="004C0661" w:rsidP="00622026">
      <w:r w:rsidRPr="002369DB">
        <w:rPr>
          <w:rStyle w:val="Italic"/>
        </w:rPr>
        <w:t xml:space="preserve">Attorney-General’s Portfolio Miscellaneous Measures Act 2024 </w:t>
      </w:r>
      <w:r w:rsidRPr="002369DB">
        <w:t>(</w:t>
      </w:r>
      <w:proofErr w:type="spellStart"/>
      <w:r w:rsidRPr="002369DB">
        <w:t>Cth</w:t>
      </w:r>
      <w:proofErr w:type="spellEnd"/>
      <w:r w:rsidRPr="002369DB">
        <w:t>)</w:t>
      </w:r>
    </w:p>
    <w:p w14:paraId="5C7BDB82" w14:textId="77777777" w:rsidR="004C0661" w:rsidRPr="002369DB" w:rsidRDefault="004C0661" w:rsidP="00622026">
      <w:r w:rsidRPr="002369DB">
        <w:rPr>
          <w:rStyle w:val="Italic"/>
        </w:rPr>
        <w:t xml:space="preserve">Biosecurity Act 2015 </w:t>
      </w:r>
      <w:r w:rsidRPr="002369DB">
        <w:t>(</w:t>
      </w:r>
      <w:proofErr w:type="spellStart"/>
      <w:r w:rsidRPr="002369DB">
        <w:t>Cth</w:t>
      </w:r>
      <w:proofErr w:type="spellEnd"/>
      <w:r w:rsidRPr="002369DB">
        <w:t>)</w:t>
      </w:r>
    </w:p>
    <w:p w14:paraId="16A0F2D4" w14:textId="77777777" w:rsidR="004C0661" w:rsidRPr="002369DB" w:rsidRDefault="004C0661" w:rsidP="00622026">
      <w:r w:rsidRPr="002369DB">
        <w:rPr>
          <w:rStyle w:val="Italic"/>
        </w:rPr>
        <w:t>Combatting Child Sexual Exploitation Legislation Amendment Act 2019</w:t>
      </w:r>
      <w:r w:rsidRPr="002369DB">
        <w:t xml:space="preserve"> (</w:t>
      </w:r>
      <w:proofErr w:type="spellStart"/>
      <w:r w:rsidRPr="002369DB">
        <w:t>Cth</w:t>
      </w:r>
      <w:proofErr w:type="spellEnd"/>
      <w:r w:rsidRPr="002369DB">
        <w:t>)</w:t>
      </w:r>
    </w:p>
    <w:p w14:paraId="3790785F" w14:textId="77777777" w:rsidR="004C0661" w:rsidRPr="002369DB" w:rsidRDefault="004C0661" w:rsidP="00622026">
      <w:r w:rsidRPr="002369DB">
        <w:rPr>
          <w:rStyle w:val="Italic"/>
        </w:rPr>
        <w:t xml:space="preserve">Corporations Act 2001 </w:t>
      </w:r>
      <w:r w:rsidRPr="002369DB">
        <w:t>(</w:t>
      </w:r>
      <w:proofErr w:type="spellStart"/>
      <w:r w:rsidRPr="002369DB">
        <w:t>Cth</w:t>
      </w:r>
      <w:proofErr w:type="spellEnd"/>
      <w:r w:rsidRPr="002369DB">
        <w:t>)</w:t>
      </w:r>
    </w:p>
    <w:p w14:paraId="3C66A7AF" w14:textId="77777777" w:rsidR="004C0661" w:rsidRPr="002369DB" w:rsidRDefault="004C0661" w:rsidP="00622026">
      <w:r w:rsidRPr="002369DB">
        <w:rPr>
          <w:rStyle w:val="Italic"/>
        </w:rPr>
        <w:t xml:space="preserve">Crimes Act 1914 </w:t>
      </w:r>
      <w:r w:rsidRPr="002369DB">
        <w:t>(</w:t>
      </w:r>
      <w:proofErr w:type="spellStart"/>
      <w:r w:rsidRPr="002369DB">
        <w:t>Cth</w:t>
      </w:r>
      <w:proofErr w:type="spellEnd"/>
      <w:r w:rsidRPr="002369DB">
        <w:t>)</w:t>
      </w:r>
    </w:p>
    <w:p w14:paraId="493BAFE0" w14:textId="77777777" w:rsidR="004C0661" w:rsidRPr="002369DB" w:rsidRDefault="004C0661" w:rsidP="00622026">
      <w:r w:rsidRPr="002369DB">
        <w:rPr>
          <w:rStyle w:val="Italic"/>
        </w:rPr>
        <w:t xml:space="preserve">Crimes (Currency) Act 1981 </w:t>
      </w:r>
      <w:r w:rsidRPr="002369DB">
        <w:t>(</w:t>
      </w:r>
      <w:proofErr w:type="spellStart"/>
      <w:r w:rsidRPr="002369DB">
        <w:t>Cth</w:t>
      </w:r>
      <w:proofErr w:type="spellEnd"/>
      <w:r w:rsidRPr="002369DB">
        <w:t>)</w:t>
      </w:r>
    </w:p>
    <w:p w14:paraId="11D71346" w14:textId="77777777" w:rsidR="004C0661" w:rsidRPr="002369DB" w:rsidRDefault="004C0661" w:rsidP="00622026">
      <w:r w:rsidRPr="002369DB">
        <w:rPr>
          <w:rStyle w:val="Italic"/>
        </w:rPr>
        <w:t xml:space="preserve">Criminal Code </w:t>
      </w:r>
      <w:r w:rsidRPr="002369DB">
        <w:t>(</w:t>
      </w:r>
      <w:proofErr w:type="spellStart"/>
      <w:r w:rsidRPr="002369DB">
        <w:t>Cth</w:t>
      </w:r>
      <w:proofErr w:type="spellEnd"/>
      <w:r w:rsidRPr="002369DB">
        <w:t>)</w:t>
      </w:r>
    </w:p>
    <w:p w14:paraId="030B1151" w14:textId="77777777" w:rsidR="004C0661" w:rsidRPr="002369DB" w:rsidRDefault="004C0661" w:rsidP="00622026">
      <w:r w:rsidRPr="002369DB">
        <w:rPr>
          <w:rStyle w:val="Italic"/>
        </w:rPr>
        <w:t xml:space="preserve">Customs Act 1901 </w:t>
      </w:r>
      <w:r w:rsidRPr="002369DB">
        <w:t>(</w:t>
      </w:r>
      <w:proofErr w:type="spellStart"/>
      <w:r w:rsidRPr="002369DB">
        <w:t>Cth</w:t>
      </w:r>
      <w:proofErr w:type="spellEnd"/>
      <w:r w:rsidRPr="002369DB">
        <w:t>)</w:t>
      </w:r>
    </w:p>
    <w:p w14:paraId="5AA3FC55" w14:textId="77777777" w:rsidR="004C0661" w:rsidRPr="002369DB" w:rsidRDefault="004C0661" w:rsidP="00622026">
      <w:r w:rsidRPr="002369DB">
        <w:rPr>
          <w:rStyle w:val="Italic"/>
        </w:rPr>
        <w:t xml:space="preserve">Director of Public Prosecutions Act 1983 </w:t>
      </w:r>
      <w:r w:rsidRPr="002369DB">
        <w:t>(</w:t>
      </w:r>
      <w:proofErr w:type="spellStart"/>
      <w:r w:rsidRPr="002369DB">
        <w:t>Cth</w:t>
      </w:r>
      <w:proofErr w:type="spellEnd"/>
      <w:r w:rsidRPr="002369DB">
        <w:t>)</w:t>
      </w:r>
    </w:p>
    <w:p w14:paraId="601433A7" w14:textId="77777777" w:rsidR="004C0661" w:rsidRPr="002369DB" w:rsidRDefault="004C0661" w:rsidP="00622026">
      <w:r w:rsidRPr="002369DB">
        <w:rPr>
          <w:rStyle w:val="Italic"/>
        </w:rPr>
        <w:t xml:space="preserve">Federal Court of Australia Act 1976 </w:t>
      </w:r>
      <w:r w:rsidRPr="002369DB">
        <w:t>(</w:t>
      </w:r>
      <w:proofErr w:type="spellStart"/>
      <w:r w:rsidRPr="002369DB">
        <w:t>Cth</w:t>
      </w:r>
      <w:proofErr w:type="spellEnd"/>
      <w:r w:rsidRPr="002369DB">
        <w:t>)</w:t>
      </w:r>
    </w:p>
    <w:p w14:paraId="020E784C" w14:textId="77777777" w:rsidR="004C0661" w:rsidRPr="002369DB" w:rsidRDefault="004C0661" w:rsidP="00622026">
      <w:r w:rsidRPr="002369DB">
        <w:rPr>
          <w:rStyle w:val="Italic"/>
        </w:rPr>
        <w:t xml:space="preserve">Judiciary Act 1903 </w:t>
      </w:r>
      <w:r w:rsidRPr="002369DB">
        <w:t>(</w:t>
      </w:r>
      <w:proofErr w:type="spellStart"/>
      <w:r w:rsidRPr="002369DB">
        <w:t>Cth</w:t>
      </w:r>
      <w:proofErr w:type="spellEnd"/>
      <w:r w:rsidRPr="002369DB">
        <w:t>)</w:t>
      </w:r>
    </w:p>
    <w:p w14:paraId="00299AEF" w14:textId="77777777" w:rsidR="004C0661" w:rsidRPr="002369DB" w:rsidRDefault="004C0661" w:rsidP="00622026">
      <w:r w:rsidRPr="002369DB">
        <w:rPr>
          <w:rStyle w:val="Italic"/>
        </w:rPr>
        <w:lastRenderedPageBreak/>
        <w:t xml:space="preserve">Migration Act 1958 </w:t>
      </w:r>
      <w:r w:rsidRPr="002369DB">
        <w:t>(</w:t>
      </w:r>
      <w:proofErr w:type="spellStart"/>
      <w:r w:rsidRPr="002369DB">
        <w:t>Cth</w:t>
      </w:r>
      <w:proofErr w:type="spellEnd"/>
      <w:r w:rsidRPr="002369DB">
        <w:t>)</w:t>
      </w:r>
    </w:p>
    <w:p w14:paraId="57297374" w14:textId="77777777" w:rsidR="004C0661" w:rsidRPr="002369DB" w:rsidRDefault="004C0661" w:rsidP="00622026">
      <w:r w:rsidRPr="002369DB">
        <w:rPr>
          <w:rStyle w:val="Italic"/>
        </w:rPr>
        <w:t xml:space="preserve">Online Safety (Transitional Provisions and Consequential Amendments) Act 2021 </w:t>
      </w:r>
      <w:r w:rsidRPr="002369DB">
        <w:t>(</w:t>
      </w:r>
      <w:proofErr w:type="spellStart"/>
      <w:r w:rsidRPr="002369DB">
        <w:t>Cth</w:t>
      </w:r>
      <w:proofErr w:type="spellEnd"/>
      <w:r w:rsidRPr="002369DB">
        <w:t>)</w:t>
      </w:r>
    </w:p>
    <w:p w14:paraId="6C3F158E" w14:textId="77777777" w:rsidR="004C0661" w:rsidRPr="002369DB" w:rsidRDefault="004C0661" w:rsidP="00622026">
      <w:r w:rsidRPr="002369DB">
        <w:rPr>
          <w:rStyle w:val="Italic"/>
        </w:rPr>
        <w:t xml:space="preserve">Taxation Administration Act 1953 </w:t>
      </w:r>
      <w:r w:rsidRPr="002369DB">
        <w:t>(</w:t>
      </w:r>
      <w:proofErr w:type="spellStart"/>
      <w:r w:rsidRPr="002369DB">
        <w:t>Cth</w:t>
      </w:r>
      <w:proofErr w:type="spellEnd"/>
      <w:r w:rsidRPr="002369DB">
        <w:t>)</w:t>
      </w:r>
    </w:p>
    <w:p w14:paraId="0D04D42A" w14:textId="2054479B" w:rsidR="00E527CC" w:rsidRDefault="004C0661" w:rsidP="00BD2064">
      <w:r w:rsidRPr="002369DB">
        <w:rPr>
          <w:rStyle w:val="Italic"/>
        </w:rPr>
        <w:t xml:space="preserve">Work Health and Safety Act 2011 </w:t>
      </w:r>
      <w:r w:rsidRPr="002369DB">
        <w:t>(</w:t>
      </w:r>
      <w:proofErr w:type="spellStart"/>
      <w:r w:rsidRPr="002369DB">
        <w:t>Cth</w:t>
      </w:r>
      <w:proofErr w:type="spellEnd"/>
      <w:r w:rsidRPr="002369DB">
        <w:t>)</w:t>
      </w:r>
    </w:p>
    <w:p w14:paraId="53859871" w14:textId="77777777" w:rsidR="00254751" w:rsidRDefault="00254751" w:rsidP="00254751">
      <w:pPr>
        <w:pageBreakBefore/>
      </w:pPr>
      <w:r>
        <w:lastRenderedPageBreak/>
        <w:t>Authored by Dr Paul McGorrery and Pallavi Waghmode</w:t>
      </w:r>
    </w:p>
    <w:p w14:paraId="47360C47" w14:textId="77777777" w:rsidR="00254751" w:rsidRDefault="00254751" w:rsidP="00254751">
      <w:r>
        <w:t>Authorised and published by the Sentencing Advisory Council, Melbourne, Victoria, Australia</w:t>
      </w:r>
    </w:p>
    <w:p w14:paraId="7F81E8D7" w14:textId="77777777" w:rsidR="00254751" w:rsidRDefault="00254751" w:rsidP="00254751">
      <w:r>
        <w:t>© Copyright State of Victoria, Sentencing Advisory Council, 2026</w:t>
      </w:r>
    </w:p>
    <w:p w14:paraId="35CE7345" w14:textId="77777777" w:rsidR="00254751" w:rsidRDefault="00254751" w:rsidP="00254751">
      <w:r>
        <w:t xml:space="preserve">This publication is protected by the laws of copyright. No part may be reproduced by any process except in accordance with the provisions of the </w:t>
      </w:r>
      <w:r>
        <w:rPr>
          <w:i/>
          <w:iCs/>
        </w:rPr>
        <w:t xml:space="preserve">Copyright Act 1968 </w:t>
      </w:r>
      <w:r>
        <w:t>(</w:t>
      </w:r>
      <w:proofErr w:type="spellStart"/>
      <w:r>
        <w:t>Cth</w:t>
      </w:r>
      <w:proofErr w:type="spellEnd"/>
      <w:r>
        <w:t>).</w:t>
      </w:r>
    </w:p>
    <w:p w14:paraId="4C28FEF3" w14:textId="77777777" w:rsidR="00254751" w:rsidRDefault="00254751" w:rsidP="00254751">
      <w:r>
        <w:t>ISBN 978-1-925071-89-4 (Online)</w:t>
      </w:r>
    </w:p>
    <w:p w14:paraId="5CF85BC0" w14:textId="495CC425" w:rsidR="00254751" w:rsidRPr="002369DB" w:rsidRDefault="00254751" w:rsidP="00254751">
      <w:r>
        <w:t>Authorised by the Sentencing Advisory Council,</w:t>
      </w:r>
      <w:r w:rsidR="0013704D">
        <w:t xml:space="preserve"> </w:t>
      </w:r>
      <w:r>
        <w:t>Level 3, 333 Queen Street, Melbourne VIC 3000</w:t>
      </w:r>
    </w:p>
    <w:sectPr w:rsidR="00254751" w:rsidRPr="002369DB" w:rsidSect="00D6349A">
      <w:headerReference w:type="default" r:id="rId9"/>
      <w:footerReference w:type="default" r:id="rId10"/>
      <w:pgSz w:w="11906" w:h="168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D7AF" w14:textId="77777777" w:rsidR="001D5443" w:rsidRDefault="001D5443">
      <w:pPr>
        <w:spacing w:after="0" w:line="240" w:lineRule="auto"/>
      </w:pPr>
      <w:r>
        <w:separator/>
      </w:r>
    </w:p>
  </w:endnote>
  <w:endnote w:type="continuationSeparator" w:id="0">
    <w:p w14:paraId="3558FF81" w14:textId="77777777" w:rsidR="001D5443" w:rsidRDefault="001D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Regular">
    <w:altName w:val="Arial"/>
    <w:panose1 w:val="00000000000000000000"/>
    <w:charset w:val="00"/>
    <w:family w:val="auto"/>
    <w:notTrueType/>
    <w:pitch w:val="default"/>
    <w:sig w:usb0="00000003" w:usb1="00000000" w:usb2="00000000" w:usb3="00000000" w:csb0="00000001" w:csb1="00000000"/>
  </w:font>
  <w:font w:name="ITC Franklin Gothic Book">
    <w:altName w:val="Calibri"/>
    <w:panose1 w:val="00000000000000000000"/>
    <w:charset w:val="00"/>
    <w:family w:val="swiss"/>
    <w:notTrueType/>
    <w:pitch w:val="variable"/>
    <w:sig w:usb0="00000003" w:usb1="00000000" w:usb2="00000000" w:usb3="00000000" w:csb0="00000001" w:csb1="00000000"/>
  </w:font>
  <w:font w:name="Gill Sans Std">
    <w:panose1 w:val="020B0502020104020203"/>
    <w:charset w:val="00"/>
    <w:family w:val="swiss"/>
    <w:notTrueType/>
    <w:pitch w:val="variable"/>
    <w:sig w:usb0="00000003" w:usb1="00000000" w:usb2="00000000" w:usb3="00000000" w:csb0="00000001" w:csb1="00000000"/>
  </w:font>
  <w:font w:name="Gill Sans Std Light">
    <w:panose1 w:val="020B0302020104020203"/>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 Franklin Gothic Demi">
    <w:altName w:val="Calibri"/>
    <w:panose1 w:val="00000000000000000000"/>
    <w:charset w:val="00"/>
    <w:family w:val="auto"/>
    <w:notTrueType/>
    <w:pitch w:val="default"/>
    <w:sig w:usb0="00000003" w:usb1="00000000" w:usb2="00000000" w:usb3="00000000" w:csb0="00000001" w:csb1="00000000"/>
  </w:font>
  <w:font w:name="ITC Franklin Gothic">
    <w:altName w:val="Calibri"/>
    <w:panose1 w:val="00000000000000000000"/>
    <w:charset w:val="00"/>
    <w:family w:val="auto"/>
    <w:notTrueType/>
    <w:pitch w:val="default"/>
    <w:sig w:usb0="00000003" w:usb1="00000000" w:usb2="00000000" w:usb3="00000000" w:csb0="00000001" w:csb1="00000000"/>
  </w:font>
  <w:font w:name="ITC Franklin Gothic Demi Italic">
    <w:altName w:val="Calibri"/>
    <w:panose1 w:val="00000000000000000000"/>
    <w:charset w:val="00"/>
    <w:family w:val="auto"/>
    <w:notTrueType/>
    <w:pitch w:val="default"/>
    <w:sig w:usb0="00000003" w:usb1="00000000" w:usb2="00000000" w:usb3="00000000" w:csb0="00000001" w:csb1="00000000"/>
  </w:font>
  <w:font w:name="ITC Franklin Gothic Std Book">
    <w:altName w:val="ITC Franklin Gothic Std Book"/>
    <w:panose1 w:val="020B0504030503020204"/>
    <w:charset w:val="00"/>
    <w:family w:val="swiss"/>
    <w:notTrueType/>
    <w:pitch w:val="variable"/>
    <w:sig w:usb0="800000AF" w:usb1="4000204A" w:usb2="00000000" w:usb3="00000000" w:csb0="00000001" w:csb1="00000000"/>
  </w:font>
  <w:font w:name="ITCFranklinGothic LT Pro Bk">
    <w:panose1 w:val="020B0504030503020204"/>
    <w:charset w:val="00"/>
    <w:family w:val="swiss"/>
    <w:notTrueType/>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96EC" w14:textId="77777777" w:rsidR="00041EC2" w:rsidRDefault="00041EC2" w:rsidP="006A24A4">
    <w:pPr>
      <w:pStyle w:val="Footer"/>
      <w:ind w:left="4513" w:hanging="4513"/>
      <w:jc w:val="center"/>
    </w:pPr>
    <w:r>
      <w:fldChar w:fldCharType="begin"/>
    </w:r>
    <w:r>
      <w:instrText xml:space="preserve"> PAGE   \* MERGEFORMAT </w:instrText>
    </w:r>
    <w:r>
      <w:fldChar w:fldCharType="separate"/>
    </w:r>
    <w:r>
      <w:rPr>
        <w:noProof/>
      </w:rPr>
      <w:t>115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CA66" w14:textId="77777777" w:rsidR="001D5443" w:rsidRDefault="001D5443">
      <w:pPr>
        <w:spacing w:after="0" w:line="240" w:lineRule="auto"/>
      </w:pPr>
      <w:r>
        <w:separator/>
      </w:r>
    </w:p>
  </w:footnote>
  <w:footnote w:type="continuationSeparator" w:id="0">
    <w:p w14:paraId="44A730D7" w14:textId="77777777" w:rsidR="001D5443" w:rsidRDefault="001D5443">
      <w:pPr>
        <w:spacing w:after="0" w:line="240" w:lineRule="auto"/>
      </w:pPr>
      <w:r>
        <w:continuationSeparator/>
      </w:r>
    </w:p>
  </w:footnote>
  <w:footnote w:id="1">
    <w:p w14:paraId="120A6A5E" w14:textId="3584D4DA" w:rsidR="004C0661" w:rsidRDefault="004C0661" w:rsidP="00A775DC">
      <w:pPr>
        <w:pStyle w:val="Footnote"/>
      </w:pPr>
      <w:r>
        <w:rPr>
          <w:vertAlign w:val="superscript"/>
        </w:rPr>
        <w:footnoteRef/>
      </w:r>
      <w:r>
        <w:t>.</w:t>
      </w:r>
      <w:r>
        <w:tab/>
      </w:r>
      <w:r>
        <w:rPr>
          <w:rStyle w:val="Italic"/>
        </w:rPr>
        <w:t xml:space="preserve">Federal Court of Australia Act 1976 </w:t>
      </w:r>
      <w:r>
        <w:t>(</w:t>
      </w:r>
      <w:proofErr w:type="spellStart"/>
      <w:r>
        <w:t>Cth</w:t>
      </w:r>
      <w:proofErr w:type="spellEnd"/>
      <w:r>
        <w:t xml:space="preserve">) pt III div 1A. See, for example, </w:t>
      </w:r>
      <w:r>
        <w:rPr>
          <w:rStyle w:val="Italic"/>
        </w:rPr>
        <w:t>DPP (</w:t>
      </w:r>
      <w:proofErr w:type="spellStart"/>
      <w:r>
        <w:rPr>
          <w:rStyle w:val="Italic"/>
        </w:rPr>
        <w:t>Cth</w:t>
      </w:r>
      <w:proofErr w:type="spellEnd"/>
      <w:r>
        <w:rPr>
          <w:rStyle w:val="Italic"/>
        </w:rPr>
        <w:t xml:space="preserve">) v Bingo Industries Pty Ltd &amp; Anor </w:t>
      </w:r>
      <w:r>
        <w:t xml:space="preserve">[2024] FCA 121. There may be an increase in cases sentenced in the Federal Court </w:t>
      </w:r>
      <w:proofErr w:type="gramStart"/>
      <w:r>
        <w:t>in the near future</w:t>
      </w:r>
      <w:proofErr w:type="gramEnd"/>
      <w:r>
        <w:t xml:space="preserve">. Recent legislative amendments now enable the Australian Securities and Investments Commission to initiate (or </w:t>
      </w:r>
      <w:proofErr w:type="spellStart"/>
      <w:r>
        <w:t>authorise</w:t>
      </w:r>
      <w:proofErr w:type="spellEnd"/>
      <w:r>
        <w:t xml:space="preserve">) prosecutions in the Federal Court without prior ministerial approval: </w:t>
      </w:r>
      <w:r>
        <w:rPr>
          <w:rStyle w:val="Italic"/>
        </w:rPr>
        <w:t xml:space="preserve">Attorney-General’s Portfolio Miscellaneous Measures Act 2024 </w:t>
      </w:r>
      <w:r>
        <w:t>(</w:t>
      </w:r>
      <w:proofErr w:type="spellStart"/>
      <w:r>
        <w:t>Cth</w:t>
      </w:r>
      <w:proofErr w:type="spellEnd"/>
      <w:r>
        <w:t>) sch 1 pt 1.</w:t>
      </w:r>
    </w:p>
  </w:footnote>
  <w:footnote w:id="2">
    <w:p w14:paraId="61D3E060" w14:textId="73F267CB" w:rsidR="004C0661" w:rsidRDefault="004C0661" w:rsidP="00A775DC">
      <w:pPr>
        <w:pStyle w:val="Footnote"/>
      </w:pPr>
      <w:r>
        <w:rPr>
          <w:vertAlign w:val="superscript"/>
        </w:rPr>
        <w:footnoteRef/>
      </w:r>
      <w:r>
        <w:t>.</w:t>
      </w:r>
      <w:r>
        <w:tab/>
      </w:r>
      <w:r>
        <w:rPr>
          <w:rStyle w:val="Italic"/>
        </w:rPr>
        <w:t xml:space="preserve">Judiciary Act 1903 </w:t>
      </w:r>
      <w:r>
        <w:t>(</w:t>
      </w:r>
      <w:proofErr w:type="spellStart"/>
      <w:r>
        <w:t>Cth</w:t>
      </w:r>
      <w:proofErr w:type="spellEnd"/>
      <w:r>
        <w:t>) s 68.</w:t>
      </w:r>
    </w:p>
  </w:footnote>
  <w:footnote w:id="3">
    <w:p w14:paraId="5F05783B" w14:textId="6FADA727" w:rsidR="004C0661" w:rsidRDefault="004C0661" w:rsidP="00A775DC">
      <w:pPr>
        <w:pStyle w:val="Footnote"/>
      </w:pPr>
      <w:r>
        <w:rPr>
          <w:vertAlign w:val="superscript"/>
        </w:rPr>
        <w:footnoteRef/>
      </w:r>
      <w:r>
        <w:t>.</w:t>
      </w:r>
      <w:r>
        <w:tab/>
      </w:r>
      <w:proofErr w:type="spellStart"/>
      <w:r>
        <w:rPr>
          <w:rStyle w:val="Italic"/>
        </w:rPr>
        <w:t>Hili</w:t>
      </w:r>
      <w:proofErr w:type="spellEnd"/>
      <w:r>
        <w:rPr>
          <w:rStyle w:val="Italic"/>
        </w:rPr>
        <w:t xml:space="preserve"> &amp; Anor v The Queen </w:t>
      </w:r>
      <w:r>
        <w:t>[2010] HCA 45 [57].</w:t>
      </w:r>
    </w:p>
  </w:footnote>
  <w:footnote w:id="4">
    <w:p w14:paraId="5A243171" w14:textId="72E5A9BD" w:rsidR="004C0661" w:rsidRDefault="004C0661" w:rsidP="00A775DC">
      <w:pPr>
        <w:pStyle w:val="Footnote"/>
      </w:pPr>
      <w:r>
        <w:rPr>
          <w:vertAlign w:val="superscript"/>
        </w:rPr>
        <w:footnoteRef/>
      </w:r>
      <w:r>
        <w:t>.</w:t>
      </w:r>
      <w:r>
        <w:tab/>
      </w:r>
      <w:r>
        <w:rPr>
          <w:rStyle w:val="Italic"/>
        </w:rPr>
        <w:t xml:space="preserve">Barbaro &amp; Anor v The Queen </w:t>
      </w:r>
      <w:r>
        <w:t>[2014] HCA 2 [40].</w:t>
      </w:r>
    </w:p>
  </w:footnote>
  <w:footnote w:id="5">
    <w:p w14:paraId="6F73100C" w14:textId="345318A8" w:rsidR="004C0661" w:rsidRDefault="004C0661" w:rsidP="00A775DC">
      <w:pPr>
        <w:pStyle w:val="Footnote"/>
      </w:pPr>
      <w:r>
        <w:rPr>
          <w:vertAlign w:val="superscript"/>
        </w:rPr>
        <w:footnoteRef/>
      </w:r>
      <w:r>
        <w:t>.</w:t>
      </w:r>
      <w:r>
        <w:tab/>
      </w:r>
      <w:r>
        <w:rPr>
          <w:rStyle w:val="Italic"/>
        </w:rPr>
        <w:t xml:space="preserve">Nguyen v The Queen </w:t>
      </w:r>
      <w:r>
        <w:t>[2016] VSCA 198 [137].</w:t>
      </w:r>
    </w:p>
  </w:footnote>
  <w:footnote w:id="6">
    <w:p w14:paraId="04E3DE38" w14:textId="09CDB987" w:rsidR="004C0661" w:rsidRDefault="004C0661" w:rsidP="00A775DC">
      <w:pPr>
        <w:pStyle w:val="Footnote"/>
      </w:pPr>
      <w:r>
        <w:rPr>
          <w:vertAlign w:val="superscript"/>
        </w:rPr>
        <w:footnoteRef/>
      </w:r>
      <w:r>
        <w:t>.</w:t>
      </w:r>
      <w:r>
        <w:tab/>
        <w:t>For an overview of the history behind the introduction of federal sentencing data into SACStat, see Paul McGorrery, Catherine Jeffreys and Pallavi Waghmode, ‘Revisiting</w:t>
      </w:r>
      <w:r>
        <w:rPr>
          <w:rStyle w:val="Italic"/>
        </w:rPr>
        <w:t xml:space="preserve"> Pham</w:t>
      </w:r>
      <w:r>
        <w:t xml:space="preserve">: Federal Sentencing Statistics as a Means of Achieving Consistency’ (2026) </w:t>
      </w:r>
      <w:r>
        <w:rPr>
          <w:rStyle w:val="Italic"/>
        </w:rPr>
        <w:t xml:space="preserve">Journal of Judicial Administration </w:t>
      </w:r>
      <w:r>
        <w:t>(forthcoming). Prior to this introduction, sentencing data for federal offences on SACStat was only available for the higher courts, and the data did not distinguish the various Commonwealth sentencing orders, which were grouped as ‘other’.</w:t>
      </w:r>
    </w:p>
  </w:footnote>
  <w:footnote w:id="7">
    <w:p w14:paraId="4898C13E" w14:textId="639943DF" w:rsidR="004C0661" w:rsidRDefault="004C0661" w:rsidP="00A775DC">
      <w:pPr>
        <w:pStyle w:val="Footnote"/>
      </w:pPr>
      <w:r>
        <w:rPr>
          <w:vertAlign w:val="superscript"/>
        </w:rPr>
        <w:footnoteRef/>
      </w:r>
      <w:r>
        <w:t>.</w:t>
      </w:r>
      <w:r>
        <w:tab/>
      </w:r>
      <w:r>
        <w:rPr>
          <w:rStyle w:val="Italic"/>
        </w:rPr>
        <w:t>DPP &amp; DPP (</w:t>
      </w:r>
      <w:proofErr w:type="spellStart"/>
      <w:r>
        <w:rPr>
          <w:rStyle w:val="Italic"/>
        </w:rPr>
        <w:t>Cth</w:t>
      </w:r>
      <w:proofErr w:type="spellEnd"/>
      <w:r>
        <w:rPr>
          <w:rStyle w:val="Italic"/>
        </w:rPr>
        <w:t xml:space="preserve">) v Swingler </w:t>
      </w:r>
      <w:r>
        <w:t>[2017] VSCA 305 [75].</w:t>
      </w:r>
    </w:p>
  </w:footnote>
  <w:footnote w:id="8">
    <w:p w14:paraId="0279EC7C" w14:textId="4CAEA914" w:rsidR="004C0661" w:rsidRDefault="004C0661" w:rsidP="00A775DC">
      <w:pPr>
        <w:pStyle w:val="Footnote"/>
      </w:pPr>
      <w:r>
        <w:rPr>
          <w:vertAlign w:val="superscript"/>
        </w:rPr>
        <w:footnoteRef/>
      </w:r>
      <w:r>
        <w:t>.</w:t>
      </w:r>
      <w:r>
        <w:tab/>
      </w:r>
      <w:r>
        <w:rPr>
          <w:rStyle w:val="Italic"/>
        </w:rPr>
        <w:t xml:space="preserve">R v Carroll </w:t>
      </w:r>
      <w:r>
        <w:t xml:space="preserve">[1991] 2 VR 509. See also </w:t>
      </w:r>
      <w:r>
        <w:rPr>
          <w:rStyle w:val="Italic"/>
        </w:rPr>
        <w:t xml:space="preserve">Heels v The King </w:t>
      </w:r>
      <w:r>
        <w:t>[2024] VSCA 133 [34].</w:t>
      </w:r>
    </w:p>
  </w:footnote>
  <w:footnote w:id="9">
    <w:p w14:paraId="2377B69B" w14:textId="27D90C03" w:rsidR="004C0661" w:rsidRDefault="004C0661" w:rsidP="00A775DC">
      <w:pPr>
        <w:pStyle w:val="Footnote"/>
      </w:pPr>
      <w:r>
        <w:rPr>
          <w:vertAlign w:val="superscript"/>
        </w:rPr>
        <w:footnoteRef/>
      </w:r>
      <w:r>
        <w:t>.</w:t>
      </w:r>
      <w:r>
        <w:tab/>
        <w:t xml:space="preserve">Commonwealth Director of Public Prosecutions, </w:t>
      </w:r>
      <w:r>
        <w:rPr>
          <w:rStyle w:val="Italic"/>
        </w:rPr>
        <w:t xml:space="preserve">Sentencing of Federal Offenders in Australia: A Guide for Practitioners </w:t>
      </w:r>
      <w:r>
        <w:t>(7th ed., 2024).</w:t>
      </w:r>
    </w:p>
  </w:footnote>
  <w:footnote w:id="10">
    <w:p w14:paraId="53799065" w14:textId="7F6D86CB" w:rsidR="004C0661" w:rsidRDefault="004C0661" w:rsidP="00A775DC">
      <w:pPr>
        <w:pStyle w:val="Footnote"/>
      </w:pPr>
      <w:r>
        <w:rPr>
          <w:vertAlign w:val="superscript"/>
        </w:rPr>
        <w:footnoteRef/>
      </w:r>
      <w:r>
        <w:t>.</w:t>
      </w:r>
      <w:r>
        <w:tab/>
        <w:t>This report excludes Children’s Court matters. Distinct sentencing options are available in the Children’s Court.</w:t>
      </w:r>
    </w:p>
  </w:footnote>
  <w:footnote w:id="11">
    <w:p w14:paraId="556A4F98" w14:textId="648C8F97" w:rsidR="004C0661" w:rsidRDefault="004C0661" w:rsidP="00A775DC">
      <w:pPr>
        <w:pStyle w:val="Footnote"/>
      </w:pPr>
      <w:r>
        <w:rPr>
          <w:vertAlign w:val="superscript"/>
        </w:rPr>
        <w:footnoteRef/>
      </w:r>
      <w:r>
        <w:t>.</w:t>
      </w:r>
      <w:r>
        <w:tab/>
        <w:t xml:space="preserve">The </w:t>
      </w:r>
      <w:r>
        <w:rPr>
          <w:rStyle w:val="Italic"/>
        </w:rPr>
        <w:t xml:space="preserve">higher courts </w:t>
      </w:r>
      <w:r>
        <w:t>are the County Court of Victoria and the Supreme Court of Victoria.</w:t>
      </w:r>
    </w:p>
  </w:footnote>
  <w:footnote w:id="12">
    <w:p w14:paraId="411E7930" w14:textId="119D8F3B" w:rsidR="004C0661" w:rsidRDefault="004C0661" w:rsidP="00A775DC">
      <w:pPr>
        <w:pStyle w:val="Footnote"/>
      </w:pPr>
      <w:r>
        <w:rPr>
          <w:vertAlign w:val="superscript"/>
        </w:rPr>
        <w:footnoteRef/>
      </w:r>
      <w:r>
        <w:t>.</w:t>
      </w:r>
      <w:r>
        <w:tab/>
        <w:t xml:space="preserve">The principal proven offence in a case is measured first by the offence receiving the most serious penalty in the case and second, if necessary, by the offence with a higher ranking on the National Offence Index: Australian Bureau of Statistics, </w:t>
      </w:r>
      <w:r>
        <w:rPr>
          <w:rStyle w:val="Italic"/>
        </w:rPr>
        <w:t>National Offence Index (NOI)</w:t>
      </w:r>
      <w:r>
        <w:t xml:space="preserve"> (abs.gov.au, 2023).</w:t>
      </w:r>
    </w:p>
  </w:footnote>
  <w:footnote w:id="13">
    <w:p w14:paraId="510743B1" w14:textId="4D9CC0CE" w:rsidR="004C0661" w:rsidRDefault="004C0661" w:rsidP="00A775DC">
      <w:pPr>
        <w:pStyle w:val="Footnote"/>
      </w:pPr>
      <w:r>
        <w:rPr>
          <w:vertAlign w:val="superscript"/>
        </w:rPr>
        <w:footnoteRef/>
      </w:r>
      <w:r>
        <w:t>.</w:t>
      </w:r>
      <w:r>
        <w:tab/>
        <w:t xml:space="preserve">Notably, unless there is a provision expressly enabling a particular indictable offence to be tried summarily, indictable offences with a maximum penalty of up to 10 years’ imprisonment can only be heard summarily if the prosecution and the defendant consent: </w:t>
      </w:r>
      <w:r>
        <w:rPr>
          <w:rStyle w:val="Italic"/>
        </w:rPr>
        <w:t xml:space="preserve">Crimes Act 1914 </w:t>
      </w:r>
      <w:r>
        <w:t>(</w:t>
      </w:r>
      <w:proofErr w:type="spellStart"/>
      <w:r>
        <w:t>Cth</w:t>
      </w:r>
      <w:proofErr w:type="spellEnd"/>
      <w:r>
        <w:t>) ss 4</w:t>
      </w:r>
      <w:proofErr w:type="gramStart"/>
      <w:r>
        <w:t>J(</w:t>
      </w:r>
      <w:proofErr w:type="gramEnd"/>
      <w:r>
        <w:t>1)</w:t>
      </w:r>
      <w:proofErr w:type="gramStart"/>
      <w:r>
        <w:t>–(</w:t>
      </w:r>
      <w:proofErr w:type="gramEnd"/>
      <w:r>
        <w:t>2).</w:t>
      </w:r>
    </w:p>
  </w:footnote>
  <w:footnote w:id="14">
    <w:p w14:paraId="47AB3EAF" w14:textId="035E2421" w:rsidR="004C0661" w:rsidRDefault="004C0661" w:rsidP="00A775DC">
      <w:pPr>
        <w:pStyle w:val="Footnote"/>
      </w:pPr>
      <w:r>
        <w:rPr>
          <w:vertAlign w:val="superscript"/>
        </w:rPr>
        <w:footnoteRef/>
      </w:r>
      <w:r>
        <w:t>.</w:t>
      </w:r>
      <w:r>
        <w:tab/>
        <w:t xml:space="preserve">The agencies that prosecuted the 769 cases under </w:t>
      </w:r>
      <w:r>
        <w:rPr>
          <w:rStyle w:val="Italic"/>
        </w:rPr>
        <w:t>other</w:t>
      </w:r>
      <w:r>
        <w:t xml:space="preserve"> in Figure 1 are as follows (note that some agencies were renamed or superseded during or after the reference period): Australian Securities and Investments Commission (222 cases); Department of Health and Human Services (188 cases); Australian Financial Security Authority (85 cases); Services Australia (74 cases); Australian Electoral Commission (62 cases); Australian Federal Police (43 cases); Australian Government Solicitor (22 cases); local councils (21 cases); Australian Border Force (17 cases); Australian Customs Service (5 cases); Australian Bureau of Statistics (4 cases); Australian Skills Quality Authority (2 cases); Civil Aviation Safety Authority (2 cases); Department of Education and Training (2 cases); Department of Foreign Affairs and Trade (2 cases); Department of Immigration and Border Protection (2 cases); and one case each for the Australian Customs and Border Protection Service; Australian Commission for Law Enforcement Integrity; Australian Maritime Safety Authority; Comcare; Department of Agriculture; Department of Agriculture, Water and Environment; Department of Economic Development, Jobs, Transport and Resources; Department of Environment and Energy; Department of Environment, Land, Water and Planning; Department of Jobs, Precincts and Regions; Department of Transport; National Heavy Vehicle Regulator; Community Corrections Centre; Therapeutic Goods Administration; Victorian Electoral Commission; and Victorian Workcover Authority.</w:t>
      </w:r>
    </w:p>
  </w:footnote>
  <w:footnote w:id="15">
    <w:p w14:paraId="37CD9B07" w14:textId="62EEEF45" w:rsidR="004C0661" w:rsidRDefault="004C0661" w:rsidP="00A775DC">
      <w:pPr>
        <w:pStyle w:val="Footnote"/>
      </w:pPr>
      <w:r>
        <w:rPr>
          <w:vertAlign w:val="superscript"/>
        </w:rPr>
        <w:footnoteRef/>
      </w:r>
      <w:r>
        <w:t>.</w:t>
      </w:r>
      <w:r>
        <w:tab/>
      </w:r>
      <w:r>
        <w:rPr>
          <w:rStyle w:val="Italic"/>
        </w:rPr>
        <w:t xml:space="preserve">Director of Public Prosecutions Act 1983 </w:t>
      </w:r>
      <w:r>
        <w:t>(</w:t>
      </w:r>
      <w:proofErr w:type="spellStart"/>
      <w:r>
        <w:t>Cth</w:t>
      </w:r>
      <w:proofErr w:type="spellEnd"/>
      <w:r>
        <w:t xml:space="preserve">) s 6(1); </w:t>
      </w:r>
      <w:r>
        <w:rPr>
          <w:rStyle w:val="Italic"/>
        </w:rPr>
        <w:t xml:space="preserve">Public Prosecutions Act 1994 </w:t>
      </w:r>
      <w:r>
        <w:t>(Vic) s 22(1)(a).</w:t>
      </w:r>
    </w:p>
  </w:footnote>
  <w:footnote w:id="16">
    <w:p w14:paraId="3F15CEB0" w14:textId="00DABF70" w:rsidR="004C0661" w:rsidRDefault="004C0661" w:rsidP="00A775DC">
      <w:pPr>
        <w:pStyle w:val="Footnote"/>
      </w:pPr>
      <w:r>
        <w:rPr>
          <w:vertAlign w:val="superscript"/>
        </w:rPr>
        <w:footnoteRef/>
      </w:r>
      <w:r>
        <w:t>.</w:t>
      </w:r>
      <w:r>
        <w:tab/>
        <w:t xml:space="preserve">See, for example, </w:t>
      </w:r>
      <w:r>
        <w:rPr>
          <w:rStyle w:val="Italic"/>
        </w:rPr>
        <w:t>DPP (</w:t>
      </w:r>
      <w:proofErr w:type="spellStart"/>
      <w:r>
        <w:rPr>
          <w:rStyle w:val="Italic"/>
        </w:rPr>
        <w:t>Cth</w:t>
      </w:r>
      <w:proofErr w:type="spellEnd"/>
      <w:r>
        <w:rPr>
          <w:rStyle w:val="Italic"/>
        </w:rPr>
        <w:t xml:space="preserve">) v </w:t>
      </w:r>
      <w:proofErr w:type="spellStart"/>
      <w:r>
        <w:rPr>
          <w:rStyle w:val="Italic"/>
        </w:rPr>
        <w:t>Kamarelddin</w:t>
      </w:r>
      <w:proofErr w:type="spellEnd"/>
      <w:r>
        <w:rPr>
          <w:rStyle w:val="Italic"/>
        </w:rPr>
        <w:t xml:space="preserve"> </w:t>
      </w:r>
      <w:r>
        <w:t>[2018] VCC 1193.</w:t>
      </w:r>
    </w:p>
  </w:footnote>
  <w:footnote w:id="17">
    <w:p w14:paraId="1FCFC30D" w14:textId="40EDE0ED" w:rsidR="004C0661" w:rsidRPr="00A775DC" w:rsidRDefault="004C0661" w:rsidP="00A775DC">
      <w:pPr>
        <w:pStyle w:val="Footnote"/>
        <w:rPr>
          <w:spacing w:val="-2"/>
        </w:rPr>
      </w:pPr>
      <w:r>
        <w:rPr>
          <w:vertAlign w:val="superscript"/>
        </w:rPr>
        <w:footnoteRef/>
      </w:r>
      <w:r>
        <w:t>.</w:t>
      </w:r>
      <w:r>
        <w:tab/>
      </w:r>
      <w:r>
        <w:rPr>
          <w:spacing w:val="-2"/>
        </w:rPr>
        <w:t xml:space="preserve">For an example of a joint prosecution, see </w:t>
      </w:r>
      <w:r>
        <w:rPr>
          <w:rStyle w:val="Italic"/>
          <w:spacing w:val="-2"/>
        </w:rPr>
        <w:t>DPP &amp; DPP (</w:t>
      </w:r>
      <w:proofErr w:type="spellStart"/>
      <w:r>
        <w:rPr>
          <w:rStyle w:val="Italic"/>
          <w:spacing w:val="-2"/>
        </w:rPr>
        <w:t>Cth</w:t>
      </w:r>
      <w:proofErr w:type="spellEnd"/>
      <w:r>
        <w:rPr>
          <w:rStyle w:val="Italic"/>
          <w:spacing w:val="-2"/>
        </w:rPr>
        <w:t xml:space="preserve">) v McKenny (a pseudonym) </w:t>
      </w:r>
      <w:r>
        <w:rPr>
          <w:spacing w:val="-2"/>
        </w:rPr>
        <w:t>[2018] VCC 1065.</w:t>
      </w:r>
    </w:p>
  </w:footnote>
  <w:footnote w:id="18">
    <w:p w14:paraId="78B141B6" w14:textId="17F22E7B"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xml:space="preserve">) s 474.17. </w:t>
      </w:r>
    </w:p>
  </w:footnote>
  <w:footnote w:id="19">
    <w:p w14:paraId="0F61FF72" w14:textId="48D469F8"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474.17.</w:t>
      </w:r>
    </w:p>
  </w:footnote>
  <w:footnote w:id="20">
    <w:p w14:paraId="0E1304F2" w14:textId="773BB67A" w:rsidR="004C0661" w:rsidRDefault="004C0661" w:rsidP="00A775DC">
      <w:pPr>
        <w:pStyle w:val="Footnote"/>
      </w:pPr>
      <w:r>
        <w:rPr>
          <w:vertAlign w:val="superscript"/>
        </w:rPr>
        <w:footnoteRef/>
      </w:r>
      <w:r>
        <w:t>.</w:t>
      </w:r>
      <w:r>
        <w:tab/>
      </w:r>
      <w:r>
        <w:rPr>
          <w:rStyle w:val="Italic"/>
        </w:rPr>
        <w:t xml:space="preserve">Taxation Administration Act 1953 </w:t>
      </w:r>
      <w:r>
        <w:t>(</w:t>
      </w:r>
      <w:proofErr w:type="spellStart"/>
      <w:r>
        <w:t>Cth</w:t>
      </w:r>
      <w:proofErr w:type="spellEnd"/>
      <w:r>
        <w:t>) s 8C(1)(a).</w:t>
      </w:r>
    </w:p>
  </w:footnote>
  <w:footnote w:id="21">
    <w:p w14:paraId="52779840" w14:textId="0FDB9DA7" w:rsidR="004C0661" w:rsidRDefault="004C0661" w:rsidP="00A775DC">
      <w:pPr>
        <w:pStyle w:val="Footnote"/>
      </w:pPr>
      <w:r>
        <w:rPr>
          <w:vertAlign w:val="superscript"/>
        </w:rPr>
        <w:footnoteRef/>
      </w:r>
      <w:r>
        <w:t>.</w:t>
      </w:r>
      <w:r>
        <w:tab/>
        <w:t xml:space="preserve">The statutory provisions of the remaining offences shown in Figure 2 that are not grouped as </w:t>
      </w:r>
      <w:r>
        <w:rPr>
          <w:rStyle w:val="Italic"/>
        </w:rPr>
        <w:t>other</w:t>
      </w:r>
      <w:r>
        <w:t xml:space="preserve"> include attempting to or </w:t>
      </w:r>
      <w:proofErr w:type="gramStart"/>
      <w:r>
        <w:t>actually obtaining</w:t>
      </w:r>
      <w:proofErr w:type="gramEnd"/>
      <w:r>
        <w:t xml:space="preserve"> a financial advantage by deception from a Commonwealth entity (</w:t>
      </w:r>
      <w:r>
        <w:rPr>
          <w:rStyle w:val="Italic"/>
        </w:rPr>
        <w:t xml:space="preserve">Criminal Code </w:t>
      </w:r>
      <w:r>
        <w:t>(</w:t>
      </w:r>
      <w:proofErr w:type="spellStart"/>
      <w:r>
        <w:t>Cth</w:t>
      </w:r>
      <w:proofErr w:type="spellEnd"/>
      <w:r>
        <w:t>) ss 134.2, 135.2) and possessing or uttering counterfeit money (</w:t>
      </w:r>
      <w:r>
        <w:rPr>
          <w:rStyle w:val="Italic"/>
        </w:rPr>
        <w:t xml:space="preserve">Crimes (Currency) Act 1981 </w:t>
      </w:r>
      <w:r>
        <w:t>(</w:t>
      </w:r>
      <w:proofErr w:type="spellStart"/>
      <w:r>
        <w:t>Cth</w:t>
      </w:r>
      <w:proofErr w:type="spellEnd"/>
      <w:r>
        <w:t>) ss 7, 9).</w:t>
      </w:r>
    </w:p>
  </w:footnote>
  <w:footnote w:id="22">
    <w:p w14:paraId="3C0732EA" w14:textId="6332B51F" w:rsidR="004C0661" w:rsidRDefault="004C0661" w:rsidP="00A775DC">
      <w:pPr>
        <w:pStyle w:val="Footnote"/>
      </w:pPr>
      <w:r>
        <w:rPr>
          <w:vertAlign w:val="superscript"/>
        </w:rPr>
        <w:footnoteRef/>
      </w:r>
      <w:r>
        <w:t>.</w:t>
      </w:r>
      <w:r>
        <w:tab/>
        <w:t>These offences included 174 charges of importing, attempting to import or conspiring to import a marketable, commercial or other quantity of a border controlled drug or precursor (</w:t>
      </w:r>
      <w:r>
        <w:rPr>
          <w:rStyle w:val="Italic"/>
        </w:rPr>
        <w:t xml:space="preserve">Criminal Code </w:t>
      </w:r>
      <w:r>
        <w:t>(</w:t>
      </w:r>
      <w:proofErr w:type="spellStart"/>
      <w:r>
        <w:t>Cth</w:t>
      </w:r>
      <w:proofErr w:type="spellEnd"/>
      <w:r>
        <w:t xml:space="preserve">) ss 307.1–307.3, 307.11–307.13), 84 charges of </w:t>
      </w:r>
      <w:r>
        <w:rPr>
          <w:rStyle w:val="Italic"/>
        </w:rPr>
        <w:t>possessing</w:t>
      </w:r>
      <w:r>
        <w:t>,</w:t>
      </w:r>
      <w:r>
        <w:rPr>
          <w:rStyle w:val="Italic"/>
        </w:rPr>
        <w:t xml:space="preserve"> </w:t>
      </w:r>
      <w:r>
        <w:t>attempting to possess or conspiring to possess a marketable, commercial or other quantity of a border controlled drug or precursor (</w:t>
      </w:r>
      <w:r>
        <w:rPr>
          <w:rStyle w:val="Italic"/>
        </w:rPr>
        <w:t xml:space="preserve">Criminal Code </w:t>
      </w:r>
      <w:r>
        <w:t>(</w:t>
      </w:r>
      <w:proofErr w:type="spellStart"/>
      <w:r>
        <w:t>Cth</w:t>
      </w:r>
      <w:proofErr w:type="spellEnd"/>
      <w:r>
        <w:t xml:space="preserve">) ss 307.5–307.10, 308.1–308.4), 41 charges of </w:t>
      </w:r>
      <w:r>
        <w:rPr>
          <w:rStyle w:val="Italic"/>
        </w:rPr>
        <w:t>trafficking</w:t>
      </w:r>
      <w:r>
        <w:t xml:space="preserve">, attempting to </w:t>
      </w:r>
      <w:proofErr w:type="spellStart"/>
      <w:r>
        <w:t>traffick</w:t>
      </w:r>
      <w:proofErr w:type="spellEnd"/>
      <w:r>
        <w:t xml:space="preserve"> or conspiring to </w:t>
      </w:r>
      <w:proofErr w:type="spellStart"/>
      <w:r>
        <w:t>traffick</w:t>
      </w:r>
      <w:proofErr w:type="spellEnd"/>
      <w:r>
        <w:t xml:space="preserve"> a marketable, commercial or other quantity of a border controlled drug (</w:t>
      </w:r>
      <w:r>
        <w:rPr>
          <w:rStyle w:val="Italic"/>
        </w:rPr>
        <w:t xml:space="preserve">Criminal Code </w:t>
      </w:r>
      <w:r>
        <w:t>(</w:t>
      </w:r>
      <w:proofErr w:type="spellStart"/>
      <w:r>
        <w:t>Cth</w:t>
      </w:r>
      <w:proofErr w:type="spellEnd"/>
      <w:r>
        <w:t>) ss 302.2–302.4) and 3 miscellaneous offences.</w:t>
      </w:r>
    </w:p>
  </w:footnote>
  <w:footnote w:id="23">
    <w:p w14:paraId="2E2F787C" w14:textId="35C1B467" w:rsidR="00CA695F" w:rsidRDefault="00CA695F" w:rsidP="00A775DC">
      <w:pPr>
        <w:pStyle w:val="Footnote"/>
      </w:pPr>
      <w:r>
        <w:rPr>
          <w:vertAlign w:val="superscript"/>
        </w:rPr>
        <w:footnoteRef/>
      </w:r>
      <w:r>
        <w:t>.</w:t>
      </w:r>
      <w:r>
        <w:tab/>
        <w:t>These offences included 145 charges of obtaining or attempting to obtain property or a financial advantage by deception from a Commonwealth entity (</w:t>
      </w:r>
      <w:r>
        <w:rPr>
          <w:rStyle w:val="Italic"/>
        </w:rPr>
        <w:t xml:space="preserve">Criminal Code </w:t>
      </w:r>
      <w:r>
        <w:t>(</w:t>
      </w:r>
      <w:proofErr w:type="spellStart"/>
      <w:r>
        <w:t>Cth</w:t>
      </w:r>
      <w:proofErr w:type="spellEnd"/>
      <w:r>
        <w:t>) ss 134.1(1), 134.2) and 60 charges of dishonestly causing, conspiring to cause, or doing an act with intent to cause a loss to a Commonwealth entity (</w:t>
      </w:r>
      <w:r>
        <w:rPr>
          <w:rStyle w:val="Italic"/>
        </w:rPr>
        <w:t xml:space="preserve">Criminal Code </w:t>
      </w:r>
      <w:r>
        <w:t>(</w:t>
      </w:r>
      <w:proofErr w:type="spellStart"/>
      <w:r>
        <w:t>Cth</w:t>
      </w:r>
      <w:proofErr w:type="spellEnd"/>
      <w:r>
        <w:t>) ss 135.1(1), (3), (5)).</w:t>
      </w:r>
    </w:p>
  </w:footnote>
  <w:footnote w:id="24">
    <w:p w14:paraId="2E50F42C" w14:textId="5D62E395" w:rsidR="004C0661" w:rsidRDefault="004C0661" w:rsidP="00A775DC">
      <w:pPr>
        <w:pStyle w:val="Footnote"/>
      </w:pPr>
      <w:r>
        <w:rPr>
          <w:vertAlign w:val="superscript"/>
        </w:rPr>
        <w:footnoteRef/>
      </w:r>
      <w:r>
        <w:t>.</w:t>
      </w:r>
      <w:r>
        <w:tab/>
        <w:t xml:space="preserve">Danijela Frangež et al., ‘The Importance of Terminology Related to Child Sexual Exploitation’ (2015) 66(4) </w:t>
      </w:r>
      <w:r>
        <w:rPr>
          <w:rStyle w:val="Italic"/>
        </w:rPr>
        <w:t xml:space="preserve">Journal of Criminal Investigation and Criminology </w:t>
      </w:r>
      <w:r>
        <w:t xml:space="preserve">291; Interagency Working Group on Sexual Exploitation of Children, </w:t>
      </w:r>
      <w:r>
        <w:rPr>
          <w:rStyle w:val="Italic"/>
        </w:rPr>
        <w:t xml:space="preserve">Terminology Guidelines for the Protection of Children from Sexual Exploitation and Sexual Abuse </w:t>
      </w:r>
      <w:r>
        <w:t xml:space="preserve">(2016) (otherwise known as the </w:t>
      </w:r>
      <w:r>
        <w:rPr>
          <w:rStyle w:val="Italic"/>
        </w:rPr>
        <w:t>Luxembourg Guidelines</w:t>
      </w:r>
      <w:r>
        <w:t>).</w:t>
      </w:r>
    </w:p>
  </w:footnote>
  <w:footnote w:id="25">
    <w:p w14:paraId="7E68F758" w14:textId="3159CEE5" w:rsidR="004C0661" w:rsidRPr="00A775DC" w:rsidRDefault="004C0661" w:rsidP="00A775DC">
      <w:pPr>
        <w:pStyle w:val="Footnote"/>
        <w:rPr>
          <w:spacing w:val="-5"/>
        </w:rPr>
      </w:pPr>
      <w:r>
        <w:rPr>
          <w:vertAlign w:val="superscript"/>
        </w:rPr>
        <w:footnoteRef/>
      </w:r>
      <w:r>
        <w:t>.</w:t>
      </w:r>
      <w:r>
        <w:tab/>
      </w:r>
      <w:r>
        <w:rPr>
          <w:spacing w:val="-7"/>
        </w:rPr>
        <w:t xml:space="preserve">Using a carriage service to access, transmit, publish or solicit child abuse material includes the current offence </w:t>
      </w:r>
      <w:r>
        <w:rPr>
          <w:spacing w:val="-6"/>
        </w:rPr>
        <w:t xml:space="preserve">under </w:t>
      </w:r>
      <w:r>
        <w:rPr>
          <w:rStyle w:val="Italic"/>
          <w:spacing w:val="-6"/>
        </w:rPr>
        <w:t xml:space="preserve">Criminal Code </w:t>
      </w:r>
      <w:r>
        <w:rPr>
          <w:spacing w:val="-6"/>
        </w:rPr>
        <w:t>(</w:t>
      </w:r>
      <w:proofErr w:type="spellStart"/>
      <w:r>
        <w:rPr>
          <w:spacing w:val="-6"/>
        </w:rPr>
        <w:t>Cth</w:t>
      </w:r>
      <w:proofErr w:type="spellEnd"/>
      <w:r>
        <w:rPr>
          <w:spacing w:val="-6"/>
        </w:rPr>
        <w:t xml:space="preserve">) s 474.22 (effective as of 15 April 2010) and the predecessor offence under </w:t>
      </w:r>
      <w:r>
        <w:rPr>
          <w:rStyle w:val="Italic"/>
          <w:spacing w:val="-6"/>
        </w:rPr>
        <w:t xml:space="preserve">Criminal </w:t>
      </w:r>
      <w:r>
        <w:rPr>
          <w:rStyle w:val="Italic"/>
          <w:spacing w:val="-1"/>
        </w:rPr>
        <w:t xml:space="preserve">Code </w:t>
      </w:r>
      <w:r>
        <w:rPr>
          <w:spacing w:val="-1"/>
        </w:rPr>
        <w:t>(</w:t>
      </w:r>
      <w:proofErr w:type="spellStart"/>
      <w:r>
        <w:rPr>
          <w:spacing w:val="-1"/>
        </w:rPr>
        <w:t>Cth</w:t>
      </w:r>
      <w:proofErr w:type="spellEnd"/>
      <w:r>
        <w:rPr>
          <w:spacing w:val="-1"/>
        </w:rPr>
        <w:t xml:space="preserve">) s 474.19. On 21 September 2019, the definition of ‘child pornography material’ was merged </w:t>
      </w:r>
      <w:r>
        <w:rPr>
          <w:spacing w:val="-3"/>
        </w:rPr>
        <w:t xml:space="preserve">into the existing definition of ‘child abuse material’ by the </w:t>
      </w:r>
      <w:r>
        <w:rPr>
          <w:rStyle w:val="Italic"/>
          <w:spacing w:val="-3"/>
        </w:rPr>
        <w:t xml:space="preserve">Combatting Child Sexual Exploitation Legislation </w:t>
      </w:r>
      <w:r>
        <w:rPr>
          <w:rStyle w:val="Italic"/>
          <w:spacing w:val="-5"/>
        </w:rPr>
        <w:t>Amendment Act 2019</w:t>
      </w:r>
      <w:r>
        <w:rPr>
          <w:spacing w:val="-5"/>
        </w:rPr>
        <w:t xml:space="preserve"> (</w:t>
      </w:r>
      <w:proofErr w:type="spellStart"/>
      <w:r>
        <w:rPr>
          <w:spacing w:val="-5"/>
        </w:rPr>
        <w:t>Cth</w:t>
      </w:r>
      <w:proofErr w:type="spellEnd"/>
      <w:r>
        <w:rPr>
          <w:spacing w:val="-5"/>
        </w:rPr>
        <w:t>) sch 7 (expanding the operation of section 474.22 and repealing section 474.19).</w:t>
      </w:r>
    </w:p>
  </w:footnote>
  <w:footnote w:id="26">
    <w:p w14:paraId="5C03652E" w14:textId="2FFA5348"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474.27A.</w:t>
      </w:r>
    </w:p>
  </w:footnote>
  <w:footnote w:id="27">
    <w:p w14:paraId="7F5AB0BD" w14:textId="05CD4C72" w:rsidR="004C0661" w:rsidRDefault="004C0661" w:rsidP="00A775DC">
      <w:pPr>
        <w:pStyle w:val="Footnote"/>
      </w:pPr>
      <w:r>
        <w:rPr>
          <w:vertAlign w:val="superscript"/>
        </w:rPr>
        <w:footnoteRef/>
      </w:r>
      <w:r>
        <w:t>.</w:t>
      </w:r>
      <w:r>
        <w:tab/>
        <w:t xml:space="preserve">Possessing or controlling child abuse material obtained using a carriage service includes the current offence under </w:t>
      </w:r>
      <w:r>
        <w:rPr>
          <w:rStyle w:val="Italic"/>
        </w:rPr>
        <w:t xml:space="preserve">Criminal Code </w:t>
      </w:r>
      <w:r>
        <w:t>(</w:t>
      </w:r>
      <w:proofErr w:type="spellStart"/>
      <w:r>
        <w:t>Cth</w:t>
      </w:r>
      <w:proofErr w:type="spellEnd"/>
      <w:r>
        <w:t xml:space="preserve">) s 474.22A (effective as of 21 September 2019) and the predecessor offence under </w:t>
      </w:r>
      <w:r>
        <w:rPr>
          <w:rStyle w:val="Italic"/>
        </w:rPr>
        <w:t xml:space="preserve">Criminal Code </w:t>
      </w:r>
      <w:r>
        <w:t>(</w:t>
      </w:r>
      <w:proofErr w:type="spellStart"/>
      <w:r>
        <w:t>Cth</w:t>
      </w:r>
      <w:proofErr w:type="spellEnd"/>
      <w:r>
        <w:t xml:space="preserve">) s 474.20 (repealed as of 21 September 2019 by </w:t>
      </w:r>
      <w:r>
        <w:rPr>
          <w:rStyle w:val="Italic"/>
        </w:rPr>
        <w:t>Combatting Child Sexual Exploitation Legislation Amendment Act 2019</w:t>
      </w:r>
      <w:r>
        <w:t xml:space="preserve"> (</w:t>
      </w:r>
      <w:proofErr w:type="spellStart"/>
      <w:r>
        <w:t>Cth</w:t>
      </w:r>
      <w:proofErr w:type="spellEnd"/>
      <w:r>
        <w:t>) sch 7).</w:t>
      </w:r>
    </w:p>
  </w:footnote>
  <w:footnote w:id="28">
    <w:p w14:paraId="5C9254B1" w14:textId="25D209C3"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474.26.</w:t>
      </w:r>
    </w:p>
  </w:footnote>
  <w:footnote w:id="29">
    <w:p w14:paraId="32FB3117" w14:textId="09CA0297"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474.27.</w:t>
      </w:r>
    </w:p>
  </w:footnote>
  <w:footnote w:id="30">
    <w:p w14:paraId="6064563D" w14:textId="1BF10E9B"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272.19.</w:t>
      </w:r>
    </w:p>
  </w:footnote>
  <w:footnote w:id="31">
    <w:p w14:paraId="22261C1F" w14:textId="743E7A91"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272.9.</w:t>
      </w:r>
    </w:p>
  </w:footnote>
  <w:footnote w:id="32">
    <w:p w14:paraId="5E232A08" w14:textId="3B3B7D30"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272.14.</w:t>
      </w:r>
    </w:p>
  </w:footnote>
  <w:footnote w:id="33">
    <w:p w14:paraId="3DB7A3E2" w14:textId="7E7DCD57"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272.15.</w:t>
      </w:r>
    </w:p>
  </w:footnote>
  <w:footnote w:id="34">
    <w:p w14:paraId="0E86347D" w14:textId="30426733"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272.8(2).</w:t>
      </w:r>
    </w:p>
  </w:footnote>
  <w:footnote w:id="35">
    <w:p w14:paraId="63D405FA" w14:textId="32BA4DAB" w:rsidR="00B91C29" w:rsidRDefault="00B91C29" w:rsidP="00A775DC">
      <w:pPr>
        <w:pStyle w:val="Footnote"/>
      </w:pPr>
      <w:r>
        <w:rPr>
          <w:vertAlign w:val="superscript"/>
        </w:rPr>
        <w:footnoteRef/>
      </w:r>
      <w:r>
        <w:t>.</w:t>
      </w:r>
      <w:r>
        <w:tab/>
      </w:r>
      <w:r>
        <w:rPr>
          <w:rStyle w:val="Italic"/>
        </w:rPr>
        <w:t xml:space="preserve">Criminal Code </w:t>
      </w:r>
      <w:r>
        <w:t>(</w:t>
      </w:r>
      <w:proofErr w:type="spellStart"/>
      <w:r>
        <w:t>Cth</w:t>
      </w:r>
      <w:proofErr w:type="spellEnd"/>
      <w:r>
        <w:t>) s 272.8(1).</w:t>
      </w:r>
    </w:p>
  </w:footnote>
  <w:footnote w:id="36">
    <w:p w14:paraId="18BB4F29" w14:textId="5774B115" w:rsidR="004C0661" w:rsidRDefault="004C0661" w:rsidP="00A775DC">
      <w:pPr>
        <w:pStyle w:val="Footnote"/>
      </w:pPr>
      <w:r>
        <w:rPr>
          <w:vertAlign w:val="superscript"/>
        </w:rPr>
        <w:footnoteRef/>
      </w:r>
      <w:r>
        <w:t>.</w:t>
      </w:r>
      <w:r>
        <w:tab/>
        <w:t xml:space="preserve">On the gendered nature of family violence offending, see, for example, Sentencing Advisory Council, </w:t>
      </w:r>
      <w:r>
        <w:rPr>
          <w:rStyle w:val="Italic"/>
        </w:rPr>
        <w:t xml:space="preserve">Sentencing Breaches of Family Violence Intervention Orders and Safety Notices: Third Monitoring Report </w:t>
      </w:r>
      <w:r>
        <w:t xml:space="preserve">(2022) xii (finding that 87% of offenders sentenced for breaching a family violence order are male). On the gendered nature of sexual offending, see, for example, Sentencing Advisory Council, </w:t>
      </w:r>
      <w:r>
        <w:rPr>
          <w:rStyle w:val="Italic"/>
        </w:rPr>
        <w:t xml:space="preserve">Sentencing Sex Offences in Victoria: An Analysis of Three Sentencing Reforms </w:t>
      </w:r>
      <w:r>
        <w:t xml:space="preserve">(2021) 4 (finding that 97% of sex offenders are male). And on the gendered nature of child sexual exploitation material </w:t>
      </w:r>
      <w:proofErr w:type="gramStart"/>
      <w:r>
        <w:t>offending in particular, see</w:t>
      </w:r>
      <w:proofErr w:type="gramEnd"/>
      <w:r>
        <w:t xml:space="preserve">, for example, Stephanie Kewley and </w:t>
      </w:r>
      <w:proofErr w:type="spellStart"/>
      <w:r>
        <w:t>Kairika</w:t>
      </w:r>
      <w:proofErr w:type="spellEnd"/>
      <w:r>
        <w:t xml:space="preserve"> Karsna, </w:t>
      </w:r>
      <w:r>
        <w:rPr>
          <w:rStyle w:val="Italic"/>
        </w:rPr>
        <w:t xml:space="preserve">Child Sexual Abuse in 2023/24: Trends in Official Data </w:t>
      </w:r>
      <w:r>
        <w:t>(2025) 50 (Table 5) (finding that 96% of offenders prosecuted for child sexual exploitation material are male).</w:t>
      </w:r>
    </w:p>
  </w:footnote>
  <w:footnote w:id="37">
    <w:p w14:paraId="64D4713F" w14:textId="672A2906" w:rsidR="004C0661" w:rsidRDefault="004C0661" w:rsidP="00A775DC">
      <w:pPr>
        <w:pStyle w:val="Footnote"/>
      </w:pPr>
      <w:r>
        <w:rPr>
          <w:vertAlign w:val="superscript"/>
        </w:rPr>
        <w:footnoteRef/>
      </w:r>
      <w:r>
        <w:t>.</w:t>
      </w:r>
      <w:r>
        <w:tab/>
        <w:t xml:space="preserve">See, for example, Sentencing Advisory Council, </w:t>
      </w:r>
      <w:r>
        <w:rPr>
          <w:rStyle w:val="Italic"/>
        </w:rPr>
        <w:t xml:space="preserve">Gender Differences in Sentencing Outcomes </w:t>
      </w:r>
      <w:r>
        <w:t>(2010) 3.</w:t>
      </w:r>
    </w:p>
  </w:footnote>
  <w:footnote w:id="38">
    <w:p w14:paraId="16FAD842" w14:textId="10F37708"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EB Ocean </w:t>
      </w:r>
      <w:r>
        <w:t>[2019] VCC 2072.</w:t>
      </w:r>
    </w:p>
  </w:footnote>
  <w:footnote w:id="39">
    <w:p w14:paraId="300933BF" w14:textId="1E2873E9"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M &amp; G </w:t>
      </w:r>
      <w:proofErr w:type="spellStart"/>
      <w:r>
        <w:rPr>
          <w:rStyle w:val="Italic"/>
        </w:rPr>
        <w:t>Vizzarri</w:t>
      </w:r>
      <w:proofErr w:type="spellEnd"/>
      <w:r>
        <w:rPr>
          <w:rStyle w:val="Italic"/>
        </w:rPr>
        <w:t xml:space="preserve"> Pty Ltd </w:t>
      </w:r>
      <w:r>
        <w:t>[2022] VCC 894.</w:t>
      </w:r>
    </w:p>
  </w:footnote>
  <w:footnote w:id="40">
    <w:p w14:paraId="2E6FD497" w14:textId="065FA423"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w:t>
      </w:r>
      <w:proofErr w:type="spellStart"/>
      <w:r>
        <w:rPr>
          <w:rStyle w:val="Italic"/>
        </w:rPr>
        <w:t>Avanteos</w:t>
      </w:r>
      <w:proofErr w:type="spellEnd"/>
      <w:r>
        <w:rPr>
          <w:rStyle w:val="Italic"/>
        </w:rPr>
        <w:t xml:space="preserve"> Investments Ltd </w:t>
      </w:r>
      <w:r>
        <w:t>[2022] VCC 869.</w:t>
      </w:r>
    </w:p>
  </w:footnote>
  <w:footnote w:id="41">
    <w:p w14:paraId="6B6450C0" w14:textId="7A5768E2" w:rsidR="004C0661" w:rsidRDefault="004C0661" w:rsidP="00A775DC">
      <w:pPr>
        <w:pStyle w:val="Footnote"/>
      </w:pPr>
      <w:r>
        <w:rPr>
          <w:vertAlign w:val="superscript"/>
        </w:rPr>
        <w:footnoteRef/>
      </w:r>
      <w:r>
        <w:t>.</w:t>
      </w:r>
      <w:r>
        <w:tab/>
        <w:t xml:space="preserve">Sentencing Advisory Council, </w:t>
      </w:r>
      <w:r>
        <w:rPr>
          <w:rStyle w:val="Italic"/>
        </w:rPr>
        <w:t xml:space="preserve">Sentencing in Victoria: 2013–14 to 2022–23 </w:t>
      </w:r>
      <w:r>
        <w:t>(2024) 11.</w:t>
      </w:r>
    </w:p>
  </w:footnote>
  <w:footnote w:id="42">
    <w:p w14:paraId="3969B1B0" w14:textId="2A7F8D2B" w:rsidR="004C0661" w:rsidRDefault="004C0661" w:rsidP="00A775DC">
      <w:pPr>
        <w:pStyle w:val="Footnote"/>
      </w:pPr>
      <w:r>
        <w:rPr>
          <w:vertAlign w:val="superscript"/>
        </w:rPr>
        <w:footnoteRef/>
      </w:r>
      <w:r>
        <w:t>.</w:t>
      </w:r>
      <w:r>
        <w:tab/>
        <w:t>Figure 5 excludes 644 Magistrates’ Court cases without verifiable age data. Note that percentages in the graph may not total 100% due to rounding.</w:t>
      </w:r>
    </w:p>
  </w:footnote>
  <w:footnote w:id="43">
    <w:p w14:paraId="736461AB" w14:textId="12FA619D" w:rsidR="004C0661" w:rsidRDefault="004C0661" w:rsidP="00A775DC">
      <w:pPr>
        <w:pStyle w:val="Footnote"/>
      </w:pPr>
      <w:r>
        <w:rPr>
          <w:vertAlign w:val="superscript"/>
        </w:rPr>
        <w:footnoteRef/>
      </w:r>
      <w:r>
        <w:t>.</w:t>
      </w:r>
      <w:r>
        <w:tab/>
        <w:t xml:space="preserve">One of these cases is publicly available: </w:t>
      </w:r>
      <w:r>
        <w:rPr>
          <w:rStyle w:val="Italic"/>
        </w:rPr>
        <w:t>DPP (</w:t>
      </w:r>
      <w:proofErr w:type="spellStart"/>
      <w:r>
        <w:rPr>
          <w:rStyle w:val="Italic"/>
        </w:rPr>
        <w:t>Cth</w:t>
      </w:r>
      <w:proofErr w:type="spellEnd"/>
      <w:r>
        <w:rPr>
          <w:rStyle w:val="Italic"/>
        </w:rPr>
        <w:t xml:space="preserve">) v Cai &amp; Ors </w:t>
      </w:r>
      <w:r>
        <w:t>[2021] VCC 633 (Shao).</w:t>
      </w:r>
    </w:p>
  </w:footnote>
  <w:footnote w:id="44">
    <w:p w14:paraId="441B7B44" w14:textId="32E19413" w:rsidR="004C0661" w:rsidRDefault="004C0661" w:rsidP="00A775DC">
      <w:pPr>
        <w:pStyle w:val="Footnote"/>
      </w:pPr>
      <w:r>
        <w:rPr>
          <w:vertAlign w:val="superscript"/>
        </w:rPr>
        <w:footnoteRef/>
      </w:r>
      <w:r>
        <w:t>.</w:t>
      </w:r>
      <w:r>
        <w:tab/>
        <w:t xml:space="preserve">One of these cases is publicly available: </w:t>
      </w:r>
      <w:r>
        <w:rPr>
          <w:rStyle w:val="Italic"/>
        </w:rPr>
        <w:t>DPP (</w:t>
      </w:r>
      <w:proofErr w:type="spellStart"/>
      <w:r>
        <w:rPr>
          <w:rStyle w:val="Italic"/>
        </w:rPr>
        <w:t>Cth</w:t>
      </w:r>
      <w:proofErr w:type="spellEnd"/>
      <w:r>
        <w:rPr>
          <w:rStyle w:val="Italic"/>
        </w:rPr>
        <w:t xml:space="preserve">) v Newling </w:t>
      </w:r>
      <w:r>
        <w:t>[2018] VCC 1691.</w:t>
      </w:r>
    </w:p>
  </w:footnote>
  <w:footnote w:id="45">
    <w:p w14:paraId="685E8425" w14:textId="52C035ED"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Magri </w:t>
      </w:r>
      <w:r>
        <w:t>[2022] VCC 109.</w:t>
      </w:r>
    </w:p>
  </w:footnote>
  <w:footnote w:id="46">
    <w:p w14:paraId="666A3768" w14:textId="44963D73" w:rsidR="004C0661" w:rsidRDefault="004C0661" w:rsidP="00A775DC">
      <w:pPr>
        <w:pStyle w:val="Footnote"/>
      </w:pPr>
      <w:r>
        <w:rPr>
          <w:vertAlign w:val="superscript"/>
        </w:rPr>
        <w:footnoteRef/>
      </w:r>
      <w:r>
        <w:t>.</w:t>
      </w:r>
      <w:r>
        <w:tab/>
        <w:t>The second oldest was 83 (2 cases).</w:t>
      </w:r>
    </w:p>
  </w:footnote>
  <w:footnote w:id="47">
    <w:p w14:paraId="0BA2540A" w14:textId="057069C4" w:rsidR="004C0661" w:rsidRDefault="004C0661" w:rsidP="00A775DC">
      <w:pPr>
        <w:pStyle w:val="Footnote"/>
      </w:pPr>
      <w:r>
        <w:rPr>
          <w:vertAlign w:val="superscript"/>
        </w:rPr>
        <w:footnoteRef/>
      </w:r>
      <w:r>
        <w:t>.</w:t>
      </w:r>
      <w:r>
        <w:tab/>
        <w:t xml:space="preserve">Diversion is available in the Magistrates’ Court for people who accept responsibility for their offending, if the prosecution consents and the court </w:t>
      </w:r>
      <w:proofErr w:type="gramStart"/>
      <w:r>
        <w:t>considers</w:t>
      </w:r>
      <w:proofErr w:type="gramEnd"/>
      <w:r>
        <w:t xml:space="preserve"> such an outcome appropriate: </w:t>
      </w:r>
      <w:r>
        <w:rPr>
          <w:rStyle w:val="Italic"/>
        </w:rPr>
        <w:t xml:space="preserve">Criminal Procedure Act 2009 </w:t>
      </w:r>
      <w:r>
        <w:t>(Vic) s 59. Diversion is a procedural disposition of a criminal case, rather than a sentencing order, and is therefore available for federal offenders because courts sentencing federal offenders must apply their own jurisdiction’s procedural legislation.</w:t>
      </w:r>
    </w:p>
  </w:footnote>
  <w:footnote w:id="48">
    <w:p w14:paraId="308B871F" w14:textId="536C867E" w:rsidR="004C0661" w:rsidRDefault="004C0661" w:rsidP="00A775DC">
      <w:pPr>
        <w:pStyle w:val="Footnote"/>
      </w:pPr>
      <w:r>
        <w:rPr>
          <w:vertAlign w:val="superscript"/>
        </w:rPr>
        <w:footnoteRef/>
      </w:r>
      <w:r>
        <w:t>.</w:t>
      </w:r>
      <w:r>
        <w:tab/>
        <w:t>Sentencing Advisory Council, ‘Sentencing Outcomes in the Higher Courts’ (sentencingcouncil.vic.gov.au, 2024).</w:t>
      </w:r>
    </w:p>
  </w:footnote>
  <w:footnote w:id="49">
    <w:p w14:paraId="61BA61E9" w14:textId="2E92DE72" w:rsidR="004C0661" w:rsidRDefault="004C0661" w:rsidP="00A775DC">
      <w:pPr>
        <w:pStyle w:val="Footnote"/>
      </w:pPr>
      <w:r>
        <w:rPr>
          <w:vertAlign w:val="superscript"/>
        </w:rPr>
        <w:footnoteRef/>
      </w:r>
      <w:r>
        <w:t>.</w:t>
      </w:r>
      <w:r>
        <w:tab/>
        <w:t>Sentencing Advisory Council, ‘Sentencing Outcomes in the Magistrates’ Court’ (sentencingcouncil.vic.gov.au, 2024).</w:t>
      </w:r>
    </w:p>
  </w:footnote>
  <w:footnote w:id="50">
    <w:p w14:paraId="4839B010" w14:textId="180C6532" w:rsidR="004C0661" w:rsidRDefault="004C0661" w:rsidP="00A775DC">
      <w:pPr>
        <w:pStyle w:val="Footnote"/>
      </w:pPr>
      <w:r>
        <w:rPr>
          <w:vertAlign w:val="superscript"/>
        </w:rPr>
        <w:footnoteRef/>
      </w:r>
      <w:r>
        <w:t>.</w:t>
      </w:r>
      <w:r>
        <w:tab/>
        <w:t xml:space="preserve">Sentencing Advisory Council, </w:t>
      </w:r>
      <w:r>
        <w:rPr>
          <w:rStyle w:val="Italic"/>
        </w:rPr>
        <w:t xml:space="preserve">The Criminal Justice Diversion Program in Victoria: Second Statistical Profile </w:t>
      </w:r>
      <w:r>
        <w:t>(2024) 17.</w:t>
      </w:r>
    </w:p>
  </w:footnote>
  <w:footnote w:id="51">
    <w:p w14:paraId="4D50C1D8" w14:textId="2BA5F09C" w:rsidR="004C0661" w:rsidRDefault="004C0661" w:rsidP="00A775DC">
      <w:pPr>
        <w:pStyle w:val="Footnote"/>
      </w:pPr>
      <w:r>
        <w:rPr>
          <w:vertAlign w:val="superscript"/>
        </w:rPr>
        <w:footnoteRef/>
      </w:r>
      <w:r>
        <w:t>.</w:t>
      </w:r>
      <w:r>
        <w:tab/>
      </w:r>
      <w:r>
        <w:rPr>
          <w:rStyle w:val="Italic"/>
        </w:rPr>
        <w:t xml:space="preserve">Criminal Procedure Act 2009 </w:t>
      </w:r>
      <w:r>
        <w:t>(Vic) s 59(1).</w:t>
      </w:r>
    </w:p>
  </w:footnote>
  <w:footnote w:id="52">
    <w:p w14:paraId="00E31E96" w14:textId="25899F03" w:rsidR="004C0661" w:rsidRDefault="004C0661" w:rsidP="00A775DC">
      <w:pPr>
        <w:pStyle w:val="Footnote"/>
      </w:pPr>
      <w:r>
        <w:rPr>
          <w:vertAlign w:val="superscript"/>
        </w:rPr>
        <w:footnoteRef/>
      </w:r>
      <w:r>
        <w:t>.</w:t>
      </w:r>
      <w:r>
        <w:tab/>
      </w:r>
      <w:r>
        <w:rPr>
          <w:spacing w:val="-1"/>
        </w:rPr>
        <w:t xml:space="preserve">See, for example, Sentencing Advisory Council, </w:t>
      </w:r>
      <w:r>
        <w:rPr>
          <w:rStyle w:val="Italic"/>
          <w:spacing w:val="-1"/>
        </w:rPr>
        <w:t xml:space="preserve">Sentencing in Victoria: 2014–15 to 2023–24 </w:t>
      </w:r>
      <w:r>
        <w:rPr>
          <w:spacing w:val="-1"/>
        </w:rPr>
        <w:t>(2025) 13</w:t>
      </w:r>
      <w:r>
        <w:t>.</w:t>
      </w:r>
    </w:p>
  </w:footnote>
  <w:footnote w:id="53">
    <w:p w14:paraId="6EDB3CE3" w14:textId="5DABDEA7" w:rsidR="004C0661" w:rsidRDefault="004C0661" w:rsidP="00A775DC">
      <w:pPr>
        <w:pStyle w:val="Footnote"/>
      </w:pPr>
      <w:r>
        <w:rPr>
          <w:vertAlign w:val="superscript"/>
        </w:rPr>
        <w:footnoteRef/>
      </w:r>
      <w:r>
        <w:t>.</w:t>
      </w:r>
      <w:r>
        <w:tab/>
      </w:r>
      <w:r>
        <w:rPr>
          <w:rStyle w:val="Italic"/>
        </w:rPr>
        <w:t xml:space="preserve">Sentencing Act 1991 </w:t>
      </w:r>
      <w:r>
        <w:t>(Vic) s 73.</w:t>
      </w:r>
    </w:p>
  </w:footnote>
  <w:footnote w:id="54">
    <w:p w14:paraId="1F2E52C0" w14:textId="17958213" w:rsidR="004C0661" w:rsidRDefault="004C0661" w:rsidP="00A775DC">
      <w:pPr>
        <w:pStyle w:val="Footnote"/>
      </w:pPr>
      <w:r>
        <w:rPr>
          <w:vertAlign w:val="superscript"/>
        </w:rPr>
        <w:footnoteRef/>
      </w:r>
      <w:r>
        <w:t>.</w:t>
      </w:r>
      <w:r>
        <w:tab/>
      </w:r>
      <w:r>
        <w:rPr>
          <w:rStyle w:val="Italic"/>
        </w:rPr>
        <w:t xml:space="preserve">Sentencing Act 1991 </w:t>
      </w:r>
      <w:r>
        <w:t>(Vic) ss 7(1)(f), 49.</w:t>
      </w:r>
    </w:p>
  </w:footnote>
  <w:footnote w:id="55">
    <w:p w14:paraId="7CCB5C53" w14:textId="7BA582BD" w:rsidR="004C0661" w:rsidRDefault="004C0661" w:rsidP="00A775DC">
      <w:pPr>
        <w:pStyle w:val="Footnote"/>
      </w:pPr>
      <w:r>
        <w:rPr>
          <w:vertAlign w:val="superscript"/>
        </w:rPr>
        <w:footnoteRef/>
      </w:r>
      <w:r>
        <w:t>.</w:t>
      </w:r>
      <w:r>
        <w:tab/>
        <w:t>Sarah McNaughton SC, ‘Basics of Commonwealth Sentencing Law’ (Public Lecture, Reasonable Cause CPD Conference, New South Wales, 25 March 2017) 9–10.</w:t>
      </w:r>
    </w:p>
  </w:footnote>
  <w:footnote w:id="56">
    <w:p w14:paraId="7D5897C0" w14:textId="7EE03D88" w:rsidR="004C0661" w:rsidRDefault="004C0661" w:rsidP="00A775DC">
      <w:pPr>
        <w:pStyle w:val="Footnote"/>
      </w:pPr>
      <w:r>
        <w:rPr>
          <w:vertAlign w:val="superscript"/>
        </w:rPr>
        <w:footnoteRef/>
      </w:r>
      <w:r>
        <w:t>.</w:t>
      </w:r>
      <w:r>
        <w:tab/>
      </w:r>
      <w:r>
        <w:rPr>
          <w:rStyle w:val="Italic"/>
        </w:rPr>
        <w:t xml:space="preserve">Sentencing Act 1991 </w:t>
      </w:r>
      <w:r>
        <w:t>(Vic) ss 7(1)(e), 7(1)(f), 49, 72, 73, 75, 76.</w:t>
      </w:r>
    </w:p>
  </w:footnote>
  <w:footnote w:id="57">
    <w:p w14:paraId="25A2F977" w14:textId="6878D715" w:rsidR="004C0661" w:rsidRDefault="004C0661" w:rsidP="00A775DC">
      <w:pPr>
        <w:pStyle w:val="Footnote"/>
      </w:pPr>
      <w:r>
        <w:rPr>
          <w:vertAlign w:val="superscript"/>
        </w:rPr>
        <w:footnoteRef/>
      </w:r>
      <w:r>
        <w:t>.</w:t>
      </w:r>
      <w:r>
        <w:tab/>
        <w:t xml:space="preserve">See, for example, </w:t>
      </w:r>
      <w:r>
        <w:rPr>
          <w:rStyle w:val="Italic"/>
        </w:rPr>
        <w:t xml:space="preserve">Crimes Act 1914 </w:t>
      </w:r>
      <w:r>
        <w:t>(</w:t>
      </w:r>
      <w:proofErr w:type="spellStart"/>
      <w:r>
        <w:t>Cth</w:t>
      </w:r>
      <w:proofErr w:type="spellEnd"/>
      <w:r>
        <w:t xml:space="preserve">) s 19; </w:t>
      </w:r>
      <w:r>
        <w:rPr>
          <w:rStyle w:val="Italic"/>
        </w:rPr>
        <w:t xml:space="preserve">Sentencing Act 1991 </w:t>
      </w:r>
      <w:r>
        <w:t xml:space="preserve">(Vic) s 16(4); </w:t>
      </w:r>
      <w:r>
        <w:rPr>
          <w:rStyle w:val="Italic"/>
        </w:rPr>
        <w:t>DPP &amp; DPP (</w:t>
      </w:r>
      <w:proofErr w:type="spellStart"/>
      <w:r>
        <w:rPr>
          <w:rStyle w:val="Italic"/>
        </w:rPr>
        <w:t>Cth</w:t>
      </w:r>
      <w:proofErr w:type="spellEnd"/>
      <w:r>
        <w:rPr>
          <w:rStyle w:val="Italic"/>
        </w:rPr>
        <w:t xml:space="preserve">) v Swingler </w:t>
      </w:r>
      <w:r>
        <w:t>[2017] VSCA 305.</w:t>
      </w:r>
    </w:p>
  </w:footnote>
  <w:footnote w:id="58">
    <w:p w14:paraId="2478EC13" w14:textId="72880D73" w:rsidR="004C0661" w:rsidRDefault="004C0661" w:rsidP="00A775DC">
      <w:pPr>
        <w:pStyle w:val="Footnote"/>
      </w:pPr>
      <w:r>
        <w:rPr>
          <w:vertAlign w:val="superscript"/>
        </w:rPr>
        <w:footnoteRef/>
      </w:r>
      <w:r>
        <w:t>.</w:t>
      </w:r>
      <w:r>
        <w:tab/>
      </w:r>
      <w:proofErr w:type="spellStart"/>
      <w:r>
        <w:rPr>
          <w:rStyle w:val="Italic"/>
        </w:rPr>
        <w:t>Hili</w:t>
      </w:r>
      <w:proofErr w:type="spellEnd"/>
      <w:r>
        <w:rPr>
          <w:rStyle w:val="Italic"/>
        </w:rPr>
        <w:t xml:space="preserve"> &amp; Anor v The Queen </w:t>
      </w:r>
      <w:r>
        <w:t>[2010] HCA 45 [25].</w:t>
      </w:r>
    </w:p>
  </w:footnote>
  <w:footnote w:id="59">
    <w:p w14:paraId="3C183E83" w14:textId="02F0FF8A" w:rsidR="004C0661" w:rsidRDefault="004C0661" w:rsidP="00A775DC">
      <w:pPr>
        <w:pStyle w:val="Footnote"/>
      </w:pPr>
      <w:r>
        <w:rPr>
          <w:vertAlign w:val="superscript"/>
        </w:rPr>
        <w:footnoteRef/>
      </w:r>
      <w:r>
        <w:t>.</w:t>
      </w:r>
      <w:r>
        <w:tab/>
        <w:t>Figure 7 includes any cases with an immediate custodial component served in an adult facility (i.e. imprisonment only, imprisonment with a non-parole period, imprisonment with later release, and imprisonment with immediate release after pre-sentence detention was declared as time served). Figure 7 does not include the 151 cases in which people received imprisonment with immediate release after spending no time on remand.</w:t>
      </w:r>
    </w:p>
  </w:footnote>
  <w:footnote w:id="60">
    <w:p w14:paraId="20E91464" w14:textId="67856142" w:rsidR="004C0661" w:rsidRDefault="004C0661" w:rsidP="00A775DC">
      <w:pPr>
        <w:pStyle w:val="Footnote"/>
      </w:pPr>
      <w:r>
        <w:rPr>
          <w:vertAlign w:val="superscript"/>
        </w:rPr>
        <w:footnoteRef/>
      </w:r>
      <w:r>
        <w:t>.</w:t>
      </w:r>
      <w:r>
        <w:tab/>
      </w:r>
      <w:r>
        <w:rPr>
          <w:rStyle w:val="Italic"/>
        </w:rPr>
        <w:t xml:space="preserve">R v Shoma </w:t>
      </w:r>
      <w:r>
        <w:t xml:space="preserve">[2019] VSC 367. Within days of entering Australia under the </w:t>
      </w:r>
      <w:proofErr w:type="spellStart"/>
      <w:r>
        <w:t>pretence</w:t>
      </w:r>
      <w:proofErr w:type="spellEnd"/>
      <w:r>
        <w:t xml:space="preserve"> of undertaking tertiary studies, the offender had stabbed her host in the neck while he was asleep with his young child, following an order by ‘the caliph of the Islamic State [to kill a disbeliever] in response to the bombing of Muslim people’: at [34]. At sentencing, the court said there was ‘no evidence that [the offender had] renounced or [was] close to renouncing the beliefs that led [her] to commit this offence’: at [89].</w:t>
      </w:r>
    </w:p>
  </w:footnote>
  <w:footnote w:id="61">
    <w:p w14:paraId="69EA159F" w14:textId="1279D8F8" w:rsidR="004C0661" w:rsidRDefault="004C0661" w:rsidP="00A775DC">
      <w:pPr>
        <w:pStyle w:val="Footnote"/>
      </w:pPr>
      <w:r>
        <w:rPr>
          <w:vertAlign w:val="superscript"/>
        </w:rPr>
        <w:footnoteRef/>
      </w:r>
      <w:r>
        <w:t>.</w:t>
      </w:r>
      <w:r>
        <w:tab/>
      </w:r>
      <w:r>
        <w:rPr>
          <w:rStyle w:val="Italic"/>
        </w:rPr>
        <w:t xml:space="preserve">R v Abbas </w:t>
      </w:r>
      <w:r>
        <w:t>[2018] VSC 553.</w:t>
      </w:r>
    </w:p>
  </w:footnote>
  <w:footnote w:id="62">
    <w:p w14:paraId="134A03C0" w14:textId="65193101" w:rsidR="004C0661" w:rsidRDefault="004C0661" w:rsidP="00A775DC">
      <w:pPr>
        <w:pStyle w:val="Footnote"/>
      </w:pPr>
      <w:r>
        <w:rPr>
          <w:vertAlign w:val="superscript"/>
        </w:rPr>
        <w:footnoteRef/>
      </w:r>
      <w:r>
        <w:t>.</w:t>
      </w:r>
      <w:r>
        <w:tab/>
      </w:r>
      <w:r>
        <w:rPr>
          <w:rStyle w:val="Italic"/>
        </w:rPr>
        <w:t xml:space="preserve">R v Abbas &amp; Ors </w:t>
      </w:r>
      <w:r>
        <w:t xml:space="preserve">[2019] VSC 775. See also </w:t>
      </w:r>
      <w:r>
        <w:rPr>
          <w:rStyle w:val="Italic"/>
        </w:rPr>
        <w:t xml:space="preserve">Chaarani v The King </w:t>
      </w:r>
      <w:r>
        <w:t>[2023] VSCA 275.</w:t>
      </w:r>
    </w:p>
  </w:footnote>
  <w:footnote w:id="63">
    <w:p w14:paraId="2AC86C34" w14:textId="488D0582" w:rsidR="004C0661" w:rsidRDefault="004C0661" w:rsidP="00A775DC">
      <w:pPr>
        <w:pStyle w:val="Footnote"/>
      </w:pPr>
      <w:r>
        <w:rPr>
          <w:vertAlign w:val="superscript"/>
        </w:rPr>
        <w:footnoteRef/>
      </w:r>
      <w:r>
        <w:t>.</w:t>
      </w:r>
      <w:r>
        <w:tab/>
      </w:r>
      <w:r>
        <w:rPr>
          <w:rStyle w:val="Italic"/>
        </w:rPr>
        <w:t xml:space="preserve">R v Mohamed &amp; Ors </w:t>
      </w:r>
      <w:r>
        <w:t xml:space="preserve">[2019] VSC 498 (Chaarani). </w:t>
      </w:r>
    </w:p>
  </w:footnote>
  <w:footnote w:id="64">
    <w:p w14:paraId="24F6B929" w14:textId="0A6E67B3" w:rsidR="004C0661" w:rsidRDefault="004C0661" w:rsidP="00A775DC">
      <w:pPr>
        <w:pStyle w:val="Footnote"/>
      </w:pPr>
      <w:r>
        <w:rPr>
          <w:vertAlign w:val="superscript"/>
        </w:rPr>
        <w:footnoteRef/>
      </w:r>
      <w:r>
        <w:t>.</w:t>
      </w:r>
      <w:r>
        <w:tab/>
      </w:r>
      <w:r>
        <w:rPr>
          <w:rStyle w:val="Italic"/>
        </w:rPr>
        <w:t xml:space="preserve">R v Mohamed &amp; Ors </w:t>
      </w:r>
      <w:r>
        <w:t xml:space="preserve">[2019] VSC 498 (Mohamed). </w:t>
      </w:r>
    </w:p>
  </w:footnote>
  <w:footnote w:id="65">
    <w:p w14:paraId="71E7F4D1" w14:textId="357CA90F" w:rsidR="004C0661" w:rsidRDefault="004C0661" w:rsidP="00A775DC">
      <w:pPr>
        <w:pStyle w:val="Footnote"/>
      </w:pPr>
      <w:r>
        <w:rPr>
          <w:vertAlign w:val="superscript"/>
        </w:rPr>
        <w:footnoteRef/>
      </w:r>
      <w:r>
        <w:t>.</w:t>
      </w:r>
      <w:r>
        <w:tab/>
      </w:r>
      <w:r>
        <w:rPr>
          <w:rStyle w:val="Italic"/>
        </w:rPr>
        <w:t xml:space="preserve">Plaza Lopez v The King </w:t>
      </w:r>
      <w:r>
        <w:t>[2024] VSCA 265.</w:t>
      </w:r>
    </w:p>
  </w:footnote>
  <w:footnote w:id="66">
    <w:p w14:paraId="47133353" w14:textId="146D059A" w:rsidR="004C0661" w:rsidRDefault="004C0661" w:rsidP="00A775DC">
      <w:pPr>
        <w:pStyle w:val="Footnote"/>
      </w:pPr>
      <w:r>
        <w:rPr>
          <w:vertAlign w:val="superscript"/>
        </w:rPr>
        <w:footnoteRef/>
      </w:r>
      <w:r>
        <w:t>.</w:t>
      </w:r>
      <w:r>
        <w:tab/>
      </w:r>
      <w:r>
        <w:rPr>
          <w:rStyle w:val="Italic"/>
        </w:rPr>
        <w:t xml:space="preserve">R v Kunsevitsky </w:t>
      </w:r>
      <w:r>
        <w:t>[2020] VSC 41.</w:t>
      </w:r>
    </w:p>
  </w:footnote>
  <w:footnote w:id="67">
    <w:p w14:paraId="3AADA08F" w14:textId="018CDFA9" w:rsidR="004C0661" w:rsidRDefault="004C0661" w:rsidP="00A775DC">
      <w:pPr>
        <w:pStyle w:val="Footnote"/>
      </w:pPr>
      <w:r>
        <w:rPr>
          <w:vertAlign w:val="superscript"/>
        </w:rPr>
        <w:footnoteRef/>
      </w:r>
      <w:r>
        <w:t>.</w:t>
      </w:r>
      <w:r>
        <w:tab/>
      </w:r>
      <w:r>
        <w:rPr>
          <w:rStyle w:val="Italic"/>
        </w:rPr>
        <w:t xml:space="preserve">Crimes Act 1914 </w:t>
      </w:r>
      <w:r>
        <w:t>(</w:t>
      </w:r>
      <w:proofErr w:type="spellStart"/>
      <w:r>
        <w:t>Cth</w:t>
      </w:r>
      <w:proofErr w:type="spellEnd"/>
      <w:r>
        <w:t xml:space="preserve">) s 16AAA. There are also minimum sentences for second or subsequent convictions of certain offences: </w:t>
      </w:r>
      <w:r>
        <w:rPr>
          <w:rStyle w:val="Italic"/>
        </w:rPr>
        <w:t xml:space="preserve">Crimes Act 1914 </w:t>
      </w:r>
      <w:r>
        <w:t>(</w:t>
      </w:r>
      <w:proofErr w:type="spellStart"/>
      <w:r>
        <w:t>Cth</w:t>
      </w:r>
      <w:proofErr w:type="spellEnd"/>
      <w:r>
        <w:t>) s 16AAB. However, as this report does not include an analysis of offenders’ criminal histories, it was not possible to determine whether these minimums applied to any offences sentenced during the reference period.</w:t>
      </w:r>
    </w:p>
  </w:footnote>
  <w:footnote w:id="68">
    <w:p w14:paraId="2F5659A6" w14:textId="21C0EE90" w:rsidR="004C0661" w:rsidRDefault="004C0661" w:rsidP="00A775DC">
      <w:pPr>
        <w:pStyle w:val="Footnote"/>
      </w:pPr>
      <w:r>
        <w:rPr>
          <w:vertAlign w:val="superscript"/>
        </w:rPr>
        <w:footnoteRef/>
      </w:r>
      <w:r>
        <w:t>.</w:t>
      </w:r>
      <w:r>
        <w:tab/>
      </w:r>
      <w:r>
        <w:rPr>
          <w:rStyle w:val="Italic"/>
        </w:rPr>
        <w:t xml:space="preserve">Crimes Act 1914 </w:t>
      </w:r>
      <w:r>
        <w:t>(</w:t>
      </w:r>
      <w:proofErr w:type="spellStart"/>
      <w:r>
        <w:t>Cth</w:t>
      </w:r>
      <w:proofErr w:type="spellEnd"/>
      <w:r>
        <w:t>) s 16AAC.</w:t>
      </w:r>
    </w:p>
  </w:footnote>
  <w:footnote w:id="69">
    <w:p w14:paraId="62EC6FB9" w14:textId="4CDBA7CB" w:rsidR="004C0661" w:rsidRDefault="004C0661" w:rsidP="00A775DC">
      <w:pPr>
        <w:pStyle w:val="Footnote"/>
      </w:pPr>
      <w:r>
        <w:rPr>
          <w:vertAlign w:val="superscript"/>
        </w:rPr>
        <w:footnoteRef/>
      </w:r>
      <w:r>
        <w:t>.</w:t>
      </w:r>
      <w:r>
        <w:tab/>
        <w:t xml:space="preserve">See, for example, </w:t>
      </w:r>
      <w:r>
        <w:rPr>
          <w:rStyle w:val="Italic"/>
        </w:rPr>
        <w:t>DPP (</w:t>
      </w:r>
      <w:proofErr w:type="spellStart"/>
      <w:r>
        <w:rPr>
          <w:rStyle w:val="Italic"/>
        </w:rPr>
        <w:t>Cth</w:t>
      </w:r>
      <w:proofErr w:type="spellEnd"/>
      <w:r>
        <w:rPr>
          <w:rStyle w:val="Italic"/>
        </w:rPr>
        <w:t xml:space="preserve">) v </w:t>
      </w:r>
      <w:proofErr w:type="spellStart"/>
      <w:r>
        <w:rPr>
          <w:rStyle w:val="Italic"/>
        </w:rPr>
        <w:t>Rivo</w:t>
      </w:r>
      <w:proofErr w:type="spellEnd"/>
      <w:r>
        <w:rPr>
          <w:rStyle w:val="Italic"/>
        </w:rPr>
        <w:t xml:space="preserve"> </w:t>
      </w:r>
      <w:r>
        <w:t xml:space="preserve">[2021] VCC 1799; </w:t>
      </w:r>
      <w:r>
        <w:rPr>
          <w:rStyle w:val="Italic"/>
        </w:rPr>
        <w:t xml:space="preserve">R v Kunsevitsky </w:t>
      </w:r>
      <w:r>
        <w:t xml:space="preserve">[2020] VSC 41; </w:t>
      </w:r>
      <w:r>
        <w:rPr>
          <w:rStyle w:val="Italic"/>
        </w:rPr>
        <w:t>DPP (</w:t>
      </w:r>
      <w:proofErr w:type="spellStart"/>
      <w:r>
        <w:rPr>
          <w:rStyle w:val="Italic"/>
        </w:rPr>
        <w:t>Cth</w:t>
      </w:r>
      <w:proofErr w:type="spellEnd"/>
      <w:r>
        <w:rPr>
          <w:rStyle w:val="Italic"/>
        </w:rPr>
        <w:t xml:space="preserve">) v Cooper </w:t>
      </w:r>
      <w:r>
        <w:t xml:space="preserve">[2021] VCC 1515; </w:t>
      </w:r>
      <w:r>
        <w:rPr>
          <w:rStyle w:val="Italic"/>
        </w:rPr>
        <w:t>DPP (</w:t>
      </w:r>
      <w:proofErr w:type="spellStart"/>
      <w:r>
        <w:rPr>
          <w:rStyle w:val="Italic"/>
        </w:rPr>
        <w:t>Cth</w:t>
      </w:r>
      <w:proofErr w:type="spellEnd"/>
      <w:r>
        <w:rPr>
          <w:rStyle w:val="Italic"/>
        </w:rPr>
        <w:t xml:space="preserve">) v McLaren </w:t>
      </w:r>
      <w:r>
        <w:t xml:space="preserve">[2023] VCC 296; </w:t>
      </w:r>
      <w:r>
        <w:rPr>
          <w:rStyle w:val="Italic"/>
        </w:rPr>
        <w:t>DPP (</w:t>
      </w:r>
      <w:proofErr w:type="spellStart"/>
      <w:r>
        <w:rPr>
          <w:rStyle w:val="Italic"/>
        </w:rPr>
        <w:t>Cth</w:t>
      </w:r>
      <w:proofErr w:type="spellEnd"/>
      <w:r>
        <w:rPr>
          <w:rStyle w:val="Italic"/>
        </w:rPr>
        <w:t xml:space="preserve">) v Dierickx </w:t>
      </w:r>
      <w:r>
        <w:t xml:space="preserve">[2022] VCC 928. This is consistent with the findings of a recent statutory review, that more than 80% of relevant offences sentenced in each of the three years to 30 June 2023 did not attract the presumptive minimum sentence: Commonwealth Attorney-General’s Department, </w:t>
      </w:r>
      <w:r>
        <w:rPr>
          <w:rStyle w:val="Italic"/>
        </w:rPr>
        <w:t xml:space="preserve">Statutory Review of Sentencing for Commonwealth Child Sex Offences </w:t>
      </w:r>
      <w:r>
        <w:t>(2024) 27–28.</w:t>
      </w:r>
    </w:p>
  </w:footnote>
  <w:footnote w:id="70">
    <w:p w14:paraId="0D085FEF" w14:textId="1599EB11" w:rsidR="004C0661" w:rsidRDefault="004C0661" w:rsidP="00A775DC">
      <w:pPr>
        <w:pStyle w:val="Footnote"/>
      </w:pPr>
      <w:r>
        <w:rPr>
          <w:vertAlign w:val="superscript"/>
        </w:rPr>
        <w:footnoteRef/>
      </w:r>
      <w:r>
        <w:t>.</w:t>
      </w:r>
      <w:r>
        <w:tab/>
        <w:t xml:space="preserve">The sentence for the offence attracting the presumptive minimum sentence in this case was overturned on appeal following the High Court’s judgment in </w:t>
      </w:r>
      <w:r>
        <w:rPr>
          <w:rStyle w:val="Italic"/>
        </w:rPr>
        <w:t xml:space="preserve">Hurt &amp; Anor v The King </w:t>
      </w:r>
      <w:r>
        <w:t xml:space="preserve">[2024] HCA 8: </w:t>
      </w:r>
      <w:r>
        <w:rPr>
          <w:rStyle w:val="Italic"/>
        </w:rPr>
        <w:t xml:space="preserve">Trinh v The King </w:t>
      </w:r>
      <w:r>
        <w:t>[2024] VSCA 61. The sentence shown in Table 5 reflects the sentence imposed after resentencing, not the sentence at first instance (which was 6 years and 6 months).</w:t>
      </w:r>
    </w:p>
  </w:footnote>
  <w:footnote w:id="71">
    <w:p w14:paraId="7C13EEF9" w14:textId="69D11830" w:rsidR="004C0661" w:rsidRDefault="004C0661" w:rsidP="00A775DC">
      <w:pPr>
        <w:pStyle w:val="Footnote"/>
      </w:pPr>
      <w:r>
        <w:rPr>
          <w:vertAlign w:val="superscript"/>
        </w:rPr>
        <w:footnoteRef/>
      </w:r>
      <w:r>
        <w:t>.</w:t>
      </w:r>
      <w:r>
        <w:tab/>
        <w:t xml:space="preserve">The sentence for the offence attracting the presumptive minimum sentence in this case was upheld on appeal: </w:t>
      </w:r>
      <w:r>
        <w:rPr>
          <w:rStyle w:val="Italic"/>
        </w:rPr>
        <w:t xml:space="preserve">ABC (a pseudonym) v The King </w:t>
      </w:r>
      <w:r>
        <w:t>[2023] VSCA 280.</w:t>
      </w:r>
    </w:p>
  </w:footnote>
  <w:footnote w:id="72">
    <w:p w14:paraId="2A8EDD36" w14:textId="5BB5D59F" w:rsidR="004C0661" w:rsidRPr="00A775DC" w:rsidRDefault="004C0661" w:rsidP="00A775DC">
      <w:pPr>
        <w:pStyle w:val="Footnote"/>
        <w:rPr>
          <w:spacing w:val="-4"/>
        </w:rPr>
      </w:pPr>
      <w:r>
        <w:rPr>
          <w:vertAlign w:val="superscript"/>
        </w:rPr>
        <w:footnoteRef/>
      </w:r>
      <w:r>
        <w:t>.</w:t>
      </w:r>
      <w:r>
        <w:rPr>
          <w:spacing w:val="-2"/>
        </w:rPr>
        <w:tab/>
        <w:t xml:space="preserve">See, for example, </w:t>
      </w:r>
      <w:r>
        <w:rPr>
          <w:rStyle w:val="Italic"/>
          <w:spacing w:val="-2"/>
        </w:rPr>
        <w:t>DPP (</w:t>
      </w:r>
      <w:proofErr w:type="spellStart"/>
      <w:r>
        <w:rPr>
          <w:rStyle w:val="Italic"/>
          <w:spacing w:val="-2"/>
        </w:rPr>
        <w:t>Cth</w:t>
      </w:r>
      <w:proofErr w:type="spellEnd"/>
      <w:r>
        <w:rPr>
          <w:rStyle w:val="Italic"/>
          <w:spacing w:val="-2"/>
        </w:rPr>
        <w:t xml:space="preserve">) v Huerta (a pseudonym) </w:t>
      </w:r>
      <w:r>
        <w:rPr>
          <w:spacing w:val="-2"/>
        </w:rPr>
        <w:t xml:space="preserve">[2024] VCC 1511; </w:t>
      </w:r>
      <w:r>
        <w:rPr>
          <w:rStyle w:val="Italic"/>
          <w:spacing w:val="-2"/>
        </w:rPr>
        <w:t xml:space="preserve">DPP v Hulsman </w:t>
      </w:r>
      <w:r>
        <w:rPr>
          <w:spacing w:val="-2"/>
        </w:rPr>
        <w:t xml:space="preserve">[2024] VCC 1466 </w:t>
      </w:r>
      <w:r>
        <w:rPr>
          <w:spacing w:val="-7"/>
        </w:rPr>
        <w:t xml:space="preserve">(unsuccessfully appealed in </w:t>
      </w:r>
      <w:r>
        <w:rPr>
          <w:rStyle w:val="Italic"/>
          <w:spacing w:val="-7"/>
        </w:rPr>
        <w:t xml:space="preserve">Hulsman v The King </w:t>
      </w:r>
      <w:r>
        <w:rPr>
          <w:spacing w:val="-7"/>
        </w:rPr>
        <w:t xml:space="preserve">[2025] VSCA 63); </w:t>
      </w:r>
      <w:r>
        <w:rPr>
          <w:rStyle w:val="Italic"/>
          <w:spacing w:val="-7"/>
        </w:rPr>
        <w:t>DPP (</w:t>
      </w:r>
      <w:proofErr w:type="spellStart"/>
      <w:r>
        <w:rPr>
          <w:rStyle w:val="Italic"/>
          <w:spacing w:val="-7"/>
        </w:rPr>
        <w:t>Cth</w:t>
      </w:r>
      <w:proofErr w:type="spellEnd"/>
      <w:r>
        <w:rPr>
          <w:rStyle w:val="Italic"/>
          <w:spacing w:val="-7"/>
        </w:rPr>
        <w:t xml:space="preserve">) v Cartledge </w:t>
      </w:r>
      <w:r>
        <w:rPr>
          <w:spacing w:val="-7"/>
        </w:rPr>
        <w:t xml:space="preserve">[2024] VCC 1280; </w:t>
      </w:r>
      <w:r>
        <w:rPr>
          <w:rStyle w:val="Italic"/>
          <w:spacing w:val="-7"/>
        </w:rPr>
        <w:t xml:space="preserve">DPP </w:t>
      </w:r>
      <w:r>
        <w:rPr>
          <w:rStyle w:val="Italic"/>
          <w:spacing w:val="-4"/>
        </w:rPr>
        <w:t>(</w:t>
      </w:r>
      <w:proofErr w:type="spellStart"/>
      <w:r>
        <w:rPr>
          <w:rStyle w:val="Italic"/>
          <w:spacing w:val="-4"/>
        </w:rPr>
        <w:t>Cth</w:t>
      </w:r>
      <w:proofErr w:type="spellEnd"/>
      <w:r>
        <w:rPr>
          <w:rStyle w:val="Italic"/>
          <w:spacing w:val="-4"/>
        </w:rPr>
        <w:t xml:space="preserve">) v Collins </w:t>
      </w:r>
      <w:r>
        <w:rPr>
          <w:spacing w:val="-4"/>
        </w:rPr>
        <w:t xml:space="preserve">[2024] VCC 1050; </w:t>
      </w:r>
      <w:r>
        <w:rPr>
          <w:rStyle w:val="Italic"/>
          <w:spacing w:val="-4"/>
        </w:rPr>
        <w:t>DPP (</w:t>
      </w:r>
      <w:proofErr w:type="spellStart"/>
      <w:r>
        <w:rPr>
          <w:rStyle w:val="Italic"/>
          <w:spacing w:val="-4"/>
        </w:rPr>
        <w:t>Cth</w:t>
      </w:r>
      <w:proofErr w:type="spellEnd"/>
      <w:r>
        <w:rPr>
          <w:rStyle w:val="Italic"/>
          <w:spacing w:val="-4"/>
        </w:rPr>
        <w:t xml:space="preserve">) v Loughnan </w:t>
      </w:r>
      <w:r>
        <w:rPr>
          <w:spacing w:val="-4"/>
        </w:rPr>
        <w:t xml:space="preserve">[2024] VCC 1005; </w:t>
      </w:r>
      <w:r>
        <w:rPr>
          <w:rStyle w:val="Italic"/>
          <w:spacing w:val="-4"/>
        </w:rPr>
        <w:t>DPP (</w:t>
      </w:r>
      <w:proofErr w:type="spellStart"/>
      <w:r>
        <w:rPr>
          <w:rStyle w:val="Italic"/>
          <w:spacing w:val="-4"/>
        </w:rPr>
        <w:t>Cth</w:t>
      </w:r>
      <w:proofErr w:type="spellEnd"/>
      <w:r>
        <w:rPr>
          <w:rStyle w:val="Italic"/>
          <w:spacing w:val="-4"/>
        </w:rPr>
        <w:t xml:space="preserve">) v Willet </w:t>
      </w:r>
      <w:r>
        <w:rPr>
          <w:spacing w:val="-4"/>
        </w:rPr>
        <w:t xml:space="preserve">[2024] VCC 831; </w:t>
      </w:r>
      <w:r>
        <w:rPr>
          <w:rStyle w:val="Italic"/>
          <w:spacing w:val="-4"/>
        </w:rPr>
        <w:t>DPP (</w:t>
      </w:r>
      <w:proofErr w:type="spellStart"/>
      <w:r>
        <w:rPr>
          <w:rStyle w:val="Italic"/>
          <w:spacing w:val="-4"/>
        </w:rPr>
        <w:t>Cth</w:t>
      </w:r>
      <w:proofErr w:type="spellEnd"/>
      <w:r>
        <w:rPr>
          <w:rStyle w:val="Italic"/>
          <w:spacing w:val="-4"/>
        </w:rPr>
        <w:t xml:space="preserve">) v Baird </w:t>
      </w:r>
      <w:r>
        <w:rPr>
          <w:spacing w:val="-4"/>
        </w:rPr>
        <w:t xml:space="preserve">[2024] VCC 827; </w:t>
      </w:r>
      <w:r>
        <w:rPr>
          <w:rStyle w:val="Italic"/>
          <w:spacing w:val="-4"/>
        </w:rPr>
        <w:t>DPP (</w:t>
      </w:r>
      <w:proofErr w:type="spellStart"/>
      <w:r>
        <w:rPr>
          <w:rStyle w:val="Italic"/>
          <w:spacing w:val="-4"/>
        </w:rPr>
        <w:t>Cth</w:t>
      </w:r>
      <w:proofErr w:type="spellEnd"/>
      <w:r>
        <w:rPr>
          <w:rStyle w:val="Italic"/>
          <w:spacing w:val="-4"/>
        </w:rPr>
        <w:t xml:space="preserve">) v Gibson </w:t>
      </w:r>
      <w:r>
        <w:rPr>
          <w:spacing w:val="-4"/>
        </w:rPr>
        <w:t xml:space="preserve">[2024] VCC 65; </w:t>
      </w:r>
      <w:r>
        <w:rPr>
          <w:rStyle w:val="Italic"/>
          <w:spacing w:val="-4"/>
        </w:rPr>
        <w:t>DPP (</w:t>
      </w:r>
      <w:proofErr w:type="spellStart"/>
      <w:r>
        <w:rPr>
          <w:rStyle w:val="Italic"/>
          <w:spacing w:val="-4"/>
        </w:rPr>
        <w:t>Cth</w:t>
      </w:r>
      <w:proofErr w:type="spellEnd"/>
      <w:r>
        <w:rPr>
          <w:rStyle w:val="Italic"/>
          <w:spacing w:val="-4"/>
        </w:rPr>
        <w:t xml:space="preserve">) v Radford </w:t>
      </w:r>
      <w:r>
        <w:rPr>
          <w:spacing w:val="-4"/>
        </w:rPr>
        <w:t>[2023] VCC 1907.</w:t>
      </w:r>
    </w:p>
  </w:footnote>
  <w:footnote w:id="73">
    <w:p w14:paraId="52E0172B" w14:textId="73B0ABA5" w:rsidR="004C0661" w:rsidRDefault="004C0661" w:rsidP="00A775DC">
      <w:pPr>
        <w:pStyle w:val="Footnote"/>
      </w:pPr>
      <w:r>
        <w:rPr>
          <w:vertAlign w:val="superscript"/>
        </w:rPr>
        <w:footnoteRef/>
      </w:r>
      <w:r>
        <w:t>.</w:t>
      </w:r>
      <w:r>
        <w:tab/>
        <w:t>A recent review of these provisions across Australia similarly found that guilty pleas carried the most weight in cases involving discounts under these sections (78% of cases received the full 25% discount), whereas most cases involving cooperation with law enforcement resulted in a 5% discount for that factor: Commonwealth Attorney-General’s Department (2024), above n 69, 30.</w:t>
      </w:r>
    </w:p>
  </w:footnote>
  <w:footnote w:id="74">
    <w:p w14:paraId="7ADF26A6" w14:textId="48FED7FC" w:rsidR="004C0661" w:rsidRDefault="004C0661" w:rsidP="00A775DC">
      <w:pPr>
        <w:pStyle w:val="Footnote"/>
      </w:pPr>
      <w:r>
        <w:rPr>
          <w:vertAlign w:val="superscript"/>
        </w:rPr>
        <w:footnoteRef/>
      </w:r>
      <w:r>
        <w:t>.</w:t>
      </w:r>
      <w:r>
        <w:tab/>
      </w:r>
      <w:r>
        <w:rPr>
          <w:rStyle w:val="Italic"/>
        </w:rPr>
        <w:t xml:space="preserve">Crimes Act 1914 </w:t>
      </w:r>
      <w:r>
        <w:t>(</w:t>
      </w:r>
      <w:proofErr w:type="spellStart"/>
      <w:r>
        <w:t>Cth</w:t>
      </w:r>
      <w:proofErr w:type="spellEnd"/>
      <w:r>
        <w:t>) s 4B(2).</w:t>
      </w:r>
    </w:p>
  </w:footnote>
  <w:footnote w:id="75">
    <w:p w14:paraId="2629A839" w14:textId="5D84C177"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474.17.</w:t>
      </w:r>
    </w:p>
  </w:footnote>
  <w:footnote w:id="76">
    <w:p w14:paraId="295A63A3" w14:textId="633E064E" w:rsidR="004C0661" w:rsidRDefault="004C0661" w:rsidP="00A775DC">
      <w:pPr>
        <w:pStyle w:val="Footnote"/>
      </w:pPr>
      <w:r>
        <w:rPr>
          <w:vertAlign w:val="superscript"/>
        </w:rPr>
        <w:footnoteRef/>
      </w:r>
      <w:r>
        <w:t>.</w:t>
      </w:r>
      <w:r>
        <w:tab/>
      </w:r>
      <w:r>
        <w:rPr>
          <w:rStyle w:val="Italic"/>
        </w:rPr>
        <w:t xml:space="preserve">Crimes Act 1914 </w:t>
      </w:r>
      <w:r>
        <w:t>(</w:t>
      </w:r>
      <w:proofErr w:type="spellStart"/>
      <w:r>
        <w:t>Cth</w:t>
      </w:r>
      <w:proofErr w:type="spellEnd"/>
      <w:r>
        <w:t>) s 4B(3).</w:t>
      </w:r>
    </w:p>
  </w:footnote>
  <w:footnote w:id="77">
    <w:p w14:paraId="0AE88DAC" w14:textId="6EE1B086" w:rsidR="004C0661" w:rsidRDefault="004C0661" w:rsidP="00A775DC">
      <w:pPr>
        <w:pStyle w:val="Footnote"/>
      </w:pPr>
      <w:r>
        <w:rPr>
          <w:vertAlign w:val="superscript"/>
        </w:rPr>
        <w:footnoteRef/>
      </w:r>
      <w:r>
        <w:t>.</w:t>
      </w:r>
      <w:r>
        <w:tab/>
        <w:t xml:space="preserve">It was not possible to clearly identify the fine amounts imposed on remaining offences mainly because it is not possible to identify the level of contribution of each offence when an aggregate fine is imposed. Aggregate sentences, which are single sentences imposed on multiple offences, are relatively common in Victoria: see, for example, Sentencing Advisory Council, </w:t>
      </w:r>
      <w:r>
        <w:rPr>
          <w:rStyle w:val="Italic"/>
        </w:rPr>
        <w:t xml:space="preserve">Aggregate Prison Sentences in Victoria </w:t>
      </w:r>
      <w:r>
        <w:t>(2023) 6.</w:t>
      </w:r>
    </w:p>
  </w:footnote>
  <w:footnote w:id="78">
    <w:p w14:paraId="252CD25F" w14:textId="4DAFDDED" w:rsidR="004C0661" w:rsidRDefault="004C0661" w:rsidP="00A775DC">
      <w:pPr>
        <w:pStyle w:val="Footnote"/>
      </w:pPr>
      <w:r>
        <w:rPr>
          <w:vertAlign w:val="superscript"/>
        </w:rPr>
        <w:footnoteRef/>
      </w:r>
      <w:r>
        <w:t>.</w:t>
      </w:r>
      <w:r>
        <w:tab/>
        <w:t xml:space="preserve">Tyrone Dalton, ‘Bushmaster Maker Thales Australia Fined $450k over Death of Worker Joe Kane’, </w:t>
      </w:r>
      <w:r>
        <w:rPr>
          <w:rStyle w:val="Italic"/>
        </w:rPr>
        <w:t xml:space="preserve">ABC News </w:t>
      </w:r>
      <w:r>
        <w:t>(2 June 2023).</w:t>
      </w:r>
    </w:p>
  </w:footnote>
  <w:footnote w:id="79">
    <w:p w14:paraId="6DAF9708" w14:textId="77B3F44B" w:rsidR="004C0661" w:rsidRDefault="004C0661" w:rsidP="00A775DC">
      <w:pPr>
        <w:pStyle w:val="Footnote"/>
      </w:pPr>
      <w:r>
        <w:rPr>
          <w:vertAlign w:val="superscript"/>
        </w:rPr>
        <w:footnoteRef/>
      </w:r>
      <w:r>
        <w:t>.</w:t>
      </w:r>
      <w:r>
        <w:tab/>
      </w:r>
      <w:r>
        <w:rPr>
          <w:rStyle w:val="Italic"/>
        </w:rPr>
        <w:t xml:space="preserve">R v </w:t>
      </w:r>
      <w:proofErr w:type="spellStart"/>
      <w:r>
        <w:rPr>
          <w:rStyle w:val="Italic"/>
        </w:rPr>
        <w:t>Avanteos</w:t>
      </w:r>
      <w:proofErr w:type="spellEnd"/>
      <w:r>
        <w:rPr>
          <w:rStyle w:val="Italic"/>
        </w:rPr>
        <w:t xml:space="preserve"> Investments Ltd </w:t>
      </w:r>
      <w:r>
        <w:t xml:space="preserve">[2022] VCC 869. </w:t>
      </w:r>
    </w:p>
  </w:footnote>
  <w:footnote w:id="80">
    <w:p w14:paraId="70756FEB" w14:textId="21C0ACDA" w:rsidR="004C0661" w:rsidRDefault="004C0661" w:rsidP="00A775DC">
      <w:pPr>
        <w:pStyle w:val="Footnote"/>
      </w:pPr>
      <w:r>
        <w:rPr>
          <w:vertAlign w:val="superscript"/>
        </w:rPr>
        <w:footnoteRef/>
      </w:r>
      <w:r>
        <w:t>.</w:t>
      </w:r>
      <w:r>
        <w:tab/>
      </w:r>
      <w:r>
        <w:rPr>
          <w:rStyle w:val="Italic"/>
        </w:rPr>
        <w:t xml:space="preserve">Corporations Act 2001 </w:t>
      </w:r>
      <w:r>
        <w:t>(</w:t>
      </w:r>
      <w:proofErr w:type="spellStart"/>
      <w:r>
        <w:t>Cth</w:t>
      </w:r>
      <w:proofErr w:type="spellEnd"/>
      <w:r>
        <w:t xml:space="preserve">) s 1021J. </w:t>
      </w:r>
    </w:p>
  </w:footnote>
  <w:footnote w:id="81">
    <w:p w14:paraId="74CF9186" w14:textId="34E71FEE"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Kit </w:t>
      </w:r>
      <w:r>
        <w:t>[2021] VCC 421.</w:t>
      </w:r>
    </w:p>
  </w:footnote>
  <w:footnote w:id="82">
    <w:p w14:paraId="7F231B9B" w14:textId="37A44B3C" w:rsidR="004C0661" w:rsidRDefault="004C0661" w:rsidP="00A775DC">
      <w:pPr>
        <w:pStyle w:val="Footnote"/>
      </w:pPr>
      <w:r>
        <w:rPr>
          <w:vertAlign w:val="superscript"/>
        </w:rPr>
        <w:footnoteRef/>
      </w:r>
      <w:r>
        <w:t>.</w:t>
      </w:r>
      <w:r>
        <w:tab/>
      </w:r>
      <w:r>
        <w:rPr>
          <w:rStyle w:val="Italic"/>
        </w:rPr>
        <w:t xml:space="preserve">Migration Act 1958 </w:t>
      </w:r>
      <w:r>
        <w:t>(</w:t>
      </w:r>
      <w:proofErr w:type="spellStart"/>
      <w:r>
        <w:t>Cth</w:t>
      </w:r>
      <w:proofErr w:type="spellEnd"/>
      <w:r>
        <w:t xml:space="preserve">) s 245AB. </w:t>
      </w:r>
    </w:p>
  </w:footnote>
  <w:footnote w:id="83">
    <w:p w14:paraId="3B254FBF" w14:textId="03C5002C"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Kawecki </w:t>
      </w:r>
      <w:r>
        <w:t>[2020] VCC 1751. The sentencing judge opined that ‘[t]his may be the first prosecution under [that provision]’: at [48].</w:t>
      </w:r>
    </w:p>
  </w:footnote>
  <w:footnote w:id="84">
    <w:p w14:paraId="0E9D9FFE" w14:textId="2C84F558" w:rsidR="004C0661" w:rsidRDefault="004C0661" w:rsidP="00A775DC">
      <w:pPr>
        <w:pStyle w:val="Footnote"/>
      </w:pPr>
      <w:r>
        <w:rPr>
          <w:vertAlign w:val="superscript"/>
        </w:rPr>
        <w:footnoteRef/>
      </w:r>
      <w:r>
        <w:t>.</w:t>
      </w:r>
      <w:r>
        <w:tab/>
      </w:r>
      <w:r>
        <w:rPr>
          <w:rStyle w:val="Italic"/>
        </w:rPr>
        <w:t xml:space="preserve">Corporations Act 2001 </w:t>
      </w:r>
      <w:r>
        <w:t>(</w:t>
      </w:r>
      <w:proofErr w:type="spellStart"/>
      <w:r>
        <w:t>Cth</w:t>
      </w:r>
      <w:proofErr w:type="spellEnd"/>
      <w:r>
        <w:t>) s 1041G.</w:t>
      </w:r>
    </w:p>
  </w:footnote>
  <w:footnote w:id="85">
    <w:p w14:paraId="00607207" w14:textId="5EA9A0A6" w:rsidR="004C0661" w:rsidRDefault="004C0661" w:rsidP="00A775DC">
      <w:pPr>
        <w:pStyle w:val="Footnote"/>
      </w:pPr>
      <w:r>
        <w:rPr>
          <w:vertAlign w:val="superscript"/>
        </w:rPr>
        <w:footnoteRef/>
      </w:r>
      <w:r>
        <w:t>.</w:t>
      </w:r>
      <w:r>
        <w:tab/>
      </w:r>
      <w:r>
        <w:rPr>
          <w:rStyle w:val="Italic"/>
        </w:rPr>
        <w:t xml:space="preserve">Customs Act 1901 </w:t>
      </w:r>
      <w:r>
        <w:t>(</w:t>
      </w:r>
      <w:proofErr w:type="spellStart"/>
      <w:r>
        <w:t>Cth</w:t>
      </w:r>
      <w:proofErr w:type="spellEnd"/>
      <w:r>
        <w:t xml:space="preserve">) s 234(1)(a). For this offence, the maximum fine is tied to the value of the duty evaded. </w:t>
      </w:r>
    </w:p>
  </w:footnote>
  <w:footnote w:id="86">
    <w:p w14:paraId="06B7DBC5" w14:textId="3AEE2FB9" w:rsidR="004C0661" w:rsidRDefault="004C0661" w:rsidP="00A775DC">
      <w:pPr>
        <w:pStyle w:val="Footnote"/>
      </w:pPr>
      <w:r>
        <w:rPr>
          <w:vertAlign w:val="superscript"/>
        </w:rPr>
        <w:footnoteRef/>
      </w:r>
      <w:r>
        <w:t>.</w:t>
      </w:r>
      <w:r>
        <w:tab/>
      </w:r>
      <w:r>
        <w:rPr>
          <w:rStyle w:val="Italic"/>
        </w:rPr>
        <w:t xml:space="preserve">Customs Act 1901 </w:t>
      </w:r>
      <w:r>
        <w:t>(</w:t>
      </w:r>
      <w:proofErr w:type="spellStart"/>
      <w:r>
        <w:t>Cth</w:t>
      </w:r>
      <w:proofErr w:type="spellEnd"/>
      <w:r>
        <w:t xml:space="preserve">) s 233BAB(5). </w:t>
      </w:r>
    </w:p>
  </w:footnote>
  <w:footnote w:id="87">
    <w:p w14:paraId="274317ED" w14:textId="607D1DD4" w:rsidR="004C0661" w:rsidRDefault="004C0661" w:rsidP="00A775DC">
      <w:pPr>
        <w:pStyle w:val="Footnote"/>
      </w:pPr>
      <w:r>
        <w:rPr>
          <w:vertAlign w:val="superscript"/>
        </w:rPr>
        <w:footnoteRef/>
      </w:r>
      <w:r>
        <w:t>.</w:t>
      </w:r>
      <w:r>
        <w:tab/>
      </w:r>
      <w:r>
        <w:rPr>
          <w:rStyle w:val="Italic"/>
        </w:rPr>
        <w:t xml:space="preserve">Customs Act 1901 </w:t>
      </w:r>
      <w:r>
        <w:t>(</w:t>
      </w:r>
      <w:proofErr w:type="spellStart"/>
      <w:r>
        <w:t>Cth</w:t>
      </w:r>
      <w:proofErr w:type="spellEnd"/>
      <w:r>
        <w:t xml:space="preserve">) s 233(1)(b). </w:t>
      </w:r>
    </w:p>
  </w:footnote>
  <w:footnote w:id="88">
    <w:p w14:paraId="29649879" w14:textId="0C8EE1E7" w:rsidR="004C0661" w:rsidRDefault="004C0661" w:rsidP="00A775DC">
      <w:pPr>
        <w:pStyle w:val="Footnote"/>
      </w:pPr>
      <w:r>
        <w:rPr>
          <w:vertAlign w:val="superscript"/>
        </w:rPr>
        <w:footnoteRef/>
      </w:r>
      <w:r>
        <w:t>.</w:t>
      </w:r>
      <w:r>
        <w:tab/>
      </w:r>
      <w:r>
        <w:rPr>
          <w:rStyle w:val="Italic"/>
        </w:rPr>
        <w:t xml:space="preserve">Customs Act 1901 </w:t>
      </w:r>
      <w:r>
        <w:t>(</w:t>
      </w:r>
      <w:proofErr w:type="spellStart"/>
      <w:r>
        <w:t>Cth</w:t>
      </w:r>
      <w:proofErr w:type="spellEnd"/>
      <w:r>
        <w:t xml:space="preserve">) s 233(1)(a). </w:t>
      </w:r>
    </w:p>
  </w:footnote>
  <w:footnote w:id="89">
    <w:p w14:paraId="362AA119" w14:textId="76072E79"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400.9(1).</w:t>
      </w:r>
    </w:p>
  </w:footnote>
  <w:footnote w:id="90">
    <w:p w14:paraId="06B8096D" w14:textId="3D0EA61B" w:rsidR="004C0661" w:rsidRDefault="004C0661" w:rsidP="00A775DC">
      <w:pPr>
        <w:pStyle w:val="Footnote"/>
      </w:pPr>
      <w:r>
        <w:rPr>
          <w:vertAlign w:val="superscript"/>
        </w:rPr>
        <w:footnoteRef/>
      </w:r>
      <w:r>
        <w:t>.</w:t>
      </w:r>
      <w:r>
        <w:tab/>
      </w:r>
      <w:r>
        <w:rPr>
          <w:rStyle w:val="Italic"/>
        </w:rPr>
        <w:t xml:space="preserve">Work Health and Safety Act 2011 </w:t>
      </w:r>
      <w:r>
        <w:t>(</w:t>
      </w:r>
      <w:proofErr w:type="spellStart"/>
      <w:r>
        <w:t>Cth</w:t>
      </w:r>
      <w:proofErr w:type="spellEnd"/>
      <w:r>
        <w:t xml:space="preserve">) s 32. </w:t>
      </w:r>
    </w:p>
  </w:footnote>
  <w:footnote w:id="91">
    <w:p w14:paraId="2129F429" w14:textId="2B60D66C"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w:t>
      </w:r>
      <w:proofErr w:type="spellStart"/>
      <w:r>
        <w:rPr>
          <w:rStyle w:val="Italic"/>
        </w:rPr>
        <w:t>Ballintine</w:t>
      </w:r>
      <w:proofErr w:type="spellEnd"/>
      <w:r>
        <w:rPr>
          <w:rStyle w:val="Italic"/>
        </w:rPr>
        <w:t xml:space="preserve"> &amp; Anor </w:t>
      </w:r>
      <w:r>
        <w:t>[2020] VCC 211 (the co-offender received an aggregate fine of $7,500).</w:t>
      </w:r>
    </w:p>
  </w:footnote>
  <w:footnote w:id="92">
    <w:p w14:paraId="4FFAAD70" w14:textId="7827D69A" w:rsidR="004C0661" w:rsidRDefault="004C0661" w:rsidP="00A775DC">
      <w:pPr>
        <w:pStyle w:val="Footnote"/>
      </w:pPr>
      <w:r>
        <w:rPr>
          <w:vertAlign w:val="superscript"/>
        </w:rPr>
        <w:footnoteRef/>
      </w:r>
      <w:r>
        <w:t>.</w:t>
      </w:r>
      <w:r>
        <w:tab/>
      </w:r>
      <w:r>
        <w:rPr>
          <w:rStyle w:val="Italic"/>
        </w:rPr>
        <w:t xml:space="preserve">Corporations Act 2001 </w:t>
      </w:r>
      <w:r>
        <w:t>(</w:t>
      </w:r>
      <w:proofErr w:type="spellStart"/>
      <w:r>
        <w:t>Cth</w:t>
      </w:r>
      <w:proofErr w:type="spellEnd"/>
      <w:r>
        <w:t>) s 1308(1).</w:t>
      </w:r>
    </w:p>
  </w:footnote>
  <w:footnote w:id="93">
    <w:p w14:paraId="4A73479D" w14:textId="687F568A"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474.22(1)(a).</w:t>
      </w:r>
    </w:p>
  </w:footnote>
  <w:footnote w:id="94">
    <w:p w14:paraId="65D54A95" w14:textId="0DC5634E"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474.22A.</w:t>
      </w:r>
    </w:p>
  </w:footnote>
  <w:footnote w:id="95">
    <w:p w14:paraId="52336997" w14:textId="50815C79"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131.1(1).</w:t>
      </w:r>
    </w:p>
  </w:footnote>
  <w:footnote w:id="96">
    <w:p w14:paraId="1502D38F" w14:textId="4EAFFCC8"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474.17.</w:t>
      </w:r>
    </w:p>
  </w:footnote>
  <w:footnote w:id="97">
    <w:p w14:paraId="092E51DC" w14:textId="5C8AAA31" w:rsidR="004C0661" w:rsidRDefault="004C0661" w:rsidP="00A775DC">
      <w:pPr>
        <w:pStyle w:val="Footnote"/>
      </w:pPr>
      <w:r>
        <w:rPr>
          <w:vertAlign w:val="superscript"/>
        </w:rPr>
        <w:footnoteRef/>
      </w:r>
      <w:r>
        <w:t>.</w:t>
      </w:r>
      <w:r>
        <w:tab/>
        <w:t xml:space="preserve">The remaining 269 prison sentences imposed for this offence </w:t>
      </w:r>
      <w:r>
        <w:rPr>
          <w:rStyle w:val="Italic"/>
        </w:rPr>
        <w:t xml:space="preserve">were </w:t>
      </w:r>
      <w:r>
        <w:t>part of an aggregate prison sentence imposed on multiple offences.</w:t>
      </w:r>
    </w:p>
  </w:footnote>
  <w:footnote w:id="98">
    <w:p w14:paraId="190909AD" w14:textId="52387FC6" w:rsidR="004C0661" w:rsidRDefault="004C0661" w:rsidP="00A775DC">
      <w:pPr>
        <w:pStyle w:val="Footnote"/>
      </w:pPr>
      <w:r>
        <w:rPr>
          <w:vertAlign w:val="superscript"/>
        </w:rPr>
        <w:footnoteRef/>
      </w:r>
      <w:r>
        <w:t>.</w:t>
      </w:r>
      <w:r>
        <w:tab/>
        <w:t xml:space="preserve">Legal and Constitutional Affairs References Committee, </w:t>
      </w:r>
      <w:r>
        <w:rPr>
          <w:rStyle w:val="Italic"/>
        </w:rPr>
        <w:t xml:space="preserve">Adequacy of Existing Offences in the Commonwealth Criminal Code and of State and Territory Criminal Laws to Capture Cyberbullying </w:t>
      </w:r>
      <w:r>
        <w:t>(2018) 61 (Recommendation 5).</w:t>
      </w:r>
    </w:p>
  </w:footnote>
  <w:footnote w:id="99">
    <w:p w14:paraId="415053C9" w14:textId="640C9838" w:rsidR="004C0661" w:rsidRDefault="004C0661" w:rsidP="00A775DC">
      <w:pPr>
        <w:pStyle w:val="Footnote"/>
      </w:pPr>
      <w:r>
        <w:rPr>
          <w:vertAlign w:val="superscript"/>
        </w:rPr>
        <w:footnoteRef/>
      </w:r>
      <w:r>
        <w:t>.</w:t>
      </w:r>
      <w:r>
        <w:tab/>
      </w:r>
      <w:r>
        <w:rPr>
          <w:rStyle w:val="Italic"/>
        </w:rPr>
        <w:t xml:space="preserve">Online Safety (Transitional Provisions and Consequential Amendments) Act 2021 </w:t>
      </w:r>
      <w:r>
        <w:t>(</w:t>
      </w:r>
      <w:proofErr w:type="spellStart"/>
      <w:r>
        <w:t>Cth</w:t>
      </w:r>
      <w:proofErr w:type="spellEnd"/>
      <w:r>
        <w:t>) sch 2 cl 64.</w:t>
      </w:r>
    </w:p>
  </w:footnote>
  <w:footnote w:id="100">
    <w:p w14:paraId="5E22BEE2" w14:textId="782FFD12" w:rsidR="004C0661" w:rsidRDefault="004C0661" w:rsidP="00A775DC">
      <w:pPr>
        <w:pStyle w:val="Footnote"/>
      </w:pPr>
      <w:r>
        <w:rPr>
          <w:vertAlign w:val="superscript"/>
        </w:rPr>
        <w:footnoteRef/>
      </w:r>
      <w:r>
        <w:t>.</w:t>
      </w:r>
      <w:r>
        <w:tab/>
      </w:r>
      <w:r>
        <w:rPr>
          <w:rStyle w:val="Italic"/>
        </w:rPr>
        <w:t xml:space="preserve">DPP v Cooper </w:t>
      </w:r>
      <w:r>
        <w:t>[2018] VCC 2134.</w:t>
      </w:r>
    </w:p>
  </w:footnote>
  <w:footnote w:id="101">
    <w:p w14:paraId="3F55F064" w14:textId="67EFDE4C"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Uppiah </w:t>
      </w:r>
      <w:r>
        <w:t>[2019] VCC 1324.</w:t>
      </w:r>
    </w:p>
  </w:footnote>
  <w:footnote w:id="102">
    <w:p w14:paraId="52137780" w14:textId="5CD4B9FC" w:rsidR="004C0661" w:rsidRDefault="004C0661" w:rsidP="00A775DC">
      <w:pPr>
        <w:pStyle w:val="Footnote"/>
      </w:pPr>
      <w:r>
        <w:rPr>
          <w:vertAlign w:val="superscript"/>
        </w:rPr>
        <w:footnoteRef/>
      </w:r>
      <w:r>
        <w:t>.</w:t>
      </w:r>
      <w:r>
        <w:tab/>
      </w:r>
      <w:proofErr w:type="spellStart"/>
      <w:r>
        <w:rPr>
          <w:rStyle w:val="Italic"/>
        </w:rPr>
        <w:t>Worboyes</w:t>
      </w:r>
      <w:proofErr w:type="spellEnd"/>
      <w:r>
        <w:rPr>
          <w:rStyle w:val="Italic"/>
        </w:rPr>
        <w:t xml:space="preserve"> v The Queen </w:t>
      </w:r>
      <w:r>
        <w:t>[2021] VSCA 169.</w:t>
      </w:r>
    </w:p>
  </w:footnote>
  <w:footnote w:id="103">
    <w:p w14:paraId="50E4E8B5" w14:textId="5036AE97" w:rsidR="004C0661" w:rsidRDefault="004C0661" w:rsidP="00A775DC">
      <w:pPr>
        <w:pStyle w:val="Footnote"/>
      </w:pPr>
      <w:r>
        <w:rPr>
          <w:vertAlign w:val="superscript"/>
        </w:rPr>
        <w:footnoteRef/>
      </w:r>
      <w:r>
        <w:t>.</w:t>
      </w:r>
      <w:r>
        <w:tab/>
        <w:t xml:space="preserve">See, for example, Sentencing Advisory Council, </w:t>
      </w:r>
      <w:r>
        <w:rPr>
          <w:rStyle w:val="Italic"/>
        </w:rPr>
        <w:t xml:space="preserve">Assessing the Impact of Inflation and Penalty Unit Indexation on Fine Amounts in Victoria </w:t>
      </w:r>
      <w:r>
        <w:t xml:space="preserve">(2024) 25–27 (failing to register a cat or dog), 29–31 (driving while suspended); Sentencing Advisory Council, </w:t>
      </w:r>
      <w:r>
        <w:rPr>
          <w:rStyle w:val="Italic"/>
        </w:rPr>
        <w:t xml:space="preserve">Major Driving Offences: Current Sentencing Practices </w:t>
      </w:r>
      <w:r>
        <w:t xml:space="preserve">(2015) 46–47 (dangerous driving causing death). </w:t>
      </w:r>
    </w:p>
  </w:footnote>
  <w:footnote w:id="104">
    <w:p w14:paraId="02DAB34F" w14:textId="754AC363" w:rsidR="004C0661" w:rsidRDefault="004C0661" w:rsidP="00A775DC">
      <w:pPr>
        <w:pStyle w:val="Footnote"/>
      </w:pPr>
      <w:r>
        <w:rPr>
          <w:vertAlign w:val="superscript"/>
        </w:rPr>
        <w:footnoteRef/>
      </w:r>
      <w:r>
        <w:t>.</w:t>
      </w:r>
      <w:r>
        <w:tab/>
        <w:t xml:space="preserve">Australian Law Reform Commission and New South Wales Law Reform Commission, </w:t>
      </w:r>
      <w:r>
        <w:rPr>
          <w:rStyle w:val="Italic"/>
        </w:rPr>
        <w:t>Family Violence – A National Legal Response</w:t>
      </w:r>
      <w:r>
        <w:t>, ALRC Report 114 (2010) 347.</w:t>
      </w:r>
    </w:p>
  </w:footnote>
  <w:footnote w:id="105">
    <w:p w14:paraId="5771475E" w14:textId="60C4B46E" w:rsidR="004C0661" w:rsidRDefault="004C0661" w:rsidP="00A775DC">
      <w:pPr>
        <w:pStyle w:val="Footnote"/>
      </w:pPr>
      <w:r>
        <w:rPr>
          <w:vertAlign w:val="superscript"/>
        </w:rPr>
        <w:footnoteRef/>
      </w:r>
      <w:r>
        <w:t>.</w:t>
      </w:r>
      <w:r>
        <w:tab/>
        <w:t xml:space="preserve">Ibid 347–348, citing Clare Ringland and Jacqueline Fitzgerald, </w:t>
      </w:r>
      <w:r>
        <w:rPr>
          <w:rStyle w:val="Italic"/>
        </w:rPr>
        <w:t>Factors Which Influence the Sentencing of Domestic Violence Offenders</w:t>
      </w:r>
      <w:r>
        <w:t>, Issue Paper no. 48 (2010) 11.</w:t>
      </w:r>
    </w:p>
  </w:footnote>
  <w:footnote w:id="106">
    <w:p w14:paraId="36DCA18E" w14:textId="44D9B450" w:rsidR="004C0661" w:rsidRDefault="004C0661" w:rsidP="00A775DC">
      <w:pPr>
        <w:pStyle w:val="Footnote"/>
      </w:pPr>
      <w:r>
        <w:rPr>
          <w:vertAlign w:val="superscript"/>
        </w:rPr>
        <w:footnoteRef/>
      </w:r>
      <w:r>
        <w:t>.</w:t>
      </w:r>
      <w:r>
        <w:tab/>
      </w:r>
      <w:r>
        <w:rPr>
          <w:rStyle w:val="Italic"/>
        </w:rPr>
        <w:t xml:space="preserve">Taxation Administration Act 1953 </w:t>
      </w:r>
      <w:r>
        <w:t>(</w:t>
      </w:r>
      <w:proofErr w:type="spellStart"/>
      <w:r>
        <w:t>Cth</w:t>
      </w:r>
      <w:proofErr w:type="spellEnd"/>
      <w:r>
        <w:t>) s 8E.</w:t>
      </w:r>
    </w:p>
  </w:footnote>
  <w:footnote w:id="107">
    <w:p w14:paraId="1C7DAD67" w14:textId="4FC7F39D" w:rsidR="004C0661" w:rsidRDefault="004C0661" w:rsidP="00A775DC">
      <w:pPr>
        <w:pStyle w:val="Footnote"/>
      </w:pPr>
      <w:r>
        <w:rPr>
          <w:vertAlign w:val="superscript"/>
        </w:rPr>
        <w:footnoteRef/>
      </w:r>
      <w:r>
        <w:t>.</w:t>
      </w:r>
      <w:r>
        <w:tab/>
        <w:t>In most instances, this will mean that the offender was a company.</w:t>
      </w:r>
    </w:p>
  </w:footnote>
  <w:footnote w:id="108">
    <w:p w14:paraId="5C662B86" w14:textId="78397845" w:rsidR="004C0661" w:rsidRDefault="004C0661" w:rsidP="00A775DC">
      <w:pPr>
        <w:pStyle w:val="Footnote"/>
      </w:pPr>
      <w:r>
        <w:rPr>
          <w:vertAlign w:val="superscript"/>
        </w:rPr>
        <w:footnoteRef/>
      </w:r>
      <w:r>
        <w:t>.</w:t>
      </w:r>
      <w:r>
        <w:tab/>
      </w:r>
      <w:r>
        <w:rPr>
          <w:rStyle w:val="Italic"/>
        </w:rPr>
        <w:t>Combatting Child Sexual Exploitation Legislation Amendment Act 2019</w:t>
      </w:r>
      <w:r>
        <w:t xml:space="preserve"> (</w:t>
      </w:r>
      <w:proofErr w:type="spellStart"/>
      <w:r>
        <w:t>Cth</w:t>
      </w:r>
      <w:proofErr w:type="spellEnd"/>
      <w:r>
        <w:t>) sch 7 cl 29.</w:t>
      </w:r>
    </w:p>
  </w:footnote>
  <w:footnote w:id="109">
    <w:p w14:paraId="6C8C6902" w14:textId="5D649F20"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 474.22.</w:t>
      </w:r>
    </w:p>
  </w:footnote>
  <w:footnote w:id="110">
    <w:p w14:paraId="1E17226D" w14:textId="47E5FE96" w:rsidR="004C0661" w:rsidRDefault="004C0661" w:rsidP="00A775DC">
      <w:pPr>
        <w:pStyle w:val="Footnote"/>
      </w:pPr>
      <w:r>
        <w:rPr>
          <w:vertAlign w:val="superscript"/>
        </w:rPr>
        <w:footnoteRef/>
      </w:r>
      <w:r>
        <w:t>.</w:t>
      </w:r>
      <w:r>
        <w:tab/>
        <w:t xml:space="preserve">The </w:t>
      </w:r>
      <w:r>
        <w:rPr>
          <w:rStyle w:val="Italic"/>
        </w:rPr>
        <w:t>Combatting Child Sexual Exploitation Legislation Amendment Act 2019</w:t>
      </w:r>
      <w:r>
        <w:t xml:space="preserve"> (</w:t>
      </w:r>
      <w:proofErr w:type="spellStart"/>
      <w:r>
        <w:t>Cth</w:t>
      </w:r>
      <w:proofErr w:type="spellEnd"/>
      <w:r>
        <w:t xml:space="preserve">) sch 7 merged the definition of ‘child pornography material’ into the existing definition of ‘child abuse material’ (expanding the operation of section 474.22 as a result). See Judicial College of Victoria, ‘9.4 – Use of a Carriage Service for Child Abuse Material’, </w:t>
      </w:r>
      <w:r>
        <w:rPr>
          <w:rStyle w:val="Italic"/>
        </w:rPr>
        <w:t xml:space="preserve">Criminal Charge Book </w:t>
      </w:r>
      <w:r>
        <w:t>(2025) 2366.</w:t>
      </w:r>
    </w:p>
  </w:footnote>
  <w:footnote w:id="111">
    <w:p w14:paraId="59859B6C" w14:textId="5CBFDF4A" w:rsidR="004C0661" w:rsidRDefault="004C0661" w:rsidP="00A775DC">
      <w:pPr>
        <w:pStyle w:val="Footnote"/>
      </w:pPr>
      <w:r>
        <w:rPr>
          <w:vertAlign w:val="superscript"/>
        </w:rPr>
        <w:footnoteRef/>
      </w:r>
      <w:r>
        <w:t>.</w:t>
      </w:r>
      <w:r>
        <w:tab/>
      </w:r>
      <w:r>
        <w:rPr>
          <w:rStyle w:val="Italic"/>
        </w:rPr>
        <w:t xml:space="preserve">Criminal Code </w:t>
      </w:r>
      <w:r>
        <w:t>(</w:t>
      </w:r>
      <w:proofErr w:type="spellStart"/>
      <w:r>
        <w:t>Cth</w:t>
      </w:r>
      <w:proofErr w:type="spellEnd"/>
      <w:r>
        <w:t>) ss 474.19 (repealed), 474.22.</w:t>
      </w:r>
    </w:p>
  </w:footnote>
  <w:footnote w:id="112">
    <w:p w14:paraId="58024EA8" w14:textId="62B88B2B" w:rsidR="004C0661" w:rsidRDefault="004C0661" w:rsidP="00A775DC">
      <w:pPr>
        <w:pStyle w:val="Footnote"/>
      </w:pPr>
      <w:r>
        <w:rPr>
          <w:vertAlign w:val="superscript"/>
        </w:rPr>
        <w:footnoteRef/>
      </w:r>
      <w:r>
        <w:t>.</w:t>
      </w:r>
      <w:r>
        <w:tab/>
        <w:t xml:space="preserve">Respectively, </w:t>
      </w:r>
      <w:r>
        <w:rPr>
          <w:rStyle w:val="Italic"/>
        </w:rPr>
        <w:t>DPP (</w:t>
      </w:r>
      <w:proofErr w:type="spellStart"/>
      <w:r>
        <w:rPr>
          <w:rStyle w:val="Italic"/>
        </w:rPr>
        <w:t>Cth</w:t>
      </w:r>
      <w:proofErr w:type="spellEnd"/>
      <w:r>
        <w:rPr>
          <w:rStyle w:val="Italic"/>
        </w:rPr>
        <w:t xml:space="preserve">) v Collins (a pseudonym) </w:t>
      </w:r>
      <w:r>
        <w:t xml:space="preserve">[2021] VCC 1497; </w:t>
      </w:r>
      <w:r>
        <w:rPr>
          <w:rStyle w:val="Italic"/>
        </w:rPr>
        <w:t>DPP (</w:t>
      </w:r>
      <w:proofErr w:type="spellStart"/>
      <w:r>
        <w:rPr>
          <w:rStyle w:val="Italic"/>
        </w:rPr>
        <w:t>Cth</w:t>
      </w:r>
      <w:proofErr w:type="spellEnd"/>
      <w:r>
        <w:rPr>
          <w:rStyle w:val="Italic"/>
        </w:rPr>
        <w:t xml:space="preserve">) v Pisano </w:t>
      </w:r>
      <w:r>
        <w:t xml:space="preserve">[2020] VCC 1725; </w:t>
      </w:r>
      <w:r>
        <w:rPr>
          <w:rStyle w:val="Italic"/>
        </w:rPr>
        <w:t>DPP (</w:t>
      </w:r>
      <w:proofErr w:type="spellStart"/>
      <w:r>
        <w:rPr>
          <w:rStyle w:val="Italic"/>
        </w:rPr>
        <w:t>Cth</w:t>
      </w:r>
      <w:proofErr w:type="spellEnd"/>
      <w:r>
        <w:rPr>
          <w:rStyle w:val="Italic"/>
        </w:rPr>
        <w:t xml:space="preserve">) v Robertson </w:t>
      </w:r>
      <w:r>
        <w:t xml:space="preserve">[2022] VCC 1078; </w:t>
      </w:r>
      <w:r>
        <w:rPr>
          <w:rStyle w:val="Italic"/>
        </w:rPr>
        <w:t>DPP (</w:t>
      </w:r>
      <w:proofErr w:type="spellStart"/>
      <w:r>
        <w:rPr>
          <w:rStyle w:val="Italic"/>
        </w:rPr>
        <w:t>Cth</w:t>
      </w:r>
      <w:proofErr w:type="spellEnd"/>
      <w:r>
        <w:rPr>
          <w:rStyle w:val="Italic"/>
        </w:rPr>
        <w:t xml:space="preserve">) v Rogerson (a pseudonym) </w:t>
      </w:r>
      <w:r>
        <w:t xml:space="preserve">[2023] VCC 295; </w:t>
      </w:r>
      <w:r>
        <w:rPr>
          <w:rStyle w:val="Italic"/>
        </w:rPr>
        <w:t>DPP (</w:t>
      </w:r>
      <w:proofErr w:type="spellStart"/>
      <w:r>
        <w:rPr>
          <w:rStyle w:val="Italic"/>
        </w:rPr>
        <w:t>Cth</w:t>
      </w:r>
      <w:proofErr w:type="spellEnd"/>
      <w:r>
        <w:rPr>
          <w:rStyle w:val="Italic"/>
        </w:rPr>
        <w:t xml:space="preserve">) v Amarasinghe </w:t>
      </w:r>
      <w:r>
        <w:t>[2022] VCC 200.</w:t>
      </w:r>
    </w:p>
  </w:footnote>
  <w:footnote w:id="113">
    <w:p w14:paraId="1ED70B33" w14:textId="0EA172AA" w:rsidR="004C0661" w:rsidRDefault="004C0661" w:rsidP="00A775DC">
      <w:pPr>
        <w:pStyle w:val="Footnote"/>
      </w:pPr>
      <w:r>
        <w:rPr>
          <w:vertAlign w:val="superscript"/>
        </w:rPr>
        <w:footnoteRef/>
      </w:r>
      <w:r>
        <w:t>.</w:t>
      </w:r>
      <w:r>
        <w:tab/>
      </w:r>
      <w:r>
        <w:rPr>
          <w:rStyle w:val="Italic"/>
        </w:rPr>
        <w:t>Other</w:t>
      </w:r>
      <w:r>
        <w:t xml:space="preserve"> in the graph included 7 youth justice centre orders, 4 bonds with conviction, 1 fine with conviction, and 1 bond without conviction.</w:t>
      </w:r>
    </w:p>
  </w:footnote>
  <w:footnote w:id="114">
    <w:p w14:paraId="285771EE" w14:textId="27309A70"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Waller </w:t>
      </w:r>
      <w:r>
        <w:t xml:space="preserve">[2021] VCC 79; </w:t>
      </w:r>
      <w:r>
        <w:rPr>
          <w:rStyle w:val="Italic"/>
        </w:rPr>
        <w:t xml:space="preserve">DPP v Phibbs </w:t>
      </w:r>
      <w:r>
        <w:t xml:space="preserve">[2022] VCC 2126 (resentenced from 6 months to 1 month on appeal: </w:t>
      </w:r>
      <w:r>
        <w:rPr>
          <w:rStyle w:val="Italic"/>
        </w:rPr>
        <w:t>Phibbs v The King</w:t>
      </w:r>
      <w:r>
        <w:t xml:space="preserve"> [2023] VSCA 123); </w:t>
      </w:r>
      <w:r>
        <w:rPr>
          <w:rStyle w:val="Italic"/>
        </w:rPr>
        <w:t>DPP (</w:t>
      </w:r>
      <w:proofErr w:type="spellStart"/>
      <w:r>
        <w:rPr>
          <w:rStyle w:val="Italic"/>
        </w:rPr>
        <w:t>Cth</w:t>
      </w:r>
      <w:proofErr w:type="spellEnd"/>
      <w:r>
        <w:rPr>
          <w:rStyle w:val="Italic"/>
        </w:rPr>
        <w:t xml:space="preserve">) v Hewitt </w:t>
      </w:r>
      <w:r>
        <w:t>[2023] VCC 843.</w:t>
      </w:r>
    </w:p>
  </w:footnote>
  <w:footnote w:id="115">
    <w:p w14:paraId="3673EA87" w14:textId="3FC2973B" w:rsidR="004C0661" w:rsidRDefault="004C0661" w:rsidP="00A775DC">
      <w:pPr>
        <w:pStyle w:val="Footnote"/>
      </w:pPr>
      <w:r>
        <w:rPr>
          <w:vertAlign w:val="superscript"/>
        </w:rPr>
        <w:footnoteRef/>
      </w:r>
      <w:r>
        <w:t>.</w:t>
      </w:r>
      <w:r>
        <w:tab/>
      </w:r>
      <w:r>
        <w:rPr>
          <w:rStyle w:val="Italic"/>
        </w:rPr>
        <w:t xml:space="preserve">DPP v Murphy (a pseudonym) </w:t>
      </w:r>
      <w:r>
        <w:t>[2021] VCC 1525.</w:t>
      </w:r>
    </w:p>
  </w:footnote>
  <w:footnote w:id="116">
    <w:p w14:paraId="4AB324FB" w14:textId="56240AE3" w:rsidR="004C0661" w:rsidRDefault="004C0661" w:rsidP="00A775DC">
      <w:pPr>
        <w:pStyle w:val="Footnote"/>
      </w:pPr>
      <w:r>
        <w:rPr>
          <w:vertAlign w:val="superscript"/>
        </w:rPr>
        <w:footnoteRef/>
      </w:r>
      <w:r>
        <w:t>.</w:t>
      </w:r>
      <w:r>
        <w:tab/>
        <w:t xml:space="preserve">For some examples of cases in which this offence received the median prison sentence length of 18 months, see </w:t>
      </w:r>
      <w:r>
        <w:rPr>
          <w:rStyle w:val="Italic"/>
        </w:rPr>
        <w:t>DPP (</w:t>
      </w:r>
      <w:proofErr w:type="spellStart"/>
      <w:r>
        <w:rPr>
          <w:rStyle w:val="Italic"/>
        </w:rPr>
        <w:t>Cth</w:t>
      </w:r>
      <w:proofErr w:type="spellEnd"/>
      <w:r>
        <w:rPr>
          <w:rStyle w:val="Italic"/>
        </w:rPr>
        <w:t xml:space="preserve">) v </w:t>
      </w:r>
      <w:proofErr w:type="spellStart"/>
      <w:r>
        <w:rPr>
          <w:rStyle w:val="Italic"/>
        </w:rPr>
        <w:t>Hedditch</w:t>
      </w:r>
      <w:proofErr w:type="spellEnd"/>
      <w:r>
        <w:rPr>
          <w:rStyle w:val="Italic"/>
        </w:rPr>
        <w:t xml:space="preserve"> (a pseudonym) </w:t>
      </w:r>
      <w:r>
        <w:t xml:space="preserve">[2018] VCC 1631; </w:t>
      </w:r>
      <w:r>
        <w:rPr>
          <w:rStyle w:val="Italic"/>
        </w:rPr>
        <w:t>DPP (</w:t>
      </w:r>
      <w:proofErr w:type="spellStart"/>
      <w:r>
        <w:rPr>
          <w:rStyle w:val="Italic"/>
        </w:rPr>
        <w:t>Cth</w:t>
      </w:r>
      <w:proofErr w:type="spellEnd"/>
      <w:r>
        <w:rPr>
          <w:rStyle w:val="Italic"/>
        </w:rPr>
        <w:t xml:space="preserve">) v Clayton </w:t>
      </w:r>
      <w:r>
        <w:t xml:space="preserve">[2019] VCC 1591; </w:t>
      </w:r>
      <w:r>
        <w:rPr>
          <w:rStyle w:val="Italic"/>
        </w:rPr>
        <w:t xml:space="preserve">DPP v Chapman </w:t>
      </w:r>
      <w:r>
        <w:t xml:space="preserve">[2020] VCC 1136; </w:t>
      </w:r>
      <w:r>
        <w:rPr>
          <w:rStyle w:val="Italic"/>
        </w:rPr>
        <w:t>DPP (</w:t>
      </w:r>
      <w:proofErr w:type="spellStart"/>
      <w:r>
        <w:rPr>
          <w:rStyle w:val="Italic"/>
        </w:rPr>
        <w:t>Cth</w:t>
      </w:r>
      <w:proofErr w:type="spellEnd"/>
      <w:r>
        <w:rPr>
          <w:rStyle w:val="Italic"/>
        </w:rPr>
        <w:t xml:space="preserve">) v Boucher </w:t>
      </w:r>
      <w:r>
        <w:t xml:space="preserve">[2021] VCC 1165; </w:t>
      </w:r>
      <w:r>
        <w:rPr>
          <w:rStyle w:val="Italic"/>
        </w:rPr>
        <w:t xml:space="preserve">DPP v Donaldson </w:t>
      </w:r>
      <w:r>
        <w:t>[2022] VCC 129.</w:t>
      </w:r>
    </w:p>
  </w:footnote>
  <w:footnote w:id="117">
    <w:p w14:paraId="3C768BCE" w14:textId="6FE8EEF4" w:rsidR="004C0661" w:rsidRDefault="004C0661" w:rsidP="00A775DC">
      <w:pPr>
        <w:pStyle w:val="Footnote"/>
      </w:pPr>
      <w:r>
        <w:rPr>
          <w:vertAlign w:val="superscript"/>
        </w:rPr>
        <w:footnoteRef/>
      </w:r>
      <w:r>
        <w:t>.</w:t>
      </w:r>
      <w:r>
        <w:tab/>
      </w:r>
      <w:r>
        <w:rPr>
          <w:rStyle w:val="Italic"/>
        </w:rPr>
        <w:t xml:space="preserve">DPP v Murphy (a pseudonym) </w:t>
      </w:r>
      <w:r>
        <w:t>[2021] VCC 1525.</w:t>
      </w:r>
    </w:p>
  </w:footnote>
  <w:footnote w:id="118">
    <w:p w14:paraId="2689E1DF" w14:textId="61ED83DF"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Robertson </w:t>
      </w:r>
      <w:r>
        <w:t xml:space="preserve">[2022] VCC 1078; </w:t>
      </w:r>
      <w:r>
        <w:rPr>
          <w:rStyle w:val="Italic"/>
        </w:rPr>
        <w:t>DPP (</w:t>
      </w:r>
      <w:proofErr w:type="spellStart"/>
      <w:r>
        <w:rPr>
          <w:rStyle w:val="Italic"/>
        </w:rPr>
        <w:t>Cth</w:t>
      </w:r>
      <w:proofErr w:type="spellEnd"/>
      <w:r>
        <w:rPr>
          <w:rStyle w:val="Italic"/>
        </w:rPr>
        <w:t>) v Cullinan-</w:t>
      </w:r>
      <w:proofErr w:type="spellStart"/>
      <w:r>
        <w:rPr>
          <w:rStyle w:val="Italic"/>
        </w:rPr>
        <w:t>Smayle</w:t>
      </w:r>
      <w:proofErr w:type="spellEnd"/>
      <w:r>
        <w:rPr>
          <w:rStyle w:val="Italic"/>
        </w:rPr>
        <w:t xml:space="preserve"> &amp; Anor </w:t>
      </w:r>
      <w:r>
        <w:t>[2023] VCC 480.</w:t>
      </w:r>
    </w:p>
  </w:footnote>
  <w:footnote w:id="119">
    <w:p w14:paraId="4298BAB7" w14:textId="50763574"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Warner (a pseudonym) </w:t>
      </w:r>
      <w:r>
        <w:t>[2023] VCC 803.</w:t>
      </w:r>
    </w:p>
  </w:footnote>
  <w:footnote w:id="120">
    <w:p w14:paraId="45ED015B" w14:textId="19D661E4"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Hunter (a pseudonym) </w:t>
      </w:r>
      <w:r>
        <w:t>[2022] VCC 1576.</w:t>
      </w:r>
    </w:p>
  </w:footnote>
  <w:footnote w:id="121">
    <w:p w14:paraId="01C42156" w14:textId="30E69B08"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Warner (a pseudonym) </w:t>
      </w:r>
      <w:r>
        <w:t>[2023] VCC 803.</w:t>
      </w:r>
    </w:p>
  </w:footnote>
  <w:footnote w:id="122">
    <w:p w14:paraId="0B94A83B" w14:textId="5088F332"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v Cullinan-</w:t>
      </w:r>
      <w:proofErr w:type="spellStart"/>
      <w:r>
        <w:rPr>
          <w:rStyle w:val="Italic"/>
        </w:rPr>
        <w:t>Smayle</w:t>
      </w:r>
      <w:proofErr w:type="spellEnd"/>
      <w:r>
        <w:rPr>
          <w:rStyle w:val="Italic"/>
        </w:rPr>
        <w:t xml:space="preserve"> &amp; Anor </w:t>
      </w:r>
      <w:r>
        <w:t xml:space="preserve">[2023] VCC 480. One of the original sentences in this case was reduced from 10 years to 9 years more than 2 years after sentencing, in May 2025: </w:t>
      </w:r>
      <w:r>
        <w:rPr>
          <w:rStyle w:val="Italic"/>
        </w:rPr>
        <w:t>Cullinan-</w:t>
      </w:r>
      <w:proofErr w:type="spellStart"/>
      <w:r>
        <w:rPr>
          <w:rStyle w:val="Italic"/>
        </w:rPr>
        <w:t>Smayle</w:t>
      </w:r>
      <w:proofErr w:type="spellEnd"/>
      <w:r>
        <w:rPr>
          <w:rStyle w:val="Italic"/>
        </w:rPr>
        <w:t xml:space="preserve"> v The King </w:t>
      </w:r>
      <w:r>
        <w:t xml:space="preserve">[2025] VSCA 109. That change is not reflected here because our reference period for Court of Appeal outcomes was to 31 December 2024. In contrast, the other sentence was reduced in June 2024, and that change </w:t>
      </w:r>
      <w:r>
        <w:rPr>
          <w:rStyle w:val="Italic"/>
        </w:rPr>
        <w:t>is</w:t>
      </w:r>
      <w:r>
        <w:t xml:space="preserve"> reflected here: </w:t>
      </w:r>
      <w:r>
        <w:rPr>
          <w:rStyle w:val="Italic"/>
        </w:rPr>
        <w:t xml:space="preserve">Heels v The King </w:t>
      </w:r>
      <w:r>
        <w:t>[2024] VSCA 133 (reducing 11 years’ imprisonment to 8 years).</w:t>
      </w:r>
    </w:p>
  </w:footnote>
  <w:footnote w:id="123">
    <w:p w14:paraId="56BFC97A" w14:textId="4CCF875E" w:rsidR="004C0661" w:rsidRDefault="004C0661" w:rsidP="00A775DC">
      <w:pPr>
        <w:pStyle w:val="Footnote"/>
      </w:pPr>
      <w:r>
        <w:rPr>
          <w:vertAlign w:val="superscript"/>
        </w:rPr>
        <w:footnoteRef/>
      </w:r>
      <w:r>
        <w:t>.</w:t>
      </w:r>
      <w:r>
        <w:tab/>
      </w:r>
      <w:r>
        <w:rPr>
          <w:rStyle w:val="Italic"/>
        </w:rPr>
        <w:t>DPP (</w:t>
      </w:r>
      <w:proofErr w:type="spellStart"/>
      <w:r>
        <w:rPr>
          <w:rStyle w:val="Italic"/>
        </w:rPr>
        <w:t>Cth</w:t>
      </w:r>
      <w:proofErr w:type="spellEnd"/>
      <w:r>
        <w:rPr>
          <w:rStyle w:val="Italic"/>
        </w:rPr>
        <w:t xml:space="preserve">) v Amarasinghe </w:t>
      </w:r>
      <w:r>
        <w:t>[2022] VCC 200.</w:t>
      </w:r>
    </w:p>
  </w:footnote>
  <w:footnote w:id="124">
    <w:p w14:paraId="3F98FF5E" w14:textId="279651DE" w:rsidR="004C0661" w:rsidRDefault="004C0661" w:rsidP="00A775DC">
      <w:pPr>
        <w:pStyle w:val="Footnote"/>
      </w:pPr>
      <w:r>
        <w:rPr>
          <w:vertAlign w:val="superscript"/>
        </w:rPr>
        <w:footnoteRef/>
      </w:r>
      <w:r>
        <w:t>.</w:t>
      </w:r>
      <w:r>
        <w:tab/>
        <w:t xml:space="preserve">Karen Collier, ‘Motorists at Melbourne Airport Pay Price for Illegal Parking’, </w:t>
      </w:r>
      <w:r>
        <w:rPr>
          <w:rStyle w:val="Italic"/>
        </w:rPr>
        <w:t>Herald Sun</w:t>
      </w:r>
      <w:r>
        <w:t xml:space="preserve"> (25 May 2018).</w:t>
      </w:r>
    </w:p>
  </w:footnote>
  <w:footnote w:id="125">
    <w:p w14:paraId="18C75ADA" w14:textId="5A2DBC1C" w:rsidR="004C0661" w:rsidRDefault="004C0661" w:rsidP="00A775DC">
      <w:pPr>
        <w:pStyle w:val="Footnote"/>
      </w:pPr>
      <w:r>
        <w:rPr>
          <w:vertAlign w:val="superscript"/>
        </w:rPr>
        <w:footnoteRef/>
      </w:r>
      <w:r>
        <w:t>.</w:t>
      </w:r>
      <w:r>
        <w:tab/>
      </w:r>
      <w:r>
        <w:rPr>
          <w:rStyle w:val="Italic"/>
        </w:rPr>
        <w:t xml:space="preserve">Airports (Control of On-Airport Activities) Regulations 1997 </w:t>
      </w:r>
      <w:r>
        <w:t>(</w:t>
      </w:r>
      <w:proofErr w:type="spellStart"/>
      <w:r>
        <w:t>Cth</w:t>
      </w:r>
      <w:proofErr w:type="spellEnd"/>
      <w:r>
        <w:t>) r 147.</w:t>
      </w:r>
    </w:p>
  </w:footnote>
  <w:footnote w:id="126">
    <w:p w14:paraId="7EFAA33D" w14:textId="40DF863D" w:rsidR="004C0661" w:rsidRDefault="004C0661" w:rsidP="00A775DC">
      <w:pPr>
        <w:pStyle w:val="Footnote"/>
      </w:pPr>
      <w:r>
        <w:rPr>
          <w:vertAlign w:val="superscript"/>
        </w:rPr>
        <w:footnoteRef/>
      </w:r>
      <w:r>
        <w:t>.</w:t>
      </w:r>
      <w:r>
        <w:tab/>
        <w:t>Sentencing Advisory Council (2024), above n 103, 37–38.</w:t>
      </w:r>
    </w:p>
  </w:footnote>
  <w:footnote w:id="127">
    <w:p w14:paraId="1514D6BE" w14:textId="2A2DFA13" w:rsidR="004C0661" w:rsidRDefault="004C0661" w:rsidP="00A775DC">
      <w:pPr>
        <w:pStyle w:val="Footnote"/>
      </w:pPr>
      <w:r>
        <w:rPr>
          <w:vertAlign w:val="superscript"/>
        </w:rPr>
        <w:footnoteRef/>
      </w:r>
      <w:r>
        <w:t>.</w:t>
      </w:r>
      <w:r>
        <w:tab/>
        <w:t>Ibid 22–27.</w:t>
      </w:r>
    </w:p>
  </w:footnote>
  <w:footnote w:id="128">
    <w:p w14:paraId="30D9EC72" w14:textId="1C7C5ED8" w:rsidR="004C0661" w:rsidRDefault="004C0661" w:rsidP="00A775DC">
      <w:pPr>
        <w:pStyle w:val="Footnote"/>
      </w:pPr>
      <w:r>
        <w:rPr>
          <w:vertAlign w:val="superscript"/>
        </w:rPr>
        <w:footnoteRef/>
      </w:r>
      <w:r>
        <w:t>.</w:t>
      </w:r>
      <w:r>
        <w:tab/>
        <w:t xml:space="preserve">Given our previous findings about courts confirming original infringement penalties, this amount suggests that the original offence was not one of the unlawful parking offences with a maximum of 3 penalty units, but rather another offence in Schedule 2, such as stopping in a no-stopping area, which has a maximum of 5 penalty units. See </w:t>
      </w:r>
      <w:r>
        <w:rPr>
          <w:rStyle w:val="Italic"/>
        </w:rPr>
        <w:t xml:space="preserve">Airports (Control of On-Airport Activities) Regulations 1997 </w:t>
      </w:r>
      <w:r>
        <w:t>(</w:t>
      </w:r>
      <w:proofErr w:type="spellStart"/>
      <w:r>
        <w:t>Cth</w:t>
      </w:r>
      <w:proofErr w:type="spellEnd"/>
      <w:r>
        <w:t>) r 107 sch 2.</w:t>
      </w:r>
    </w:p>
  </w:footnote>
  <w:footnote w:id="129">
    <w:p w14:paraId="3870722A" w14:textId="31DD93D0" w:rsidR="004C0661" w:rsidRDefault="004C0661" w:rsidP="00A775DC">
      <w:pPr>
        <w:pStyle w:val="Footnote"/>
      </w:pPr>
      <w:r>
        <w:rPr>
          <w:vertAlign w:val="superscript"/>
        </w:rPr>
        <w:footnoteRef/>
      </w:r>
      <w:r>
        <w:t>.</w:t>
      </w:r>
      <w:r>
        <w:tab/>
        <w:t>This is because the data includes court outcomes three years after the increase to the value of a Commonwealth penalty unit from $210 to $222, but there were no fines imposed representing 60% (0.6 of a penalty unit) of $222, which would have been $133.20.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56D7" w14:textId="7C89603B" w:rsidR="00041EC2" w:rsidRPr="00C72EE4" w:rsidRDefault="00C12016" w:rsidP="008323B2">
    <w:pPr>
      <w:spacing w:before="0" w:after="360" w:line="240" w:lineRule="auto"/>
      <w:rPr>
        <w:sz w:val="18"/>
        <w:szCs w:val="18"/>
      </w:rPr>
    </w:pPr>
    <w:r w:rsidRPr="00C72EE4">
      <w:rPr>
        <w:i/>
        <w:iCs/>
        <w:sz w:val="18"/>
        <w:szCs w:val="18"/>
      </w:rPr>
      <w:t xml:space="preserve">Commonwealth Offences Sentenced in Victoria </w:t>
    </w:r>
    <w:r w:rsidR="00816C25" w:rsidRPr="00C72EE4">
      <w:rPr>
        <w:sz w:val="18"/>
        <w:szCs w:val="18"/>
      </w:rPr>
      <w:t xml:space="preserve">● </w:t>
    </w:r>
    <w:r w:rsidRPr="00C72EE4">
      <w:rPr>
        <w:sz w:val="18"/>
        <w:szCs w:val="18"/>
      </w:rPr>
      <w:t>March 2026</w:t>
    </w:r>
    <w:r w:rsidR="00041EC2" w:rsidRPr="00C72EE4">
      <w:rPr>
        <w:sz w:val="18"/>
        <w:szCs w:val="18"/>
      </w:rPr>
      <w:t xml:space="preserve"> ● Sentencing Advisory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97F"/>
    <w:multiLevelType w:val="hybridMultilevel"/>
    <w:tmpl w:val="28268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A18DF"/>
    <w:multiLevelType w:val="hybridMultilevel"/>
    <w:tmpl w:val="C95A2EF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906CDB"/>
    <w:multiLevelType w:val="hybridMultilevel"/>
    <w:tmpl w:val="53624E0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517391"/>
    <w:multiLevelType w:val="hybridMultilevel"/>
    <w:tmpl w:val="EBA0F31A"/>
    <w:lvl w:ilvl="0" w:tplc="A35EDEE0">
      <w:start w:val="1"/>
      <w:numFmt w:val="lowerLetter"/>
      <w:lvlText w:val="%1."/>
      <w:lvlJc w:val="left"/>
      <w:pPr>
        <w:ind w:left="816" w:hanging="45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D11449"/>
    <w:multiLevelType w:val="hybridMultilevel"/>
    <w:tmpl w:val="BFBE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3F2F11"/>
    <w:multiLevelType w:val="hybridMultilevel"/>
    <w:tmpl w:val="A7AC14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EE10FE"/>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BD2207"/>
    <w:multiLevelType w:val="hybridMultilevel"/>
    <w:tmpl w:val="1F7E7B3A"/>
    <w:lvl w:ilvl="0" w:tplc="B6348BB6">
      <w:start w:val="1"/>
      <w:numFmt w:val="bullet"/>
      <w:pStyle w:val="Bullets"/>
      <w:lvlText w:val=""/>
      <w:lvlJc w:val="left"/>
      <w:pPr>
        <w:ind w:left="1296" w:hanging="360"/>
      </w:pPr>
      <w:rPr>
        <w:rFonts w:ascii="Symbol" w:hAnsi="Symbol"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8" w15:restartNumberingAfterBreak="0">
    <w:nsid w:val="59724048"/>
    <w:multiLevelType w:val="multilevel"/>
    <w:tmpl w:val="16FABB18"/>
    <w:lvl w:ilvl="0">
      <w:start w:val="1"/>
      <w:numFmt w:val="decimal"/>
      <w:pStyle w:val="Heading1Numbered"/>
      <w:lvlText w:val="%1"/>
      <w:lvlJc w:val="left"/>
      <w:pPr>
        <w:ind w:left="432" w:hanging="432"/>
      </w:pPr>
      <w:rPr>
        <w:rFonts w:hint="default"/>
      </w:rPr>
    </w:lvl>
    <w:lvl w:ilvl="1">
      <w:start w:val="1"/>
      <w:numFmt w:val="decimal"/>
      <w:pStyle w:val="Numbered"/>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79517581"/>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4387537">
    <w:abstractNumId w:val="8"/>
  </w:num>
  <w:num w:numId="2" w16cid:durableId="1443264514">
    <w:abstractNumId w:val="7"/>
  </w:num>
  <w:num w:numId="3" w16cid:durableId="1634411343">
    <w:abstractNumId w:val="2"/>
  </w:num>
  <w:num w:numId="4" w16cid:durableId="1647785122">
    <w:abstractNumId w:val="9"/>
  </w:num>
  <w:num w:numId="5" w16cid:durableId="1081097620">
    <w:abstractNumId w:val="0"/>
  </w:num>
  <w:num w:numId="6" w16cid:durableId="565264803">
    <w:abstractNumId w:val="4"/>
  </w:num>
  <w:num w:numId="7" w16cid:durableId="2087223056">
    <w:abstractNumId w:val="6"/>
  </w:num>
  <w:num w:numId="8" w16cid:durableId="1431462518">
    <w:abstractNumId w:val="1"/>
  </w:num>
  <w:num w:numId="9" w16cid:durableId="1313169422">
    <w:abstractNumId w:val="3"/>
  </w:num>
  <w:num w:numId="10" w16cid:durableId="177779672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92"/>
    <w:rsid w:val="00005C26"/>
    <w:rsid w:val="00007C8C"/>
    <w:rsid w:val="0001134A"/>
    <w:rsid w:val="00014E52"/>
    <w:rsid w:val="00014F2C"/>
    <w:rsid w:val="000171EF"/>
    <w:rsid w:val="00022253"/>
    <w:rsid w:val="000259B0"/>
    <w:rsid w:val="00026071"/>
    <w:rsid w:val="000278BB"/>
    <w:rsid w:val="00031D5F"/>
    <w:rsid w:val="00034AE6"/>
    <w:rsid w:val="00035413"/>
    <w:rsid w:val="00035A5D"/>
    <w:rsid w:val="00041EC2"/>
    <w:rsid w:val="000427AA"/>
    <w:rsid w:val="000506EF"/>
    <w:rsid w:val="00050B03"/>
    <w:rsid w:val="00050B8A"/>
    <w:rsid w:val="00050BF8"/>
    <w:rsid w:val="00050EE9"/>
    <w:rsid w:val="00057C77"/>
    <w:rsid w:val="0006104A"/>
    <w:rsid w:val="0006596C"/>
    <w:rsid w:val="00066093"/>
    <w:rsid w:val="00066386"/>
    <w:rsid w:val="00066A46"/>
    <w:rsid w:val="00066F87"/>
    <w:rsid w:val="00067FA5"/>
    <w:rsid w:val="000706AC"/>
    <w:rsid w:val="00070DF1"/>
    <w:rsid w:val="00072BF5"/>
    <w:rsid w:val="0007307E"/>
    <w:rsid w:val="0007410A"/>
    <w:rsid w:val="00075ECD"/>
    <w:rsid w:val="000802AD"/>
    <w:rsid w:val="00081A91"/>
    <w:rsid w:val="00083BE5"/>
    <w:rsid w:val="000841B0"/>
    <w:rsid w:val="00084687"/>
    <w:rsid w:val="000853D4"/>
    <w:rsid w:val="00086F87"/>
    <w:rsid w:val="0009038A"/>
    <w:rsid w:val="00090773"/>
    <w:rsid w:val="00091E82"/>
    <w:rsid w:val="00094B2B"/>
    <w:rsid w:val="000A1410"/>
    <w:rsid w:val="000A2EC7"/>
    <w:rsid w:val="000A3196"/>
    <w:rsid w:val="000A3913"/>
    <w:rsid w:val="000B028C"/>
    <w:rsid w:val="000B18F3"/>
    <w:rsid w:val="000B1B6C"/>
    <w:rsid w:val="000B416E"/>
    <w:rsid w:val="000B45FD"/>
    <w:rsid w:val="000B4F53"/>
    <w:rsid w:val="000B634A"/>
    <w:rsid w:val="000C2770"/>
    <w:rsid w:val="000C5A4C"/>
    <w:rsid w:val="000C68BF"/>
    <w:rsid w:val="000D1F9C"/>
    <w:rsid w:val="000D34EA"/>
    <w:rsid w:val="000D4AB1"/>
    <w:rsid w:val="000D4ACB"/>
    <w:rsid w:val="000D6D6B"/>
    <w:rsid w:val="000E1D9C"/>
    <w:rsid w:val="000E2235"/>
    <w:rsid w:val="000E2800"/>
    <w:rsid w:val="000E638F"/>
    <w:rsid w:val="000E67D0"/>
    <w:rsid w:val="000F24F0"/>
    <w:rsid w:val="000F454E"/>
    <w:rsid w:val="001015A1"/>
    <w:rsid w:val="00105B94"/>
    <w:rsid w:val="00105E83"/>
    <w:rsid w:val="00106679"/>
    <w:rsid w:val="00106EB4"/>
    <w:rsid w:val="00107BCD"/>
    <w:rsid w:val="00111982"/>
    <w:rsid w:val="001123B9"/>
    <w:rsid w:val="001140B1"/>
    <w:rsid w:val="00114896"/>
    <w:rsid w:val="00120452"/>
    <w:rsid w:val="00125046"/>
    <w:rsid w:val="001255A1"/>
    <w:rsid w:val="0012575F"/>
    <w:rsid w:val="00125C39"/>
    <w:rsid w:val="0012645E"/>
    <w:rsid w:val="00131244"/>
    <w:rsid w:val="00134DC5"/>
    <w:rsid w:val="00135356"/>
    <w:rsid w:val="00135C30"/>
    <w:rsid w:val="0013704D"/>
    <w:rsid w:val="00137B80"/>
    <w:rsid w:val="0014068F"/>
    <w:rsid w:val="0014239F"/>
    <w:rsid w:val="001434E8"/>
    <w:rsid w:val="0014355A"/>
    <w:rsid w:val="001446F6"/>
    <w:rsid w:val="001459BF"/>
    <w:rsid w:val="001463DE"/>
    <w:rsid w:val="00150C14"/>
    <w:rsid w:val="00150DBB"/>
    <w:rsid w:val="00152192"/>
    <w:rsid w:val="001528AF"/>
    <w:rsid w:val="00160502"/>
    <w:rsid w:val="00160EBF"/>
    <w:rsid w:val="001615C7"/>
    <w:rsid w:val="00165B10"/>
    <w:rsid w:val="00173049"/>
    <w:rsid w:val="00175A75"/>
    <w:rsid w:val="00175B23"/>
    <w:rsid w:val="00177475"/>
    <w:rsid w:val="001774F2"/>
    <w:rsid w:val="00177B78"/>
    <w:rsid w:val="00181117"/>
    <w:rsid w:val="00181701"/>
    <w:rsid w:val="00182374"/>
    <w:rsid w:val="001833B4"/>
    <w:rsid w:val="00187615"/>
    <w:rsid w:val="00190572"/>
    <w:rsid w:val="00190E17"/>
    <w:rsid w:val="001917EB"/>
    <w:rsid w:val="00191E69"/>
    <w:rsid w:val="001921EB"/>
    <w:rsid w:val="00193952"/>
    <w:rsid w:val="00195FF1"/>
    <w:rsid w:val="00196BD3"/>
    <w:rsid w:val="001970F5"/>
    <w:rsid w:val="001A04A7"/>
    <w:rsid w:val="001A0831"/>
    <w:rsid w:val="001A2D63"/>
    <w:rsid w:val="001A72C5"/>
    <w:rsid w:val="001B2480"/>
    <w:rsid w:val="001B255C"/>
    <w:rsid w:val="001B7F6F"/>
    <w:rsid w:val="001C2E7A"/>
    <w:rsid w:val="001C75C1"/>
    <w:rsid w:val="001D0C6E"/>
    <w:rsid w:val="001D2C8C"/>
    <w:rsid w:val="001D3B29"/>
    <w:rsid w:val="001D4674"/>
    <w:rsid w:val="001D5443"/>
    <w:rsid w:val="001E0CC8"/>
    <w:rsid w:val="001E3774"/>
    <w:rsid w:val="001E4A2A"/>
    <w:rsid w:val="001E4E27"/>
    <w:rsid w:val="001E54C9"/>
    <w:rsid w:val="001E6C0C"/>
    <w:rsid w:val="001F1C7C"/>
    <w:rsid w:val="001F28BA"/>
    <w:rsid w:val="001F2E5A"/>
    <w:rsid w:val="001F471E"/>
    <w:rsid w:val="001F4C71"/>
    <w:rsid w:val="001F7595"/>
    <w:rsid w:val="001F7BAD"/>
    <w:rsid w:val="002039C0"/>
    <w:rsid w:val="00206AF3"/>
    <w:rsid w:val="00207E1C"/>
    <w:rsid w:val="00212F61"/>
    <w:rsid w:val="00217FD7"/>
    <w:rsid w:val="002209C8"/>
    <w:rsid w:val="00220B05"/>
    <w:rsid w:val="002220B3"/>
    <w:rsid w:val="002225C5"/>
    <w:rsid w:val="002231A6"/>
    <w:rsid w:val="00225592"/>
    <w:rsid w:val="0022599E"/>
    <w:rsid w:val="00230602"/>
    <w:rsid w:val="002323A3"/>
    <w:rsid w:val="00233BF2"/>
    <w:rsid w:val="00236464"/>
    <w:rsid w:val="00236601"/>
    <w:rsid w:val="002369DB"/>
    <w:rsid w:val="002369E2"/>
    <w:rsid w:val="00237CDC"/>
    <w:rsid w:val="00242293"/>
    <w:rsid w:val="002466DE"/>
    <w:rsid w:val="0025073B"/>
    <w:rsid w:val="0025199A"/>
    <w:rsid w:val="002542D0"/>
    <w:rsid w:val="002546D0"/>
    <w:rsid w:val="00254751"/>
    <w:rsid w:val="00257443"/>
    <w:rsid w:val="00261F16"/>
    <w:rsid w:val="00263161"/>
    <w:rsid w:val="00266462"/>
    <w:rsid w:val="00266788"/>
    <w:rsid w:val="00270C5B"/>
    <w:rsid w:val="00270D0D"/>
    <w:rsid w:val="00272FAB"/>
    <w:rsid w:val="00282BBF"/>
    <w:rsid w:val="00283226"/>
    <w:rsid w:val="00283254"/>
    <w:rsid w:val="00283572"/>
    <w:rsid w:val="00285381"/>
    <w:rsid w:val="00286947"/>
    <w:rsid w:val="00287374"/>
    <w:rsid w:val="0028752B"/>
    <w:rsid w:val="002940A2"/>
    <w:rsid w:val="00294202"/>
    <w:rsid w:val="002951B2"/>
    <w:rsid w:val="002A0E65"/>
    <w:rsid w:val="002A2B29"/>
    <w:rsid w:val="002A32E7"/>
    <w:rsid w:val="002A466E"/>
    <w:rsid w:val="002A5B70"/>
    <w:rsid w:val="002B0695"/>
    <w:rsid w:val="002B1984"/>
    <w:rsid w:val="002B73A2"/>
    <w:rsid w:val="002C2130"/>
    <w:rsid w:val="002C2F57"/>
    <w:rsid w:val="002C3862"/>
    <w:rsid w:val="002C4F89"/>
    <w:rsid w:val="002C5AD9"/>
    <w:rsid w:val="002D0603"/>
    <w:rsid w:val="002D0B8A"/>
    <w:rsid w:val="002D322E"/>
    <w:rsid w:val="002D32D6"/>
    <w:rsid w:val="002D3764"/>
    <w:rsid w:val="002D579F"/>
    <w:rsid w:val="002D6557"/>
    <w:rsid w:val="002E04A1"/>
    <w:rsid w:val="002E564C"/>
    <w:rsid w:val="002E6AB1"/>
    <w:rsid w:val="002E6D89"/>
    <w:rsid w:val="002E7B69"/>
    <w:rsid w:val="002F01C4"/>
    <w:rsid w:val="002F0CCB"/>
    <w:rsid w:val="002F2DB3"/>
    <w:rsid w:val="002F48E4"/>
    <w:rsid w:val="002F52E5"/>
    <w:rsid w:val="002F6248"/>
    <w:rsid w:val="002F7907"/>
    <w:rsid w:val="00302144"/>
    <w:rsid w:val="003051B9"/>
    <w:rsid w:val="0030606D"/>
    <w:rsid w:val="00306BA2"/>
    <w:rsid w:val="00307BF1"/>
    <w:rsid w:val="00307F8D"/>
    <w:rsid w:val="0031200C"/>
    <w:rsid w:val="00315385"/>
    <w:rsid w:val="00315675"/>
    <w:rsid w:val="00315FC2"/>
    <w:rsid w:val="0032172A"/>
    <w:rsid w:val="003220B1"/>
    <w:rsid w:val="003245F2"/>
    <w:rsid w:val="0032633A"/>
    <w:rsid w:val="00331208"/>
    <w:rsid w:val="0033132F"/>
    <w:rsid w:val="003316F3"/>
    <w:rsid w:val="00331878"/>
    <w:rsid w:val="00331887"/>
    <w:rsid w:val="003330BE"/>
    <w:rsid w:val="00334D30"/>
    <w:rsid w:val="00337A67"/>
    <w:rsid w:val="00342CAB"/>
    <w:rsid w:val="00346383"/>
    <w:rsid w:val="003477A8"/>
    <w:rsid w:val="00347C2A"/>
    <w:rsid w:val="00351B54"/>
    <w:rsid w:val="00352042"/>
    <w:rsid w:val="00352D71"/>
    <w:rsid w:val="00354898"/>
    <w:rsid w:val="003564D1"/>
    <w:rsid w:val="00361709"/>
    <w:rsid w:val="0036597D"/>
    <w:rsid w:val="00365FDF"/>
    <w:rsid w:val="0036651F"/>
    <w:rsid w:val="00366924"/>
    <w:rsid w:val="003700BC"/>
    <w:rsid w:val="00370D1B"/>
    <w:rsid w:val="00372C51"/>
    <w:rsid w:val="0037516E"/>
    <w:rsid w:val="00375ED2"/>
    <w:rsid w:val="00376574"/>
    <w:rsid w:val="00376DCC"/>
    <w:rsid w:val="00376E1B"/>
    <w:rsid w:val="00377D92"/>
    <w:rsid w:val="00383796"/>
    <w:rsid w:val="00384D60"/>
    <w:rsid w:val="0038711E"/>
    <w:rsid w:val="003948B9"/>
    <w:rsid w:val="003953BA"/>
    <w:rsid w:val="00395F6D"/>
    <w:rsid w:val="003A5A87"/>
    <w:rsid w:val="003B1BD7"/>
    <w:rsid w:val="003B442C"/>
    <w:rsid w:val="003B4F5C"/>
    <w:rsid w:val="003B69E4"/>
    <w:rsid w:val="003B6E5E"/>
    <w:rsid w:val="003C3218"/>
    <w:rsid w:val="003C3859"/>
    <w:rsid w:val="003C5858"/>
    <w:rsid w:val="003D5C43"/>
    <w:rsid w:val="003E3A2E"/>
    <w:rsid w:val="003E6D1D"/>
    <w:rsid w:val="003F0F4C"/>
    <w:rsid w:val="003F33A3"/>
    <w:rsid w:val="003F37ED"/>
    <w:rsid w:val="003F4090"/>
    <w:rsid w:val="003F7D3A"/>
    <w:rsid w:val="00400CEB"/>
    <w:rsid w:val="00401C3E"/>
    <w:rsid w:val="00401E1C"/>
    <w:rsid w:val="00403686"/>
    <w:rsid w:val="004055B5"/>
    <w:rsid w:val="00405620"/>
    <w:rsid w:val="004106B3"/>
    <w:rsid w:val="004137CE"/>
    <w:rsid w:val="0041573A"/>
    <w:rsid w:val="00415FFD"/>
    <w:rsid w:val="0042101E"/>
    <w:rsid w:val="00423332"/>
    <w:rsid w:val="00426FD2"/>
    <w:rsid w:val="00433B52"/>
    <w:rsid w:val="004375E7"/>
    <w:rsid w:val="00437797"/>
    <w:rsid w:val="0045018D"/>
    <w:rsid w:val="004520D1"/>
    <w:rsid w:val="00454DDF"/>
    <w:rsid w:val="004560B2"/>
    <w:rsid w:val="00457D97"/>
    <w:rsid w:val="00460824"/>
    <w:rsid w:val="004665B1"/>
    <w:rsid w:val="00467E17"/>
    <w:rsid w:val="00470753"/>
    <w:rsid w:val="0047446E"/>
    <w:rsid w:val="00474978"/>
    <w:rsid w:val="00475B79"/>
    <w:rsid w:val="00475FBD"/>
    <w:rsid w:val="00480D98"/>
    <w:rsid w:val="00485AE7"/>
    <w:rsid w:val="00487398"/>
    <w:rsid w:val="00487EF2"/>
    <w:rsid w:val="00487F5F"/>
    <w:rsid w:val="00490430"/>
    <w:rsid w:val="0049264A"/>
    <w:rsid w:val="004936FB"/>
    <w:rsid w:val="00495415"/>
    <w:rsid w:val="00495436"/>
    <w:rsid w:val="00496282"/>
    <w:rsid w:val="00497483"/>
    <w:rsid w:val="00497C3E"/>
    <w:rsid w:val="004A0D39"/>
    <w:rsid w:val="004A2BFB"/>
    <w:rsid w:val="004A2CF3"/>
    <w:rsid w:val="004A358D"/>
    <w:rsid w:val="004A4D79"/>
    <w:rsid w:val="004A62A0"/>
    <w:rsid w:val="004B068E"/>
    <w:rsid w:val="004B0C4E"/>
    <w:rsid w:val="004B0C9A"/>
    <w:rsid w:val="004B12EE"/>
    <w:rsid w:val="004B3DC2"/>
    <w:rsid w:val="004B4B98"/>
    <w:rsid w:val="004B599A"/>
    <w:rsid w:val="004C0661"/>
    <w:rsid w:val="004C52D3"/>
    <w:rsid w:val="004C68C2"/>
    <w:rsid w:val="004D0185"/>
    <w:rsid w:val="004D055D"/>
    <w:rsid w:val="004D05B8"/>
    <w:rsid w:val="004D43CF"/>
    <w:rsid w:val="004D5EE2"/>
    <w:rsid w:val="004D77B3"/>
    <w:rsid w:val="004D7804"/>
    <w:rsid w:val="004D796D"/>
    <w:rsid w:val="004D7E43"/>
    <w:rsid w:val="004E0049"/>
    <w:rsid w:val="004E18A6"/>
    <w:rsid w:val="004E1A18"/>
    <w:rsid w:val="004E42C7"/>
    <w:rsid w:val="004E6367"/>
    <w:rsid w:val="004F73C6"/>
    <w:rsid w:val="004F73F4"/>
    <w:rsid w:val="005016C9"/>
    <w:rsid w:val="0050242E"/>
    <w:rsid w:val="005033AB"/>
    <w:rsid w:val="00513540"/>
    <w:rsid w:val="00515202"/>
    <w:rsid w:val="00515F4F"/>
    <w:rsid w:val="00520D23"/>
    <w:rsid w:val="00523664"/>
    <w:rsid w:val="00523CF1"/>
    <w:rsid w:val="00526B53"/>
    <w:rsid w:val="00526D86"/>
    <w:rsid w:val="00527848"/>
    <w:rsid w:val="00527C8C"/>
    <w:rsid w:val="005303D0"/>
    <w:rsid w:val="00533377"/>
    <w:rsid w:val="00536276"/>
    <w:rsid w:val="005373CC"/>
    <w:rsid w:val="00540E8E"/>
    <w:rsid w:val="00542BCC"/>
    <w:rsid w:val="00546815"/>
    <w:rsid w:val="00546E02"/>
    <w:rsid w:val="00552284"/>
    <w:rsid w:val="00552ED1"/>
    <w:rsid w:val="005536BD"/>
    <w:rsid w:val="00553AA8"/>
    <w:rsid w:val="00554B0F"/>
    <w:rsid w:val="0056002A"/>
    <w:rsid w:val="0056203A"/>
    <w:rsid w:val="00564D43"/>
    <w:rsid w:val="0056748A"/>
    <w:rsid w:val="005713BA"/>
    <w:rsid w:val="00571CE7"/>
    <w:rsid w:val="00573319"/>
    <w:rsid w:val="005742A6"/>
    <w:rsid w:val="005801E0"/>
    <w:rsid w:val="00580AF1"/>
    <w:rsid w:val="00580B3E"/>
    <w:rsid w:val="0058328D"/>
    <w:rsid w:val="00585E11"/>
    <w:rsid w:val="005861EC"/>
    <w:rsid w:val="00587CA0"/>
    <w:rsid w:val="00590F5B"/>
    <w:rsid w:val="00590F8F"/>
    <w:rsid w:val="00594975"/>
    <w:rsid w:val="00594E72"/>
    <w:rsid w:val="00595E5D"/>
    <w:rsid w:val="005A1A70"/>
    <w:rsid w:val="005A2DD8"/>
    <w:rsid w:val="005A3FCE"/>
    <w:rsid w:val="005A4851"/>
    <w:rsid w:val="005A5326"/>
    <w:rsid w:val="005A5FC3"/>
    <w:rsid w:val="005A69E7"/>
    <w:rsid w:val="005A6AD2"/>
    <w:rsid w:val="005B226F"/>
    <w:rsid w:val="005B3F45"/>
    <w:rsid w:val="005B7138"/>
    <w:rsid w:val="005B7CEF"/>
    <w:rsid w:val="005C16F8"/>
    <w:rsid w:val="005C19FD"/>
    <w:rsid w:val="005C5C61"/>
    <w:rsid w:val="005C7673"/>
    <w:rsid w:val="005D00F7"/>
    <w:rsid w:val="005D048E"/>
    <w:rsid w:val="005D1C21"/>
    <w:rsid w:val="005D3C51"/>
    <w:rsid w:val="005D47B9"/>
    <w:rsid w:val="005D56D5"/>
    <w:rsid w:val="005D72E6"/>
    <w:rsid w:val="005D7FEE"/>
    <w:rsid w:val="005E03B9"/>
    <w:rsid w:val="005E08D5"/>
    <w:rsid w:val="005E0FA3"/>
    <w:rsid w:val="005E1829"/>
    <w:rsid w:val="005E2BB5"/>
    <w:rsid w:val="005E444F"/>
    <w:rsid w:val="005E4554"/>
    <w:rsid w:val="005E7B6F"/>
    <w:rsid w:val="005F13DF"/>
    <w:rsid w:val="005F1685"/>
    <w:rsid w:val="005F2AE7"/>
    <w:rsid w:val="005F438A"/>
    <w:rsid w:val="005F632F"/>
    <w:rsid w:val="005F6FA9"/>
    <w:rsid w:val="00600D96"/>
    <w:rsid w:val="0060176E"/>
    <w:rsid w:val="00601F54"/>
    <w:rsid w:val="00604498"/>
    <w:rsid w:val="0061190F"/>
    <w:rsid w:val="00613286"/>
    <w:rsid w:val="00620DC8"/>
    <w:rsid w:val="00621735"/>
    <w:rsid w:val="00622026"/>
    <w:rsid w:val="0062388D"/>
    <w:rsid w:val="00623C6B"/>
    <w:rsid w:val="006267C3"/>
    <w:rsid w:val="0063162A"/>
    <w:rsid w:val="00632D14"/>
    <w:rsid w:val="00633044"/>
    <w:rsid w:val="0063308C"/>
    <w:rsid w:val="00633EC5"/>
    <w:rsid w:val="00633FF7"/>
    <w:rsid w:val="00634244"/>
    <w:rsid w:val="006353C3"/>
    <w:rsid w:val="00635F73"/>
    <w:rsid w:val="00636B72"/>
    <w:rsid w:val="00637285"/>
    <w:rsid w:val="0064011D"/>
    <w:rsid w:val="00641DA6"/>
    <w:rsid w:val="006427FE"/>
    <w:rsid w:val="0064397B"/>
    <w:rsid w:val="00643AE3"/>
    <w:rsid w:val="00643E29"/>
    <w:rsid w:val="006455D4"/>
    <w:rsid w:val="00652361"/>
    <w:rsid w:val="00654B4A"/>
    <w:rsid w:val="00657CB1"/>
    <w:rsid w:val="00664763"/>
    <w:rsid w:val="00665523"/>
    <w:rsid w:val="006666D0"/>
    <w:rsid w:val="00672D86"/>
    <w:rsid w:val="00672E9A"/>
    <w:rsid w:val="00674C34"/>
    <w:rsid w:val="00683053"/>
    <w:rsid w:val="00683D32"/>
    <w:rsid w:val="006848BC"/>
    <w:rsid w:val="00685547"/>
    <w:rsid w:val="00685BD2"/>
    <w:rsid w:val="00685C85"/>
    <w:rsid w:val="00686468"/>
    <w:rsid w:val="006871CA"/>
    <w:rsid w:val="00690161"/>
    <w:rsid w:val="00690765"/>
    <w:rsid w:val="00696C16"/>
    <w:rsid w:val="00696D03"/>
    <w:rsid w:val="00697605"/>
    <w:rsid w:val="006A0EDE"/>
    <w:rsid w:val="006A24A4"/>
    <w:rsid w:val="006A5E0B"/>
    <w:rsid w:val="006B291B"/>
    <w:rsid w:val="006B4A5D"/>
    <w:rsid w:val="006B72F4"/>
    <w:rsid w:val="006C1537"/>
    <w:rsid w:val="006C6415"/>
    <w:rsid w:val="006C6807"/>
    <w:rsid w:val="006C68B3"/>
    <w:rsid w:val="006D1BC1"/>
    <w:rsid w:val="006D1D12"/>
    <w:rsid w:val="006D202C"/>
    <w:rsid w:val="006D5104"/>
    <w:rsid w:val="006D5D29"/>
    <w:rsid w:val="006E68EC"/>
    <w:rsid w:val="006E77B6"/>
    <w:rsid w:val="006F0342"/>
    <w:rsid w:val="006F3F36"/>
    <w:rsid w:val="006F4619"/>
    <w:rsid w:val="006F6A5C"/>
    <w:rsid w:val="006F77A5"/>
    <w:rsid w:val="00700BC7"/>
    <w:rsid w:val="007010B5"/>
    <w:rsid w:val="0070203B"/>
    <w:rsid w:val="00703355"/>
    <w:rsid w:val="00703380"/>
    <w:rsid w:val="007044B7"/>
    <w:rsid w:val="0070601D"/>
    <w:rsid w:val="00707B92"/>
    <w:rsid w:val="0071116E"/>
    <w:rsid w:val="00712490"/>
    <w:rsid w:val="00715C7D"/>
    <w:rsid w:val="00716DAB"/>
    <w:rsid w:val="00720224"/>
    <w:rsid w:val="00720D8A"/>
    <w:rsid w:val="00720DFC"/>
    <w:rsid w:val="00721534"/>
    <w:rsid w:val="00721731"/>
    <w:rsid w:val="007238AB"/>
    <w:rsid w:val="00727C1D"/>
    <w:rsid w:val="0073136D"/>
    <w:rsid w:val="00733B0D"/>
    <w:rsid w:val="007354FD"/>
    <w:rsid w:val="007359D1"/>
    <w:rsid w:val="00735DF1"/>
    <w:rsid w:val="0074055A"/>
    <w:rsid w:val="007407C6"/>
    <w:rsid w:val="00741722"/>
    <w:rsid w:val="00741AD3"/>
    <w:rsid w:val="00742CAD"/>
    <w:rsid w:val="007442B3"/>
    <w:rsid w:val="00744633"/>
    <w:rsid w:val="007455E8"/>
    <w:rsid w:val="00750C7D"/>
    <w:rsid w:val="0075182F"/>
    <w:rsid w:val="00751EAC"/>
    <w:rsid w:val="0076421D"/>
    <w:rsid w:val="00764EE8"/>
    <w:rsid w:val="00767052"/>
    <w:rsid w:val="007715AB"/>
    <w:rsid w:val="00771A2E"/>
    <w:rsid w:val="00771DA7"/>
    <w:rsid w:val="00775CEA"/>
    <w:rsid w:val="00776366"/>
    <w:rsid w:val="00781246"/>
    <w:rsid w:val="00782856"/>
    <w:rsid w:val="00784F3D"/>
    <w:rsid w:val="00785F1D"/>
    <w:rsid w:val="007860D9"/>
    <w:rsid w:val="00786CC9"/>
    <w:rsid w:val="007906A8"/>
    <w:rsid w:val="00790C4F"/>
    <w:rsid w:val="00791B53"/>
    <w:rsid w:val="00791C21"/>
    <w:rsid w:val="00792D4E"/>
    <w:rsid w:val="00793F9C"/>
    <w:rsid w:val="00794DFA"/>
    <w:rsid w:val="0079520A"/>
    <w:rsid w:val="0079701C"/>
    <w:rsid w:val="0079735B"/>
    <w:rsid w:val="00797752"/>
    <w:rsid w:val="007977A7"/>
    <w:rsid w:val="007A45F6"/>
    <w:rsid w:val="007A72F2"/>
    <w:rsid w:val="007B1693"/>
    <w:rsid w:val="007B298F"/>
    <w:rsid w:val="007B32AD"/>
    <w:rsid w:val="007B6AFF"/>
    <w:rsid w:val="007B783E"/>
    <w:rsid w:val="007B7A1F"/>
    <w:rsid w:val="007B7B5A"/>
    <w:rsid w:val="007B7BB2"/>
    <w:rsid w:val="007C12EC"/>
    <w:rsid w:val="007C1944"/>
    <w:rsid w:val="007C2819"/>
    <w:rsid w:val="007C2B98"/>
    <w:rsid w:val="007C4F31"/>
    <w:rsid w:val="007C667F"/>
    <w:rsid w:val="007C7B6E"/>
    <w:rsid w:val="007D1915"/>
    <w:rsid w:val="007D2168"/>
    <w:rsid w:val="007D570A"/>
    <w:rsid w:val="007E07CD"/>
    <w:rsid w:val="007E07CF"/>
    <w:rsid w:val="007E30C5"/>
    <w:rsid w:val="007E369F"/>
    <w:rsid w:val="007E570C"/>
    <w:rsid w:val="007E5CA6"/>
    <w:rsid w:val="007E7774"/>
    <w:rsid w:val="007F21B7"/>
    <w:rsid w:val="007F25B8"/>
    <w:rsid w:val="007F2D1D"/>
    <w:rsid w:val="007F3862"/>
    <w:rsid w:val="007F4552"/>
    <w:rsid w:val="007F486D"/>
    <w:rsid w:val="007F4973"/>
    <w:rsid w:val="007F6F1F"/>
    <w:rsid w:val="007F788C"/>
    <w:rsid w:val="00807D88"/>
    <w:rsid w:val="00810254"/>
    <w:rsid w:val="008103C0"/>
    <w:rsid w:val="008113B6"/>
    <w:rsid w:val="00814C4B"/>
    <w:rsid w:val="00816C25"/>
    <w:rsid w:val="00816C6E"/>
    <w:rsid w:val="00816FA3"/>
    <w:rsid w:val="008174A1"/>
    <w:rsid w:val="008179EA"/>
    <w:rsid w:val="008204D4"/>
    <w:rsid w:val="008311AD"/>
    <w:rsid w:val="00831580"/>
    <w:rsid w:val="00831665"/>
    <w:rsid w:val="00831DDA"/>
    <w:rsid w:val="008323B2"/>
    <w:rsid w:val="00833E75"/>
    <w:rsid w:val="00834BC4"/>
    <w:rsid w:val="00840142"/>
    <w:rsid w:val="00842583"/>
    <w:rsid w:val="008444DD"/>
    <w:rsid w:val="00844898"/>
    <w:rsid w:val="008479CF"/>
    <w:rsid w:val="00851822"/>
    <w:rsid w:val="008540E5"/>
    <w:rsid w:val="00854A59"/>
    <w:rsid w:val="008568C4"/>
    <w:rsid w:val="00856D9A"/>
    <w:rsid w:val="00860690"/>
    <w:rsid w:val="0086079E"/>
    <w:rsid w:val="008631EF"/>
    <w:rsid w:val="00866DDA"/>
    <w:rsid w:val="00870A4C"/>
    <w:rsid w:val="00872369"/>
    <w:rsid w:val="00874962"/>
    <w:rsid w:val="00874F4D"/>
    <w:rsid w:val="00875A2F"/>
    <w:rsid w:val="00880689"/>
    <w:rsid w:val="00881AFC"/>
    <w:rsid w:val="00885021"/>
    <w:rsid w:val="0088705B"/>
    <w:rsid w:val="00887BD1"/>
    <w:rsid w:val="00890627"/>
    <w:rsid w:val="00894253"/>
    <w:rsid w:val="00896433"/>
    <w:rsid w:val="0089673C"/>
    <w:rsid w:val="00896AE3"/>
    <w:rsid w:val="00896B8D"/>
    <w:rsid w:val="00896E82"/>
    <w:rsid w:val="008A1C48"/>
    <w:rsid w:val="008A2083"/>
    <w:rsid w:val="008A365A"/>
    <w:rsid w:val="008A6382"/>
    <w:rsid w:val="008B2E75"/>
    <w:rsid w:val="008B45D9"/>
    <w:rsid w:val="008B5525"/>
    <w:rsid w:val="008C0CC7"/>
    <w:rsid w:val="008C2429"/>
    <w:rsid w:val="008C305F"/>
    <w:rsid w:val="008C52BC"/>
    <w:rsid w:val="008C5716"/>
    <w:rsid w:val="008C5B57"/>
    <w:rsid w:val="008C79B1"/>
    <w:rsid w:val="008D0DB8"/>
    <w:rsid w:val="008D152C"/>
    <w:rsid w:val="008D384B"/>
    <w:rsid w:val="008D4CA6"/>
    <w:rsid w:val="008D512A"/>
    <w:rsid w:val="008D5EC4"/>
    <w:rsid w:val="008E0C9A"/>
    <w:rsid w:val="008E23B0"/>
    <w:rsid w:val="008E470B"/>
    <w:rsid w:val="008E7E77"/>
    <w:rsid w:val="008F0875"/>
    <w:rsid w:val="008F0889"/>
    <w:rsid w:val="008F2266"/>
    <w:rsid w:val="008F42B4"/>
    <w:rsid w:val="008F608B"/>
    <w:rsid w:val="008F696D"/>
    <w:rsid w:val="008F7BBD"/>
    <w:rsid w:val="00900199"/>
    <w:rsid w:val="00900627"/>
    <w:rsid w:val="00900F8A"/>
    <w:rsid w:val="00903B30"/>
    <w:rsid w:val="009051A3"/>
    <w:rsid w:val="00905241"/>
    <w:rsid w:val="009071A5"/>
    <w:rsid w:val="00907826"/>
    <w:rsid w:val="0091246C"/>
    <w:rsid w:val="00913036"/>
    <w:rsid w:val="00914BC1"/>
    <w:rsid w:val="00915C56"/>
    <w:rsid w:val="009239F9"/>
    <w:rsid w:val="009253CB"/>
    <w:rsid w:val="009257D9"/>
    <w:rsid w:val="00931014"/>
    <w:rsid w:val="00932C40"/>
    <w:rsid w:val="00934533"/>
    <w:rsid w:val="00934981"/>
    <w:rsid w:val="00934E7C"/>
    <w:rsid w:val="00941A9B"/>
    <w:rsid w:val="00943497"/>
    <w:rsid w:val="00943D86"/>
    <w:rsid w:val="00944548"/>
    <w:rsid w:val="0094526B"/>
    <w:rsid w:val="0094576D"/>
    <w:rsid w:val="00946381"/>
    <w:rsid w:val="009503C4"/>
    <w:rsid w:val="0095120D"/>
    <w:rsid w:val="00951DEC"/>
    <w:rsid w:val="00952035"/>
    <w:rsid w:val="009551E6"/>
    <w:rsid w:val="00957888"/>
    <w:rsid w:val="00960344"/>
    <w:rsid w:val="009603FA"/>
    <w:rsid w:val="00962272"/>
    <w:rsid w:val="00962B28"/>
    <w:rsid w:val="00962ED1"/>
    <w:rsid w:val="00963820"/>
    <w:rsid w:val="00963AE3"/>
    <w:rsid w:val="00964755"/>
    <w:rsid w:val="00971658"/>
    <w:rsid w:val="00973F7B"/>
    <w:rsid w:val="0097436A"/>
    <w:rsid w:val="0097443C"/>
    <w:rsid w:val="00980B55"/>
    <w:rsid w:val="00980D06"/>
    <w:rsid w:val="00981F27"/>
    <w:rsid w:val="0098349A"/>
    <w:rsid w:val="00983D8C"/>
    <w:rsid w:val="0098431B"/>
    <w:rsid w:val="009854D1"/>
    <w:rsid w:val="00986637"/>
    <w:rsid w:val="0098737E"/>
    <w:rsid w:val="00987F92"/>
    <w:rsid w:val="0099168A"/>
    <w:rsid w:val="00992587"/>
    <w:rsid w:val="009939F2"/>
    <w:rsid w:val="00993C9B"/>
    <w:rsid w:val="009967EC"/>
    <w:rsid w:val="00996C7A"/>
    <w:rsid w:val="0099739A"/>
    <w:rsid w:val="009A0D71"/>
    <w:rsid w:val="009A0E17"/>
    <w:rsid w:val="009A49FB"/>
    <w:rsid w:val="009A4D8C"/>
    <w:rsid w:val="009A678B"/>
    <w:rsid w:val="009A789C"/>
    <w:rsid w:val="009B0009"/>
    <w:rsid w:val="009B0B84"/>
    <w:rsid w:val="009B167C"/>
    <w:rsid w:val="009B171E"/>
    <w:rsid w:val="009B1786"/>
    <w:rsid w:val="009B1AE1"/>
    <w:rsid w:val="009B438E"/>
    <w:rsid w:val="009B5DA7"/>
    <w:rsid w:val="009C07C4"/>
    <w:rsid w:val="009C21E2"/>
    <w:rsid w:val="009C2C77"/>
    <w:rsid w:val="009C32E2"/>
    <w:rsid w:val="009C630D"/>
    <w:rsid w:val="009C6CA9"/>
    <w:rsid w:val="009D0FD7"/>
    <w:rsid w:val="009D1062"/>
    <w:rsid w:val="009D1FE4"/>
    <w:rsid w:val="009D7893"/>
    <w:rsid w:val="009E4FAB"/>
    <w:rsid w:val="009E5334"/>
    <w:rsid w:val="009E6778"/>
    <w:rsid w:val="009F05B7"/>
    <w:rsid w:val="009F12CA"/>
    <w:rsid w:val="009F1636"/>
    <w:rsid w:val="009F382B"/>
    <w:rsid w:val="009F383E"/>
    <w:rsid w:val="009F489E"/>
    <w:rsid w:val="009F522C"/>
    <w:rsid w:val="009F64B8"/>
    <w:rsid w:val="009F7734"/>
    <w:rsid w:val="009F7761"/>
    <w:rsid w:val="00A022F7"/>
    <w:rsid w:val="00A03A42"/>
    <w:rsid w:val="00A03AF9"/>
    <w:rsid w:val="00A042E9"/>
    <w:rsid w:val="00A051EB"/>
    <w:rsid w:val="00A06F72"/>
    <w:rsid w:val="00A13264"/>
    <w:rsid w:val="00A16780"/>
    <w:rsid w:val="00A237BD"/>
    <w:rsid w:val="00A27F38"/>
    <w:rsid w:val="00A41451"/>
    <w:rsid w:val="00A43237"/>
    <w:rsid w:val="00A46CFB"/>
    <w:rsid w:val="00A5049B"/>
    <w:rsid w:val="00A51A6D"/>
    <w:rsid w:val="00A5249D"/>
    <w:rsid w:val="00A52977"/>
    <w:rsid w:val="00A53215"/>
    <w:rsid w:val="00A55A15"/>
    <w:rsid w:val="00A55C00"/>
    <w:rsid w:val="00A55E95"/>
    <w:rsid w:val="00A562D5"/>
    <w:rsid w:val="00A570B6"/>
    <w:rsid w:val="00A612BA"/>
    <w:rsid w:val="00A615CD"/>
    <w:rsid w:val="00A63AA7"/>
    <w:rsid w:val="00A64327"/>
    <w:rsid w:val="00A679FC"/>
    <w:rsid w:val="00A67FE8"/>
    <w:rsid w:val="00A70562"/>
    <w:rsid w:val="00A7068F"/>
    <w:rsid w:val="00A71B89"/>
    <w:rsid w:val="00A73E41"/>
    <w:rsid w:val="00A775DC"/>
    <w:rsid w:val="00A81317"/>
    <w:rsid w:val="00A813A8"/>
    <w:rsid w:val="00A82835"/>
    <w:rsid w:val="00A83355"/>
    <w:rsid w:val="00A83BE4"/>
    <w:rsid w:val="00A86A86"/>
    <w:rsid w:val="00A901DA"/>
    <w:rsid w:val="00A94AEB"/>
    <w:rsid w:val="00A9654C"/>
    <w:rsid w:val="00A96DDD"/>
    <w:rsid w:val="00A96F0B"/>
    <w:rsid w:val="00A9766F"/>
    <w:rsid w:val="00AA16D7"/>
    <w:rsid w:val="00AA32CC"/>
    <w:rsid w:val="00AA4752"/>
    <w:rsid w:val="00AA4AB9"/>
    <w:rsid w:val="00AA507D"/>
    <w:rsid w:val="00AA64A8"/>
    <w:rsid w:val="00AA7402"/>
    <w:rsid w:val="00AB01E6"/>
    <w:rsid w:val="00AB0AEA"/>
    <w:rsid w:val="00AB44EA"/>
    <w:rsid w:val="00AB5645"/>
    <w:rsid w:val="00AC09D3"/>
    <w:rsid w:val="00AC35C1"/>
    <w:rsid w:val="00AC411F"/>
    <w:rsid w:val="00AC54F2"/>
    <w:rsid w:val="00AC562F"/>
    <w:rsid w:val="00AD21D4"/>
    <w:rsid w:val="00AD44DC"/>
    <w:rsid w:val="00AE0026"/>
    <w:rsid w:val="00AE0DB0"/>
    <w:rsid w:val="00AE163C"/>
    <w:rsid w:val="00AE239B"/>
    <w:rsid w:val="00AE29F6"/>
    <w:rsid w:val="00AE3961"/>
    <w:rsid w:val="00AE45CF"/>
    <w:rsid w:val="00AE4821"/>
    <w:rsid w:val="00AE6277"/>
    <w:rsid w:val="00AE62CA"/>
    <w:rsid w:val="00AE6B74"/>
    <w:rsid w:val="00AE709F"/>
    <w:rsid w:val="00AE75F2"/>
    <w:rsid w:val="00AF0E38"/>
    <w:rsid w:val="00AF1625"/>
    <w:rsid w:val="00AF23D0"/>
    <w:rsid w:val="00AF3D37"/>
    <w:rsid w:val="00AF7608"/>
    <w:rsid w:val="00B01E33"/>
    <w:rsid w:val="00B02E7C"/>
    <w:rsid w:val="00B052EE"/>
    <w:rsid w:val="00B060F0"/>
    <w:rsid w:val="00B07B3F"/>
    <w:rsid w:val="00B125D2"/>
    <w:rsid w:val="00B17325"/>
    <w:rsid w:val="00B263DE"/>
    <w:rsid w:val="00B27213"/>
    <w:rsid w:val="00B31474"/>
    <w:rsid w:val="00B319D5"/>
    <w:rsid w:val="00B32A86"/>
    <w:rsid w:val="00B33911"/>
    <w:rsid w:val="00B3688A"/>
    <w:rsid w:val="00B42032"/>
    <w:rsid w:val="00B453F8"/>
    <w:rsid w:val="00B45EF1"/>
    <w:rsid w:val="00B46C7E"/>
    <w:rsid w:val="00B51353"/>
    <w:rsid w:val="00B535F9"/>
    <w:rsid w:val="00B5475A"/>
    <w:rsid w:val="00B54A0D"/>
    <w:rsid w:val="00B5513C"/>
    <w:rsid w:val="00B578A6"/>
    <w:rsid w:val="00B57D3D"/>
    <w:rsid w:val="00B6312C"/>
    <w:rsid w:val="00B632CC"/>
    <w:rsid w:val="00B6486F"/>
    <w:rsid w:val="00B64EB6"/>
    <w:rsid w:val="00B65462"/>
    <w:rsid w:val="00B6598D"/>
    <w:rsid w:val="00B705FD"/>
    <w:rsid w:val="00B714E9"/>
    <w:rsid w:val="00B752D6"/>
    <w:rsid w:val="00B7775A"/>
    <w:rsid w:val="00B80CF2"/>
    <w:rsid w:val="00B816DB"/>
    <w:rsid w:val="00B8340F"/>
    <w:rsid w:val="00B83458"/>
    <w:rsid w:val="00B83836"/>
    <w:rsid w:val="00B84113"/>
    <w:rsid w:val="00B8695D"/>
    <w:rsid w:val="00B86FA5"/>
    <w:rsid w:val="00B916C0"/>
    <w:rsid w:val="00B91C29"/>
    <w:rsid w:val="00B92E0A"/>
    <w:rsid w:val="00B96A98"/>
    <w:rsid w:val="00BA1D48"/>
    <w:rsid w:val="00BA2035"/>
    <w:rsid w:val="00BA2124"/>
    <w:rsid w:val="00BA2CFA"/>
    <w:rsid w:val="00BA67A0"/>
    <w:rsid w:val="00BA78E0"/>
    <w:rsid w:val="00BB2009"/>
    <w:rsid w:val="00BB426A"/>
    <w:rsid w:val="00BB74B5"/>
    <w:rsid w:val="00BC2693"/>
    <w:rsid w:val="00BC2F03"/>
    <w:rsid w:val="00BC75DB"/>
    <w:rsid w:val="00BD2064"/>
    <w:rsid w:val="00BD3C20"/>
    <w:rsid w:val="00BD4D08"/>
    <w:rsid w:val="00BD5932"/>
    <w:rsid w:val="00BD6763"/>
    <w:rsid w:val="00BD6F15"/>
    <w:rsid w:val="00BD77D4"/>
    <w:rsid w:val="00BE1BD7"/>
    <w:rsid w:val="00BE71E9"/>
    <w:rsid w:val="00BF1330"/>
    <w:rsid w:val="00BF40A7"/>
    <w:rsid w:val="00BF5952"/>
    <w:rsid w:val="00BF6D39"/>
    <w:rsid w:val="00BF776D"/>
    <w:rsid w:val="00BF7C3B"/>
    <w:rsid w:val="00C0128D"/>
    <w:rsid w:val="00C02165"/>
    <w:rsid w:val="00C027AD"/>
    <w:rsid w:val="00C03334"/>
    <w:rsid w:val="00C045F1"/>
    <w:rsid w:val="00C0646D"/>
    <w:rsid w:val="00C107C1"/>
    <w:rsid w:val="00C11DA4"/>
    <w:rsid w:val="00C12016"/>
    <w:rsid w:val="00C14D08"/>
    <w:rsid w:val="00C163F2"/>
    <w:rsid w:val="00C1715B"/>
    <w:rsid w:val="00C1793F"/>
    <w:rsid w:val="00C21DDF"/>
    <w:rsid w:val="00C22333"/>
    <w:rsid w:val="00C229E4"/>
    <w:rsid w:val="00C25FC0"/>
    <w:rsid w:val="00C26E23"/>
    <w:rsid w:val="00C279BA"/>
    <w:rsid w:val="00C30CC5"/>
    <w:rsid w:val="00C33A79"/>
    <w:rsid w:val="00C34438"/>
    <w:rsid w:val="00C40A45"/>
    <w:rsid w:val="00C41513"/>
    <w:rsid w:val="00C4631F"/>
    <w:rsid w:val="00C4698B"/>
    <w:rsid w:val="00C474D2"/>
    <w:rsid w:val="00C5406A"/>
    <w:rsid w:val="00C54DC6"/>
    <w:rsid w:val="00C63F33"/>
    <w:rsid w:val="00C63FCA"/>
    <w:rsid w:val="00C643FA"/>
    <w:rsid w:val="00C718DD"/>
    <w:rsid w:val="00C71FD8"/>
    <w:rsid w:val="00C7257B"/>
    <w:rsid w:val="00C72EE4"/>
    <w:rsid w:val="00C75332"/>
    <w:rsid w:val="00C75B09"/>
    <w:rsid w:val="00C75F41"/>
    <w:rsid w:val="00C821A8"/>
    <w:rsid w:val="00C83123"/>
    <w:rsid w:val="00C8645E"/>
    <w:rsid w:val="00C90739"/>
    <w:rsid w:val="00C909DE"/>
    <w:rsid w:val="00C9506C"/>
    <w:rsid w:val="00CA0CB3"/>
    <w:rsid w:val="00CA128D"/>
    <w:rsid w:val="00CA202C"/>
    <w:rsid w:val="00CA24A7"/>
    <w:rsid w:val="00CA41FA"/>
    <w:rsid w:val="00CA4604"/>
    <w:rsid w:val="00CA4B44"/>
    <w:rsid w:val="00CA62C1"/>
    <w:rsid w:val="00CA695F"/>
    <w:rsid w:val="00CA741A"/>
    <w:rsid w:val="00CB1778"/>
    <w:rsid w:val="00CB30E6"/>
    <w:rsid w:val="00CB4BFC"/>
    <w:rsid w:val="00CC349F"/>
    <w:rsid w:val="00CC48DF"/>
    <w:rsid w:val="00CC5594"/>
    <w:rsid w:val="00CC5A7E"/>
    <w:rsid w:val="00CD484B"/>
    <w:rsid w:val="00CD691D"/>
    <w:rsid w:val="00CD7B7B"/>
    <w:rsid w:val="00CE02E1"/>
    <w:rsid w:val="00CE1A93"/>
    <w:rsid w:val="00CE2625"/>
    <w:rsid w:val="00CE2DDE"/>
    <w:rsid w:val="00CE3FB9"/>
    <w:rsid w:val="00CE666D"/>
    <w:rsid w:val="00CE750F"/>
    <w:rsid w:val="00CF0E8D"/>
    <w:rsid w:val="00CF2128"/>
    <w:rsid w:val="00CF2BE9"/>
    <w:rsid w:val="00CF5A22"/>
    <w:rsid w:val="00D00496"/>
    <w:rsid w:val="00D0164B"/>
    <w:rsid w:val="00D01F24"/>
    <w:rsid w:val="00D02489"/>
    <w:rsid w:val="00D044F2"/>
    <w:rsid w:val="00D05B7A"/>
    <w:rsid w:val="00D10620"/>
    <w:rsid w:val="00D16DD6"/>
    <w:rsid w:val="00D17D3A"/>
    <w:rsid w:val="00D20EAF"/>
    <w:rsid w:val="00D20ED6"/>
    <w:rsid w:val="00D217F0"/>
    <w:rsid w:val="00D22FF4"/>
    <w:rsid w:val="00D267FD"/>
    <w:rsid w:val="00D27704"/>
    <w:rsid w:val="00D307AF"/>
    <w:rsid w:val="00D31237"/>
    <w:rsid w:val="00D31660"/>
    <w:rsid w:val="00D31FD8"/>
    <w:rsid w:val="00D3245A"/>
    <w:rsid w:val="00D32B18"/>
    <w:rsid w:val="00D3464F"/>
    <w:rsid w:val="00D347C8"/>
    <w:rsid w:val="00D4313E"/>
    <w:rsid w:val="00D446E8"/>
    <w:rsid w:val="00D44EDE"/>
    <w:rsid w:val="00D474B4"/>
    <w:rsid w:val="00D477B5"/>
    <w:rsid w:val="00D5053F"/>
    <w:rsid w:val="00D51458"/>
    <w:rsid w:val="00D53537"/>
    <w:rsid w:val="00D53B20"/>
    <w:rsid w:val="00D5582E"/>
    <w:rsid w:val="00D603F8"/>
    <w:rsid w:val="00D60F99"/>
    <w:rsid w:val="00D614A0"/>
    <w:rsid w:val="00D626D2"/>
    <w:rsid w:val="00D6349A"/>
    <w:rsid w:val="00D72302"/>
    <w:rsid w:val="00D7328F"/>
    <w:rsid w:val="00D73AC0"/>
    <w:rsid w:val="00D750B2"/>
    <w:rsid w:val="00D75BAA"/>
    <w:rsid w:val="00D7791D"/>
    <w:rsid w:val="00D8020D"/>
    <w:rsid w:val="00D806CF"/>
    <w:rsid w:val="00D854D1"/>
    <w:rsid w:val="00D8626C"/>
    <w:rsid w:val="00D86504"/>
    <w:rsid w:val="00D86798"/>
    <w:rsid w:val="00D873EF"/>
    <w:rsid w:val="00D91090"/>
    <w:rsid w:val="00D93207"/>
    <w:rsid w:val="00D9381D"/>
    <w:rsid w:val="00D93830"/>
    <w:rsid w:val="00D95E1D"/>
    <w:rsid w:val="00DA0C0B"/>
    <w:rsid w:val="00DA2423"/>
    <w:rsid w:val="00DA4BDA"/>
    <w:rsid w:val="00DA55E7"/>
    <w:rsid w:val="00DB0F5E"/>
    <w:rsid w:val="00DB30FB"/>
    <w:rsid w:val="00DB3F3E"/>
    <w:rsid w:val="00DB57AC"/>
    <w:rsid w:val="00DB7446"/>
    <w:rsid w:val="00DC0AE0"/>
    <w:rsid w:val="00DC2FF4"/>
    <w:rsid w:val="00DC4EB8"/>
    <w:rsid w:val="00DC5564"/>
    <w:rsid w:val="00DC72FE"/>
    <w:rsid w:val="00DD52C3"/>
    <w:rsid w:val="00DD604D"/>
    <w:rsid w:val="00DE0768"/>
    <w:rsid w:val="00DE1574"/>
    <w:rsid w:val="00DF104E"/>
    <w:rsid w:val="00DF49DB"/>
    <w:rsid w:val="00DF5A63"/>
    <w:rsid w:val="00DF5ECF"/>
    <w:rsid w:val="00DF5EED"/>
    <w:rsid w:val="00DF7CEF"/>
    <w:rsid w:val="00E00835"/>
    <w:rsid w:val="00E04E3A"/>
    <w:rsid w:val="00E074D3"/>
    <w:rsid w:val="00E07D69"/>
    <w:rsid w:val="00E143C9"/>
    <w:rsid w:val="00E2412B"/>
    <w:rsid w:val="00E3033C"/>
    <w:rsid w:val="00E30677"/>
    <w:rsid w:val="00E3268C"/>
    <w:rsid w:val="00E341AD"/>
    <w:rsid w:val="00E3517D"/>
    <w:rsid w:val="00E3623B"/>
    <w:rsid w:val="00E364D1"/>
    <w:rsid w:val="00E3672A"/>
    <w:rsid w:val="00E36735"/>
    <w:rsid w:val="00E40C82"/>
    <w:rsid w:val="00E442FB"/>
    <w:rsid w:val="00E44F65"/>
    <w:rsid w:val="00E458E1"/>
    <w:rsid w:val="00E513E8"/>
    <w:rsid w:val="00E527CC"/>
    <w:rsid w:val="00E52CBB"/>
    <w:rsid w:val="00E536D1"/>
    <w:rsid w:val="00E53ABC"/>
    <w:rsid w:val="00E54D22"/>
    <w:rsid w:val="00E556D9"/>
    <w:rsid w:val="00E55EDC"/>
    <w:rsid w:val="00E562BF"/>
    <w:rsid w:val="00E608BD"/>
    <w:rsid w:val="00E61577"/>
    <w:rsid w:val="00E64525"/>
    <w:rsid w:val="00E64819"/>
    <w:rsid w:val="00E66128"/>
    <w:rsid w:val="00E705AE"/>
    <w:rsid w:val="00E712DD"/>
    <w:rsid w:val="00E715F0"/>
    <w:rsid w:val="00E734D2"/>
    <w:rsid w:val="00E736B3"/>
    <w:rsid w:val="00E73E8F"/>
    <w:rsid w:val="00E742E5"/>
    <w:rsid w:val="00E760E7"/>
    <w:rsid w:val="00E812DB"/>
    <w:rsid w:val="00E848FE"/>
    <w:rsid w:val="00E90DBD"/>
    <w:rsid w:val="00E936D4"/>
    <w:rsid w:val="00E94A2D"/>
    <w:rsid w:val="00E9593E"/>
    <w:rsid w:val="00E9615E"/>
    <w:rsid w:val="00E96286"/>
    <w:rsid w:val="00EA2313"/>
    <w:rsid w:val="00EA3D9A"/>
    <w:rsid w:val="00EA4146"/>
    <w:rsid w:val="00EA5225"/>
    <w:rsid w:val="00EA52C4"/>
    <w:rsid w:val="00EA6DA2"/>
    <w:rsid w:val="00EA7259"/>
    <w:rsid w:val="00EB06EB"/>
    <w:rsid w:val="00EB239C"/>
    <w:rsid w:val="00EB5EBA"/>
    <w:rsid w:val="00EC1E20"/>
    <w:rsid w:val="00EC6912"/>
    <w:rsid w:val="00EC7C1D"/>
    <w:rsid w:val="00ED27C5"/>
    <w:rsid w:val="00ED6672"/>
    <w:rsid w:val="00ED7DF3"/>
    <w:rsid w:val="00EE1341"/>
    <w:rsid w:val="00EE2658"/>
    <w:rsid w:val="00EE2A5F"/>
    <w:rsid w:val="00EE2AA7"/>
    <w:rsid w:val="00EE6FFE"/>
    <w:rsid w:val="00EF2BB6"/>
    <w:rsid w:val="00EF40CA"/>
    <w:rsid w:val="00EF467D"/>
    <w:rsid w:val="00EF5C77"/>
    <w:rsid w:val="00EF6DA6"/>
    <w:rsid w:val="00EF7419"/>
    <w:rsid w:val="00EF7CE8"/>
    <w:rsid w:val="00F00867"/>
    <w:rsid w:val="00F022E9"/>
    <w:rsid w:val="00F05513"/>
    <w:rsid w:val="00F10C83"/>
    <w:rsid w:val="00F12314"/>
    <w:rsid w:val="00F12469"/>
    <w:rsid w:val="00F15302"/>
    <w:rsid w:val="00F15385"/>
    <w:rsid w:val="00F167D8"/>
    <w:rsid w:val="00F16D63"/>
    <w:rsid w:val="00F17BB0"/>
    <w:rsid w:val="00F22F0A"/>
    <w:rsid w:val="00F237E6"/>
    <w:rsid w:val="00F27342"/>
    <w:rsid w:val="00F27CEF"/>
    <w:rsid w:val="00F316EC"/>
    <w:rsid w:val="00F344C1"/>
    <w:rsid w:val="00F35028"/>
    <w:rsid w:val="00F36EFA"/>
    <w:rsid w:val="00F378F5"/>
    <w:rsid w:val="00F37A8D"/>
    <w:rsid w:val="00F401BE"/>
    <w:rsid w:val="00F42F27"/>
    <w:rsid w:val="00F4395F"/>
    <w:rsid w:val="00F47A35"/>
    <w:rsid w:val="00F52E95"/>
    <w:rsid w:val="00F53265"/>
    <w:rsid w:val="00F54D6A"/>
    <w:rsid w:val="00F55406"/>
    <w:rsid w:val="00F56893"/>
    <w:rsid w:val="00F56A1A"/>
    <w:rsid w:val="00F62482"/>
    <w:rsid w:val="00F62D45"/>
    <w:rsid w:val="00F7119D"/>
    <w:rsid w:val="00F71B9C"/>
    <w:rsid w:val="00F71BAD"/>
    <w:rsid w:val="00F72229"/>
    <w:rsid w:val="00F733BF"/>
    <w:rsid w:val="00F7422E"/>
    <w:rsid w:val="00F74DDF"/>
    <w:rsid w:val="00F76A6E"/>
    <w:rsid w:val="00F76FC6"/>
    <w:rsid w:val="00F77CB3"/>
    <w:rsid w:val="00F80959"/>
    <w:rsid w:val="00F80FB4"/>
    <w:rsid w:val="00F8652F"/>
    <w:rsid w:val="00F874E4"/>
    <w:rsid w:val="00F91EE7"/>
    <w:rsid w:val="00F91FF2"/>
    <w:rsid w:val="00F937E2"/>
    <w:rsid w:val="00F93D7F"/>
    <w:rsid w:val="00F962AE"/>
    <w:rsid w:val="00F97EDD"/>
    <w:rsid w:val="00FA1142"/>
    <w:rsid w:val="00FA491F"/>
    <w:rsid w:val="00FA5FB2"/>
    <w:rsid w:val="00FA702B"/>
    <w:rsid w:val="00FA7A0D"/>
    <w:rsid w:val="00FB0A3B"/>
    <w:rsid w:val="00FB444B"/>
    <w:rsid w:val="00FB500B"/>
    <w:rsid w:val="00FB5F3F"/>
    <w:rsid w:val="00FC1272"/>
    <w:rsid w:val="00FC15FB"/>
    <w:rsid w:val="00FC17B9"/>
    <w:rsid w:val="00FC23CF"/>
    <w:rsid w:val="00FC305D"/>
    <w:rsid w:val="00FC34BF"/>
    <w:rsid w:val="00FC7F73"/>
    <w:rsid w:val="00FD0F1C"/>
    <w:rsid w:val="00FD27C6"/>
    <w:rsid w:val="00FD5924"/>
    <w:rsid w:val="00FD6D8F"/>
    <w:rsid w:val="00FD75DA"/>
    <w:rsid w:val="00FE0D28"/>
    <w:rsid w:val="00FE132B"/>
    <w:rsid w:val="00FE3F4F"/>
    <w:rsid w:val="00FE444E"/>
    <w:rsid w:val="00FE75CE"/>
    <w:rsid w:val="00FF1467"/>
    <w:rsid w:val="00FF6596"/>
    <w:rsid w:val="00FF76BE"/>
    <w:rsid w:val="00FF7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3C4F7"/>
  <w14:defaultImageDpi w14:val="96"/>
  <w15:docId w15:val="{52F6ED89-F5F3-4301-8BC8-3A8F9A55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7CC"/>
    <w:pPr>
      <w:suppressAutoHyphens/>
      <w:spacing w:before="160" w:after="160" w:line="360" w:lineRule="auto"/>
    </w:pPr>
  </w:style>
  <w:style w:type="paragraph" w:styleId="Heading1">
    <w:name w:val="heading 1"/>
    <w:basedOn w:val="Normal"/>
    <w:next w:val="Normal"/>
    <w:link w:val="Heading1Char"/>
    <w:uiPriority w:val="99"/>
    <w:qFormat/>
    <w:rsid w:val="0006104A"/>
    <w:pPr>
      <w:keepNext/>
      <w:spacing w:before="240" w:after="60" w:line="240" w:lineRule="auto"/>
      <w:outlineLvl w:val="0"/>
    </w:pPr>
    <w:rPr>
      <w:b/>
      <w:bCs/>
      <w:kern w:val="32"/>
      <w:sz w:val="36"/>
      <w:szCs w:val="32"/>
    </w:rPr>
  </w:style>
  <w:style w:type="paragraph" w:styleId="Heading2">
    <w:name w:val="heading 2"/>
    <w:basedOn w:val="Normal"/>
    <w:next w:val="Normal"/>
    <w:link w:val="Heading2Char"/>
    <w:uiPriority w:val="99"/>
    <w:unhideWhenUsed/>
    <w:qFormat/>
    <w:rsid w:val="00173049"/>
    <w:pPr>
      <w:keepNext/>
      <w:spacing w:before="240" w:after="120" w:line="240" w:lineRule="auto"/>
      <w:outlineLvl w:val="1"/>
    </w:pPr>
    <w:rPr>
      <w:b/>
      <w:bCs/>
      <w:iCs/>
      <w:sz w:val="32"/>
      <w:szCs w:val="28"/>
    </w:rPr>
  </w:style>
  <w:style w:type="paragraph" w:styleId="Heading3">
    <w:name w:val="heading 3"/>
    <w:basedOn w:val="Normal"/>
    <w:next w:val="Normal"/>
    <w:link w:val="Heading3Char"/>
    <w:uiPriority w:val="99"/>
    <w:unhideWhenUsed/>
    <w:qFormat/>
    <w:rsid w:val="00C0128D"/>
    <w:pPr>
      <w:keepNext/>
      <w:spacing w:before="240" w:after="60" w:line="240" w:lineRule="auto"/>
      <w:outlineLvl w:val="2"/>
    </w:pPr>
    <w:rPr>
      <w:b/>
      <w:bCs/>
      <w:sz w:val="26"/>
      <w:szCs w:val="26"/>
    </w:rPr>
  </w:style>
  <w:style w:type="paragraph" w:styleId="Heading4">
    <w:name w:val="heading 4"/>
    <w:basedOn w:val="Normal"/>
    <w:next w:val="Normal"/>
    <w:link w:val="Heading4Char"/>
    <w:uiPriority w:val="9"/>
    <w:unhideWhenUsed/>
    <w:qFormat/>
    <w:rsid w:val="008A1C48"/>
    <w:pPr>
      <w:keepNext/>
      <w:spacing w:before="240" w:after="60"/>
      <w:outlineLvl w:val="3"/>
    </w:pPr>
    <w:rPr>
      <w:b/>
      <w:bCs/>
      <w:i/>
      <w:szCs w:val="28"/>
    </w:rPr>
  </w:style>
  <w:style w:type="paragraph" w:styleId="Heading5">
    <w:name w:val="heading 5"/>
    <w:basedOn w:val="Normal"/>
    <w:next w:val="Normal"/>
    <w:link w:val="Heading5Char"/>
    <w:uiPriority w:val="9"/>
    <w:semiHidden/>
    <w:unhideWhenUsed/>
    <w:qFormat/>
    <w:rsid w:val="0070338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03380"/>
    <w:pPr>
      <w:numPr>
        <w:ilvl w:val="5"/>
        <w:numId w:val="1"/>
      </w:num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703380"/>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703380"/>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703380"/>
    <w:pPr>
      <w:numPr>
        <w:ilvl w:val="8"/>
        <w:numId w:val="1"/>
      </w:num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Helvetica Regular" w:hAnsi="Helvetica Regular" w:cs="Helvetica Regular"/>
      <w:color w:val="000000"/>
      <w:lang w:val="en-GB"/>
    </w:rPr>
  </w:style>
  <w:style w:type="paragraph" w:customStyle="1" w:styleId="SectionTitleTitlePage">
    <w:name w:val="Section Title (Title Page)"/>
    <w:basedOn w:val="NoParagraphStyle"/>
    <w:uiPriority w:val="99"/>
    <w:pPr>
      <w:pageBreakBefore/>
      <w:suppressAutoHyphens/>
      <w:spacing w:after="520" w:line="680" w:lineRule="atLeast"/>
    </w:pPr>
    <w:rPr>
      <w:rFonts w:ascii="ITC Franklin Gothic Book" w:hAnsi="ITC Franklin Gothic Book" w:cs="ITC Franklin Gothic Book"/>
      <w:color w:val="246754"/>
      <w:sz w:val="60"/>
      <w:szCs w:val="60"/>
      <w:lang w:val="en-US"/>
    </w:rPr>
  </w:style>
  <w:style w:type="paragraph" w:customStyle="1" w:styleId="AnchorGeneralStyles">
    <w:name w:val="Anchor (General Styles)"/>
    <w:basedOn w:val="NoParagraphStyle"/>
    <w:uiPriority w:val="99"/>
    <w:pPr>
      <w:suppressAutoHyphens/>
      <w:spacing w:line="130" w:lineRule="atLeast"/>
    </w:pPr>
    <w:rPr>
      <w:rFonts w:ascii="Gill Sans Std" w:hAnsi="Gill Sans Std" w:cs="Gill Sans Std"/>
      <w:sz w:val="13"/>
      <w:szCs w:val="13"/>
    </w:rPr>
  </w:style>
  <w:style w:type="paragraph" w:customStyle="1" w:styleId="BodynumberedGeneralStyles">
    <w:name w:val="Body numbered (General Styles)"/>
    <w:basedOn w:val="NoParagraphStyle"/>
    <w:uiPriority w:val="99"/>
    <w:pPr>
      <w:tabs>
        <w:tab w:val="left" w:pos="907"/>
      </w:tabs>
      <w:suppressAutoHyphens/>
      <w:spacing w:after="113" w:line="260" w:lineRule="atLeast"/>
      <w:ind w:left="737" w:hanging="737"/>
    </w:pPr>
    <w:rPr>
      <w:rFonts w:ascii="Gill Sans Std Light" w:hAnsi="Gill Sans Std Light" w:cs="Gill Sans Std Light"/>
      <w:sz w:val="21"/>
      <w:szCs w:val="21"/>
      <w:lang w:val="en-US"/>
    </w:rPr>
  </w:style>
  <w:style w:type="paragraph" w:customStyle="1" w:styleId="Body11Pre-bulletBodyParas">
    <w:name w:val="Body 1.1 Pre-bullet (Body Paras)"/>
    <w:basedOn w:val="BodynumberedGeneralStyles"/>
    <w:uiPriority w:val="99"/>
    <w:pPr>
      <w:spacing w:after="57" w:line="270" w:lineRule="atLeast"/>
      <w:ind w:left="454" w:hanging="454"/>
    </w:pPr>
  </w:style>
  <w:style w:type="paragraph" w:customStyle="1" w:styleId="BodyGeneralStyles">
    <w:name w:val="Body (General Styles)"/>
    <w:basedOn w:val="NoParagraphStyle"/>
    <w:uiPriority w:val="99"/>
    <w:pPr>
      <w:suppressAutoHyphens/>
      <w:spacing w:after="135" w:line="270" w:lineRule="atLeast"/>
    </w:pPr>
    <w:rPr>
      <w:rFonts w:ascii="Gill Sans Std Light" w:hAnsi="Gill Sans Std Light" w:cs="Gill Sans Std Light"/>
      <w:sz w:val="21"/>
      <w:szCs w:val="21"/>
      <w:lang w:val="en-US"/>
    </w:rPr>
  </w:style>
  <w:style w:type="paragraph" w:customStyle="1" w:styleId="BulletindentGeneralStyles">
    <w:name w:val="Bullet indent (General Styles)"/>
    <w:basedOn w:val="BodyGeneralStyles"/>
    <w:uiPriority w:val="99"/>
    <w:pPr>
      <w:tabs>
        <w:tab w:val="left" w:pos="907"/>
      </w:tabs>
      <w:spacing w:after="57"/>
      <w:ind w:left="850" w:hanging="227"/>
    </w:pPr>
  </w:style>
  <w:style w:type="paragraph" w:customStyle="1" w:styleId="BulletindentlastGeneralStyles">
    <w:name w:val="Bullet indent last (General Styles)"/>
    <w:basedOn w:val="BulletindentGeneralStyles"/>
    <w:uiPriority w:val="99"/>
    <w:pPr>
      <w:spacing w:after="135"/>
    </w:pPr>
  </w:style>
  <w:style w:type="paragraph" w:customStyle="1" w:styleId="Body11BodyParas">
    <w:name w:val="Body 1.1 (Body Paras)"/>
    <w:basedOn w:val="BodynumberedGeneralStyles"/>
    <w:uiPriority w:val="99"/>
    <w:pPr>
      <w:spacing w:after="130" w:line="270" w:lineRule="atLeast"/>
      <w:ind w:left="510" w:hanging="510"/>
    </w:pPr>
  </w:style>
  <w:style w:type="paragraph" w:customStyle="1" w:styleId="Heading1GeneralStyles">
    <w:name w:val="Heading 1 (General Styles)"/>
    <w:basedOn w:val="NoParagraphStyle"/>
    <w:uiPriority w:val="99"/>
    <w:pPr>
      <w:suppressAutoHyphens/>
      <w:spacing w:before="270" w:after="135" w:line="400" w:lineRule="atLeast"/>
    </w:pPr>
    <w:rPr>
      <w:rFonts w:ascii="ITC Franklin Gothic Book" w:hAnsi="ITC Franklin Gothic Book" w:cs="ITC Franklin Gothic Book"/>
      <w:color w:val="55565A"/>
      <w:sz w:val="36"/>
      <w:szCs w:val="36"/>
      <w:lang w:val="en-US"/>
    </w:rPr>
  </w:style>
  <w:style w:type="paragraph" w:customStyle="1" w:styleId="Body21Pre-bulletBodyParas">
    <w:name w:val="Body 2.1 Pre-bullet (Body Paras)"/>
    <w:basedOn w:val="Body11BodyParas"/>
    <w:uiPriority w:val="99"/>
    <w:pPr>
      <w:spacing w:after="57"/>
    </w:pPr>
  </w:style>
  <w:style w:type="paragraph" w:customStyle="1" w:styleId="Body21BodyParas">
    <w:name w:val="Body 2.1 (Body Paras)"/>
    <w:basedOn w:val="Body11BodyParas"/>
    <w:uiPriority w:val="99"/>
  </w:style>
  <w:style w:type="paragraph" w:customStyle="1" w:styleId="Heading2GeneralStyles">
    <w:name w:val="Heading 2 (General Styles)"/>
    <w:basedOn w:val="NoParagraphStyle"/>
    <w:uiPriority w:val="99"/>
    <w:pPr>
      <w:suppressAutoHyphens/>
      <w:spacing w:before="260" w:after="130" w:line="320" w:lineRule="atLeast"/>
    </w:pPr>
    <w:rPr>
      <w:rFonts w:ascii="ITC Franklin Gothic Book" w:hAnsi="ITC Franklin Gothic Book" w:cs="ITC Franklin Gothic Book"/>
      <w:color w:val="246754"/>
      <w:sz w:val="28"/>
      <w:szCs w:val="28"/>
      <w:lang w:val="en-US"/>
    </w:rPr>
  </w:style>
  <w:style w:type="paragraph" w:customStyle="1" w:styleId="QuoteGeneralStyles">
    <w:name w:val="Quote (General Styles)"/>
    <w:basedOn w:val="BodyGeneralStyles"/>
    <w:uiPriority w:val="99"/>
    <w:pPr>
      <w:ind w:left="794" w:right="57"/>
    </w:pPr>
    <w:rPr>
      <w:sz w:val="19"/>
      <w:szCs w:val="19"/>
    </w:rPr>
  </w:style>
  <w:style w:type="paragraph" w:customStyle="1" w:styleId="Heading3GeneralStyles">
    <w:name w:val="Heading 3 (General Styles)"/>
    <w:basedOn w:val="NoParagraphStyle"/>
    <w:uiPriority w:val="99"/>
    <w:pPr>
      <w:suppressAutoHyphens/>
      <w:spacing w:before="170" w:after="57" w:line="290" w:lineRule="atLeast"/>
    </w:pPr>
    <w:rPr>
      <w:rFonts w:ascii="ITC Franklin Gothic Book" w:hAnsi="ITC Franklin Gothic Book" w:cs="ITC Franklin Gothic Book"/>
      <w:color w:val="55565A"/>
      <w:sz w:val="25"/>
      <w:szCs w:val="25"/>
      <w:lang w:val="en-US"/>
    </w:rPr>
  </w:style>
  <w:style w:type="paragraph" w:customStyle="1" w:styleId="FigureTableTitleFiguresTable">
    <w:name w:val="Figure / Table Title (Figures / Table)"/>
    <w:basedOn w:val="BodyGeneralStyles"/>
    <w:uiPriority w:val="99"/>
    <w:pPr>
      <w:tabs>
        <w:tab w:val="left" w:pos="907"/>
      </w:tabs>
      <w:spacing w:before="113" w:line="200" w:lineRule="atLeast"/>
    </w:pPr>
    <w:rPr>
      <w:rFonts w:ascii="Franklin Gothic Medium" w:hAnsi="Franklin Gothic Medium" w:cs="Franklin Gothic Medium"/>
      <w:sz w:val="16"/>
      <w:szCs w:val="16"/>
    </w:rPr>
  </w:style>
  <w:style w:type="paragraph" w:customStyle="1" w:styleId="Body31BodyParas">
    <w:name w:val="Body 3.1 (Body Paras)"/>
    <w:basedOn w:val="Body11BodyParas"/>
    <w:uiPriority w:val="99"/>
  </w:style>
  <w:style w:type="paragraph" w:customStyle="1" w:styleId="Footnote1-99Footnote">
    <w:name w:val="Footnote 1-99 (Footnote)"/>
    <w:basedOn w:val="NoParagraphStyle"/>
    <w:uiPriority w:val="99"/>
    <w:pPr>
      <w:tabs>
        <w:tab w:val="left" w:pos="255"/>
      </w:tabs>
      <w:suppressAutoHyphens/>
      <w:spacing w:after="113" w:line="180" w:lineRule="atLeast"/>
      <w:ind w:left="255" w:hanging="255"/>
    </w:pPr>
    <w:rPr>
      <w:rFonts w:ascii="Gill Sans Std Light" w:hAnsi="Gill Sans Std Light" w:cs="Gill Sans Std Light"/>
      <w:sz w:val="15"/>
      <w:szCs w:val="15"/>
      <w:lang w:val="en-US"/>
    </w:rPr>
  </w:style>
  <w:style w:type="paragraph" w:customStyle="1" w:styleId="Body31Pre-bulletBodyParas">
    <w:name w:val="Body 3.1 Pre-bullet (Body Paras)"/>
    <w:basedOn w:val="Body11BodyParas"/>
    <w:uiPriority w:val="99"/>
    <w:pPr>
      <w:spacing w:after="58"/>
    </w:pPr>
  </w:style>
  <w:style w:type="paragraph" w:customStyle="1" w:styleId="BodyindentGeneralStyles">
    <w:name w:val="Body indent (General Styles)"/>
    <w:basedOn w:val="BodyGeneralStyles"/>
    <w:uiPriority w:val="99"/>
    <w:pPr>
      <w:ind w:left="510"/>
    </w:pPr>
  </w:style>
  <w:style w:type="paragraph" w:customStyle="1" w:styleId="Body41Pre-BulletBodyParas">
    <w:name w:val="Body 4.1 Pre-Bullet (Body Paras)"/>
    <w:basedOn w:val="Body11BodyParas"/>
    <w:uiPriority w:val="99"/>
    <w:pPr>
      <w:spacing w:after="58"/>
    </w:pPr>
  </w:style>
  <w:style w:type="paragraph" w:customStyle="1" w:styleId="Body41BodyParas">
    <w:name w:val="Body 4.1 (Body Paras)"/>
    <w:basedOn w:val="Body11BodyParas"/>
    <w:uiPriority w:val="99"/>
  </w:style>
  <w:style w:type="paragraph" w:customStyle="1" w:styleId="Body51Pre-bulletBodyParas">
    <w:name w:val="Body 5.1 Pre-bullet (Body Paras)"/>
    <w:basedOn w:val="Body11BodyParas"/>
    <w:uiPriority w:val="99"/>
    <w:pPr>
      <w:spacing w:after="58"/>
    </w:pPr>
  </w:style>
  <w:style w:type="paragraph" w:customStyle="1" w:styleId="Body51BodyParas">
    <w:name w:val="Body 5.1 (Body Paras)"/>
    <w:basedOn w:val="Body11BodyParas"/>
    <w:uiPriority w:val="99"/>
  </w:style>
  <w:style w:type="paragraph" w:customStyle="1" w:styleId="Body61Pre-bulletBodyParas">
    <w:name w:val="Body 6.1 Pre-bullet (Body Paras)"/>
    <w:basedOn w:val="Body11BodyParas"/>
    <w:uiPriority w:val="99"/>
    <w:pPr>
      <w:spacing w:after="58"/>
    </w:pPr>
  </w:style>
  <w:style w:type="paragraph" w:customStyle="1" w:styleId="Body61BodyParas">
    <w:name w:val="Body 6.1 (Body Paras)"/>
    <w:basedOn w:val="Body11BodyParas"/>
    <w:uiPriority w:val="99"/>
  </w:style>
  <w:style w:type="paragraph" w:customStyle="1" w:styleId="Body71BodyParas">
    <w:name w:val="Body 7.1 (Body Paras)"/>
    <w:basedOn w:val="Body11BodyParas"/>
    <w:uiPriority w:val="99"/>
  </w:style>
  <w:style w:type="paragraph" w:customStyle="1" w:styleId="Body71Pre-bulletBodyParas">
    <w:name w:val="Body 7.1 Pre-bullet (Body Paras)"/>
    <w:basedOn w:val="Body11BodyParas"/>
    <w:uiPriority w:val="99"/>
    <w:pPr>
      <w:spacing w:after="58"/>
    </w:pPr>
  </w:style>
  <w:style w:type="paragraph" w:customStyle="1" w:styleId="GlossaryEntryGeneralStyles">
    <w:name w:val="Glossary Entry (General Styles)"/>
    <w:basedOn w:val="NoParagraphStyle"/>
    <w:uiPriority w:val="99"/>
    <w:pPr>
      <w:suppressAutoHyphens/>
      <w:spacing w:line="230" w:lineRule="atLeast"/>
    </w:pPr>
    <w:rPr>
      <w:rFonts w:ascii="ITC Franklin Gothic Book" w:hAnsi="ITC Franklin Gothic Book" w:cs="ITC Franklin Gothic Book"/>
      <w:color w:val="246754"/>
      <w:sz w:val="20"/>
      <w:szCs w:val="20"/>
      <w:lang w:val="en-US"/>
    </w:rPr>
  </w:style>
  <w:style w:type="paragraph" w:customStyle="1" w:styleId="BodyPre-bulletGeneralStyles">
    <w:name w:val="Body Pre-bullet (General Styles)"/>
    <w:basedOn w:val="NoParagraphStyle"/>
    <w:uiPriority w:val="99"/>
    <w:pPr>
      <w:suppressAutoHyphens/>
      <w:spacing w:after="57" w:line="270" w:lineRule="atLeast"/>
    </w:pPr>
    <w:rPr>
      <w:rFonts w:ascii="Gill Sans Std Light" w:hAnsi="Gill Sans Std Light" w:cs="Gill Sans Std Light"/>
      <w:sz w:val="21"/>
      <w:szCs w:val="21"/>
      <w:lang w:val="en-US"/>
    </w:rPr>
  </w:style>
  <w:style w:type="paragraph" w:customStyle="1" w:styleId="BulletGeneralStyles">
    <w:name w:val="Bullet (General Styles)"/>
    <w:basedOn w:val="BodyGeneralStyles"/>
    <w:uiPriority w:val="99"/>
    <w:pPr>
      <w:tabs>
        <w:tab w:val="left" w:pos="907"/>
      </w:tabs>
      <w:spacing w:after="57"/>
      <w:ind w:left="360" w:hanging="170"/>
    </w:pPr>
  </w:style>
  <w:style w:type="paragraph" w:customStyle="1" w:styleId="TableHeadingLeftFiguresTable">
    <w:name w:val="Table Heading Left (Figures / Table)"/>
    <w:basedOn w:val="BodyGeneralStyles"/>
    <w:uiPriority w:val="99"/>
    <w:pPr>
      <w:spacing w:line="240" w:lineRule="atLeast"/>
    </w:pPr>
    <w:rPr>
      <w:rFonts w:ascii="ITC Franklin Gothic Book" w:hAnsi="ITC Franklin Gothic Book" w:cs="ITC Franklin Gothic Book"/>
      <w:color w:val="246754"/>
      <w:sz w:val="18"/>
      <w:szCs w:val="18"/>
    </w:rPr>
  </w:style>
  <w:style w:type="paragraph" w:customStyle="1" w:styleId="TableBodyLeftFiguresTable">
    <w:name w:val="Table Body Left (Figures / Table)"/>
    <w:basedOn w:val="NoParagraphStyle"/>
    <w:uiPriority w:val="99"/>
    <w:pPr>
      <w:suppressAutoHyphens/>
      <w:spacing w:after="135" w:line="240" w:lineRule="atLeast"/>
    </w:pPr>
    <w:rPr>
      <w:rFonts w:ascii="ITC Franklin Gothic Book" w:hAnsi="ITC Franklin Gothic Book" w:cs="ITC Franklin Gothic Book"/>
      <w:sz w:val="18"/>
      <w:szCs w:val="18"/>
      <w:lang w:val="en-US"/>
    </w:rPr>
  </w:style>
  <w:style w:type="paragraph" w:customStyle="1" w:styleId="TableBodyRightFiguresTable">
    <w:name w:val="Table Body Right (Figures / Table)"/>
    <w:basedOn w:val="BodyGeneralStyles"/>
    <w:uiPriority w:val="99"/>
    <w:pPr>
      <w:spacing w:line="240" w:lineRule="atLeast"/>
      <w:jc w:val="right"/>
    </w:pPr>
    <w:rPr>
      <w:rFonts w:ascii="ITC Franklin Gothic Book" w:hAnsi="ITC Franklin Gothic Book" w:cs="ITC Franklin Gothic Book"/>
      <w:sz w:val="18"/>
      <w:szCs w:val="18"/>
    </w:rPr>
  </w:style>
  <w:style w:type="paragraph" w:customStyle="1" w:styleId="TableBodyPre-bulletFiguresTable">
    <w:name w:val="Table Body Pre-bullet (Figures / Table)"/>
    <w:basedOn w:val="NoParagraphStyle"/>
    <w:uiPriority w:val="99"/>
    <w:pPr>
      <w:suppressAutoHyphens/>
      <w:spacing w:after="60" w:line="240" w:lineRule="atLeast"/>
    </w:pPr>
    <w:rPr>
      <w:rFonts w:ascii="ITC Franklin Gothic Book" w:hAnsi="ITC Franklin Gothic Book" w:cs="ITC Franklin Gothic Book"/>
      <w:sz w:val="18"/>
      <w:szCs w:val="18"/>
      <w:lang w:val="en-US"/>
    </w:rPr>
  </w:style>
  <w:style w:type="paragraph" w:customStyle="1" w:styleId="TableBulletFiguresTable">
    <w:name w:val="Table Bullet (Figures / Table)"/>
    <w:basedOn w:val="NoParagraphStyle"/>
    <w:uiPriority w:val="99"/>
    <w:pPr>
      <w:suppressAutoHyphens/>
      <w:spacing w:after="40" w:line="240" w:lineRule="atLeast"/>
      <w:ind w:left="198" w:hanging="198"/>
    </w:pPr>
    <w:rPr>
      <w:rFonts w:ascii="ITC Franklin Gothic Book" w:hAnsi="ITC Franklin Gothic Book" w:cs="ITC Franklin Gothic Book"/>
      <w:sz w:val="18"/>
      <w:szCs w:val="18"/>
      <w:lang w:val="en-US"/>
    </w:rPr>
  </w:style>
  <w:style w:type="paragraph" w:customStyle="1" w:styleId="TableHeadingRightFiguresTable">
    <w:name w:val="Table Heading Right (Figures / Table)"/>
    <w:basedOn w:val="BodyGeneralStyles"/>
    <w:uiPriority w:val="99"/>
    <w:pPr>
      <w:spacing w:line="240" w:lineRule="atLeast"/>
      <w:jc w:val="right"/>
    </w:pPr>
    <w:rPr>
      <w:rFonts w:ascii="ITC Franklin Gothic Book" w:hAnsi="ITC Franklin Gothic Book" w:cs="ITC Franklin Gothic Book"/>
      <w:color w:val="246754"/>
      <w:sz w:val="18"/>
      <w:szCs w:val="18"/>
    </w:rPr>
  </w:style>
  <w:style w:type="paragraph" w:customStyle="1" w:styleId="Footnote100-999Footnote">
    <w:name w:val="Footnote 100-999 (Footnote)"/>
    <w:basedOn w:val="NoParagraphStyle"/>
    <w:uiPriority w:val="99"/>
    <w:pPr>
      <w:tabs>
        <w:tab w:val="left" w:pos="369"/>
      </w:tabs>
      <w:suppressAutoHyphens/>
      <w:spacing w:after="113" w:line="180" w:lineRule="atLeast"/>
      <w:ind w:left="369" w:hanging="369"/>
    </w:pPr>
    <w:rPr>
      <w:rFonts w:ascii="Gill Sans Std Light" w:hAnsi="Gill Sans Std Light" w:cs="Gill Sans Std Light"/>
      <w:sz w:val="15"/>
      <w:szCs w:val="15"/>
      <w:lang w:val="en-US"/>
    </w:rPr>
  </w:style>
  <w:style w:type="character" w:customStyle="1" w:styleId="LightItalic">
    <w:name w:val="Light Italic"/>
    <w:uiPriority w:val="99"/>
    <w:rPr>
      <w:rFonts w:ascii="Gill Sans Std Light" w:hAnsi="Gill Sans Std Light" w:cs="Gill Sans Std Light"/>
      <w:i/>
      <w:iCs/>
      <w:lang w:val="en-AU"/>
    </w:rPr>
  </w:style>
  <w:style w:type="character" w:customStyle="1" w:styleId="Superscript">
    <w:name w:val="Superscript"/>
    <w:uiPriority w:val="99"/>
    <w:rPr>
      <w:vertAlign w:val="superscript"/>
    </w:rPr>
  </w:style>
  <w:style w:type="paragraph" w:styleId="TOC1">
    <w:name w:val="toc 1"/>
    <w:basedOn w:val="Normal"/>
    <w:next w:val="Normal"/>
    <w:autoRedefine/>
    <w:uiPriority w:val="39"/>
    <w:unhideWhenUsed/>
    <w:rsid w:val="00CE666D"/>
    <w:pPr>
      <w:spacing w:before="120" w:after="120"/>
    </w:pPr>
  </w:style>
  <w:style w:type="paragraph" w:customStyle="1" w:styleId="TitleTitlePage">
    <w:name w:val="Title (Title Page)"/>
    <w:basedOn w:val="Normal"/>
    <w:uiPriority w:val="99"/>
    <w:rsid w:val="00AE75F2"/>
    <w:pPr>
      <w:widowControl w:val="0"/>
      <w:autoSpaceDE w:val="0"/>
      <w:autoSpaceDN w:val="0"/>
      <w:adjustRightInd w:val="0"/>
      <w:spacing w:before="120" w:after="0" w:line="680" w:lineRule="atLeast"/>
      <w:textAlignment w:val="center"/>
    </w:pPr>
    <w:rPr>
      <w:rFonts w:ascii="ITC Franklin Gothic Book" w:hAnsi="ITC Franklin Gothic Book" w:cs="ITC Franklin Gothic Book"/>
      <w:color w:val="55565A"/>
      <w:sz w:val="60"/>
      <w:szCs w:val="60"/>
      <w:lang w:val="en-US"/>
    </w:rPr>
  </w:style>
  <w:style w:type="paragraph" w:customStyle="1" w:styleId="SubtitleTitlePage">
    <w:name w:val="Subtitle (Title Page)"/>
    <w:basedOn w:val="TitleTitlePage"/>
    <w:uiPriority w:val="99"/>
    <w:rsid w:val="00AE75F2"/>
    <w:pPr>
      <w:spacing w:after="540"/>
    </w:pPr>
    <w:rPr>
      <w:color w:val="246754"/>
    </w:rPr>
  </w:style>
  <w:style w:type="paragraph" w:customStyle="1" w:styleId="ContributorsheaderImprintandContributors">
    <w:name w:val="Contributors header (Imprint and Contributors)"/>
    <w:basedOn w:val="Normal"/>
    <w:uiPriority w:val="99"/>
    <w:rsid w:val="00AE75F2"/>
    <w:pPr>
      <w:widowControl w:val="0"/>
      <w:autoSpaceDE w:val="0"/>
      <w:autoSpaceDN w:val="0"/>
      <w:adjustRightInd w:val="0"/>
      <w:spacing w:before="270" w:after="0" w:line="270" w:lineRule="atLeast"/>
    </w:pPr>
    <w:rPr>
      <w:rFonts w:ascii="ITC Franklin Gothic Book" w:hAnsi="ITC Franklin Gothic Book" w:cs="ITC Franklin Gothic Book"/>
      <w:color w:val="246754"/>
      <w:sz w:val="21"/>
      <w:szCs w:val="21"/>
      <w:lang w:val="en-US"/>
    </w:rPr>
  </w:style>
  <w:style w:type="paragraph" w:customStyle="1" w:styleId="ContributorslistImprintandContributors">
    <w:name w:val="Contributors list (Imprint and Contributors)"/>
    <w:basedOn w:val="Normal"/>
    <w:uiPriority w:val="99"/>
    <w:rsid w:val="00AE75F2"/>
    <w:pPr>
      <w:widowControl w:val="0"/>
      <w:autoSpaceDE w:val="0"/>
      <w:autoSpaceDN w:val="0"/>
      <w:adjustRightInd w:val="0"/>
      <w:spacing w:before="120" w:after="0" w:line="270" w:lineRule="atLeast"/>
    </w:pPr>
    <w:rPr>
      <w:rFonts w:ascii="Gill Sans Std Light" w:hAnsi="Gill Sans Std Light" w:cs="Gill Sans Std Light"/>
      <w:color w:val="000000"/>
      <w:sz w:val="21"/>
      <w:szCs w:val="21"/>
      <w:lang w:val="en-US"/>
    </w:rPr>
  </w:style>
  <w:style w:type="paragraph" w:styleId="Header">
    <w:name w:val="header"/>
    <w:basedOn w:val="Normal"/>
    <w:link w:val="HeaderChar"/>
    <w:uiPriority w:val="99"/>
    <w:unhideWhenUsed/>
    <w:rsid w:val="00632D14"/>
    <w:pPr>
      <w:tabs>
        <w:tab w:val="center" w:pos="4513"/>
        <w:tab w:val="right" w:pos="9026"/>
      </w:tabs>
      <w:spacing w:before="120" w:after="120"/>
    </w:pPr>
  </w:style>
  <w:style w:type="character" w:customStyle="1" w:styleId="HeaderChar">
    <w:name w:val="Header Char"/>
    <w:basedOn w:val="DefaultParagraphFont"/>
    <w:link w:val="Header"/>
    <w:uiPriority w:val="99"/>
    <w:rsid w:val="00632D14"/>
  </w:style>
  <w:style w:type="paragraph" w:styleId="Footer">
    <w:name w:val="footer"/>
    <w:basedOn w:val="Normal"/>
    <w:link w:val="FooterChar"/>
    <w:uiPriority w:val="99"/>
    <w:unhideWhenUsed/>
    <w:rsid w:val="00632D14"/>
    <w:pPr>
      <w:tabs>
        <w:tab w:val="center" w:pos="4513"/>
        <w:tab w:val="right" w:pos="9026"/>
      </w:tabs>
      <w:spacing w:before="120" w:after="120"/>
    </w:pPr>
  </w:style>
  <w:style w:type="character" w:customStyle="1" w:styleId="FooterChar">
    <w:name w:val="Footer Char"/>
    <w:basedOn w:val="DefaultParagraphFont"/>
    <w:link w:val="Footer"/>
    <w:uiPriority w:val="99"/>
    <w:rsid w:val="00632D14"/>
  </w:style>
  <w:style w:type="character" w:styleId="Hyperlink">
    <w:name w:val="Hyperlink"/>
    <w:uiPriority w:val="99"/>
    <w:unhideWhenUsed/>
    <w:rsid w:val="00CE666D"/>
    <w:rPr>
      <w:color w:val="0563C1"/>
      <w:u w:val="single"/>
    </w:rPr>
  </w:style>
  <w:style w:type="paragraph" w:customStyle="1" w:styleId="ImprintImprintandContributors">
    <w:name w:val="Imprint (Imprint and Contributors)"/>
    <w:basedOn w:val="Normal"/>
    <w:uiPriority w:val="99"/>
    <w:rsid w:val="00B83836"/>
    <w:pPr>
      <w:widowControl w:val="0"/>
      <w:autoSpaceDE w:val="0"/>
      <w:autoSpaceDN w:val="0"/>
      <w:adjustRightInd w:val="0"/>
      <w:spacing w:before="120" w:after="120" w:line="240" w:lineRule="atLeast"/>
    </w:pPr>
    <w:rPr>
      <w:rFonts w:ascii="Gill Sans Std Light" w:hAnsi="Gill Sans Std Light" w:cs="Gill Sans Std Light"/>
      <w:color w:val="000000"/>
      <w:sz w:val="18"/>
      <w:szCs w:val="18"/>
      <w:lang w:val="en-US"/>
    </w:rPr>
  </w:style>
  <w:style w:type="paragraph" w:customStyle="1" w:styleId="Subtitle2TitlePage">
    <w:name w:val="Subtitle 2 (Title Page)"/>
    <w:basedOn w:val="NoParagraphStyle"/>
    <w:uiPriority w:val="99"/>
    <w:rsid w:val="005B7138"/>
    <w:pPr>
      <w:suppressAutoHyphens/>
      <w:spacing w:line="400" w:lineRule="atLeast"/>
    </w:pPr>
    <w:rPr>
      <w:rFonts w:ascii="ITC Franklin Gothic Book" w:hAnsi="ITC Franklin Gothic Book" w:cs="ITC Franklin Gothic Book"/>
      <w:color w:val="55565A"/>
      <w:sz w:val="36"/>
      <w:szCs w:val="36"/>
      <w:lang w:val="en-US"/>
    </w:rPr>
  </w:style>
  <w:style w:type="character" w:customStyle="1" w:styleId="Heading1Char">
    <w:name w:val="Heading 1 Char"/>
    <w:link w:val="Heading1"/>
    <w:uiPriority w:val="9"/>
    <w:rsid w:val="0006104A"/>
    <w:rPr>
      <w:b/>
      <w:bCs/>
      <w:kern w:val="32"/>
      <w:sz w:val="36"/>
      <w:szCs w:val="32"/>
    </w:rPr>
  </w:style>
  <w:style w:type="paragraph" w:styleId="Title">
    <w:name w:val="Title"/>
    <w:basedOn w:val="Normal"/>
    <w:next w:val="Normal"/>
    <w:link w:val="TitleChar"/>
    <w:uiPriority w:val="99"/>
    <w:qFormat/>
    <w:rsid w:val="0006104A"/>
    <w:pPr>
      <w:spacing w:before="120" w:after="240" w:line="240" w:lineRule="auto"/>
      <w:outlineLvl w:val="0"/>
    </w:pPr>
    <w:rPr>
      <w:b/>
      <w:bCs/>
      <w:kern w:val="28"/>
      <w:sz w:val="48"/>
      <w:szCs w:val="32"/>
    </w:rPr>
  </w:style>
  <w:style w:type="character" w:customStyle="1" w:styleId="TitleChar">
    <w:name w:val="Title Char"/>
    <w:link w:val="Title"/>
    <w:uiPriority w:val="10"/>
    <w:rsid w:val="0006104A"/>
    <w:rPr>
      <w:b/>
      <w:bCs/>
      <w:kern w:val="28"/>
      <w:sz w:val="48"/>
      <w:szCs w:val="32"/>
    </w:rPr>
  </w:style>
  <w:style w:type="character" w:styleId="Strong">
    <w:name w:val="Strong"/>
    <w:uiPriority w:val="22"/>
    <w:qFormat/>
    <w:rsid w:val="002B1984"/>
    <w:rPr>
      <w:b/>
      <w:bCs/>
    </w:rPr>
  </w:style>
  <w:style w:type="character" w:customStyle="1" w:styleId="Heading2Char">
    <w:name w:val="Heading 2 Char"/>
    <w:link w:val="Heading2"/>
    <w:uiPriority w:val="9"/>
    <w:rsid w:val="00173049"/>
    <w:rPr>
      <w:b/>
      <w:bCs/>
      <w:iCs/>
      <w:sz w:val="32"/>
      <w:szCs w:val="28"/>
    </w:rPr>
  </w:style>
  <w:style w:type="character" w:styleId="Emphasis">
    <w:name w:val="Emphasis"/>
    <w:uiPriority w:val="20"/>
    <w:qFormat/>
    <w:rsid w:val="009E5334"/>
    <w:rPr>
      <w:i/>
      <w:iCs/>
    </w:rPr>
  </w:style>
  <w:style w:type="paragraph" w:customStyle="1" w:styleId="Numbered">
    <w:name w:val="Numbered"/>
    <w:basedOn w:val="NormalIndent"/>
    <w:link w:val="NumberedChar"/>
    <w:qFormat/>
    <w:rsid w:val="00872369"/>
    <w:pPr>
      <w:numPr>
        <w:ilvl w:val="1"/>
        <w:numId w:val="1"/>
      </w:numPr>
      <w:tabs>
        <w:tab w:val="left" w:pos="851"/>
      </w:tabs>
      <w:ind w:left="851" w:hanging="851"/>
    </w:pPr>
  </w:style>
  <w:style w:type="character" w:customStyle="1" w:styleId="Heading3Char">
    <w:name w:val="Heading 3 Char"/>
    <w:link w:val="Heading3"/>
    <w:uiPriority w:val="9"/>
    <w:rsid w:val="00C0128D"/>
    <w:rPr>
      <w:rFonts w:ascii="Verdana" w:eastAsia="Times New Roman" w:hAnsi="Verdana" w:cs="Times New Roman"/>
      <w:b/>
      <w:bCs/>
      <w:sz w:val="26"/>
      <w:szCs w:val="26"/>
    </w:rPr>
  </w:style>
  <w:style w:type="paragraph" w:styleId="NormalIndent">
    <w:name w:val="Normal Indent"/>
    <w:basedOn w:val="Normal"/>
    <w:link w:val="NormalIndentChar"/>
    <w:uiPriority w:val="99"/>
    <w:semiHidden/>
    <w:unhideWhenUsed/>
    <w:rsid w:val="005E444F"/>
    <w:pPr>
      <w:spacing w:before="120" w:after="120"/>
      <w:ind w:left="720"/>
    </w:pPr>
  </w:style>
  <w:style w:type="character" w:customStyle="1" w:styleId="NormalIndentChar">
    <w:name w:val="Normal Indent Char"/>
    <w:link w:val="NormalIndent"/>
    <w:uiPriority w:val="99"/>
    <w:semiHidden/>
    <w:rsid w:val="005E444F"/>
    <w:rPr>
      <w:rFonts w:ascii="Verdana" w:hAnsi="Verdana"/>
      <w:sz w:val="24"/>
      <w:szCs w:val="22"/>
    </w:rPr>
  </w:style>
  <w:style w:type="character" w:customStyle="1" w:styleId="NumberedChar">
    <w:name w:val="Numbered Char"/>
    <w:link w:val="Numbered"/>
    <w:rsid w:val="00872369"/>
  </w:style>
  <w:style w:type="character" w:customStyle="1" w:styleId="Heading4Char">
    <w:name w:val="Heading 4 Char"/>
    <w:link w:val="Heading4"/>
    <w:uiPriority w:val="9"/>
    <w:rsid w:val="008A1C48"/>
    <w:rPr>
      <w:b/>
      <w:bCs/>
      <w:i/>
      <w:szCs w:val="28"/>
    </w:rPr>
  </w:style>
  <w:style w:type="character" w:customStyle="1" w:styleId="Heading5Char">
    <w:name w:val="Heading 5 Char"/>
    <w:link w:val="Heading5"/>
    <w:uiPriority w:val="9"/>
    <w:semiHidden/>
    <w:rsid w:val="00703380"/>
    <w:rPr>
      <w:rFonts w:ascii="Calibri" w:hAnsi="Calibri"/>
      <w:b/>
      <w:bCs/>
      <w:i/>
      <w:iCs/>
      <w:sz w:val="26"/>
      <w:szCs w:val="26"/>
    </w:rPr>
  </w:style>
  <w:style w:type="character" w:customStyle="1" w:styleId="Heading6Char">
    <w:name w:val="Heading 6 Char"/>
    <w:link w:val="Heading6"/>
    <w:uiPriority w:val="9"/>
    <w:semiHidden/>
    <w:rsid w:val="00703380"/>
    <w:rPr>
      <w:rFonts w:ascii="Calibri" w:hAnsi="Calibri"/>
      <w:b/>
      <w:bCs/>
    </w:rPr>
  </w:style>
  <w:style w:type="character" w:customStyle="1" w:styleId="Heading7Char">
    <w:name w:val="Heading 7 Char"/>
    <w:link w:val="Heading7"/>
    <w:uiPriority w:val="9"/>
    <w:semiHidden/>
    <w:rsid w:val="00703380"/>
    <w:rPr>
      <w:rFonts w:ascii="Calibri" w:hAnsi="Calibri"/>
    </w:rPr>
  </w:style>
  <w:style w:type="character" w:customStyle="1" w:styleId="Heading8Char">
    <w:name w:val="Heading 8 Char"/>
    <w:link w:val="Heading8"/>
    <w:uiPriority w:val="9"/>
    <w:semiHidden/>
    <w:rsid w:val="00703380"/>
    <w:rPr>
      <w:rFonts w:ascii="Calibri" w:hAnsi="Calibri"/>
      <w:i/>
      <w:iCs/>
    </w:rPr>
  </w:style>
  <w:style w:type="character" w:customStyle="1" w:styleId="Heading9Char">
    <w:name w:val="Heading 9 Char"/>
    <w:link w:val="Heading9"/>
    <w:uiPriority w:val="9"/>
    <w:semiHidden/>
    <w:rsid w:val="00703380"/>
    <w:rPr>
      <w:rFonts w:ascii="Calibri Light" w:hAnsi="Calibri Light"/>
    </w:rPr>
  </w:style>
  <w:style w:type="paragraph" w:customStyle="1" w:styleId="Heading1Numbered">
    <w:name w:val="Heading 1 Numbered"/>
    <w:next w:val="Numbered"/>
    <w:link w:val="Heading1NumberedChar"/>
    <w:qFormat/>
    <w:rsid w:val="0028752B"/>
    <w:pPr>
      <w:pageBreakBefore/>
      <w:numPr>
        <w:numId w:val="1"/>
      </w:numPr>
      <w:tabs>
        <w:tab w:val="left" w:pos="851"/>
      </w:tabs>
      <w:suppressAutoHyphens/>
      <w:spacing w:after="120"/>
      <w:ind w:left="992" w:hanging="992"/>
    </w:pPr>
    <w:rPr>
      <w:b/>
      <w:bCs/>
      <w:kern w:val="32"/>
      <w:sz w:val="48"/>
      <w:szCs w:val="32"/>
    </w:rPr>
  </w:style>
  <w:style w:type="paragraph" w:customStyle="1" w:styleId="Bullets">
    <w:name w:val="Bullets"/>
    <w:basedOn w:val="Normal"/>
    <w:qFormat/>
    <w:rsid w:val="00EC7C1D"/>
    <w:pPr>
      <w:numPr>
        <w:numId w:val="2"/>
      </w:numPr>
      <w:spacing w:before="60" w:after="60"/>
      <w:ind w:left="714" w:hanging="357"/>
    </w:pPr>
  </w:style>
  <w:style w:type="character" w:customStyle="1" w:styleId="Heading1NumberedChar">
    <w:name w:val="Heading 1 Numbered Char"/>
    <w:link w:val="Heading1Numbered"/>
    <w:rsid w:val="0028752B"/>
    <w:rPr>
      <w:b/>
      <w:bCs/>
      <w:kern w:val="32"/>
      <w:sz w:val="48"/>
      <w:szCs w:val="32"/>
    </w:rPr>
  </w:style>
  <w:style w:type="paragraph" w:styleId="NoSpacing">
    <w:name w:val="No Spacing"/>
    <w:uiPriority w:val="1"/>
    <w:qFormat/>
    <w:rsid w:val="00951DEC"/>
  </w:style>
  <w:style w:type="paragraph" w:styleId="Quote">
    <w:name w:val="Quote"/>
    <w:basedOn w:val="Normal"/>
    <w:next w:val="Normal"/>
    <w:link w:val="QuoteChar"/>
    <w:uiPriority w:val="99"/>
    <w:qFormat/>
    <w:rsid w:val="00415FFD"/>
    <w:pPr>
      <w:spacing w:before="200" w:after="120"/>
      <w:ind w:left="1134"/>
    </w:pPr>
    <w:rPr>
      <w:iCs/>
    </w:rPr>
  </w:style>
  <w:style w:type="character" w:customStyle="1" w:styleId="QuoteChar">
    <w:name w:val="Quote Char"/>
    <w:link w:val="Quote"/>
    <w:uiPriority w:val="29"/>
    <w:rsid w:val="00415FFD"/>
    <w:rPr>
      <w:rFonts w:ascii="Verdana" w:hAnsi="Verdana"/>
      <w:iCs/>
      <w:sz w:val="22"/>
      <w:szCs w:val="22"/>
    </w:rPr>
  </w:style>
  <w:style w:type="paragraph" w:customStyle="1" w:styleId="Footnote">
    <w:name w:val="Footnote"/>
    <w:uiPriority w:val="99"/>
    <w:qFormat/>
    <w:rsid w:val="00A7068F"/>
    <w:pPr>
      <w:tabs>
        <w:tab w:val="left" w:pos="454"/>
      </w:tabs>
      <w:suppressAutoHyphens/>
      <w:spacing w:line="360" w:lineRule="auto"/>
      <w:ind w:left="454" w:hanging="454"/>
    </w:pPr>
    <w:rPr>
      <w:rFonts w:cs="Gill Sans Std Light"/>
      <w:color w:val="000000"/>
      <w:sz w:val="20"/>
      <w:szCs w:val="15"/>
      <w:lang w:val="en-US"/>
    </w:rPr>
  </w:style>
  <w:style w:type="paragraph" w:styleId="Caption">
    <w:name w:val="caption"/>
    <w:basedOn w:val="Normal"/>
    <w:next w:val="Normal"/>
    <w:uiPriority w:val="35"/>
    <w:unhideWhenUsed/>
    <w:qFormat/>
    <w:rsid w:val="00D10620"/>
    <w:pPr>
      <w:keepNext/>
      <w:spacing w:before="120" w:after="120" w:line="240" w:lineRule="auto"/>
    </w:pPr>
    <w:rPr>
      <w:b/>
      <w:bCs/>
      <w:sz w:val="20"/>
      <w:szCs w:val="20"/>
    </w:rPr>
  </w:style>
  <w:style w:type="paragraph" w:customStyle="1" w:styleId="TableHeading">
    <w:name w:val="Table Heading"/>
    <w:qFormat/>
    <w:rsid w:val="00F56A1A"/>
    <w:pPr>
      <w:suppressAutoHyphens/>
    </w:pPr>
    <w:rPr>
      <w:rFonts w:cs="ITC Franklin Gothic Book"/>
      <w:b/>
      <w:sz w:val="20"/>
      <w:szCs w:val="18"/>
      <w:lang w:val="en-US"/>
    </w:rPr>
  </w:style>
  <w:style w:type="paragraph" w:customStyle="1" w:styleId="TableBody">
    <w:name w:val="Table Body"/>
    <w:uiPriority w:val="99"/>
    <w:qFormat/>
    <w:rsid w:val="00F56A1A"/>
    <w:pPr>
      <w:suppressAutoHyphens/>
    </w:pPr>
    <w:rPr>
      <w:rFonts w:cs="ITC Franklin Gothic Book"/>
      <w:color w:val="000000"/>
      <w:sz w:val="20"/>
      <w:szCs w:val="18"/>
      <w:lang w:val="en-US"/>
    </w:rPr>
  </w:style>
  <w:style w:type="paragraph" w:customStyle="1" w:styleId="Grid">
    <w:name w:val="Grid"/>
    <w:basedOn w:val="BodyGeneralStyles"/>
    <w:rsid w:val="00B052EE"/>
    <w:pPr>
      <w:spacing w:after="0" w:line="240" w:lineRule="auto"/>
    </w:pPr>
    <w:rPr>
      <w:sz w:val="16"/>
      <w:szCs w:val="16"/>
    </w:rPr>
  </w:style>
  <w:style w:type="table" w:styleId="TableGrid1">
    <w:name w:val="Table Grid 1"/>
    <w:uiPriority w:val="99"/>
    <w:semiHidden/>
    <w:unhideWhenUsed/>
    <w:rsid w:val="00263161"/>
    <w:pPr>
      <w:suppressAutoHyphens/>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rPr>
      <w:cantSplit/>
    </w:trPr>
    <w:tcPr>
      <w:shd w:val="clear" w:color="auto" w:fill="auto"/>
      <w:tcMar>
        <w:top w:w="57" w:type="dxa"/>
        <w:left w:w="57" w:type="dxa"/>
        <w:bottom w:w="57" w:type="dxa"/>
        <w:right w:w="57" w:type="dxa"/>
      </w:tcMar>
    </w:tcPr>
  </w:style>
  <w:style w:type="table" w:styleId="TableGrid">
    <w:name w:val="Table Grid"/>
    <w:basedOn w:val="TableNormal"/>
    <w:uiPriority w:val="39"/>
    <w:rsid w:val="00EF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87496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108" w:type="dxa"/>
        <w:bottom w:w="108" w:type="dxa"/>
      </w:tblCellMar>
    </w:tblPr>
  </w:style>
  <w:style w:type="paragraph" w:customStyle="1" w:styleId="ContributorssubheaderImprintandContributors">
    <w:name w:val="Contributors subheader (Imprint and Contributors)"/>
    <w:basedOn w:val="NoParagraphStyle"/>
    <w:uiPriority w:val="99"/>
    <w:rsid w:val="005C16F8"/>
    <w:pPr>
      <w:suppressAutoHyphens/>
      <w:spacing w:before="270" w:line="270" w:lineRule="atLeast"/>
    </w:pPr>
    <w:rPr>
      <w:rFonts w:ascii="ITC Franklin Gothic Book" w:hAnsi="ITC Franklin Gothic Book" w:cs="ITC Franklin Gothic Book"/>
      <w:color w:val="55565A"/>
      <w:sz w:val="21"/>
      <w:szCs w:val="21"/>
      <w:lang w:val="en-US"/>
    </w:rPr>
  </w:style>
  <w:style w:type="paragraph" w:customStyle="1" w:styleId="Body11PrebulletBodyParas">
    <w:name w:val="Body 1.1 Prebullet (Body Paras)"/>
    <w:basedOn w:val="BodynumberedGeneralStyles"/>
    <w:uiPriority w:val="99"/>
    <w:rsid w:val="005C16F8"/>
    <w:pPr>
      <w:spacing w:after="57" w:line="270" w:lineRule="atLeast"/>
      <w:ind w:left="510" w:hanging="510"/>
    </w:pPr>
  </w:style>
  <w:style w:type="paragraph" w:customStyle="1" w:styleId="Body21BodyParas0">
    <w:name w:val="Body 2.1+ (Body Paras)"/>
    <w:basedOn w:val="BodynumberedGeneralStyles"/>
    <w:uiPriority w:val="99"/>
    <w:rsid w:val="005C16F8"/>
    <w:pPr>
      <w:spacing w:after="130" w:line="270" w:lineRule="atLeast"/>
      <w:ind w:left="510" w:hanging="510"/>
    </w:pPr>
  </w:style>
  <w:style w:type="paragraph" w:customStyle="1" w:styleId="Body21PrebulletBodyParas">
    <w:name w:val="Body 2.1 Prebullet (Body Paras)"/>
    <w:basedOn w:val="BodynumberedGeneralStyles"/>
    <w:uiPriority w:val="99"/>
    <w:rsid w:val="005C16F8"/>
    <w:pPr>
      <w:spacing w:after="57" w:line="270" w:lineRule="atLeast"/>
      <w:ind w:left="510" w:hanging="510"/>
    </w:pPr>
  </w:style>
  <w:style w:type="paragraph" w:customStyle="1" w:styleId="Body31BodyParas0">
    <w:name w:val="Body 3.1+ (Body Paras)"/>
    <w:basedOn w:val="BodynumberedGeneralStyles"/>
    <w:uiPriority w:val="99"/>
    <w:rsid w:val="005C16F8"/>
    <w:pPr>
      <w:spacing w:after="130" w:line="270" w:lineRule="atLeast"/>
      <w:ind w:left="510" w:hanging="510"/>
    </w:pPr>
  </w:style>
  <w:style w:type="paragraph" w:customStyle="1" w:styleId="Body31PrebulletBodyParas">
    <w:name w:val="Body 3.1 Prebullet (Body Paras)"/>
    <w:basedOn w:val="BodynumberedGeneralStyles"/>
    <w:uiPriority w:val="99"/>
    <w:rsid w:val="005C16F8"/>
    <w:pPr>
      <w:spacing w:after="57" w:line="270" w:lineRule="atLeast"/>
      <w:ind w:left="510" w:hanging="510"/>
    </w:pPr>
  </w:style>
  <w:style w:type="paragraph" w:customStyle="1" w:styleId="Body41PrebulletBodyParas">
    <w:name w:val="Body 4.1 Prebullet (Body Paras)"/>
    <w:basedOn w:val="BodynumberedGeneralStyles"/>
    <w:uiPriority w:val="99"/>
    <w:rsid w:val="005C16F8"/>
    <w:pPr>
      <w:spacing w:after="57" w:line="270" w:lineRule="atLeast"/>
      <w:ind w:left="510" w:hanging="510"/>
    </w:pPr>
  </w:style>
  <w:style w:type="paragraph" w:customStyle="1" w:styleId="SubbulletindentGeneralStyles">
    <w:name w:val="Subbullet indent (General Styles)"/>
    <w:basedOn w:val="BodyGeneralStyles"/>
    <w:uiPriority w:val="99"/>
    <w:rsid w:val="005C16F8"/>
    <w:pPr>
      <w:tabs>
        <w:tab w:val="left" w:pos="907"/>
      </w:tabs>
      <w:spacing w:after="57"/>
      <w:ind w:left="1191" w:hanging="198"/>
    </w:pPr>
  </w:style>
  <w:style w:type="paragraph" w:customStyle="1" w:styleId="SubbulletindentlastGeneralStyles">
    <w:name w:val="Subbullet indent last (General Styles)"/>
    <w:basedOn w:val="BodyGeneralStyles"/>
    <w:uiPriority w:val="99"/>
    <w:rsid w:val="005C16F8"/>
    <w:pPr>
      <w:tabs>
        <w:tab w:val="left" w:pos="907"/>
      </w:tabs>
      <w:ind w:left="1191" w:hanging="198"/>
    </w:pPr>
  </w:style>
  <w:style w:type="paragraph" w:customStyle="1" w:styleId="Body41BodyParas0">
    <w:name w:val="Body 4.1+ (Body Paras)"/>
    <w:basedOn w:val="BodynumberedGeneralStyles"/>
    <w:uiPriority w:val="99"/>
    <w:rsid w:val="005C16F8"/>
    <w:pPr>
      <w:spacing w:after="130" w:line="270" w:lineRule="atLeast"/>
      <w:ind w:left="510" w:hanging="510"/>
    </w:pPr>
  </w:style>
  <w:style w:type="character" w:customStyle="1" w:styleId="Coloured">
    <w:name w:val="Coloured"/>
    <w:uiPriority w:val="99"/>
    <w:rsid w:val="005C16F8"/>
    <w:rPr>
      <w:color w:val="80B0E5"/>
    </w:rPr>
  </w:style>
  <w:style w:type="character" w:customStyle="1" w:styleId="Figure">
    <w:name w:val="Figure"/>
    <w:uiPriority w:val="99"/>
    <w:rsid w:val="005C16F8"/>
    <w:rPr>
      <w:rFonts w:ascii="ITC Franklin Gothic Book" w:hAnsi="ITC Franklin Gothic Book" w:cs="ITC Franklin Gothic Book"/>
      <w:color w:val="80B0E5"/>
    </w:rPr>
  </w:style>
  <w:style w:type="character" w:customStyle="1" w:styleId="DemiItalic">
    <w:name w:val="Demi Italic"/>
    <w:uiPriority w:val="99"/>
    <w:rsid w:val="005C16F8"/>
    <w:rPr>
      <w:i/>
      <w:iCs/>
      <w:lang w:val="en-AU"/>
    </w:rPr>
  </w:style>
  <w:style w:type="paragraph" w:styleId="TOCHeading">
    <w:name w:val="TOC Heading"/>
    <w:basedOn w:val="Heading1"/>
    <w:next w:val="Normal"/>
    <w:uiPriority w:val="39"/>
    <w:unhideWhenUsed/>
    <w:qFormat/>
    <w:rsid w:val="00AE709F"/>
    <w:pPr>
      <w:keepLines/>
      <w:spacing w:after="0" w:line="259" w:lineRule="auto"/>
      <w:outlineLvl w:val="9"/>
    </w:pPr>
    <w:rPr>
      <w:rFonts w:ascii="Calibri Light" w:hAnsi="Calibri Light"/>
      <w:b w:val="0"/>
      <w:bCs w:val="0"/>
      <w:color w:val="2E74B5"/>
      <w:kern w:val="0"/>
      <w:sz w:val="32"/>
      <w:lang w:val="en-US" w:eastAsia="en-US"/>
    </w:rPr>
  </w:style>
  <w:style w:type="paragraph" w:styleId="TOC2">
    <w:name w:val="toc 2"/>
    <w:basedOn w:val="Normal"/>
    <w:next w:val="Normal"/>
    <w:autoRedefine/>
    <w:uiPriority w:val="39"/>
    <w:unhideWhenUsed/>
    <w:rsid w:val="00AE709F"/>
    <w:pPr>
      <w:spacing w:before="120" w:after="100"/>
      <w:ind w:left="220"/>
    </w:pPr>
    <w:rPr>
      <w:rFonts w:ascii="Calibri" w:hAnsi="Calibri"/>
      <w:lang w:val="en-US" w:eastAsia="en-US"/>
    </w:rPr>
  </w:style>
  <w:style w:type="paragraph" w:styleId="TOC3">
    <w:name w:val="toc 3"/>
    <w:basedOn w:val="Normal"/>
    <w:next w:val="Normal"/>
    <w:autoRedefine/>
    <w:uiPriority w:val="39"/>
    <w:unhideWhenUsed/>
    <w:rsid w:val="00AE709F"/>
    <w:pPr>
      <w:spacing w:before="120" w:after="100"/>
      <w:ind w:left="440"/>
    </w:pPr>
    <w:rPr>
      <w:rFonts w:ascii="Calibri" w:hAnsi="Calibri"/>
      <w:lang w:val="en-US" w:eastAsia="en-US"/>
    </w:rPr>
  </w:style>
  <w:style w:type="paragraph" w:customStyle="1" w:styleId="Contributorsheader2ImprintandContributors">
    <w:name w:val="Contributors header 2 (Imprint and Contributors)"/>
    <w:basedOn w:val="NoParagraphStyle"/>
    <w:uiPriority w:val="99"/>
    <w:rsid w:val="00C107C1"/>
    <w:pPr>
      <w:suppressAutoHyphens/>
      <w:spacing w:before="130" w:line="270" w:lineRule="atLeast"/>
    </w:pPr>
    <w:rPr>
      <w:rFonts w:ascii="ITC Franklin Gothic Book" w:eastAsiaTheme="minorEastAsia" w:hAnsi="ITC Franklin Gothic Book" w:cs="ITC Franklin Gothic Book"/>
      <w:color w:val="555559"/>
      <w:sz w:val="21"/>
      <w:szCs w:val="21"/>
      <w:lang w:val="en-US"/>
    </w:rPr>
  </w:style>
  <w:style w:type="paragraph" w:customStyle="1" w:styleId="ABCGeneralStyles">
    <w:name w:val="ABC (General Styles)"/>
    <w:basedOn w:val="BodyGeneralStyles"/>
    <w:uiPriority w:val="99"/>
    <w:rsid w:val="00C107C1"/>
    <w:pPr>
      <w:spacing w:after="57"/>
      <w:ind w:left="600" w:hanging="360"/>
    </w:pPr>
    <w:rPr>
      <w:rFonts w:eastAsiaTheme="minorEastAsia"/>
    </w:rPr>
  </w:style>
  <w:style w:type="paragraph" w:customStyle="1" w:styleId="NumberedGeneralStyles">
    <w:name w:val="Numbered (General Styles)"/>
    <w:basedOn w:val="ABCGeneralStyles"/>
    <w:uiPriority w:val="99"/>
    <w:rsid w:val="00C107C1"/>
    <w:pPr>
      <w:ind w:left="720"/>
    </w:pPr>
  </w:style>
  <w:style w:type="paragraph" w:customStyle="1" w:styleId="BodyPrebulletGeneralStyles">
    <w:name w:val="Body Prebullet (General Styles)"/>
    <w:basedOn w:val="BodyGeneralStyles"/>
    <w:uiPriority w:val="99"/>
    <w:rsid w:val="00C107C1"/>
    <w:pPr>
      <w:spacing w:after="57"/>
    </w:pPr>
    <w:rPr>
      <w:rFonts w:eastAsiaTheme="minorEastAsia"/>
    </w:rPr>
  </w:style>
  <w:style w:type="paragraph" w:customStyle="1" w:styleId="BulletlastGeneralStyles">
    <w:name w:val="Bullet last (General Styles)"/>
    <w:basedOn w:val="BulletGeneralStyles"/>
    <w:uiPriority w:val="99"/>
    <w:rsid w:val="00C107C1"/>
    <w:pPr>
      <w:spacing w:after="130"/>
    </w:pPr>
    <w:rPr>
      <w:rFonts w:eastAsiaTheme="minorEastAsia"/>
    </w:rPr>
  </w:style>
  <w:style w:type="paragraph" w:customStyle="1" w:styleId="QuoteindentGeneralStyles">
    <w:name w:val="Quote indent (General Styles)"/>
    <w:basedOn w:val="BodyGeneralStyles"/>
    <w:uiPriority w:val="99"/>
    <w:rsid w:val="00C107C1"/>
    <w:pPr>
      <w:ind w:left="1304" w:right="57"/>
    </w:pPr>
    <w:rPr>
      <w:rFonts w:eastAsiaTheme="minorEastAsia"/>
      <w:sz w:val="19"/>
      <w:szCs w:val="19"/>
    </w:rPr>
  </w:style>
  <w:style w:type="paragraph" w:customStyle="1" w:styleId="RecommendationHeadingAGeneralStyles">
    <w:name w:val="Recommendation Heading A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BodyGeneralStyles">
    <w:name w:val="Recommendation Body (General Styles)"/>
    <w:basedOn w:val="BodyGeneralStyles"/>
    <w:uiPriority w:val="99"/>
    <w:rsid w:val="00C107C1"/>
    <w:pPr>
      <w:spacing w:after="130"/>
      <w:ind w:left="120"/>
    </w:pPr>
    <w:rPr>
      <w:rFonts w:eastAsiaTheme="minorEastAsia"/>
    </w:rPr>
  </w:style>
  <w:style w:type="paragraph" w:customStyle="1" w:styleId="RecommendationABCGeneralStyles">
    <w:name w:val="Recommendation ABC (General Styles)"/>
    <w:basedOn w:val="BodyGeneralStyles"/>
    <w:uiPriority w:val="99"/>
    <w:rsid w:val="00C107C1"/>
    <w:pPr>
      <w:tabs>
        <w:tab w:val="left" w:pos="907"/>
      </w:tabs>
      <w:spacing w:after="57"/>
      <w:ind w:left="600" w:hanging="320"/>
    </w:pPr>
    <w:rPr>
      <w:rFonts w:eastAsiaTheme="minorEastAsia"/>
    </w:rPr>
  </w:style>
  <w:style w:type="paragraph" w:customStyle="1" w:styleId="RecommendationHeadingGeneralStyles">
    <w:name w:val="Recommendation Heading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LastGeneralStyles">
    <w:name w:val="Recommendation Last (General Styles)"/>
    <w:basedOn w:val="RecommendationABCGeneralStyles"/>
    <w:uiPriority w:val="99"/>
    <w:rsid w:val="00C107C1"/>
    <w:pPr>
      <w:pBdr>
        <w:bottom w:val="single" w:sz="16" w:space="13" w:color="7594CC"/>
      </w:pBdr>
      <w:ind w:left="120" w:firstLine="0"/>
    </w:pPr>
  </w:style>
  <w:style w:type="paragraph" w:customStyle="1" w:styleId="QuotebulletGeneralStyles">
    <w:name w:val="Quote bullet (General Styles)"/>
    <w:basedOn w:val="NoParagraphStyle"/>
    <w:uiPriority w:val="99"/>
    <w:rsid w:val="00C107C1"/>
    <w:pPr>
      <w:tabs>
        <w:tab w:val="left" w:pos="1440"/>
      </w:tabs>
      <w:suppressAutoHyphens/>
      <w:spacing w:after="40"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QuotebulletlastGeneralStyles">
    <w:name w:val="Quote bullet last (General Styles)"/>
    <w:basedOn w:val="NoParagraphStyle"/>
    <w:uiPriority w:val="99"/>
    <w:rsid w:val="00C107C1"/>
    <w:pPr>
      <w:tabs>
        <w:tab w:val="left" w:pos="1440"/>
      </w:tabs>
      <w:suppressAutoHyphens/>
      <w:spacing w:after="135"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ABCindentGeneralStyles">
    <w:name w:val="ABC indent (General Styles)"/>
    <w:basedOn w:val="BodyGeneralStyles"/>
    <w:uiPriority w:val="99"/>
    <w:rsid w:val="00C107C1"/>
    <w:pPr>
      <w:spacing w:after="57"/>
      <w:ind w:left="1260" w:hanging="400"/>
    </w:pPr>
    <w:rPr>
      <w:rFonts w:eastAsiaTheme="minorEastAsia"/>
    </w:rPr>
  </w:style>
  <w:style w:type="paragraph" w:customStyle="1" w:styleId="ABCindentlastGeneralStyles">
    <w:name w:val="ABC indent last (General Styles)"/>
    <w:basedOn w:val="BodyGeneralStyles"/>
    <w:uiPriority w:val="99"/>
    <w:rsid w:val="00C107C1"/>
    <w:pPr>
      <w:spacing w:after="130"/>
      <w:ind w:left="1260" w:hanging="400"/>
    </w:pPr>
    <w:rPr>
      <w:rFonts w:eastAsiaTheme="minorEastAsia"/>
    </w:rPr>
  </w:style>
  <w:style w:type="paragraph" w:customStyle="1" w:styleId="NumberedIndentGeneralStyles">
    <w:name w:val="Numbered Indent (General Styles)"/>
    <w:basedOn w:val="BodyGeneralStyles"/>
    <w:uiPriority w:val="99"/>
    <w:rsid w:val="00C107C1"/>
    <w:pPr>
      <w:tabs>
        <w:tab w:val="left" w:pos="907"/>
      </w:tabs>
      <w:spacing w:after="57"/>
      <w:ind w:left="1077" w:hanging="227"/>
    </w:pPr>
    <w:rPr>
      <w:rFonts w:eastAsiaTheme="minorEastAsia"/>
    </w:rPr>
  </w:style>
  <w:style w:type="paragraph" w:customStyle="1" w:styleId="NumberedIndentLastGeneralStyles">
    <w:name w:val="Numbered Indent Last (General Styles)"/>
    <w:basedOn w:val="BodyGeneralStyles"/>
    <w:uiPriority w:val="99"/>
    <w:rsid w:val="00C107C1"/>
    <w:pPr>
      <w:tabs>
        <w:tab w:val="left" w:pos="907"/>
      </w:tabs>
      <w:spacing w:after="130"/>
      <w:ind w:left="1077" w:hanging="227"/>
    </w:pPr>
    <w:rPr>
      <w:rFonts w:eastAsiaTheme="minorEastAsia"/>
    </w:rPr>
  </w:style>
  <w:style w:type="paragraph" w:customStyle="1" w:styleId="SubSubbulletindentGeneralStyles">
    <w:name w:val="Sub Subbullet indent (General Styles)"/>
    <w:basedOn w:val="BodyGeneralStyles"/>
    <w:uiPriority w:val="99"/>
    <w:rsid w:val="00C107C1"/>
    <w:pPr>
      <w:tabs>
        <w:tab w:val="left" w:pos="907"/>
      </w:tabs>
      <w:spacing w:after="57"/>
      <w:ind w:left="1701" w:hanging="198"/>
    </w:pPr>
    <w:rPr>
      <w:rFonts w:eastAsiaTheme="minorEastAsia"/>
    </w:rPr>
  </w:style>
  <w:style w:type="paragraph" w:customStyle="1" w:styleId="TableNoteGeneralStyles">
    <w:name w:val="Table Note (General Styles)"/>
    <w:basedOn w:val="NoParagraphStyle"/>
    <w:uiPriority w:val="99"/>
    <w:rsid w:val="00C107C1"/>
    <w:pPr>
      <w:tabs>
        <w:tab w:val="left" w:pos="255"/>
      </w:tabs>
      <w:suppressAutoHyphens/>
      <w:spacing w:after="113" w:line="190" w:lineRule="atLeast"/>
      <w:ind w:left="227" w:hanging="227"/>
    </w:pPr>
    <w:rPr>
      <w:rFonts w:ascii="Gill Sans Std Light" w:eastAsiaTheme="minorEastAsia" w:hAnsi="Gill Sans Std Light" w:cs="Gill Sans Std Light"/>
      <w:sz w:val="16"/>
      <w:szCs w:val="16"/>
      <w:lang w:val="en-US"/>
    </w:rPr>
  </w:style>
  <w:style w:type="paragraph" w:customStyle="1" w:styleId="RecommendationBodyPrebulletGeneralStyles">
    <w:name w:val="Recommendation Body Prebullet (General Styles)"/>
    <w:basedOn w:val="BodyGeneralStyles"/>
    <w:uiPriority w:val="99"/>
    <w:rsid w:val="00C107C1"/>
    <w:pPr>
      <w:spacing w:after="57"/>
      <w:ind w:left="120"/>
    </w:pPr>
    <w:rPr>
      <w:rFonts w:eastAsiaTheme="minorEastAsia"/>
    </w:rPr>
  </w:style>
  <w:style w:type="paragraph" w:customStyle="1" w:styleId="Body51PrebulletBodyParas">
    <w:name w:val="Body 5.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51BodyParas0">
    <w:name w:val="Body 5.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BodyParas0">
    <w:name w:val="Body 6.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PrebulletBodyParas">
    <w:name w:val="Body 6.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71BodyParas0">
    <w:name w:val="Body 7.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71PrebulletBodyParas">
    <w:name w:val="Body 7.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0">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PrebulletBodyParas">
    <w:name w:val="Body 8.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character" w:customStyle="1" w:styleId="Bold">
    <w:name w:val="Bold"/>
    <w:uiPriority w:val="99"/>
    <w:rsid w:val="00C107C1"/>
    <w:rPr>
      <w:b/>
      <w:bCs/>
    </w:rPr>
  </w:style>
  <w:style w:type="character" w:customStyle="1" w:styleId="Italic">
    <w:name w:val="Italic"/>
    <w:uiPriority w:val="99"/>
    <w:rsid w:val="00C107C1"/>
    <w:rPr>
      <w:i/>
      <w:iCs/>
      <w:lang w:val="en-AU"/>
    </w:rPr>
  </w:style>
  <w:style w:type="character" w:customStyle="1" w:styleId="WhiteFootnote">
    <w:name w:val="White Footnote"/>
    <w:basedOn w:val="Superscript"/>
    <w:uiPriority w:val="99"/>
    <w:rsid w:val="00C107C1"/>
    <w:rPr>
      <w:b/>
      <w:bCs/>
      <w:outline/>
      <w:vertAlign w:val="superscript"/>
      <w:lang w:val="en-AU"/>
    </w:rPr>
  </w:style>
  <w:style w:type="character" w:customStyle="1" w:styleId="TableBold">
    <w:name w:val="Table Bold"/>
    <w:uiPriority w:val="99"/>
    <w:rsid w:val="00C107C1"/>
  </w:style>
  <w:style w:type="paragraph" w:styleId="FootnoteText">
    <w:name w:val="footnote text"/>
    <w:basedOn w:val="Normal"/>
    <w:link w:val="FootnoteTextChar"/>
    <w:uiPriority w:val="99"/>
    <w:unhideWhenUsed/>
    <w:rsid w:val="00050B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BF8"/>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050BF8"/>
    <w:rPr>
      <w:vertAlign w:val="superscript"/>
    </w:rPr>
  </w:style>
  <w:style w:type="paragraph" w:customStyle="1" w:styleId="BodyFranklinGothicFranklinGothicSection">
    <w:name w:val="Body Franklin Gothic (Franklin Gothic Section)"/>
    <w:basedOn w:val="BodyGeneralStyles"/>
    <w:uiPriority w:val="99"/>
    <w:rsid w:val="000D1F9C"/>
    <w:pPr>
      <w:widowControl/>
      <w:spacing w:line="280" w:lineRule="atLeast"/>
    </w:pPr>
    <w:rPr>
      <w:rFonts w:ascii="ITC Franklin Gothic Book" w:hAnsi="ITC Franklin Gothic Book" w:cs="ITC Franklin Gothic Book"/>
      <w:sz w:val="20"/>
      <w:szCs w:val="20"/>
    </w:rPr>
  </w:style>
  <w:style w:type="character" w:customStyle="1" w:styleId="Demi">
    <w:name w:val="Demi"/>
    <w:uiPriority w:val="99"/>
    <w:rsid w:val="000D1F9C"/>
  </w:style>
  <w:style w:type="paragraph" w:customStyle="1" w:styleId="Heading1FranklinGothicFranklinGothicSection">
    <w:name w:val="Heading 1 Franklin Gothic (Franklin Gothic Section)"/>
    <w:basedOn w:val="NoParagraphStyle"/>
    <w:uiPriority w:val="99"/>
    <w:rsid w:val="007C1944"/>
    <w:pPr>
      <w:widowControl/>
      <w:suppressAutoHyphens/>
      <w:spacing w:before="270" w:after="135" w:line="280" w:lineRule="atLeast"/>
    </w:pPr>
    <w:rPr>
      <w:rFonts w:ascii="Franklin Gothic Medium" w:hAnsi="Franklin Gothic Medium" w:cs="Franklin Gothic Medium"/>
      <w:lang w:val="en-US"/>
    </w:rPr>
  </w:style>
  <w:style w:type="paragraph" w:customStyle="1" w:styleId="GothicBulletFranklinGothicSection">
    <w:name w:val="Gothic Bullet (Franklin Gothic Section)"/>
    <w:basedOn w:val="BodyFranklinGothicFranklinGothicSection"/>
    <w:uiPriority w:val="99"/>
    <w:rsid w:val="007C1944"/>
    <w:pPr>
      <w:spacing w:after="60"/>
      <w:ind w:left="360" w:hanging="240"/>
    </w:pPr>
  </w:style>
  <w:style w:type="paragraph" w:customStyle="1" w:styleId="GothicSubbulletFranklinGothicSection">
    <w:name w:val="Gothic Subbullet (Franklin Gothic Section)"/>
    <w:basedOn w:val="GothicBulletFranklinGothicSection"/>
    <w:uiPriority w:val="99"/>
    <w:rsid w:val="007C1944"/>
    <w:pPr>
      <w:ind w:left="720"/>
    </w:pPr>
  </w:style>
  <w:style w:type="paragraph" w:customStyle="1" w:styleId="SourceFranklinGothicSection">
    <w:name w:val="Source (Franklin Gothic Section)"/>
    <w:basedOn w:val="BodyFranklinGothicFranklinGothicSection"/>
    <w:uiPriority w:val="99"/>
    <w:rsid w:val="007C1944"/>
    <w:pPr>
      <w:spacing w:line="220" w:lineRule="atLeast"/>
    </w:pPr>
    <w:rPr>
      <w:sz w:val="18"/>
      <w:szCs w:val="18"/>
    </w:rPr>
  </w:style>
  <w:style w:type="paragraph" w:customStyle="1" w:styleId="GothicABCFranklinGothicSection">
    <w:name w:val="Gothic ABC (Franklin Gothic Section)"/>
    <w:basedOn w:val="GothicBulletFranklinGothicSection"/>
    <w:uiPriority w:val="99"/>
    <w:rsid w:val="003B6E5E"/>
    <w:pPr>
      <w:ind w:left="567" w:hanging="397"/>
    </w:pPr>
  </w:style>
  <w:style w:type="character" w:customStyle="1" w:styleId="BookItalic">
    <w:name w:val="Book Italic"/>
    <w:uiPriority w:val="99"/>
    <w:rsid w:val="00B57D3D"/>
    <w:rPr>
      <w:i/>
      <w:iCs/>
      <w:lang w:val="en-AU"/>
    </w:rPr>
  </w:style>
  <w:style w:type="paragraph" w:styleId="ListParagraph">
    <w:name w:val="List Paragraph"/>
    <w:basedOn w:val="Normal"/>
    <w:uiPriority w:val="34"/>
    <w:qFormat/>
    <w:rsid w:val="007238AB"/>
    <w:pPr>
      <w:ind w:left="720"/>
      <w:contextualSpacing/>
    </w:pPr>
  </w:style>
  <w:style w:type="paragraph" w:customStyle="1" w:styleId="BodyRun-inHeadGeneralStyles">
    <w:name w:val="Body Run-in Head (General Styles)"/>
    <w:basedOn w:val="NoParagraphStyle"/>
    <w:uiPriority w:val="99"/>
    <w:rsid w:val="00613286"/>
    <w:pPr>
      <w:keepLines/>
      <w:suppressAutoHyphens/>
      <w:spacing w:before="270" w:after="135" w:line="270" w:lineRule="atLeast"/>
    </w:pPr>
    <w:rPr>
      <w:rFonts w:ascii="Gill Sans Std Light" w:eastAsiaTheme="minorEastAsia" w:hAnsi="Gill Sans Std Light" w:cs="Gill Sans Std Light"/>
      <w:sz w:val="21"/>
      <w:szCs w:val="21"/>
      <w:lang w:val="en-US"/>
    </w:rPr>
  </w:style>
  <w:style w:type="paragraph" w:customStyle="1" w:styleId="BodyindentprebulletGeneralStyles">
    <w:name w:val="Body indent prebullet (General Styles)"/>
    <w:basedOn w:val="BodyGeneralStyles"/>
    <w:uiPriority w:val="99"/>
    <w:rsid w:val="00613286"/>
    <w:pPr>
      <w:spacing w:after="57"/>
      <w:ind w:left="600"/>
    </w:pPr>
    <w:rPr>
      <w:rFonts w:eastAsiaTheme="minorEastAsia"/>
    </w:rPr>
  </w:style>
  <w:style w:type="paragraph" w:customStyle="1" w:styleId="TableHeadingLeft2FiguresTable">
    <w:name w:val="Table Heading Left 2 (Figures / Table)"/>
    <w:basedOn w:val="BodyGeneralStyles"/>
    <w:uiPriority w:val="99"/>
    <w:rsid w:val="00613286"/>
    <w:pPr>
      <w:spacing w:line="240" w:lineRule="atLeast"/>
    </w:pPr>
    <w:rPr>
      <w:rFonts w:ascii="ITC Franklin Gothic Demi" w:eastAsiaTheme="minorEastAsia" w:hAnsi="ITC Franklin Gothic Demi" w:cs="ITC Franklin Gothic Demi"/>
      <w:color w:val="53555A"/>
      <w:sz w:val="18"/>
      <w:szCs w:val="18"/>
    </w:rPr>
  </w:style>
  <w:style w:type="paragraph" w:customStyle="1" w:styleId="TableHeadingRight2FiguresTable">
    <w:name w:val="Table Heading Right 2 (Figures / Table)"/>
    <w:basedOn w:val="BodyGeneralStyles"/>
    <w:uiPriority w:val="99"/>
    <w:rsid w:val="00613286"/>
    <w:pPr>
      <w:spacing w:line="240" w:lineRule="atLeast"/>
      <w:jc w:val="right"/>
    </w:pPr>
    <w:rPr>
      <w:rFonts w:ascii="ITC Franklin Gothic Demi" w:eastAsiaTheme="minorEastAsia" w:hAnsi="ITC Franklin Gothic Demi" w:cs="ITC Franklin Gothic Demi"/>
      <w:color w:val="53555A"/>
      <w:sz w:val="18"/>
      <w:szCs w:val="18"/>
    </w:rPr>
  </w:style>
  <w:style w:type="character" w:customStyle="1" w:styleId="DemiColour">
    <w:name w:val="Demi Colour"/>
    <w:uiPriority w:val="99"/>
    <w:rsid w:val="00613286"/>
    <w:rPr>
      <w:rFonts w:ascii="ITC Franklin Gothic Demi" w:hAnsi="ITC Franklin Gothic Demi" w:cs="ITC Franklin Gothic Demi"/>
      <w:color w:val="7594CC"/>
    </w:rPr>
  </w:style>
  <w:style w:type="character" w:customStyle="1" w:styleId="White">
    <w:name w:val="White"/>
    <w:uiPriority w:val="99"/>
    <w:rsid w:val="00613286"/>
    <w:rPr>
      <w:rFonts w:ascii="ITC Franklin Gothic" w:hAnsi="ITC Franklin Gothic" w:cs="ITC Franklin Gothic"/>
      <w:outline/>
    </w:rPr>
  </w:style>
  <w:style w:type="paragraph" w:customStyle="1" w:styleId="TOCMainTOC">
    <w:name w:val="TOC Main (TOC)"/>
    <w:basedOn w:val="NoParagraphStyle"/>
    <w:uiPriority w:val="99"/>
    <w:rsid w:val="006D1D12"/>
    <w:pPr>
      <w:suppressAutoHyphens/>
      <w:spacing w:before="165" w:after="20" w:line="240" w:lineRule="atLeast"/>
    </w:pPr>
    <w:rPr>
      <w:rFonts w:ascii="ITC Franklin Gothic Demi" w:eastAsiaTheme="minorEastAsia" w:hAnsi="ITC Franklin Gothic Demi" w:cs="ITC Franklin Gothic Demi"/>
      <w:color w:val="7594CC"/>
      <w:sz w:val="18"/>
      <w:szCs w:val="18"/>
      <w:lang w:val="en-US"/>
    </w:rPr>
  </w:style>
  <w:style w:type="paragraph" w:customStyle="1" w:styleId="TOCH1TOC">
    <w:name w:val="TOC H1 (TOC)"/>
    <w:basedOn w:val="NoParagraphStyle"/>
    <w:uiPriority w:val="99"/>
    <w:rsid w:val="006D1D12"/>
    <w:pPr>
      <w:tabs>
        <w:tab w:val="left" w:pos="473"/>
      </w:tabs>
      <w:suppressAutoHyphens/>
      <w:spacing w:after="20" w:line="240" w:lineRule="atLeast"/>
    </w:pPr>
    <w:rPr>
      <w:rFonts w:ascii="ITC Franklin Gothic Book" w:eastAsiaTheme="minorEastAsia" w:hAnsi="ITC Franklin Gothic Book" w:cs="ITC Franklin Gothic Book"/>
      <w:sz w:val="18"/>
      <w:szCs w:val="18"/>
      <w:lang w:val="en-US"/>
    </w:rPr>
  </w:style>
  <w:style w:type="paragraph" w:customStyle="1" w:styleId="TOCH2TOC">
    <w:name w:val="TOC H2 (TOC)"/>
    <w:basedOn w:val="NoParagraphStyle"/>
    <w:uiPriority w:val="99"/>
    <w:rsid w:val="006D1D12"/>
    <w:pPr>
      <w:suppressAutoHyphens/>
      <w:spacing w:after="20" w:line="240" w:lineRule="atLeast"/>
      <w:ind w:left="360"/>
    </w:pPr>
    <w:rPr>
      <w:rFonts w:ascii="ITC Franklin Gothic" w:eastAsiaTheme="minorEastAsia" w:hAnsi="ITC Franklin Gothic" w:cs="ITC Franklin Gothic"/>
      <w:sz w:val="18"/>
      <w:szCs w:val="18"/>
      <w:lang w:val="en-US"/>
    </w:rPr>
  </w:style>
  <w:style w:type="character" w:styleId="PageNumber">
    <w:name w:val="page number"/>
    <w:basedOn w:val="DefaultParagraphFont"/>
    <w:uiPriority w:val="99"/>
    <w:rsid w:val="006D1D12"/>
    <w:rPr>
      <w:rFonts w:ascii="ITC Franklin Gothic Book" w:hAnsi="ITC Franklin Gothic Book" w:cs="ITC Franklin Gothic Book"/>
      <w:color w:val="000000"/>
    </w:rPr>
  </w:style>
  <w:style w:type="paragraph" w:customStyle="1" w:styleId="BodyFranklinGothicNumberedFranklinGothicSection">
    <w:name w:val="Body Franklin Gothic Numbered (Franklin Gothic Section)"/>
    <w:basedOn w:val="BodyGeneralStyles"/>
    <w:uiPriority w:val="99"/>
    <w:rsid w:val="006D1D12"/>
    <w:pPr>
      <w:pageBreakBefore/>
      <w:tabs>
        <w:tab w:val="left" w:pos="360"/>
      </w:tabs>
      <w:spacing w:after="0" w:line="210" w:lineRule="atLeast"/>
      <w:ind w:left="360" w:hanging="360"/>
    </w:pPr>
    <w:rPr>
      <w:rFonts w:ascii="ITC Franklin Gothic Book" w:eastAsiaTheme="minorEastAsia" w:hAnsi="ITC Franklin Gothic Book" w:cs="ITC Franklin Gothic Book"/>
      <w:sz w:val="18"/>
      <w:szCs w:val="18"/>
    </w:rPr>
  </w:style>
  <w:style w:type="paragraph" w:customStyle="1" w:styleId="BodyFranklinGothicNumberedWhiteFranklinGothicSection">
    <w:name w:val="Body Franklin Gothic Numbered White (Franklin Gothic Section)"/>
    <w:basedOn w:val="BodyGeneralStyles"/>
    <w:uiPriority w:val="99"/>
    <w:rsid w:val="006D1D12"/>
    <w:pPr>
      <w:pageBreakBefore/>
      <w:tabs>
        <w:tab w:val="left" w:pos="360"/>
      </w:tabs>
      <w:spacing w:after="0" w:line="210" w:lineRule="atLeast"/>
      <w:ind w:left="360" w:hanging="360"/>
    </w:pPr>
    <w:rPr>
      <w:rFonts w:ascii="ITC Franklin Gothic Demi" w:eastAsiaTheme="minorEastAsia" w:hAnsi="ITC Franklin Gothic Demi" w:cs="ITC Franklin Gothic Demi"/>
      <w:color w:val="FFFFFF"/>
      <w:sz w:val="18"/>
      <w:szCs w:val="18"/>
    </w:rPr>
  </w:style>
  <w:style w:type="paragraph" w:customStyle="1" w:styleId="TableNumber">
    <w:name w:val="Table Number"/>
    <w:basedOn w:val="TableBody"/>
    <w:qFormat/>
    <w:rsid w:val="002A32E7"/>
    <w:pPr>
      <w:spacing w:after="60"/>
    </w:pPr>
  </w:style>
  <w:style w:type="paragraph" w:customStyle="1" w:styleId="FranklinGothicBulletFranklinGothicSection">
    <w:name w:val="Franklin Gothic Bullet (Franklin Gothic Section)"/>
    <w:basedOn w:val="Normal"/>
    <w:uiPriority w:val="99"/>
    <w:rsid w:val="00CA4B44"/>
    <w:pPr>
      <w:widowControl w:val="0"/>
      <w:tabs>
        <w:tab w:val="left" w:pos="907"/>
      </w:tabs>
      <w:autoSpaceDE w:val="0"/>
      <w:autoSpaceDN w:val="0"/>
      <w:adjustRightInd w:val="0"/>
      <w:spacing w:before="0" w:after="57" w:line="260" w:lineRule="atLeast"/>
      <w:ind w:left="360" w:hanging="170"/>
      <w:textAlignment w:val="center"/>
    </w:pPr>
    <w:rPr>
      <w:rFonts w:ascii="ITC Franklin Gothic Book" w:eastAsiaTheme="minorEastAsia" w:hAnsi="ITC Franklin Gothic Book" w:cs="ITC Franklin Gothic Book"/>
      <w:color w:val="000000"/>
      <w:sz w:val="18"/>
      <w:szCs w:val="18"/>
      <w:lang w:val="en-US"/>
    </w:rPr>
  </w:style>
  <w:style w:type="paragraph" w:customStyle="1" w:styleId="Pa63">
    <w:name w:val="Pa63"/>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Pa64">
    <w:name w:val="Pa64"/>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Pa12">
    <w:name w:val="Pa12"/>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FranklinGothlicLargeTextFranklinGothicSection">
    <w:name w:val="Franklin Gothlic Large Text (Franklin Gothic Section)"/>
    <w:basedOn w:val="Normal"/>
    <w:uiPriority w:val="99"/>
    <w:rsid w:val="00F80959"/>
    <w:pPr>
      <w:widowControl w:val="0"/>
      <w:autoSpaceDE w:val="0"/>
      <w:autoSpaceDN w:val="0"/>
      <w:adjustRightInd w:val="0"/>
      <w:spacing w:before="0" w:after="135" w:line="360" w:lineRule="atLeast"/>
      <w:textAlignment w:val="center"/>
    </w:pPr>
    <w:rPr>
      <w:rFonts w:ascii="ITC Franklin Gothic Demi Italic" w:eastAsiaTheme="minorEastAsia" w:hAnsi="ITC Franklin Gothic Demi Italic" w:cs="ITC Franklin Gothic Demi Italic"/>
      <w:i/>
      <w:iCs/>
      <w:color w:val="000000"/>
      <w:sz w:val="28"/>
      <w:szCs w:val="28"/>
      <w:lang w:val="en-US"/>
    </w:rPr>
  </w:style>
  <w:style w:type="paragraph" w:customStyle="1" w:styleId="Body">
    <w:name w:val="Body"/>
    <w:basedOn w:val="NoParagraphStyle"/>
    <w:uiPriority w:val="99"/>
    <w:rsid w:val="00E3623B"/>
    <w:pPr>
      <w:suppressAutoHyphens/>
      <w:spacing w:after="160" w:line="320" w:lineRule="atLeast"/>
    </w:pPr>
    <w:rPr>
      <w:rFonts w:ascii="ITC Franklin Gothic Std Book" w:eastAsiaTheme="minorEastAsia" w:hAnsi="ITC Franklin Gothic Std Book" w:cs="ITC Franklin Gothic Std Book"/>
      <w:sz w:val="23"/>
      <w:szCs w:val="23"/>
      <w:lang w:val="en-US"/>
    </w:rPr>
  </w:style>
  <w:style w:type="paragraph" w:customStyle="1" w:styleId="Anchor">
    <w:name w:val="Anchor"/>
    <w:basedOn w:val="NoParagraphStyle"/>
    <w:uiPriority w:val="99"/>
    <w:rsid w:val="00E3623B"/>
    <w:pPr>
      <w:suppressAutoHyphens/>
      <w:spacing w:line="125" w:lineRule="atLeast"/>
    </w:pPr>
    <w:rPr>
      <w:rFonts w:ascii="ITC Franklin Gothic Std Book" w:eastAsiaTheme="minorEastAsia" w:hAnsi="ITC Franklin Gothic Std Book" w:cs="ITC Franklin Gothic Std Book"/>
      <w:sz w:val="13"/>
      <w:szCs w:val="13"/>
      <w:lang w:val="en-US"/>
    </w:rPr>
  </w:style>
  <w:style w:type="paragraph" w:customStyle="1" w:styleId="BodyPrebullet">
    <w:name w:val="Body Prebullet"/>
    <w:basedOn w:val="Body"/>
    <w:uiPriority w:val="99"/>
    <w:rsid w:val="00E3623B"/>
    <w:pPr>
      <w:spacing w:after="70"/>
    </w:pPr>
  </w:style>
  <w:style w:type="paragraph" w:customStyle="1" w:styleId="Bullet">
    <w:name w:val="Bullet"/>
    <w:basedOn w:val="NoParagraphStyle"/>
    <w:uiPriority w:val="99"/>
    <w:rsid w:val="00E3623B"/>
    <w:pPr>
      <w:tabs>
        <w:tab w:val="left" w:pos="482"/>
      </w:tabs>
      <w:suppressAutoHyphens/>
      <w:spacing w:after="70" w:line="320" w:lineRule="atLeast"/>
      <w:ind w:left="460" w:hanging="200"/>
    </w:pPr>
    <w:rPr>
      <w:rFonts w:ascii="ITC Franklin Gothic Std Book" w:eastAsiaTheme="minorEastAsia" w:hAnsi="ITC Franklin Gothic Std Book" w:cs="ITC Franklin Gothic Std Book"/>
      <w:sz w:val="23"/>
      <w:szCs w:val="23"/>
      <w:lang w:val="en-US"/>
    </w:rPr>
  </w:style>
  <w:style w:type="paragraph" w:customStyle="1" w:styleId="BulletLast">
    <w:name w:val="Bullet Last"/>
    <w:basedOn w:val="NoParagraphStyle"/>
    <w:uiPriority w:val="99"/>
    <w:rsid w:val="00E3623B"/>
    <w:pPr>
      <w:tabs>
        <w:tab w:val="left" w:pos="360"/>
      </w:tabs>
      <w:suppressAutoHyphens/>
      <w:spacing w:after="140" w:line="320" w:lineRule="atLeast"/>
      <w:ind w:left="460" w:hanging="200"/>
    </w:pPr>
    <w:rPr>
      <w:rFonts w:ascii="ITC Franklin Gothic Std Book" w:eastAsiaTheme="minorEastAsia" w:hAnsi="ITC Franklin Gothic Std Book" w:cs="ITC Franklin Gothic Std Book"/>
      <w:sz w:val="23"/>
      <w:szCs w:val="23"/>
      <w:lang w:val="en-US"/>
    </w:rPr>
  </w:style>
  <w:style w:type="paragraph" w:customStyle="1" w:styleId="ReferencesIndent">
    <w:name w:val="References Indent"/>
    <w:basedOn w:val="NoParagraphStyle"/>
    <w:uiPriority w:val="99"/>
    <w:rsid w:val="00E3623B"/>
    <w:pPr>
      <w:suppressAutoHyphens/>
      <w:spacing w:line="300" w:lineRule="atLeast"/>
      <w:ind w:left="360" w:hanging="360"/>
    </w:pPr>
    <w:rPr>
      <w:rFonts w:ascii="ITC Franklin Gothic Std Book" w:eastAsiaTheme="minorEastAsia" w:hAnsi="ITC Franklin Gothic Std Book" w:cs="ITC Franklin Gothic Std Book"/>
      <w:sz w:val="21"/>
      <w:szCs w:val="21"/>
      <w:lang w:val="en-US"/>
    </w:rPr>
  </w:style>
  <w:style w:type="paragraph" w:customStyle="1" w:styleId="References">
    <w:name w:val="References"/>
    <w:basedOn w:val="NoParagraphStyle"/>
    <w:uiPriority w:val="99"/>
    <w:rsid w:val="00E3623B"/>
    <w:pPr>
      <w:suppressAutoHyphens/>
      <w:spacing w:after="28" w:line="300" w:lineRule="atLeast"/>
      <w:ind w:left="360" w:hanging="360"/>
    </w:pPr>
    <w:rPr>
      <w:rFonts w:ascii="ITC Franklin Gothic Std Book" w:eastAsiaTheme="minorEastAsia" w:hAnsi="ITC Franklin Gothic Std Book" w:cs="ITC Franklin Gothic Std Book"/>
      <w:sz w:val="21"/>
      <w:szCs w:val="21"/>
      <w:lang w:val="en-US"/>
    </w:rPr>
  </w:style>
  <w:style w:type="paragraph" w:customStyle="1" w:styleId="TableHeading1">
    <w:name w:val="Table Heading 1"/>
    <w:basedOn w:val="NoParagraphStyle"/>
    <w:uiPriority w:val="99"/>
    <w:rsid w:val="00E3623B"/>
    <w:pPr>
      <w:suppressAutoHyphens/>
      <w:spacing w:line="210" w:lineRule="atLeast"/>
    </w:pPr>
    <w:rPr>
      <w:rFonts w:ascii="ITC Franklin Gothic Std Book" w:eastAsiaTheme="minorEastAsia" w:hAnsi="ITC Franklin Gothic Std Book" w:cs="ITC Franklin Gothic Std Book"/>
      <w:color w:val="246754"/>
      <w:sz w:val="19"/>
      <w:szCs w:val="19"/>
      <w:lang w:val="en-US"/>
    </w:rPr>
  </w:style>
  <w:style w:type="paragraph" w:customStyle="1" w:styleId="FootnoteQuote">
    <w:name w:val="Footnote Quote"/>
    <w:basedOn w:val="Normal"/>
    <w:uiPriority w:val="99"/>
    <w:rsid w:val="00E3623B"/>
    <w:pPr>
      <w:widowControl w:val="0"/>
      <w:tabs>
        <w:tab w:val="left" w:pos="600"/>
      </w:tabs>
      <w:autoSpaceDE w:val="0"/>
      <w:autoSpaceDN w:val="0"/>
      <w:adjustRightInd w:val="0"/>
      <w:spacing w:before="0" w:after="0" w:line="240" w:lineRule="atLeast"/>
      <w:ind w:left="567"/>
      <w:textAlignment w:val="center"/>
    </w:pPr>
    <w:rPr>
      <w:rFonts w:ascii="ITC Franklin Gothic Std Book" w:eastAsiaTheme="minorEastAsia" w:hAnsi="ITC Franklin Gothic Std Book" w:cs="ITC Franklin Gothic Std Book"/>
      <w:color w:val="000000"/>
      <w:sz w:val="17"/>
      <w:szCs w:val="17"/>
      <w:lang w:val="en-US"/>
    </w:rPr>
  </w:style>
  <w:style w:type="paragraph" w:customStyle="1" w:styleId="Footnote100">
    <w:name w:val="Footnote 100"/>
    <w:basedOn w:val="Normal"/>
    <w:uiPriority w:val="99"/>
    <w:rsid w:val="00E3623B"/>
    <w:pPr>
      <w:widowControl w:val="0"/>
      <w:tabs>
        <w:tab w:val="left" w:pos="482"/>
      </w:tabs>
      <w:autoSpaceDE w:val="0"/>
      <w:autoSpaceDN w:val="0"/>
      <w:adjustRightInd w:val="0"/>
      <w:spacing w:before="0" w:after="100" w:line="230" w:lineRule="atLeast"/>
      <w:ind w:left="482" w:hanging="482"/>
      <w:textAlignment w:val="center"/>
    </w:pPr>
    <w:rPr>
      <w:rFonts w:ascii="ITC Franklin Gothic Std Book" w:eastAsiaTheme="minorEastAsia" w:hAnsi="ITC Franklin Gothic Std Book" w:cs="ITC Franklin Gothic Std Book"/>
      <w:color w:val="000000"/>
      <w:sz w:val="18"/>
      <w:szCs w:val="18"/>
      <w:lang w:val="en-US"/>
    </w:rPr>
  </w:style>
  <w:style w:type="paragraph" w:customStyle="1" w:styleId="TableBodyRight">
    <w:name w:val="Table Body Right"/>
    <w:basedOn w:val="NoParagraphStyle"/>
    <w:uiPriority w:val="99"/>
    <w:rsid w:val="00E3623B"/>
    <w:pPr>
      <w:suppressAutoHyphens/>
      <w:spacing w:line="210" w:lineRule="atLeast"/>
      <w:jc w:val="right"/>
    </w:pPr>
    <w:rPr>
      <w:rFonts w:ascii="ITC Franklin Gothic Std Book" w:eastAsiaTheme="minorEastAsia" w:hAnsi="ITC Franklin Gothic Std Book" w:cs="ITC Franklin Gothic Std Book"/>
      <w:sz w:val="19"/>
      <w:szCs w:val="19"/>
      <w:lang w:val="en-US"/>
    </w:rPr>
  </w:style>
  <w:style w:type="character" w:customStyle="1" w:styleId="Figurenumber">
    <w:name w:val="Figure number"/>
    <w:uiPriority w:val="99"/>
    <w:rsid w:val="00E3623B"/>
    <w:rPr>
      <w:color w:val="246754"/>
    </w:rPr>
  </w:style>
  <w:style w:type="paragraph" w:customStyle="1" w:styleId="Imprint">
    <w:name w:val="Imprint"/>
    <w:basedOn w:val="NoParagraphStyle"/>
    <w:uiPriority w:val="99"/>
    <w:rsid w:val="00FE444E"/>
    <w:pPr>
      <w:suppressAutoHyphens/>
      <w:spacing w:after="60" w:line="240" w:lineRule="atLeast"/>
    </w:pPr>
    <w:rPr>
      <w:rFonts w:ascii="ITC Franklin Gothic Std Book" w:eastAsiaTheme="minorEastAsia" w:hAnsi="ITC Franklin Gothic Std Book" w:cs="ITC Franklin Gothic Std Book"/>
      <w:sz w:val="18"/>
      <w:szCs w:val="18"/>
      <w:lang w:val="en-US"/>
    </w:rPr>
  </w:style>
  <w:style w:type="paragraph" w:styleId="Bibliography">
    <w:name w:val="Bibliography"/>
    <w:basedOn w:val="Normal"/>
    <w:next w:val="Normal"/>
    <w:uiPriority w:val="37"/>
    <w:semiHidden/>
    <w:unhideWhenUsed/>
    <w:rsid w:val="005801E0"/>
  </w:style>
  <w:style w:type="paragraph" w:customStyle="1" w:styleId="Cases">
    <w:name w:val="Cases"/>
    <w:basedOn w:val="NoParagraphStyle"/>
    <w:uiPriority w:val="99"/>
    <w:rsid w:val="005801E0"/>
    <w:pPr>
      <w:suppressAutoHyphens/>
      <w:spacing w:after="110" w:line="320" w:lineRule="atLeast"/>
    </w:pPr>
    <w:rPr>
      <w:rFonts w:ascii="ITC Franklin Gothic Std Book" w:eastAsiaTheme="minorEastAsia" w:hAnsi="ITC Franklin Gothic Std Book" w:cs="ITC Franklin Gothic Std Book"/>
      <w:sz w:val="22"/>
      <w:szCs w:val="22"/>
      <w:lang w:val="en-US"/>
    </w:rPr>
  </w:style>
  <w:style w:type="paragraph" w:customStyle="1" w:styleId="TOC">
    <w:name w:val="TOC"/>
    <w:basedOn w:val="NoParagraphStyle"/>
    <w:uiPriority w:val="99"/>
    <w:rsid w:val="0009038A"/>
    <w:pPr>
      <w:suppressAutoHyphens/>
      <w:spacing w:after="120" w:line="220" w:lineRule="atLeast"/>
    </w:pPr>
    <w:rPr>
      <w:rFonts w:ascii="ITC Franklin Gothic Std Book" w:eastAsiaTheme="minorEastAsia" w:hAnsi="ITC Franklin Gothic Std Book" w:cs="ITC Franklin Gothic Std Book"/>
      <w:sz w:val="19"/>
      <w:szCs w:val="19"/>
      <w:lang w:val="en-US"/>
    </w:rPr>
  </w:style>
  <w:style w:type="paragraph" w:customStyle="1" w:styleId="CalloutText">
    <w:name w:val="Callout Text"/>
    <w:basedOn w:val="Body"/>
    <w:uiPriority w:val="99"/>
    <w:rsid w:val="00FC305D"/>
    <w:pPr>
      <w:spacing w:after="40" w:line="360" w:lineRule="atLeast"/>
      <w:jc w:val="center"/>
    </w:pPr>
    <w:rPr>
      <w:color w:val="FFFFFF"/>
      <w:sz w:val="32"/>
      <w:szCs w:val="32"/>
    </w:rPr>
  </w:style>
  <w:style w:type="paragraph" w:styleId="IntenseQuote">
    <w:name w:val="Intense Quote"/>
    <w:basedOn w:val="Normal"/>
    <w:next w:val="Normal"/>
    <w:link w:val="IntenseQuoteChar"/>
    <w:uiPriority w:val="30"/>
    <w:qFormat/>
    <w:rsid w:val="002039C0"/>
    <w:pPr>
      <w:pBdr>
        <w:top w:val="single" w:sz="4" w:space="10" w:color="auto"/>
        <w:bottom w:val="single" w:sz="4" w:space="10" w:color="auto"/>
      </w:pBdr>
      <w:spacing w:before="360" w:after="360"/>
      <w:ind w:left="864" w:right="864"/>
      <w:jc w:val="center"/>
    </w:pPr>
    <w:rPr>
      <w:b/>
      <w:iCs/>
    </w:rPr>
  </w:style>
  <w:style w:type="character" w:customStyle="1" w:styleId="IntenseQuoteChar">
    <w:name w:val="Intense Quote Char"/>
    <w:basedOn w:val="DefaultParagraphFont"/>
    <w:link w:val="IntenseQuote"/>
    <w:uiPriority w:val="30"/>
    <w:rsid w:val="002039C0"/>
    <w:rPr>
      <w:b/>
      <w:iCs/>
    </w:rPr>
  </w:style>
  <w:style w:type="paragraph" w:customStyle="1" w:styleId="Subbullet">
    <w:name w:val="Subbullet"/>
    <w:basedOn w:val="NoParagraphStyle"/>
    <w:uiPriority w:val="99"/>
    <w:rsid w:val="004C0661"/>
    <w:pPr>
      <w:tabs>
        <w:tab w:val="left" w:pos="482"/>
      </w:tabs>
      <w:suppressAutoHyphens/>
      <w:spacing w:line="360" w:lineRule="atLeast"/>
      <w:ind w:left="760" w:hanging="200"/>
    </w:pPr>
    <w:rPr>
      <w:rFonts w:ascii="ITC Franklin Gothic Std Book" w:eastAsiaTheme="minorEastAsia" w:hAnsi="ITC Franklin Gothic Std Book" w:cs="ITC Franklin Gothic Std Book"/>
      <w:sz w:val="22"/>
      <w:szCs w:val="22"/>
      <w:lang w:val="en-US"/>
      <w14:ligatures w14:val="standardContextual"/>
    </w:rPr>
  </w:style>
  <w:style w:type="paragraph" w:customStyle="1" w:styleId="SubbulletFinal">
    <w:name w:val="Subbullet Final"/>
    <w:basedOn w:val="NoParagraphStyle"/>
    <w:uiPriority w:val="99"/>
    <w:rsid w:val="004C0661"/>
    <w:pPr>
      <w:tabs>
        <w:tab w:val="left" w:pos="482"/>
      </w:tabs>
      <w:suppressAutoHyphens/>
      <w:spacing w:after="180" w:line="360" w:lineRule="atLeast"/>
      <w:ind w:left="760" w:hanging="200"/>
    </w:pPr>
    <w:rPr>
      <w:rFonts w:ascii="ITC Franklin Gothic Std Book" w:eastAsiaTheme="minorEastAsia" w:hAnsi="ITC Franklin Gothic Std Book" w:cs="ITC Franklin Gothic Std Book"/>
      <w:sz w:val="22"/>
      <w:szCs w:val="22"/>
      <w:lang w:val="en-US"/>
      <w14:ligatures w14:val="standardContextual"/>
    </w:rPr>
  </w:style>
  <w:style w:type="paragraph" w:customStyle="1" w:styleId="TableHeadingWhite">
    <w:name w:val="Table Heading White"/>
    <w:basedOn w:val="TableHeading1"/>
    <w:uiPriority w:val="99"/>
    <w:rsid w:val="004C0661"/>
    <w:pPr>
      <w:spacing w:line="240" w:lineRule="atLeast"/>
    </w:pPr>
    <w:rPr>
      <w:color w:val="FFFFFF"/>
      <w:sz w:val="20"/>
      <w:szCs w:val="20"/>
      <w14:ligatures w14:val="standardContextual"/>
    </w:rPr>
  </w:style>
  <w:style w:type="paragraph" w:customStyle="1" w:styleId="TableHeadingWhiteRight">
    <w:name w:val="Table Heading White Right"/>
    <w:basedOn w:val="TableHeading1"/>
    <w:uiPriority w:val="99"/>
    <w:rsid w:val="004C0661"/>
    <w:pPr>
      <w:spacing w:line="240" w:lineRule="atLeast"/>
      <w:jc w:val="right"/>
    </w:pPr>
    <w:rPr>
      <w:color w:val="FFFFFF"/>
      <w:sz w:val="20"/>
      <w:szCs w:val="20"/>
      <w14:ligatures w14:val="standardContextual"/>
    </w:rPr>
  </w:style>
  <w:style w:type="paragraph" w:customStyle="1" w:styleId="TableBodyIndent">
    <w:name w:val="Table Body Indent"/>
    <w:basedOn w:val="NoParagraphStyle"/>
    <w:uiPriority w:val="99"/>
    <w:rsid w:val="004C0661"/>
    <w:pPr>
      <w:suppressAutoHyphens/>
      <w:spacing w:line="240" w:lineRule="atLeast"/>
      <w:ind w:left="240"/>
    </w:pPr>
    <w:rPr>
      <w:rFonts w:ascii="ITC Franklin Gothic Std Book" w:eastAsiaTheme="minorEastAsia" w:hAnsi="ITC Franklin Gothic Std Book" w:cs="ITC Franklin Gothic Std Book"/>
      <w:sz w:val="20"/>
      <w:szCs w:val="20"/>
      <w:lang w:val="en-US"/>
      <w14:ligatures w14:val="standardContextual"/>
    </w:rPr>
  </w:style>
  <w:style w:type="character" w:customStyle="1" w:styleId="GothicPro">
    <w:name w:val="Gothic Pro"/>
    <w:uiPriority w:val="99"/>
    <w:rsid w:val="004C0661"/>
    <w:rPr>
      <w:rFonts w:ascii="ITCFranklinGothic LT Pro Bk" w:hAnsi="ITCFranklinGothic LT Pro Bk" w:cs="ITCFranklinGothic LT Pro Bk"/>
    </w:rPr>
  </w:style>
  <w:style w:type="character" w:customStyle="1" w:styleId="DemiSuperscript">
    <w:name w:val="Demi Superscript"/>
    <w:basedOn w:val="Demi"/>
    <w:uiPriority w:val="99"/>
    <w:rsid w:val="004C0661"/>
    <w:rPr>
      <w:vertAlign w:val="superscript"/>
    </w:rPr>
  </w:style>
  <w:style w:type="paragraph" w:customStyle="1" w:styleId="Pa11">
    <w:name w:val="Pa11"/>
    <w:basedOn w:val="Normal"/>
    <w:next w:val="Normal"/>
    <w:uiPriority w:val="99"/>
    <w:rsid w:val="0095120D"/>
    <w:pPr>
      <w:suppressAutoHyphens w:val="0"/>
      <w:autoSpaceDE w:val="0"/>
      <w:autoSpaceDN w:val="0"/>
      <w:adjustRightInd w:val="0"/>
      <w:spacing w:before="0" w:after="0" w:line="241" w:lineRule="atLeast"/>
    </w:pPr>
    <w:rPr>
      <w:rFonts w:ascii="ITC Franklin Gothic Std Book" w:hAnsi="ITC Franklin Gothic Std Book"/>
    </w:rPr>
  </w:style>
  <w:style w:type="paragraph" w:customStyle="1" w:styleId="CallOutBodyCallOutBox">
    <w:name w:val="Call Out Body (Call Out Box)"/>
    <w:basedOn w:val="BodyGeneralStyles"/>
    <w:uiPriority w:val="99"/>
    <w:rsid w:val="00FA5FB2"/>
    <w:pPr>
      <w:tabs>
        <w:tab w:val="left" w:pos="459"/>
      </w:tabs>
      <w:spacing w:line="320" w:lineRule="atLeast"/>
    </w:pPr>
    <w:rPr>
      <w:rFonts w:ascii="ITC Franklin Gothic Std Book" w:eastAsiaTheme="minorEastAsia" w:hAnsi="ITC Franklin Gothic Std Book" w:cs="ITC Franklin Gothic Std Book"/>
      <w:color w:val="FFFFFF"/>
      <w:sz w:val="24"/>
      <w:szCs w:val="24"/>
      <w14:ligatures w14:val="standardContextual"/>
    </w:rPr>
  </w:style>
  <w:style w:type="character" w:styleId="UnresolvedMention">
    <w:name w:val="Unresolved Mention"/>
    <w:basedOn w:val="DefaultParagraphFont"/>
    <w:uiPriority w:val="99"/>
    <w:semiHidden/>
    <w:unhideWhenUsed/>
    <w:rsid w:val="000D6D6B"/>
    <w:rPr>
      <w:color w:val="605E5C"/>
      <w:shd w:val="clear" w:color="auto" w:fill="E1DFDD"/>
    </w:rPr>
  </w:style>
  <w:style w:type="paragraph" w:customStyle="1" w:styleId="Pa5">
    <w:name w:val="Pa5"/>
    <w:basedOn w:val="Normal"/>
    <w:next w:val="Normal"/>
    <w:uiPriority w:val="99"/>
    <w:rsid w:val="009F7761"/>
    <w:pPr>
      <w:suppressAutoHyphens w:val="0"/>
      <w:autoSpaceDE w:val="0"/>
      <w:autoSpaceDN w:val="0"/>
      <w:adjustRightInd w:val="0"/>
      <w:spacing w:before="0" w:after="0" w:line="321" w:lineRule="atLeast"/>
    </w:pPr>
    <w:rPr>
      <w:rFonts w:ascii="ITC Franklin Gothic Std Book" w:hAnsi="ITC Franklin Gothic Std Book"/>
    </w:rPr>
  </w:style>
  <w:style w:type="paragraph" w:customStyle="1" w:styleId="Pa6">
    <w:name w:val="Pa6"/>
    <w:basedOn w:val="Normal"/>
    <w:next w:val="Normal"/>
    <w:uiPriority w:val="99"/>
    <w:rsid w:val="009F7761"/>
    <w:pPr>
      <w:suppressAutoHyphens w:val="0"/>
      <w:autoSpaceDE w:val="0"/>
      <w:autoSpaceDN w:val="0"/>
      <w:adjustRightInd w:val="0"/>
      <w:spacing w:before="0" w:after="0" w:line="221" w:lineRule="atLeast"/>
    </w:pPr>
    <w:rPr>
      <w:rFonts w:ascii="ITC Franklin Gothic Std Book" w:hAnsi="ITC Franklin Gothic Std Book"/>
    </w:rPr>
  </w:style>
  <w:style w:type="paragraph" w:customStyle="1" w:styleId="Pa4">
    <w:name w:val="Pa4"/>
    <w:basedOn w:val="Normal"/>
    <w:next w:val="Normal"/>
    <w:uiPriority w:val="99"/>
    <w:rsid w:val="009F7761"/>
    <w:pPr>
      <w:suppressAutoHyphens w:val="0"/>
      <w:autoSpaceDE w:val="0"/>
      <w:autoSpaceDN w:val="0"/>
      <w:adjustRightInd w:val="0"/>
      <w:spacing w:before="0" w:after="0" w:line="181" w:lineRule="atLeast"/>
    </w:pPr>
    <w:rPr>
      <w:rFonts w:ascii="ITC Franklin Gothic Std Book" w:hAnsi="ITC Franklin Gothic Std Book"/>
    </w:rPr>
  </w:style>
  <w:style w:type="paragraph" w:customStyle="1" w:styleId="Default">
    <w:name w:val="Default"/>
    <w:rsid w:val="001C2E7A"/>
    <w:pPr>
      <w:autoSpaceDE w:val="0"/>
      <w:autoSpaceDN w:val="0"/>
      <w:adjustRightInd w:val="0"/>
    </w:pPr>
    <w:rPr>
      <w:rFonts w:ascii="ITC Franklin Gothic Std Book" w:hAnsi="ITC Franklin Gothic Std Book" w:cs="ITC Franklin Gothic Std 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886">
      <w:bodyDiv w:val="1"/>
      <w:marLeft w:val="0"/>
      <w:marRight w:val="0"/>
      <w:marTop w:val="0"/>
      <w:marBottom w:val="0"/>
      <w:divBdr>
        <w:top w:val="none" w:sz="0" w:space="0" w:color="auto"/>
        <w:left w:val="none" w:sz="0" w:space="0" w:color="auto"/>
        <w:bottom w:val="none" w:sz="0" w:space="0" w:color="auto"/>
        <w:right w:val="none" w:sz="0" w:space="0" w:color="auto"/>
      </w:divBdr>
    </w:div>
    <w:div w:id="68233506">
      <w:bodyDiv w:val="1"/>
      <w:marLeft w:val="0"/>
      <w:marRight w:val="0"/>
      <w:marTop w:val="0"/>
      <w:marBottom w:val="0"/>
      <w:divBdr>
        <w:top w:val="none" w:sz="0" w:space="0" w:color="auto"/>
        <w:left w:val="none" w:sz="0" w:space="0" w:color="auto"/>
        <w:bottom w:val="none" w:sz="0" w:space="0" w:color="auto"/>
        <w:right w:val="none" w:sz="0" w:space="0" w:color="auto"/>
      </w:divBdr>
    </w:div>
    <w:div w:id="85225944">
      <w:bodyDiv w:val="1"/>
      <w:marLeft w:val="0"/>
      <w:marRight w:val="0"/>
      <w:marTop w:val="0"/>
      <w:marBottom w:val="0"/>
      <w:divBdr>
        <w:top w:val="none" w:sz="0" w:space="0" w:color="auto"/>
        <w:left w:val="none" w:sz="0" w:space="0" w:color="auto"/>
        <w:bottom w:val="none" w:sz="0" w:space="0" w:color="auto"/>
        <w:right w:val="none" w:sz="0" w:space="0" w:color="auto"/>
      </w:divBdr>
    </w:div>
    <w:div w:id="117914533">
      <w:bodyDiv w:val="1"/>
      <w:marLeft w:val="0"/>
      <w:marRight w:val="0"/>
      <w:marTop w:val="0"/>
      <w:marBottom w:val="0"/>
      <w:divBdr>
        <w:top w:val="none" w:sz="0" w:space="0" w:color="auto"/>
        <w:left w:val="none" w:sz="0" w:space="0" w:color="auto"/>
        <w:bottom w:val="none" w:sz="0" w:space="0" w:color="auto"/>
        <w:right w:val="none" w:sz="0" w:space="0" w:color="auto"/>
      </w:divBdr>
    </w:div>
    <w:div w:id="126243955">
      <w:bodyDiv w:val="1"/>
      <w:marLeft w:val="0"/>
      <w:marRight w:val="0"/>
      <w:marTop w:val="0"/>
      <w:marBottom w:val="0"/>
      <w:divBdr>
        <w:top w:val="none" w:sz="0" w:space="0" w:color="auto"/>
        <w:left w:val="none" w:sz="0" w:space="0" w:color="auto"/>
        <w:bottom w:val="none" w:sz="0" w:space="0" w:color="auto"/>
        <w:right w:val="none" w:sz="0" w:space="0" w:color="auto"/>
      </w:divBdr>
    </w:div>
    <w:div w:id="130683595">
      <w:bodyDiv w:val="1"/>
      <w:marLeft w:val="0"/>
      <w:marRight w:val="0"/>
      <w:marTop w:val="0"/>
      <w:marBottom w:val="0"/>
      <w:divBdr>
        <w:top w:val="none" w:sz="0" w:space="0" w:color="auto"/>
        <w:left w:val="none" w:sz="0" w:space="0" w:color="auto"/>
        <w:bottom w:val="none" w:sz="0" w:space="0" w:color="auto"/>
        <w:right w:val="none" w:sz="0" w:space="0" w:color="auto"/>
      </w:divBdr>
    </w:div>
    <w:div w:id="150297517">
      <w:bodyDiv w:val="1"/>
      <w:marLeft w:val="0"/>
      <w:marRight w:val="0"/>
      <w:marTop w:val="0"/>
      <w:marBottom w:val="0"/>
      <w:divBdr>
        <w:top w:val="none" w:sz="0" w:space="0" w:color="auto"/>
        <w:left w:val="none" w:sz="0" w:space="0" w:color="auto"/>
        <w:bottom w:val="none" w:sz="0" w:space="0" w:color="auto"/>
        <w:right w:val="none" w:sz="0" w:space="0" w:color="auto"/>
      </w:divBdr>
    </w:div>
    <w:div w:id="159777461">
      <w:bodyDiv w:val="1"/>
      <w:marLeft w:val="0"/>
      <w:marRight w:val="0"/>
      <w:marTop w:val="0"/>
      <w:marBottom w:val="0"/>
      <w:divBdr>
        <w:top w:val="none" w:sz="0" w:space="0" w:color="auto"/>
        <w:left w:val="none" w:sz="0" w:space="0" w:color="auto"/>
        <w:bottom w:val="none" w:sz="0" w:space="0" w:color="auto"/>
        <w:right w:val="none" w:sz="0" w:space="0" w:color="auto"/>
      </w:divBdr>
    </w:div>
    <w:div w:id="177546379">
      <w:bodyDiv w:val="1"/>
      <w:marLeft w:val="0"/>
      <w:marRight w:val="0"/>
      <w:marTop w:val="0"/>
      <w:marBottom w:val="0"/>
      <w:divBdr>
        <w:top w:val="none" w:sz="0" w:space="0" w:color="auto"/>
        <w:left w:val="none" w:sz="0" w:space="0" w:color="auto"/>
        <w:bottom w:val="none" w:sz="0" w:space="0" w:color="auto"/>
        <w:right w:val="none" w:sz="0" w:space="0" w:color="auto"/>
      </w:divBdr>
    </w:div>
    <w:div w:id="181167200">
      <w:bodyDiv w:val="1"/>
      <w:marLeft w:val="0"/>
      <w:marRight w:val="0"/>
      <w:marTop w:val="0"/>
      <w:marBottom w:val="0"/>
      <w:divBdr>
        <w:top w:val="none" w:sz="0" w:space="0" w:color="auto"/>
        <w:left w:val="none" w:sz="0" w:space="0" w:color="auto"/>
        <w:bottom w:val="none" w:sz="0" w:space="0" w:color="auto"/>
        <w:right w:val="none" w:sz="0" w:space="0" w:color="auto"/>
      </w:divBdr>
    </w:div>
    <w:div w:id="189538604">
      <w:bodyDiv w:val="1"/>
      <w:marLeft w:val="0"/>
      <w:marRight w:val="0"/>
      <w:marTop w:val="0"/>
      <w:marBottom w:val="0"/>
      <w:divBdr>
        <w:top w:val="none" w:sz="0" w:space="0" w:color="auto"/>
        <w:left w:val="none" w:sz="0" w:space="0" w:color="auto"/>
        <w:bottom w:val="none" w:sz="0" w:space="0" w:color="auto"/>
        <w:right w:val="none" w:sz="0" w:space="0" w:color="auto"/>
      </w:divBdr>
    </w:div>
    <w:div w:id="231277032">
      <w:bodyDiv w:val="1"/>
      <w:marLeft w:val="0"/>
      <w:marRight w:val="0"/>
      <w:marTop w:val="0"/>
      <w:marBottom w:val="0"/>
      <w:divBdr>
        <w:top w:val="none" w:sz="0" w:space="0" w:color="auto"/>
        <w:left w:val="none" w:sz="0" w:space="0" w:color="auto"/>
        <w:bottom w:val="none" w:sz="0" w:space="0" w:color="auto"/>
        <w:right w:val="none" w:sz="0" w:space="0" w:color="auto"/>
      </w:divBdr>
    </w:div>
    <w:div w:id="289167735">
      <w:bodyDiv w:val="1"/>
      <w:marLeft w:val="0"/>
      <w:marRight w:val="0"/>
      <w:marTop w:val="0"/>
      <w:marBottom w:val="0"/>
      <w:divBdr>
        <w:top w:val="none" w:sz="0" w:space="0" w:color="auto"/>
        <w:left w:val="none" w:sz="0" w:space="0" w:color="auto"/>
        <w:bottom w:val="none" w:sz="0" w:space="0" w:color="auto"/>
        <w:right w:val="none" w:sz="0" w:space="0" w:color="auto"/>
      </w:divBdr>
    </w:div>
    <w:div w:id="291373497">
      <w:bodyDiv w:val="1"/>
      <w:marLeft w:val="0"/>
      <w:marRight w:val="0"/>
      <w:marTop w:val="0"/>
      <w:marBottom w:val="0"/>
      <w:divBdr>
        <w:top w:val="none" w:sz="0" w:space="0" w:color="auto"/>
        <w:left w:val="none" w:sz="0" w:space="0" w:color="auto"/>
        <w:bottom w:val="none" w:sz="0" w:space="0" w:color="auto"/>
        <w:right w:val="none" w:sz="0" w:space="0" w:color="auto"/>
      </w:divBdr>
    </w:div>
    <w:div w:id="300234194">
      <w:bodyDiv w:val="1"/>
      <w:marLeft w:val="0"/>
      <w:marRight w:val="0"/>
      <w:marTop w:val="0"/>
      <w:marBottom w:val="0"/>
      <w:divBdr>
        <w:top w:val="none" w:sz="0" w:space="0" w:color="auto"/>
        <w:left w:val="none" w:sz="0" w:space="0" w:color="auto"/>
        <w:bottom w:val="none" w:sz="0" w:space="0" w:color="auto"/>
        <w:right w:val="none" w:sz="0" w:space="0" w:color="auto"/>
      </w:divBdr>
    </w:div>
    <w:div w:id="309870076">
      <w:bodyDiv w:val="1"/>
      <w:marLeft w:val="0"/>
      <w:marRight w:val="0"/>
      <w:marTop w:val="0"/>
      <w:marBottom w:val="0"/>
      <w:divBdr>
        <w:top w:val="none" w:sz="0" w:space="0" w:color="auto"/>
        <w:left w:val="none" w:sz="0" w:space="0" w:color="auto"/>
        <w:bottom w:val="none" w:sz="0" w:space="0" w:color="auto"/>
        <w:right w:val="none" w:sz="0" w:space="0" w:color="auto"/>
      </w:divBdr>
    </w:div>
    <w:div w:id="310913766">
      <w:bodyDiv w:val="1"/>
      <w:marLeft w:val="0"/>
      <w:marRight w:val="0"/>
      <w:marTop w:val="0"/>
      <w:marBottom w:val="0"/>
      <w:divBdr>
        <w:top w:val="none" w:sz="0" w:space="0" w:color="auto"/>
        <w:left w:val="none" w:sz="0" w:space="0" w:color="auto"/>
        <w:bottom w:val="none" w:sz="0" w:space="0" w:color="auto"/>
        <w:right w:val="none" w:sz="0" w:space="0" w:color="auto"/>
      </w:divBdr>
    </w:div>
    <w:div w:id="316997878">
      <w:bodyDiv w:val="1"/>
      <w:marLeft w:val="0"/>
      <w:marRight w:val="0"/>
      <w:marTop w:val="0"/>
      <w:marBottom w:val="0"/>
      <w:divBdr>
        <w:top w:val="none" w:sz="0" w:space="0" w:color="auto"/>
        <w:left w:val="none" w:sz="0" w:space="0" w:color="auto"/>
        <w:bottom w:val="none" w:sz="0" w:space="0" w:color="auto"/>
        <w:right w:val="none" w:sz="0" w:space="0" w:color="auto"/>
      </w:divBdr>
    </w:div>
    <w:div w:id="322851807">
      <w:bodyDiv w:val="1"/>
      <w:marLeft w:val="0"/>
      <w:marRight w:val="0"/>
      <w:marTop w:val="0"/>
      <w:marBottom w:val="0"/>
      <w:divBdr>
        <w:top w:val="none" w:sz="0" w:space="0" w:color="auto"/>
        <w:left w:val="none" w:sz="0" w:space="0" w:color="auto"/>
        <w:bottom w:val="none" w:sz="0" w:space="0" w:color="auto"/>
        <w:right w:val="none" w:sz="0" w:space="0" w:color="auto"/>
      </w:divBdr>
    </w:div>
    <w:div w:id="339891757">
      <w:bodyDiv w:val="1"/>
      <w:marLeft w:val="0"/>
      <w:marRight w:val="0"/>
      <w:marTop w:val="0"/>
      <w:marBottom w:val="0"/>
      <w:divBdr>
        <w:top w:val="none" w:sz="0" w:space="0" w:color="auto"/>
        <w:left w:val="none" w:sz="0" w:space="0" w:color="auto"/>
        <w:bottom w:val="none" w:sz="0" w:space="0" w:color="auto"/>
        <w:right w:val="none" w:sz="0" w:space="0" w:color="auto"/>
      </w:divBdr>
    </w:div>
    <w:div w:id="383869941">
      <w:bodyDiv w:val="1"/>
      <w:marLeft w:val="0"/>
      <w:marRight w:val="0"/>
      <w:marTop w:val="0"/>
      <w:marBottom w:val="0"/>
      <w:divBdr>
        <w:top w:val="none" w:sz="0" w:space="0" w:color="auto"/>
        <w:left w:val="none" w:sz="0" w:space="0" w:color="auto"/>
        <w:bottom w:val="none" w:sz="0" w:space="0" w:color="auto"/>
        <w:right w:val="none" w:sz="0" w:space="0" w:color="auto"/>
      </w:divBdr>
    </w:div>
    <w:div w:id="383909937">
      <w:bodyDiv w:val="1"/>
      <w:marLeft w:val="0"/>
      <w:marRight w:val="0"/>
      <w:marTop w:val="0"/>
      <w:marBottom w:val="0"/>
      <w:divBdr>
        <w:top w:val="none" w:sz="0" w:space="0" w:color="auto"/>
        <w:left w:val="none" w:sz="0" w:space="0" w:color="auto"/>
        <w:bottom w:val="none" w:sz="0" w:space="0" w:color="auto"/>
        <w:right w:val="none" w:sz="0" w:space="0" w:color="auto"/>
      </w:divBdr>
    </w:div>
    <w:div w:id="425228017">
      <w:bodyDiv w:val="1"/>
      <w:marLeft w:val="0"/>
      <w:marRight w:val="0"/>
      <w:marTop w:val="0"/>
      <w:marBottom w:val="0"/>
      <w:divBdr>
        <w:top w:val="none" w:sz="0" w:space="0" w:color="auto"/>
        <w:left w:val="none" w:sz="0" w:space="0" w:color="auto"/>
        <w:bottom w:val="none" w:sz="0" w:space="0" w:color="auto"/>
        <w:right w:val="none" w:sz="0" w:space="0" w:color="auto"/>
      </w:divBdr>
    </w:div>
    <w:div w:id="447159759">
      <w:bodyDiv w:val="1"/>
      <w:marLeft w:val="0"/>
      <w:marRight w:val="0"/>
      <w:marTop w:val="0"/>
      <w:marBottom w:val="0"/>
      <w:divBdr>
        <w:top w:val="none" w:sz="0" w:space="0" w:color="auto"/>
        <w:left w:val="none" w:sz="0" w:space="0" w:color="auto"/>
        <w:bottom w:val="none" w:sz="0" w:space="0" w:color="auto"/>
        <w:right w:val="none" w:sz="0" w:space="0" w:color="auto"/>
      </w:divBdr>
    </w:div>
    <w:div w:id="454910518">
      <w:bodyDiv w:val="1"/>
      <w:marLeft w:val="0"/>
      <w:marRight w:val="0"/>
      <w:marTop w:val="0"/>
      <w:marBottom w:val="0"/>
      <w:divBdr>
        <w:top w:val="none" w:sz="0" w:space="0" w:color="auto"/>
        <w:left w:val="none" w:sz="0" w:space="0" w:color="auto"/>
        <w:bottom w:val="none" w:sz="0" w:space="0" w:color="auto"/>
        <w:right w:val="none" w:sz="0" w:space="0" w:color="auto"/>
      </w:divBdr>
    </w:div>
    <w:div w:id="471097515">
      <w:bodyDiv w:val="1"/>
      <w:marLeft w:val="0"/>
      <w:marRight w:val="0"/>
      <w:marTop w:val="0"/>
      <w:marBottom w:val="0"/>
      <w:divBdr>
        <w:top w:val="none" w:sz="0" w:space="0" w:color="auto"/>
        <w:left w:val="none" w:sz="0" w:space="0" w:color="auto"/>
        <w:bottom w:val="none" w:sz="0" w:space="0" w:color="auto"/>
        <w:right w:val="none" w:sz="0" w:space="0" w:color="auto"/>
      </w:divBdr>
    </w:div>
    <w:div w:id="496501361">
      <w:bodyDiv w:val="1"/>
      <w:marLeft w:val="0"/>
      <w:marRight w:val="0"/>
      <w:marTop w:val="0"/>
      <w:marBottom w:val="0"/>
      <w:divBdr>
        <w:top w:val="none" w:sz="0" w:space="0" w:color="auto"/>
        <w:left w:val="none" w:sz="0" w:space="0" w:color="auto"/>
        <w:bottom w:val="none" w:sz="0" w:space="0" w:color="auto"/>
        <w:right w:val="none" w:sz="0" w:space="0" w:color="auto"/>
      </w:divBdr>
    </w:div>
    <w:div w:id="579632705">
      <w:bodyDiv w:val="1"/>
      <w:marLeft w:val="0"/>
      <w:marRight w:val="0"/>
      <w:marTop w:val="0"/>
      <w:marBottom w:val="0"/>
      <w:divBdr>
        <w:top w:val="none" w:sz="0" w:space="0" w:color="auto"/>
        <w:left w:val="none" w:sz="0" w:space="0" w:color="auto"/>
        <w:bottom w:val="none" w:sz="0" w:space="0" w:color="auto"/>
        <w:right w:val="none" w:sz="0" w:space="0" w:color="auto"/>
      </w:divBdr>
    </w:div>
    <w:div w:id="616722735">
      <w:bodyDiv w:val="1"/>
      <w:marLeft w:val="0"/>
      <w:marRight w:val="0"/>
      <w:marTop w:val="0"/>
      <w:marBottom w:val="0"/>
      <w:divBdr>
        <w:top w:val="none" w:sz="0" w:space="0" w:color="auto"/>
        <w:left w:val="none" w:sz="0" w:space="0" w:color="auto"/>
        <w:bottom w:val="none" w:sz="0" w:space="0" w:color="auto"/>
        <w:right w:val="none" w:sz="0" w:space="0" w:color="auto"/>
      </w:divBdr>
    </w:div>
    <w:div w:id="659776344">
      <w:bodyDiv w:val="1"/>
      <w:marLeft w:val="0"/>
      <w:marRight w:val="0"/>
      <w:marTop w:val="0"/>
      <w:marBottom w:val="0"/>
      <w:divBdr>
        <w:top w:val="none" w:sz="0" w:space="0" w:color="auto"/>
        <w:left w:val="none" w:sz="0" w:space="0" w:color="auto"/>
        <w:bottom w:val="none" w:sz="0" w:space="0" w:color="auto"/>
        <w:right w:val="none" w:sz="0" w:space="0" w:color="auto"/>
      </w:divBdr>
    </w:div>
    <w:div w:id="680933441">
      <w:bodyDiv w:val="1"/>
      <w:marLeft w:val="0"/>
      <w:marRight w:val="0"/>
      <w:marTop w:val="0"/>
      <w:marBottom w:val="0"/>
      <w:divBdr>
        <w:top w:val="none" w:sz="0" w:space="0" w:color="auto"/>
        <w:left w:val="none" w:sz="0" w:space="0" w:color="auto"/>
        <w:bottom w:val="none" w:sz="0" w:space="0" w:color="auto"/>
        <w:right w:val="none" w:sz="0" w:space="0" w:color="auto"/>
      </w:divBdr>
    </w:div>
    <w:div w:id="709570870">
      <w:bodyDiv w:val="1"/>
      <w:marLeft w:val="0"/>
      <w:marRight w:val="0"/>
      <w:marTop w:val="0"/>
      <w:marBottom w:val="0"/>
      <w:divBdr>
        <w:top w:val="none" w:sz="0" w:space="0" w:color="auto"/>
        <w:left w:val="none" w:sz="0" w:space="0" w:color="auto"/>
        <w:bottom w:val="none" w:sz="0" w:space="0" w:color="auto"/>
        <w:right w:val="none" w:sz="0" w:space="0" w:color="auto"/>
      </w:divBdr>
    </w:div>
    <w:div w:id="773478657">
      <w:bodyDiv w:val="1"/>
      <w:marLeft w:val="0"/>
      <w:marRight w:val="0"/>
      <w:marTop w:val="0"/>
      <w:marBottom w:val="0"/>
      <w:divBdr>
        <w:top w:val="none" w:sz="0" w:space="0" w:color="auto"/>
        <w:left w:val="none" w:sz="0" w:space="0" w:color="auto"/>
        <w:bottom w:val="none" w:sz="0" w:space="0" w:color="auto"/>
        <w:right w:val="none" w:sz="0" w:space="0" w:color="auto"/>
      </w:divBdr>
    </w:div>
    <w:div w:id="793328173">
      <w:bodyDiv w:val="1"/>
      <w:marLeft w:val="0"/>
      <w:marRight w:val="0"/>
      <w:marTop w:val="0"/>
      <w:marBottom w:val="0"/>
      <w:divBdr>
        <w:top w:val="none" w:sz="0" w:space="0" w:color="auto"/>
        <w:left w:val="none" w:sz="0" w:space="0" w:color="auto"/>
        <w:bottom w:val="none" w:sz="0" w:space="0" w:color="auto"/>
        <w:right w:val="none" w:sz="0" w:space="0" w:color="auto"/>
      </w:divBdr>
    </w:div>
    <w:div w:id="801844922">
      <w:bodyDiv w:val="1"/>
      <w:marLeft w:val="0"/>
      <w:marRight w:val="0"/>
      <w:marTop w:val="0"/>
      <w:marBottom w:val="0"/>
      <w:divBdr>
        <w:top w:val="none" w:sz="0" w:space="0" w:color="auto"/>
        <w:left w:val="none" w:sz="0" w:space="0" w:color="auto"/>
        <w:bottom w:val="none" w:sz="0" w:space="0" w:color="auto"/>
        <w:right w:val="none" w:sz="0" w:space="0" w:color="auto"/>
      </w:divBdr>
    </w:div>
    <w:div w:id="802387697">
      <w:bodyDiv w:val="1"/>
      <w:marLeft w:val="0"/>
      <w:marRight w:val="0"/>
      <w:marTop w:val="0"/>
      <w:marBottom w:val="0"/>
      <w:divBdr>
        <w:top w:val="none" w:sz="0" w:space="0" w:color="auto"/>
        <w:left w:val="none" w:sz="0" w:space="0" w:color="auto"/>
        <w:bottom w:val="none" w:sz="0" w:space="0" w:color="auto"/>
        <w:right w:val="none" w:sz="0" w:space="0" w:color="auto"/>
      </w:divBdr>
    </w:div>
    <w:div w:id="830678666">
      <w:bodyDiv w:val="1"/>
      <w:marLeft w:val="0"/>
      <w:marRight w:val="0"/>
      <w:marTop w:val="0"/>
      <w:marBottom w:val="0"/>
      <w:divBdr>
        <w:top w:val="none" w:sz="0" w:space="0" w:color="auto"/>
        <w:left w:val="none" w:sz="0" w:space="0" w:color="auto"/>
        <w:bottom w:val="none" w:sz="0" w:space="0" w:color="auto"/>
        <w:right w:val="none" w:sz="0" w:space="0" w:color="auto"/>
      </w:divBdr>
    </w:div>
    <w:div w:id="850602420">
      <w:bodyDiv w:val="1"/>
      <w:marLeft w:val="0"/>
      <w:marRight w:val="0"/>
      <w:marTop w:val="0"/>
      <w:marBottom w:val="0"/>
      <w:divBdr>
        <w:top w:val="none" w:sz="0" w:space="0" w:color="auto"/>
        <w:left w:val="none" w:sz="0" w:space="0" w:color="auto"/>
        <w:bottom w:val="none" w:sz="0" w:space="0" w:color="auto"/>
        <w:right w:val="none" w:sz="0" w:space="0" w:color="auto"/>
      </w:divBdr>
    </w:div>
    <w:div w:id="853037540">
      <w:bodyDiv w:val="1"/>
      <w:marLeft w:val="0"/>
      <w:marRight w:val="0"/>
      <w:marTop w:val="0"/>
      <w:marBottom w:val="0"/>
      <w:divBdr>
        <w:top w:val="none" w:sz="0" w:space="0" w:color="auto"/>
        <w:left w:val="none" w:sz="0" w:space="0" w:color="auto"/>
        <w:bottom w:val="none" w:sz="0" w:space="0" w:color="auto"/>
        <w:right w:val="none" w:sz="0" w:space="0" w:color="auto"/>
      </w:divBdr>
    </w:div>
    <w:div w:id="872420961">
      <w:bodyDiv w:val="1"/>
      <w:marLeft w:val="0"/>
      <w:marRight w:val="0"/>
      <w:marTop w:val="0"/>
      <w:marBottom w:val="0"/>
      <w:divBdr>
        <w:top w:val="none" w:sz="0" w:space="0" w:color="auto"/>
        <w:left w:val="none" w:sz="0" w:space="0" w:color="auto"/>
        <w:bottom w:val="none" w:sz="0" w:space="0" w:color="auto"/>
        <w:right w:val="none" w:sz="0" w:space="0" w:color="auto"/>
      </w:divBdr>
    </w:div>
    <w:div w:id="894395367">
      <w:bodyDiv w:val="1"/>
      <w:marLeft w:val="0"/>
      <w:marRight w:val="0"/>
      <w:marTop w:val="0"/>
      <w:marBottom w:val="0"/>
      <w:divBdr>
        <w:top w:val="none" w:sz="0" w:space="0" w:color="auto"/>
        <w:left w:val="none" w:sz="0" w:space="0" w:color="auto"/>
        <w:bottom w:val="none" w:sz="0" w:space="0" w:color="auto"/>
        <w:right w:val="none" w:sz="0" w:space="0" w:color="auto"/>
      </w:divBdr>
    </w:div>
    <w:div w:id="899899891">
      <w:bodyDiv w:val="1"/>
      <w:marLeft w:val="0"/>
      <w:marRight w:val="0"/>
      <w:marTop w:val="0"/>
      <w:marBottom w:val="0"/>
      <w:divBdr>
        <w:top w:val="none" w:sz="0" w:space="0" w:color="auto"/>
        <w:left w:val="none" w:sz="0" w:space="0" w:color="auto"/>
        <w:bottom w:val="none" w:sz="0" w:space="0" w:color="auto"/>
        <w:right w:val="none" w:sz="0" w:space="0" w:color="auto"/>
      </w:divBdr>
    </w:div>
    <w:div w:id="902182954">
      <w:bodyDiv w:val="1"/>
      <w:marLeft w:val="0"/>
      <w:marRight w:val="0"/>
      <w:marTop w:val="0"/>
      <w:marBottom w:val="0"/>
      <w:divBdr>
        <w:top w:val="none" w:sz="0" w:space="0" w:color="auto"/>
        <w:left w:val="none" w:sz="0" w:space="0" w:color="auto"/>
        <w:bottom w:val="none" w:sz="0" w:space="0" w:color="auto"/>
        <w:right w:val="none" w:sz="0" w:space="0" w:color="auto"/>
      </w:divBdr>
    </w:div>
    <w:div w:id="914054751">
      <w:bodyDiv w:val="1"/>
      <w:marLeft w:val="0"/>
      <w:marRight w:val="0"/>
      <w:marTop w:val="0"/>
      <w:marBottom w:val="0"/>
      <w:divBdr>
        <w:top w:val="none" w:sz="0" w:space="0" w:color="auto"/>
        <w:left w:val="none" w:sz="0" w:space="0" w:color="auto"/>
        <w:bottom w:val="none" w:sz="0" w:space="0" w:color="auto"/>
        <w:right w:val="none" w:sz="0" w:space="0" w:color="auto"/>
      </w:divBdr>
    </w:div>
    <w:div w:id="981276058">
      <w:bodyDiv w:val="1"/>
      <w:marLeft w:val="0"/>
      <w:marRight w:val="0"/>
      <w:marTop w:val="0"/>
      <w:marBottom w:val="0"/>
      <w:divBdr>
        <w:top w:val="none" w:sz="0" w:space="0" w:color="auto"/>
        <w:left w:val="none" w:sz="0" w:space="0" w:color="auto"/>
        <w:bottom w:val="none" w:sz="0" w:space="0" w:color="auto"/>
        <w:right w:val="none" w:sz="0" w:space="0" w:color="auto"/>
      </w:divBdr>
    </w:div>
    <w:div w:id="981691994">
      <w:bodyDiv w:val="1"/>
      <w:marLeft w:val="0"/>
      <w:marRight w:val="0"/>
      <w:marTop w:val="0"/>
      <w:marBottom w:val="0"/>
      <w:divBdr>
        <w:top w:val="none" w:sz="0" w:space="0" w:color="auto"/>
        <w:left w:val="none" w:sz="0" w:space="0" w:color="auto"/>
        <w:bottom w:val="none" w:sz="0" w:space="0" w:color="auto"/>
        <w:right w:val="none" w:sz="0" w:space="0" w:color="auto"/>
      </w:divBdr>
    </w:div>
    <w:div w:id="1045762154">
      <w:bodyDiv w:val="1"/>
      <w:marLeft w:val="0"/>
      <w:marRight w:val="0"/>
      <w:marTop w:val="0"/>
      <w:marBottom w:val="0"/>
      <w:divBdr>
        <w:top w:val="none" w:sz="0" w:space="0" w:color="auto"/>
        <w:left w:val="none" w:sz="0" w:space="0" w:color="auto"/>
        <w:bottom w:val="none" w:sz="0" w:space="0" w:color="auto"/>
        <w:right w:val="none" w:sz="0" w:space="0" w:color="auto"/>
      </w:divBdr>
    </w:div>
    <w:div w:id="1055815836">
      <w:bodyDiv w:val="1"/>
      <w:marLeft w:val="0"/>
      <w:marRight w:val="0"/>
      <w:marTop w:val="0"/>
      <w:marBottom w:val="0"/>
      <w:divBdr>
        <w:top w:val="none" w:sz="0" w:space="0" w:color="auto"/>
        <w:left w:val="none" w:sz="0" w:space="0" w:color="auto"/>
        <w:bottom w:val="none" w:sz="0" w:space="0" w:color="auto"/>
        <w:right w:val="none" w:sz="0" w:space="0" w:color="auto"/>
      </w:divBdr>
    </w:div>
    <w:div w:id="1060981320">
      <w:bodyDiv w:val="1"/>
      <w:marLeft w:val="0"/>
      <w:marRight w:val="0"/>
      <w:marTop w:val="0"/>
      <w:marBottom w:val="0"/>
      <w:divBdr>
        <w:top w:val="none" w:sz="0" w:space="0" w:color="auto"/>
        <w:left w:val="none" w:sz="0" w:space="0" w:color="auto"/>
        <w:bottom w:val="none" w:sz="0" w:space="0" w:color="auto"/>
        <w:right w:val="none" w:sz="0" w:space="0" w:color="auto"/>
      </w:divBdr>
    </w:div>
    <w:div w:id="1065176364">
      <w:bodyDiv w:val="1"/>
      <w:marLeft w:val="0"/>
      <w:marRight w:val="0"/>
      <w:marTop w:val="0"/>
      <w:marBottom w:val="0"/>
      <w:divBdr>
        <w:top w:val="none" w:sz="0" w:space="0" w:color="auto"/>
        <w:left w:val="none" w:sz="0" w:space="0" w:color="auto"/>
        <w:bottom w:val="none" w:sz="0" w:space="0" w:color="auto"/>
        <w:right w:val="none" w:sz="0" w:space="0" w:color="auto"/>
      </w:divBdr>
    </w:div>
    <w:div w:id="1098914772">
      <w:bodyDiv w:val="1"/>
      <w:marLeft w:val="0"/>
      <w:marRight w:val="0"/>
      <w:marTop w:val="0"/>
      <w:marBottom w:val="0"/>
      <w:divBdr>
        <w:top w:val="none" w:sz="0" w:space="0" w:color="auto"/>
        <w:left w:val="none" w:sz="0" w:space="0" w:color="auto"/>
        <w:bottom w:val="none" w:sz="0" w:space="0" w:color="auto"/>
        <w:right w:val="none" w:sz="0" w:space="0" w:color="auto"/>
      </w:divBdr>
    </w:div>
    <w:div w:id="1108891827">
      <w:bodyDiv w:val="1"/>
      <w:marLeft w:val="0"/>
      <w:marRight w:val="0"/>
      <w:marTop w:val="0"/>
      <w:marBottom w:val="0"/>
      <w:divBdr>
        <w:top w:val="none" w:sz="0" w:space="0" w:color="auto"/>
        <w:left w:val="none" w:sz="0" w:space="0" w:color="auto"/>
        <w:bottom w:val="none" w:sz="0" w:space="0" w:color="auto"/>
        <w:right w:val="none" w:sz="0" w:space="0" w:color="auto"/>
      </w:divBdr>
    </w:div>
    <w:div w:id="1184247350">
      <w:bodyDiv w:val="1"/>
      <w:marLeft w:val="0"/>
      <w:marRight w:val="0"/>
      <w:marTop w:val="0"/>
      <w:marBottom w:val="0"/>
      <w:divBdr>
        <w:top w:val="none" w:sz="0" w:space="0" w:color="auto"/>
        <w:left w:val="none" w:sz="0" w:space="0" w:color="auto"/>
        <w:bottom w:val="none" w:sz="0" w:space="0" w:color="auto"/>
        <w:right w:val="none" w:sz="0" w:space="0" w:color="auto"/>
      </w:divBdr>
    </w:div>
    <w:div w:id="1198010112">
      <w:bodyDiv w:val="1"/>
      <w:marLeft w:val="0"/>
      <w:marRight w:val="0"/>
      <w:marTop w:val="0"/>
      <w:marBottom w:val="0"/>
      <w:divBdr>
        <w:top w:val="none" w:sz="0" w:space="0" w:color="auto"/>
        <w:left w:val="none" w:sz="0" w:space="0" w:color="auto"/>
        <w:bottom w:val="none" w:sz="0" w:space="0" w:color="auto"/>
        <w:right w:val="none" w:sz="0" w:space="0" w:color="auto"/>
      </w:divBdr>
    </w:div>
    <w:div w:id="1207140317">
      <w:bodyDiv w:val="1"/>
      <w:marLeft w:val="0"/>
      <w:marRight w:val="0"/>
      <w:marTop w:val="0"/>
      <w:marBottom w:val="0"/>
      <w:divBdr>
        <w:top w:val="none" w:sz="0" w:space="0" w:color="auto"/>
        <w:left w:val="none" w:sz="0" w:space="0" w:color="auto"/>
        <w:bottom w:val="none" w:sz="0" w:space="0" w:color="auto"/>
        <w:right w:val="none" w:sz="0" w:space="0" w:color="auto"/>
      </w:divBdr>
    </w:div>
    <w:div w:id="1211839285">
      <w:bodyDiv w:val="1"/>
      <w:marLeft w:val="0"/>
      <w:marRight w:val="0"/>
      <w:marTop w:val="0"/>
      <w:marBottom w:val="0"/>
      <w:divBdr>
        <w:top w:val="none" w:sz="0" w:space="0" w:color="auto"/>
        <w:left w:val="none" w:sz="0" w:space="0" w:color="auto"/>
        <w:bottom w:val="none" w:sz="0" w:space="0" w:color="auto"/>
        <w:right w:val="none" w:sz="0" w:space="0" w:color="auto"/>
      </w:divBdr>
    </w:div>
    <w:div w:id="1226337790">
      <w:bodyDiv w:val="1"/>
      <w:marLeft w:val="0"/>
      <w:marRight w:val="0"/>
      <w:marTop w:val="0"/>
      <w:marBottom w:val="0"/>
      <w:divBdr>
        <w:top w:val="none" w:sz="0" w:space="0" w:color="auto"/>
        <w:left w:val="none" w:sz="0" w:space="0" w:color="auto"/>
        <w:bottom w:val="none" w:sz="0" w:space="0" w:color="auto"/>
        <w:right w:val="none" w:sz="0" w:space="0" w:color="auto"/>
      </w:divBdr>
    </w:div>
    <w:div w:id="1249194459">
      <w:bodyDiv w:val="1"/>
      <w:marLeft w:val="0"/>
      <w:marRight w:val="0"/>
      <w:marTop w:val="0"/>
      <w:marBottom w:val="0"/>
      <w:divBdr>
        <w:top w:val="none" w:sz="0" w:space="0" w:color="auto"/>
        <w:left w:val="none" w:sz="0" w:space="0" w:color="auto"/>
        <w:bottom w:val="none" w:sz="0" w:space="0" w:color="auto"/>
        <w:right w:val="none" w:sz="0" w:space="0" w:color="auto"/>
      </w:divBdr>
    </w:div>
    <w:div w:id="1253928055">
      <w:bodyDiv w:val="1"/>
      <w:marLeft w:val="0"/>
      <w:marRight w:val="0"/>
      <w:marTop w:val="0"/>
      <w:marBottom w:val="0"/>
      <w:divBdr>
        <w:top w:val="none" w:sz="0" w:space="0" w:color="auto"/>
        <w:left w:val="none" w:sz="0" w:space="0" w:color="auto"/>
        <w:bottom w:val="none" w:sz="0" w:space="0" w:color="auto"/>
        <w:right w:val="none" w:sz="0" w:space="0" w:color="auto"/>
      </w:divBdr>
    </w:div>
    <w:div w:id="1282491292">
      <w:bodyDiv w:val="1"/>
      <w:marLeft w:val="0"/>
      <w:marRight w:val="0"/>
      <w:marTop w:val="0"/>
      <w:marBottom w:val="0"/>
      <w:divBdr>
        <w:top w:val="none" w:sz="0" w:space="0" w:color="auto"/>
        <w:left w:val="none" w:sz="0" w:space="0" w:color="auto"/>
        <w:bottom w:val="none" w:sz="0" w:space="0" w:color="auto"/>
        <w:right w:val="none" w:sz="0" w:space="0" w:color="auto"/>
      </w:divBdr>
    </w:div>
    <w:div w:id="1292634655">
      <w:bodyDiv w:val="1"/>
      <w:marLeft w:val="0"/>
      <w:marRight w:val="0"/>
      <w:marTop w:val="0"/>
      <w:marBottom w:val="0"/>
      <w:divBdr>
        <w:top w:val="none" w:sz="0" w:space="0" w:color="auto"/>
        <w:left w:val="none" w:sz="0" w:space="0" w:color="auto"/>
        <w:bottom w:val="none" w:sz="0" w:space="0" w:color="auto"/>
        <w:right w:val="none" w:sz="0" w:space="0" w:color="auto"/>
      </w:divBdr>
    </w:div>
    <w:div w:id="1301421078">
      <w:bodyDiv w:val="1"/>
      <w:marLeft w:val="0"/>
      <w:marRight w:val="0"/>
      <w:marTop w:val="0"/>
      <w:marBottom w:val="0"/>
      <w:divBdr>
        <w:top w:val="none" w:sz="0" w:space="0" w:color="auto"/>
        <w:left w:val="none" w:sz="0" w:space="0" w:color="auto"/>
        <w:bottom w:val="none" w:sz="0" w:space="0" w:color="auto"/>
        <w:right w:val="none" w:sz="0" w:space="0" w:color="auto"/>
      </w:divBdr>
    </w:div>
    <w:div w:id="1302928550">
      <w:bodyDiv w:val="1"/>
      <w:marLeft w:val="0"/>
      <w:marRight w:val="0"/>
      <w:marTop w:val="0"/>
      <w:marBottom w:val="0"/>
      <w:divBdr>
        <w:top w:val="none" w:sz="0" w:space="0" w:color="auto"/>
        <w:left w:val="none" w:sz="0" w:space="0" w:color="auto"/>
        <w:bottom w:val="none" w:sz="0" w:space="0" w:color="auto"/>
        <w:right w:val="none" w:sz="0" w:space="0" w:color="auto"/>
      </w:divBdr>
    </w:div>
    <w:div w:id="1321806955">
      <w:bodyDiv w:val="1"/>
      <w:marLeft w:val="0"/>
      <w:marRight w:val="0"/>
      <w:marTop w:val="0"/>
      <w:marBottom w:val="0"/>
      <w:divBdr>
        <w:top w:val="none" w:sz="0" w:space="0" w:color="auto"/>
        <w:left w:val="none" w:sz="0" w:space="0" w:color="auto"/>
        <w:bottom w:val="none" w:sz="0" w:space="0" w:color="auto"/>
        <w:right w:val="none" w:sz="0" w:space="0" w:color="auto"/>
      </w:divBdr>
    </w:div>
    <w:div w:id="1323511082">
      <w:bodyDiv w:val="1"/>
      <w:marLeft w:val="0"/>
      <w:marRight w:val="0"/>
      <w:marTop w:val="0"/>
      <w:marBottom w:val="0"/>
      <w:divBdr>
        <w:top w:val="none" w:sz="0" w:space="0" w:color="auto"/>
        <w:left w:val="none" w:sz="0" w:space="0" w:color="auto"/>
        <w:bottom w:val="none" w:sz="0" w:space="0" w:color="auto"/>
        <w:right w:val="none" w:sz="0" w:space="0" w:color="auto"/>
      </w:divBdr>
    </w:div>
    <w:div w:id="1384716848">
      <w:bodyDiv w:val="1"/>
      <w:marLeft w:val="0"/>
      <w:marRight w:val="0"/>
      <w:marTop w:val="0"/>
      <w:marBottom w:val="0"/>
      <w:divBdr>
        <w:top w:val="none" w:sz="0" w:space="0" w:color="auto"/>
        <w:left w:val="none" w:sz="0" w:space="0" w:color="auto"/>
        <w:bottom w:val="none" w:sz="0" w:space="0" w:color="auto"/>
        <w:right w:val="none" w:sz="0" w:space="0" w:color="auto"/>
      </w:divBdr>
    </w:div>
    <w:div w:id="1403410402">
      <w:bodyDiv w:val="1"/>
      <w:marLeft w:val="0"/>
      <w:marRight w:val="0"/>
      <w:marTop w:val="0"/>
      <w:marBottom w:val="0"/>
      <w:divBdr>
        <w:top w:val="none" w:sz="0" w:space="0" w:color="auto"/>
        <w:left w:val="none" w:sz="0" w:space="0" w:color="auto"/>
        <w:bottom w:val="none" w:sz="0" w:space="0" w:color="auto"/>
        <w:right w:val="none" w:sz="0" w:space="0" w:color="auto"/>
      </w:divBdr>
    </w:div>
    <w:div w:id="1408649815">
      <w:bodyDiv w:val="1"/>
      <w:marLeft w:val="0"/>
      <w:marRight w:val="0"/>
      <w:marTop w:val="0"/>
      <w:marBottom w:val="0"/>
      <w:divBdr>
        <w:top w:val="none" w:sz="0" w:space="0" w:color="auto"/>
        <w:left w:val="none" w:sz="0" w:space="0" w:color="auto"/>
        <w:bottom w:val="none" w:sz="0" w:space="0" w:color="auto"/>
        <w:right w:val="none" w:sz="0" w:space="0" w:color="auto"/>
      </w:divBdr>
    </w:div>
    <w:div w:id="1425498555">
      <w:bodyDiv w:val="1"/>
      <w:marLeft w:val="0"/>
      <w:marRight w:val="0"/>
      <w:marTop w:val="0"/>
      <w:marBottom w:val="0"/>
      <w:divBdr>
        <w:top w:val="none" w:sz="0" w:space="0" w:color="auto"/>
        <w:left w:val="none" w:sz="0" w:space="0" w:color="auto"/>
        <w:bottom w:val="none" w:sz="0" w:space="0" w:color="auto"/>
        <w:right w:val="none" w:sz="0" w:space="0" w:color="auto"/>
      </w:divBdr>
    </w:div>
    <w:div w:id="1459378181">
      <w:bodyDiv w:val="1"/>
      <w:marLeft w:val="0"/>
      <w:marRight w:val="0"/>
      <w:marTop w:val="0"/>
      <w:marBottom w:val="0"/>
      <w:divBdr>
        <w:top w:val="none" w:sz="0" w:space="0" w:color="auto"/>
        <w:left w:val="none" w:sz="0" w:space="0" w:color="auto"/>
        <w:bottom w:val="none" w:sz="0" w:space="0" w:color="auto"/>
        <w:right w:val="none" w:sz="0" w:space="0" w:color="auto"/>
      </w:divBdr>
    </w:div>
    <w:div w:id="1476989409">
      <w:bodyDiv w:val="1"/>
      <w:marLeft w:val="0"/>
      <w:marRight w:val="0"/>
      <w:marTop w:val="0"/>
      <w:marBottom w:val="0"/>
      <w:divBdr>
        <w:top w:val="none" w:sz="0" w:space="0" w:color="auto"/>
        <w:left w:val="none" w:sz="0" w:space="0" w:color="auto"/>
        <w:bottom w:val="none" w:sz="0" w:space="0" w:color="auto"/>
        <w:right w:val="none" w:sz="0" w:space="0" w:color="auto"/>
      </w:divBdr>
    </w:div>
    <w:div w:id="1482189412">
      <w:bodyDiv w:val="1"/>
      <w:marLeft w:val="0"/>
      <w:marRight w:val="0"/>
      <w:marTop w:val="0"/>
      <w:marBottom w:val="0"/>
      <w:divBdr>
        <w:top w:val="none" w:sz="0" w:space="0" w:color="auto"/>
        <w:left w:val="none" w:sz="0" w:space="0" w:color="auto"/>
        <w:bottom w:val="none" w:sz="0" w:space="0" w:color="auto"/>
        <w:right w:val="none" w:sz="0" w:space="0" w:color="auto"/>
      </w:divBdr>
    </w:div>
    <w:div w:id="1497528882">
      <w:bodyDiv w:val="1"/>
      <w:marLeft w:val="0"/>
      <w:marRight w:val="0"/>
      <w:marTop w:val="0"/>
      <w:marBottom w:val="0"/>
      <w:divBdr>
        <w:top w:val="none" w:sz="0" w:space="0" w:color="auto"/>
        <w:left w:val="none" w:sz="0" w:space="0" w:color="auto"/>
        <w:bottom w:val="none" w:sz="0" w:space="0" w:color="auto"/>
        <w:right w:val="none" w:sz="0" w:space="0" w:color="auto"/>
      </w:divBdr>
    </w:div>
    <w:div w:id="1501889646">
      <w:bodyDiv w:val="1"/>
      <w:marLeft w:val="0"/>
      <w:marRight w:val="0"/>
      <w:marTop w:val="0"/>
      <w:marBottom w:val="0"/>
      <w:divBdr>
        <w:top w:val="none" w:sz="0" w:space="0" w:color="auto"/>
        <w:left w:val="none" w:sz="0" w:space="0" w:color="auto"/>
        <w:bottom w:val="none" w:sz="0" w:space="0" w:color="auto"/>
        <w:right w:val="none" w:sz="0" w:space="0" w:color="auto"/>
      </w:divBdr>
    </w:div>
    <w:div w:id="1526869375">
      <w:bodyDiv w:val="1"/>
      <w:marLeft w:val="0"/>
      <w:marRight w:val="0"/>
      <w:marTop w:val="0"/>
      <w:marBottom w:val="0"/>
      <w:divBdr>
        <w:top w:val="none" w:sz="0" w:space="0" w:color="auto"/>
        <w:left w:val="none" w:sz="0" w:space="0" w:color="auto"/>
        <w:bottom w:val="none" w:sz="0" w:space="0" w:color="auto"/>
        <w:right w:val="none" w:sz="0" w:space="0" w:color="auto"/>
      </w:divBdr>
    </w:div>
    <w:div w:id="1566378242">
      <w:bodyDiv w:val="1"/>
      <w:marLeft w:val="0"/>
      <w:marRight w:val="0"/>
      <w:marTop w:val="0"/>
      <w:marBottom w:val="0"/>
      <w:divBdr>
        <w:top w:val="none" w:sz="0" w:space="0" w:color="auto"/>
        <w:left w:val="none" w:sz="0" w:space="0" w:color="auto"/>
        <w:bottom w:val="none" w:sz="0" w:space="0" w:color="auto"/>
        <w:right w:val="none" w:sz="0" w:space="0" w:color="auto"/>
      </w:divBdr>
    </w:div>
    <w:div w:id="1571498080">
      <w:bodyDiv w:val="1"/>
      <w:marLeft w:val="0"/>
      <w:marRight w:val="0"/>
      <w:marTop w:val="0"/>
      <w:marBottom w:val="0"/>
      <w:divBdr>
        <w:top w:val="none" w:sz="0" w:space="0" w:color="auto"/>
        <w:left w:val="none" w:sz="0" w:space="0" w:color="auto"/>
        <w:bottom w:val="none" w:sz="0" w:space="0" w:color="auto"/>
        <w:right w:val="none" w:sz="0" w:space="0" w:color="auto"/>
      </w:divBdr>
    </w:div>
    <w:div w:id="1653097632">
      <w:bodyDiv w:val="1"/>
      <w:marLeft w:val="0"/>
      <w:marRight w:val="0"/>
      <w:marTop w:val="0"/>
      <w:marBottom w:val="0"/>
      <w:divBdr>
        <w:top w:val="none" w:sz="0" w:space="0" w:color="auto"/>
        <w:left w:val="none" w:sz="0" w:space="0" w:color="auto"/>
        <w:bottom w:val="none" w:sz="0" w:space="0" w:color="auto"/>
        <w:right w:val="none" w:sz="0" w:space="0" w:color="auto"/>
      </w:divBdr>
    </w:div>
    <w:div w:id="1654260672">
      <w:bodyDiv w:val="1"/>
      <w:marLeft w:val="0"/>
      <w:marRight w:val="0"/>
      <w:marTop w:val="0"/>
      <w:marBottom w:val="0"/>
      <w:divBdr>
        <w:top w:val="none" w:sz="0" w:space="0" w:color="auto"/>
        <w:left w:val="none" w:sz="0" w:space="0" w:color="auto"/>
        <w:bottom w:val="none" w:sz="0" w:space="0" w:color="auto"/>
        <w:right w:val="none" w:sz="0" w:space="0" w:color="auto"/>
      </w:divBdr>
    </w:div>
    <w:div w:id="1673801804">
      <w:bodyDiv w:val="1"/>
      <w:marLeft w:val="0"/>
      <w:marRight w:val="0"/>
      <w:marTop w:val="0"/>
      <w:marBottom w:val="0"/>
      <w:divBdr>
        <w:top w:val="none" w:sz="0" w:space="0" w:color="auto"/>
        <w:left w:val="none" w:sz="0" w:space="0" w:color="auto"/>
        <w:bottom w:val="none" w:sz="0" w:space="0" w:color="auto"/>
        <w:right w:val="none" w:sz="0" w:space="0" w:color="auto"/>
      </w:divBdr>
    </w:div>
    <w:div w:id="1708095922">
      <w:bodyDiv w:val="1"/>
      <w:marLeft w:val="0"/>
      <w:marRight w:val="0"/>
      <w:marTop w:val="0"/>
      <w:marBottom w:val="0"/>
      <w:divBdr>
        <w:top w:val="none" w:sz="0" w:space="0" w:color="auto"/>
        <w:left w:val="none" w:sz="0" w:space="0" w:color="auto"/>
        <w:bottom w:val="none" w:sz="0" w:space="0" w:color="auto"/>
        <w:right w:val="none" w:sz="0" w:space="0" w:color="auto"/>
      </w:divBdr>
    </w:div>
    <w:div w:id="1712803588">
      <w:bodyDiv w:val="1"/>
      <w:marLeft w:val="0"/>
      <w:marRight w:val="0"/>
      <w:marTop w:val="0"/>
      <w:marBottom w:val="0"/>
      <w:divBdr>
        <w:top w:val="none" w:sz="0" w:space="0" w:color="auto"/>
        <w:left w:val="none" w:sz="0" w:space="0" w:color="auto"/>
        <w:bottom w:val="none" w:sz="0" w:space="0" w:color="auto"/>
        <w:right w:val="none" w:sz="0" w:space="0" w:color="auto"/>
      </w:divBdr>
    </w:div>
    <w:div w:id="1713265562">
      <w:bodyDiv w:val="1"/>
      <w:marLeft w:val="0"/>
      <w:marRight w:val="0"/>
      <w:marTop w:val="0"/>
      <w:marBottom w:val="0"/>
      <w:divBdr>
        <w:top w:val="none" w:sz="0" w:space="0" w:color="auto"/>
        <w:left w:val="none" w:sz="0" w:space="0" w:color="auto"/>
        <w:bottom w:val="none" w:sz="0" w:space="0" w:color="auto"/>
        <w:right w:val="none" w:sz="0" w:space="0" w:color="auto"/>
      </w:divBdr>
    </w:div>
    <w:div w:id="1746874891">
      <w:bodyDiv w:val="1"/>
      <w:marLeft w:val="0"/>
      <w:marRight w:val="0"/>
      <w:marTop w:val="0"/>
      <w:marBottom w:val="0"/>
      <w:divBdr>
        <w:top w:val="none" w:sz="0" w:space="0" w:color="auto"/>
        <w:left w:val="none" w:sz="0" w:space="0" w:color="auto"/>
        <w:bottom w:val="none" w:sz="0" w:space="0" w:color="auto"/>
        <w:right w:val="none" w:sz="0" w:space="0" w:color="auto"/>
      </w:divBdr>
    </w:div>
    <w:div w:id="1777670894">
      <w:bodyDiv w:val="1"/>
      <w:marLeft w:val="0"/>
      <w:marRight w:val="0"/>
      <w:marTop w:val="0"/>
      <w:marBottom w:val="0"/>
      <w:divBdr>
        <w:top w:val="none" w:sz="0" w:space="0" w:color="auto"/>
        <w:left w:val="none" w:sz="0" w:space="0" w:color="auto"/>
        <w:bottom w:val="none" w:sz="0" w:space="0" w:color="auto"/>
        <w:right w:val="none" w:sz="0" w:space="0" w:color="auto"/>
      </w:divBdr>
    </w:div>
    <w:div w:id="1810973581">
      <w:bodyDiv w:val="1"/>
      <w:marLeft w:val="0"/>
      <w:marRight w:val="0"/>
      <w:marTop w:val="0"/>
      <w:marBottom w:val="0"/>
      <w:divBdr>
        <w:top w:val="none" w:sz="0" w:space="0" w:color="auto"/>
        <w:left w:val="none" w:sz="0" w:space="0" w:color="auto"/>
        <w:bottom w:val="none" w:sz="0" w:space="0" w:color="auto"/>
        <w:right w:val="none" w:sz="0" w:space="0" w:color="auto"/>
      </w:divBdr>
    </w:div>
    <w:div w:id="1813449230">
      <w:bodyDiv w:val="1"/>
      <w:marLeft w:val="0"/>
      <w:marRight w:val="0"/>
      <w:marTop w:val="0"/>
      <w:marBottom w:val="0"/>
      <w:divBdr>
        <w:top w:val="none" w:sz="0" w:space="0" w:color="auto"/>
        <w:left w:val="none" w:sz="0" w:space="0" w:color="auto"/>
        <w:bottom w:val="none" w:sz="0" w:space="0" w:color="auto"/>
        <w:right w:val="none" w:sz="0" w:space="0" w:color="auto"/>
      </w:divBdr>
    </w:div>
    <w:div w:id="1835608701">
      <w:bodyDiv w:val="1"/>
      <w:marLeft w:val="0"/>
      <w:marRight w:val="0"/>
      <w:marTop w:val="0"/>
      <w:marBottom w:val="0"/>
      <w:divBdr>
        <w:top w:val="none" w:sz="0" w:space="0" w:color="auto"/>
        <w:left w:val="none" w:sz="0" w:space="0" w:color="auto"/>
        <w:bottom w:val="none" w:sz="0" w:space="0" w:color="auto"/>
        <w:right w:val="none" w:sz="0" w:space="0" w:color="auto"/>
      </w:divBdr>
    </w:div>
    <w:div w:id="1840538355">
      <w:bodyDiv w:val="1"/>
      <w:marLeft w:val="0"/>
      <w:marRight w:val="0"/>
      <w:marTop w:val="0"/>
      <w:marBottom w:val="0"/>
      <w:divBdr>
        <w:top w:val="none" w:sz="0" w:space="0" w:color="auto"/>
        <w:left w:val="none" w:sz="0" w:space="0" w:color="auto"/>
        <w:bottom w:val="none" w:sz="0" w:space="0" w:color="auto"/>
        <w:right w:val="none" w:sz="0" w:space="0" w:color="auto"/>
      </w:divBdr>
    </w:div>
    <w:div w:id="1845701132">
      <w:bodyDiv w:val="1"/>
      <w:marLeft w:val="0"/>
      <w:marRight w:val="0"/>
      <w:marTop w:val="0"/>
      <w:marBottom w:val="0"/>
      <w:divBdr>
        <w:top w:val="none" w:sz="0" w:space="0" w:color="auto"/>
        <w:left w:val="none" w:sz="0" w:space="0" w:color="auto"/>
        <w:bottom w:val="none" w:sz="0" w:space="0" w:color="auto"/>
        <w:right w:val="none" w:sz="0" w:space="0" w:color="auto"/>
      </w:divBdr>
    </w:div>
    <w:div w:id="1859930354">
      <w:bodyDiv w:val="1"/>
      <w:marLeft w:val="0"/>
      <w:marRight w:val="0"/>
      <w:marTop w:val="0"/>
      <w:marBottom w:val="0"/>
      <w:divBdr>
        <w:top w:val="none" w:sz="0" w:space="0" w:color="auto"/>
        <w:left w:val="none" w:sz="0" w:space="0" w:color="auto"/>
        <w:bottom w:val="none" w:sz="0" w:space="0" w:color="auto"/>
        <w:right w:val="none" w:sz="0" w:space="0" w:color="auto"/>
      </w:divBdr>
    </w:div>
    <w:div w:id="1874885063">
      <w:bodyDiv w:val="1"/>
      <w:marLeft w:val="0"/>
      <w:marRight w:val="0"/>
      <w:marTop w:val="0"/>
      <w:marBottom w:val="0"/>
      <w:divBdr>
        <w:top w:val="none" w:sz="0" w:space="0" w:color="auto"/>
        <w:left w:val="none" w:sz="0" w:space="0" w:color="auto"/>
        <w:bottom w:val="none" w:sz="0" w:space="0" w:color="auto"/>
        <w:right w:val="none" w:sz="0" w:space="0" w:color="auto"/>
      </w:divBdr>
    </w:div>
    <w:div w:id="1881087845">
      <w:bodyDiv w:val="1"/>
      <w:marLeft w:val="0"/>
      <w:marRight w:val="0"/>
      <w:marTop w:val="0"/>
      <w:marBottom w:val="0"/>
      <w:divBdr>
        <w:top w:val="none" w:sz="0" w:space="0" w:color="auto"/>
        <w:left w:val="none" w:sz="0" w:space="0" w:color="auto"/>
        <w:bottom w:val="none" w:sz="0" w:space="0" w:color="auto"/>
        <w:right w:val="none" w:sz="0" w:space="0" w:color="auto"/>
      </w:divBdr>
    </w:div>
    <w:div w:id="1883667520">
      <w:bodyDiv w:val="1"/>
      <w:marLeft w:val="0"/>
      <w:marRight w:val="0"/>
      <w:marTop w:val="0"/>
      <w:marBottom w:val="0"/>
      <w:divBdr>
        <w:top w:val="none" w:sz="0" w:space="0" w:color="auto"/>
        <w:left w:val="none" w:sz="0" w:space="0" w:color="auto"/>
        <w:bottom w:val="none" w:sz="0" w:space="0" w:color="auto"/>
        <w:right w:val="none" w:sz="0" w:space="0" w:color="auto"/>
      </w:divBdr>
    </w:div>
    <w:div w:id="1888494714">
      <w:bodyDiv w:val="1"/>
      <w:marLeft w:val="0"/>
      <w:marRight w:val="0"/>
      <w:marTop w:val="0"/>
      <w:marBottom w:val="0"/>
      <w:divBdr>
        <w:top w:val="none" w:sz="0" w:space="0" w:color="auto"/>
        <w:left w:val="none" w:sz="0" w:space="0" w:color="auto"/>
        <w:bottom w:val="none" w:sz="0" w:space="0" w:color="auto"/>
        <w:right w:val="none" w:sz="0" w:space="0" w:color="auto"/>
      </w:divBdr>
    </w:div>
    <w:div w:id="1923879240">
      <w:bodyDiv w:val="1"/>
      <w:marLeft w:val="0"/>
      <w:marRight w:val="0"/>
      <w:marTop w:val="0"/>
      <w:marBottom w:val="0"/>
      <w:divBdr>
        <w:top w:val="none" w:sz="0" w:space="0" w:color="auto"/>
        <w:left w:val="none" w:sz="0" w:space="0" w:color="auto"/>
        <w:bottom w:val="none" w:sz="0" w:space="0" w:color="auto"/>
        <w:right w:val="none" w:sz="0" w:space="0" w:color="auto"/>
      </w:divBdr>
    </w:div>
    <w:div w:id="1938055205">
      <w:bodyDiv w:val="1"/>
      <w:marLeft w:val="0"/>
      <w:marRight w:val="0"/>
      <w:marTop w:val="0"/>
      <w:marBottom w:val="0"/>
      <w:divBdr>
        <w:top w:val="none" w:sz="0" w:space="0" w:color="auto"/>
        <w:left w:val="none" w:sz="0" w:space="0" w:color="auto"/>
        <w:bottom w:val="none" w:sz="0" w:space="0" w:color="auto"/>
        <w:right w:val="none" w:sz="0" w:space="0" w:color="auto"/>
      </w:divBdr>
    </w:div>
    <w:div w:id="1938639780">
      <w:bodyDiv w:val="1"/>
      <w:marLeft w:val="0"/>
      <w:marRight w:val="0"/>
      <w:marTop w:val="0"/>
      <w:marBottom w:val="0"/>
      <w:divBdr>
        <w:top w:val="none" w:sz="0" w:space="0" w:color="auto"/>
        <w:left w:val="none" w:sz="0" w:space="0" w:color="auto"/>
        <w:bottom w:val="none" w:sz="0" w:space="0" w:color="auto"/>
        <w:right w:val="none" w:sz="0" w:space="0" w:color="auto"/>
      </w:divBdr>
    </w:div>
    <w:div w:id="2013414776">
      <w:bodyDiv w:val="1"/>
      <w:marLeft w:val="0"/>
      <w:marRight w:val="0"/>
      <w:marTop w:val="0"/>
      <w:marBottom w:val="0"/>
      <w:divBdr>
        <w:top w:val="none" w:sz="0" w:space="0" w:color="auto"/>
        <w:left w:val="none" w:sz="0" w:space="0" w:color="auto"/>
        <w:bottom w:val="none" w:sz="0" w:space="0" w:color="auto"/>
        <w:right w:val="none" w:sz="0" w:space="0" w:color="auto"/>
      </w:divBdr>
    </w:div>
    <w:div w:id="2029401262">
      <w:bodyDiv w:val="1"/>
      <w:marLeft w:val="0"/>
      <w:marRight w:val="0"/>
      <w:marTop w:val="0"/>
      <w:marBottom w:val="0"/>
      <w:divBdr>
        <w:top w:val="none" w:sz="0" w:space="0" w:color="auto"/>
        <w:left w:val="none" w:sz="0" w:space="0" w:color="auto"/>
        <w:bottom w:val="none" w:sz="0" w:space="0" w:color="auto"/>
        <w:right w:val="none" w:sz="0" w:space="0" w:color="auto"/>
      </w:divBdr>
    </w:div>
    <w:div w:id="2041466869">
      <w:bodyDiv w:val="1"/>
      <w:marLeft w:val="0"/>
      <w:marRight w:val="0"/>
      <w:marTop w:val="0"/>
      <w:marBottom w:val="0"/>
      <w:divBdr>
        <w:top w:val="none" w:sz="0" w:space="0" w:color="auto"/>
        <w:left w:val="none" w:sz="0" w:space="0" w:color="auto"/>
        <w:bottom w:val="none" w:sz="0" w:space="0" w:color="auto"/>
        <w:right w:val="none" w:sz="0" w:space="0" w:color="auto"/>
      </w:divBdr>
    </w:div>
    <w:div w:id="2052803215">
      <w:bodyDiv w:val="1"/>
      <w:marLeft w:val="0"/>
      <w:marRight w:val="0"/>
      <w:marTop w:val="0"/>
      <w:marBottom w:val="0"/>
      <w:divBdr>
        <w:top w:val="none" w:sz="0" w:space="0" w:color="auto"/>
        <w:left w:val="none" w:sz="0" w:space="0" w:color="auto"/>
        <w:bottom w:val="none" w:sz="0" w:space="0" w:color="auto"/>
        <w:right w:val="none" w:sz="0" w:space="0" w:color="auto"/>
      </w:divBdr>
    </w:div>
    <w:div w:id="2096171712">
      <w:bodyDiv w:val="1"/>
      <w:marLeft w:val="0"/>
      <w:marRight w:val="0"/>
      <w:marTop w:val="0"/>
      <w:marBottom w:val="0"/>
      <w:divBdr>
        <w:top w:val="none" w:sz="0" w:space="0" w:color="auto"/>
        <w:left w:val="none" w:sz="0" w:space="0" w:color="auto"/>
        <w:bottom w:val="none" w:sz="0" w:space="0" w:color="auto"/>
        <w:right w:val="none" w:sz="0" w:space="0" w:color="auto"/>
      </w:divBdr>
    </w:div>
    <w:div w:id="2102485845">
      <w:bodyDiv w:val="1"/>
      <w:marLeft w:val="0"/>
      <w:marRight w:val="0"/>
      <w:marTop w:val="0"/>
      <w:marBottom w:val="0"/>
      <w:divBdr>
        <w:top w:val="none" w:sz="0" w:space="0" w:color="auto"/>
        <w:left w:val="none" w:sz="0" w:space="0" w:color="auto"/>
        <w:bottom w:val="none" w:sz="0" w:space="0" w:color="auto"/>
        <w:right w:val="none" w:sz="0" w:space="0" w:color="auto"/>
      </w:divBdr>
    </w:div>
    <w:div w:id="214299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stat.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AA6B-4FB6-4D66-9967-D2198218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13072</Words>
  <Characters>68894</Characters>
  <Application>Microsoft Office Word</Application>
  <DocSecurity>0</DocSecurity>
  <Lines>2087</Lines>
  <Paragraphs>1107</Paragraphs>
  <ScaleCrop>false</ScaleCrop>
  <HeadingPairs>
    <vt:vector size="2" baseType="variant">
      <vt:variant>
        <vt:lpstr>Title</vt:lpstr>
      </vt:variant>
      <vt:variant>
        <vt:i4>1</vt:i4>
      </vt:variant>
    </vt:vector>
  </HeadingPairs>
  <TitlesOfParts>
    <vt:vector size="1" baseType="lpstr">
      <vt:lpstr>Commonwealth Offences Sentenced in Victoria</vt:lpstr>
    </vt:vector>
  </TitlesOfParts>
  <Company/>
  <LinksUpToDate>false</LinksUpToDate>
  <CharactersWithSpaces>80859</CharactersWithSpaces>
  <SharedDoc>false</SharedDoc>
  <HLinks>
    <vt:vector size="48" baseType="variant">
      <vt:variant>
        <vt:i4>1572912</vt:i4>
      </vt:variant>
      <vt:variant>
        <vt:i4>44</vt:i4>
      </vt:variant>
      <vt:variant>
        <vt:i4>0</vt:i4>
      </vt:variant>
      <vt:variant>
        <vt:i4>5</vt:i4>
      </vt:variant>
      <vt:variant>
        <vt:lpwstr/>
      </vt:variant>
      <vt:variant>
        <vt:lpwstr>_Toc415058465</vt:lpwstr>
      </vt:variant>
      <vt:variant>
        <vt:i4>1572912</vt:i4>
      </vt:variant>
      <vt:variant>
        <vt:i4>38</vt:i4>
      </vt:variant>
      <vt:variant>
        <vt:i4>0</vt:i4>
      </vt:variant>
      <vt:variant>
        <vt:i4>5</vt:i4>
      </vt:variant>
      <vt:variant>
        <vt:lpwstr/>
      </vt:variant>
      <vt:variant>
        <vt:lpwstr>_Toc415058464</vt:lpwstr>
      </vt:variant>
      <vt:variant>
        <vt:i4>1572912</vt:i4>
      </vt:variant>
      <vt:variant>
        <vt:i4>32</vt:i4>
      </vt:variant>
      <vt:variant>
        <vt:i4>0</vt:i4>
      </vt:variant>
      <vt:variant>
        <vt:i4>5</vt:i4>
      </vt:variant>
      <vt:variant>
        <vt:lpwstr/>
      </vt:variant>
      <vt:variant>
        <vt:lpwstr>_Toc415058463</vt:lpwstr>
      </vt:variant>
      <vt:variant>
        <vt:i4>1572912</vt:i4>
      </vt:variant>
      <vt:variant>
        <vt:i4>26</vt:i4>
      </vt:variant>
      <vt:variant>
        <vt:i4>0</vt:i4>
      </vt:variant>
      <vt:variant>
        <vt:i4>5</vt:i4>
      </vt:variant>
      <vt:variant>
        <vt:lpwstr/>
      </vt:variant>
      <vt:variant>
        <vt:lpwstr>_Toc415058462</vt:lpwstr>
      </vt:variant>
      <vt:variant>
        <vt:i4>1572912</vt:i4>
      </vt:variant>
      <vt:variant>
        <vt:i4>20</vt:i4>
      </vt:variant>
      <vt:variant>
        <vt:i4>0</vt:i4>
      </vt:variant>
      <vt:variant>
        <vt:i4>5</vt:i4>
      </vt:variant>
      <vt:variant>
        <vt:lpwstr/>
      </vt:variant>
      <vt:variant>
        <vt:lpwstr>_Toc415058461</vt:lpwstr>
      </vt:variant>
      <vt:variant>
        <vt:i4>1572912</vt:i4>
      </vt:variant>
      <vt:variant>
        <vt:i4>14</vt:i4>
      </vt:variant>
      <vt:variant>
        <vt:i4>0</vt:i4>
      </vt:variant>
      <vt:variant>
        <vt:i4>5</vt:i4>
      </vt:variant>
      <vt:variant>
        <vt:lpwstr/>
      </vt:variant>
      <vt:variant>
        <vt:lpwstr>_Toc415058460</vt:lpwstr>
      </vt:variant>
      <vt:variant>
        <vt:i4>1769520</vt:i4>
      </vt:variant>
      <vt:variant>
        <vt:i4>8</vt:i4>
      </vt:variant>
      <vt:variant>
        <vt:i4>0</vt:i4>
      </vt:variant>
      <vt:variant>
        <vt:i4>5</vt:i4>
      </vt:variant>
      <vt:variant>
        <vt:lpwstr/>
      </vt:variant>
      <vt:variant>
        <vt:lpwstr>_Toc415058459</vt:lpwstr>
      </vt:variant>
      <vt:variant>
        <vt:i4>1769520</vt:i4>
      </vt:variant>
      <vt:variant>
        <vt:i4>2</vt:i4>
      </vt:variant>
      <vt:variant>
        <vt:i4>0</vt:i4>
      </vt:variant>
      <vt:variant>
        <vt:i4>5</vt:i4>
      </vt:variant>
      <vt:variant>
        <vt:lpwstr/>
      </vt:variant>
      <vt:variant>
        <vt:lpwstr>_Toc415058458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Offences Sentenced in Victoria</dc:title>
  <dc:subject/>
  <dc:creator>Sentencing Advisory Council</dc:creator>
  <cp:keywords/>
  <dc:description/>
  <cp:lastModifiedBy>SAC</cp:lastModifiedBy>
  <cp:revision>232</cp:revision>
  <dcterms:created xsi:type="dcterms:W3CDTF">2023-11-09T05:33:00Z</dcterms:created>
  <dcterms:modified xsi:type="dcterms:W3CDTF">2026-03-10T07:47:00Z</dcterms:modified>
</cp:coreProperties>
</file>