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008D" w14:textId="77777777" w:rsidR="00C2025E" w:rsidRDefault="00C2025E" w:rsidP="00C2025E">
      <w:pPr>
        <w:pStyle w:val="Title"/>
      </w:pPr>
      <w:r>
        <w:t>Category A and B Serious Youth Offences Committed by Children and Young People</w:t>
      </w:r>
    </w:p>
    <w:p w14:paraId="04846065" w14:textId="634E16E6" w:rsidR="00CD0B7F" w:rsidRPr="00156186" w:rsidRDefault="00CD0B7F" w:rsidP="00CD0B7F">
      <w:pPr>
        <w:rPr>
          <w:b/>
          <w:bCs/>
        </w:rPr>
      </w:pPr>
      <w:r w:rsidRPr="00156186">
        <w:rPr>
          <w:b/>
          <w:bCs/>
        </w:rPr>
        <w:t>Sentencing Advisory Council</w:t>
      </w:r>
    </w:p>
    <w:p w14:paraId="25A58D43" w14:textId="77777777" w:rsidR="00D919BC" w:rsidRDefault="00D919BC" w:rsidP="00D919BC">
      <w:pPr>
        <w:pStyle w:val="Heading1"/>
      </w:pPr>
      <w:bookmarkStart w:id="0" w:name="_Toc233028388"/>
      <w:r>
        <w:t>Contents</w:t>
      </w:r>
      <w:bookmarkEnd w:id="0"/>
    </w:p>
    <w:p w14:paraId="632FF50A" w14:textId="10A0ABFC" w:rsidR="002E273B" w:rsidRDefault="002E273B">
      <w:pPr>
        <w:pStyle w:val="TOC1"/>
        <w:tabs>
          <w:tab w:val="right" w:leader="dot" w:pos="9016"/>
        </w:tabs>
        <w:rPr>
          <w:rFonts w:asciiTheme="minorHAnsi" w:eastAsiaTheme="minorEastAsia" w:hAnsiTheme="minorHAnsi" w:cstheme="minorBidi"/>
          <w:noProof/>
          <w:kern w:val="2"/>
          <w14:ligatures w14:val="standardContextual"/>
        </w:rPr>
      </w:pPr>
      <w:r>
        <w:fldChar w:fldCharType="begin"/>
      </w:r>
      <w:r>
        <w:instrText xml:space="preserve"> TOC \p " " \h \z \t "Heading 1,1" </w:instrText>
      </w:r>
      <w:r>
        <w:fldChar w:fldCharType="separate"/>
      </w:r>
      <w:hyperlink w:anchor="_Toc233028392" w:history="1">
        <w:r w:rsidRPr="009A7D66">
          <w:rPr>
            <w:rStyle w:val="Hyperlink"/>
            <w:noProof/>
          </w:rPr>
          <w:t>Introduction</w:t>
        </w:r>
        <w:r>
          <w:rPr>
            <w:noProof/>
            <w:webHidden/>
          </w:rPr>
          <w:t xml:space="preserve"> </w:t>
        </w:r>
        <w:r>
          <w:rPr>
            <w:noProof/>
            <w:webHidden/>
          </w:rPr>
          <w:fldChar w:fldCharType="begin"/>
        </w:r>
        <w:r>
          <w:rPr>
            <w:noProof/>
            <w:webHidden/>
          </w:rPr>
          <w:instrText xml:space="preserve"> PAGEREF _Toc233028392 \h </w:instrText>
        </w:r>
        <w:r>
          <w:rPr>
            <w:noProof/>
            <w:webHidden/>
          </w:rPr>
        </w:r>
        <w:r>
          <w:rPr>
            <w:noProof/>
            <w:webHidden/>
          </w:rPr>
          <w:fldChar w:fldCharType="separate"/>
        </w:r>
        <w:r>
          <w:rPr>
            <w:noProof/>
            <w:webHidden/>
          </w:rPr>
          <w:t>4</w:t>
        </w:r>
        <w:r>
          <w:rPr>
            <w:noProof/>
            <w:webHidden/>
          </w:rPr>
          <w:fldChar w:fldCharType="end"/>
        </w:r>
      </w:hyperlink>
    </w:p>
    <w:p w14:paraId="41D867F6" w14:textId="07AA4570" w:rsidR="002E273B" w:rsidRDefault="002E273B">
      <w:pPr>
        <w:pStyle w:val="TOC1"/>
        <w:tabs>
          <w:tab w:val="right" w:leader="dot" w:pos="9016"/>
        </w:tabs>
        <w:rPr>
          <w:rFonts w:asciiTheme="minorHAnsi" w:eastAsiaTheme="minorEastAsia" w:hAnsiTheme="minorHAnsi" w:cstheme="minorBidi"/>
          <w:noProof/>
          <w:kern w:val="2"/>
          <w14:ligatures w14:val="standardContextual"/>
        </w:rPr>
      </w:pPr>
      <w:hyperlink w:anchor="_Toc233028393" w:history="1">
        <w:r w:rsidRPr="009A7D66">
          <w:rPr>
            <w:rStyle w:val="Hyperlink"/>
            <w:noProof/>
          </w:rPr>
          <w:t>Which crimes are category A or category B serious youth offences?</w:t>
        </w:r>
        <w:r>
          <w:rPr>
            <w:noProof/>
            <w:webHidden/>
          </w:rPr>
          <w:t xml:space="preserve"> </w:t>
        </w:r>
        <w:r>
          <w:rPr>
            <w:noProof/>
            <w:webHidden/>
          </w:rPr>
          <w:fldChar w:fldCharType="begin"/>
        </w:r>
        <w:r>
          <w:rPr>
            <w:noProof/>
            <w:webHidden/>
          </w:rPr>
          <w:instrText xml:space="preserve"> PAGEREF _Toc233028393 \h </w:instrText>
        </w:r>
        <w:r>
          <w:rPr>
            <w:noProof/>
            <w:webHidden/>
          </w:rPr>
        </w:r>
        <w:r>
          <w:rPr>
            <w:noProof/>
            <w:webHidden/>
          </w:rPr>
          <w:fldChar w:fldCharType="separate"/>
        </w:r>
        <w:r>
          <w:rPr>
            <w:noProof/>
            <w:webHidden/>
          </w:rPr>
          <w:t>6</w:t>
        </w:r>
        <w:r>
          <w:rPr>
            <w:noProof/>
            <w:webHidden/>
          </w:rPr>
          <w:fldChar w:fldCharType="end"/>
        </w:r>
      </w:hyperlink>
    </w:p>
    <w:p w14:paraId="26190E5A" w14:textId="0AB28BD9" w:rsidR="002E273B" w:rsidRDefault="002E273B">
      <w:pPr>
        <w:pStyle w:val="TOC1"/>
        <w:tabs>
          <w:tab w:val="right" w:leader="dot" w:pos="9016"/>
        </w:tabs>
        <w:rPr>
          <w:rFonts w:asciiTheme="minorHAnsi" w:eastAsiaTheme="minorEastAsia" w:hAnsiTheme="minorHAnsi" w:cstheme="minorBidi"/>
          <w:noProof/>
          <w:kern w:val="2"/>
          <w14:ligatures w14:val="standardContextual"/>
        </w:rPr>
      </w:pPr>
      <w:hyperlink w:anchor="_Toc233028394" w:history="1">
        <w:r w:rsidRPr="009A7D66">
          <w:rPr>
            <w:rStyle w:val="Hyperlink"/>
            <w:noProof/>
          </w:rPr>
          <w:t>The intended effects of category A offence classification</w:t>
        </w:r>
        <w:r>
          <w:rPr>
            <w:noProof/>
            <w:webHidden/>
          </w:rPr>
          <w:t xml:space="preserve"> </w:t>
        </w:r>
        <w:r>
          <w:rPr>
            <w:noProof/>
            <w:webHidden/>
          </w:rPr>
          <w:fldChar w:fldCharType="begin"/>
        </w:r>
        <w:r>
          <w:rPr>
            <w:noProof/>
            <w:webHidden/>
          </w:rPr>
          <w:instrText xml:space="preserve"> PAGEREF _Toc233028394 \h </w:instrText>
        </w:r>
        <w:r>
          <w:rPr>
            <w:noProof/>
            <w:webHidden/>
          </w:rPr>
        </w:r>
        <w:r>
          <w:rPr>
            <w:noProof/>
            <w:webHidden/>
          </w:rPr>
          <w:fldChar w:fldCharType="separate"/>
        </w:r>
        <w:r>
          <w:rPr>
            <w:noProof/>
            <w:webHidden/>
          </w:rPr>
          <w:t>10</w:t>
        </w:r>
        <w:r>
          <w:rPr>
            <w:noProof/>
            <w:webHidden/>
          </w:rPr>
          <w:fldChar w:fldCharType="end"/>
        </w:r>
      </w:hyperlink>
    </w:p>
    <w:p w14:paraId="2A485F33" w14:textId="1A653D3D" w:rsidR="002E273B" w:rsidRDefault="002E273B">
      <w:pPr>
        <w:pStyle w:val="TOC1"/>
        <w:tabs>
          <w:tab w:val="right" w:leader="dot" w:pos="9016"/>
        </w:tabs>
        <w:rPr>
          <w:rFonts w:asciiTheme="minorHAnsi" w:eastAsiaTheme="minorEastAsia" w:hAnsiTheme="minorHAnsi" w:cstheme="minorBidi"/>
          <w:noProof/>
          <w:kern w:val="2"/>
          <w14:ligatures w14:val="standardContextual"/>
        </w:rPr>
      </w:pPr>
      <w:hyperlink w:anchor="_Toc233028395" w:history="1">
        <w:r w:rsidRPr="009A7D66">
          <w:rPr>
            <w:rStyle w:val="Hyperlink"/>
            <w:noProof/>
          </w:rPr>
          <w:t>The intended effects of category B classification</w:t>
        </w:r>
        <w:r>
          <w:rPr>
            <w:noProof/>
            <w:webHidden/>
          </w:rPr>
          <w:t xml:space="preserve"> </w:t>
        </w:r>
        <w:r>
          <w:rPr>
            <w:noProof/>
            <w:webHidden/>
          </w:rPr>
          <w:fldChar w:fldCharType="begin"/>
        </w:r>
        <w:r>
          <w:rPr>
            <w:noProof/>
            <w:webHidden/>
          </w:rPr>
          <w:instrText xml:space="preserve"> PAGEREF _Toc233028395 \h </w:instrText>
        </w:r>
        <w:r>
          <w:rPr>
            <w:noProof/>
            <w:webHidden/>
          </w:rPr>
        </w:r>
        <w:r>
          <w:rPr>
            <w:noProof/>
            <w:webHidden/>
          </w:rPr>
          <w:fldChar w:fldCharType="separate"/>
        </w:r>
        <w:r>
          <w:rPr>
            <w:noProof/>
            <w:webHidden/>
          </w:rPr>
          <w:t>11</w:t>
        </w:r>
        <w:r>
          <w:rPr>
            <w:noProof/>
            <w:webHidden/>
          </w:rPr>
          <w:fldChar w:fldCharType="end"/>
        </w:r>
      </w:hyperlink>
    </w:p>
    <w:p w14:paraId="3578EC76" w14:textId="2D419F55" w:rsidR="002E273B" w:rsidRDefault="002E273B">
      <w:pPr>
        <w:pStyle w:val="TOC1"/>
        <w:tabs>
          <w:tab w:val="right" w:leader="dot" w:pos="9016"/>
        </w:tabs>
        <w:rPr>
          <w:rFonts w:asciiTheme="minorHAnsi" w:eastAsiaTheme="minorEastAsia" w:hAnsiTheme="minorHAnsi" w:cstheme="minorBidi"/>
          <w:noProof/>
          <w:kern w:val="2"/>
          <w14:ligatures w14:val="standardContextual"/>
        </w:rPr>
      </w:pPr>
      <w:hyperlink w:anchor="_Toc233028396" w:history="1">
        <w:r w:rsidRPr="009A7D66">
          <w:rPr>
            <w:rStyle w:val="Hyperlink"/>
            <w:noProof/>
          </w:rPr>
          <w:t>The expected effects of introducing category A and B offence classification</w:t>
        </w:r>
        <w:r>
          <w:rPr>
            <w:noProof/>
            <w:webHidden/>
          </w:rPr>
          <w:t xml:space="preserve"> </w:t>
        </w:r>
        <w:r>
          <w:rPr>
            <w:noProof/>
            <w:webHidden/>
          </w:rPr>
          <w:fldChar w:fldCharType="begin"/>
        </w:r>
        <w:r>
          <w:rPr>
            <w:noProof/>
            <w:webHidden/>
          </w:rPr>
          <w:instrText xml:space="preserve"> PAGEREF _Toc233028396 \h </w:instrText>
        </w:r>
        <w:r>
          <w:rPr>
            <w:noProof/>
            <w:webHidden/>
          </w:rPr>
        </w:r>
        <w:r>
          <w:rPr>
            <w:noProof/>
            <w:webHidden/>
          </w:rPr>
          <w:fldChar w:fldCharType="separate"/>
        </w:r>
        <w:r>
          <w:rPr>
            <w:noProof/>
            <w:webHidden/>
          </w:rPr>
          <w:t>12</w:t>
        </w:r>
        <w:r>
          <w:rPr>
            <w:noProof/>
            <w:webHidden/>
          </w:rPr>
          <w:fldChar w:fldCharType="end"/>
        </w:r>
      </w:hyperlink>
    </w:p>
    <w:p w14:paraId="7B1448E6" w14:textId="5A590842" w:rsidR="002E273B" w:rsidRDefault="002E273B">
      <w:pPr>
        <w:pStyle w:val="TOC1"/>
        <w:tabs>
          <w:tab w:val="right" w:leader="dot" w:pos="9016"/>
        </w:tabs>
        <w:rPr>
          <w:rFonts w:asciiTheme="minorHAnsi" w:eastAsiaTheme="minorEastAsia" w:hAnsiTheme="minorHAnsi" w:cstheme="minorBidi"/>
          <w:noProof/>
          <w:kern w:val="2"/>
          <w14:ligatures w14:val="standardContextual"/>
        </w:rPr>
      </w:pPr>
      <w:hyperlink w:anchor="_Toc233028397" w:history="1">
        <w:r w:rsidRPr="009A7D66">
          <w:rPr>
            <w:rStyle w:val="Hyperlink"/>
            <w:noProof/>
          </w:rPr>
          <w:t>How many category A and B serious youth offences were sentenced?</w:t>
        </w:r>
        <w:r>
          <w:rPr>
            <w:noProof/>
            <w:webHidden/>
          </w:rPr>
          <w:t xml:space="preserve"> </w:t>
        </w:r>
        <w:r>
          <w:rPr>
            <w:noProof/>
            <w:webHidden/>
          </w:rPr>
          <w:fldChar w:fldCharType="begin"/>
        </w:r>
        <w:r>
          <w:rPr>
            <w:noProof/>
            <w:webHidden/>
          </w:rPr>
          <w:instrText xml:space="preserve"> PAGEREF _Toc233028397 \h </w:instrText>
        </w:r>
        <w:r>
          <w:rPr>
            <w:noProof/>
            <w:webHidden/>
          </w:rPr>
        </w:r>
        <w:r>
          <w:rPr>
            <w:noProof/>
            <w:webHidden/>
          </w:rPr>
          <w:fldChar w:fldCharType="separate"/>
        </w:r>
        <w:r>
          <w:rPr>
            <w:noProof/>
            <w:webHidden/>
          </w:rPr>
          <w:t>12</w:t>
        </w:r>
        <w:r>
          <w:rPr>
            <w:noProof/>
            <w:webHidden/>
          </w:rPr>
          <w:fldChar w:fldCharType="end"/>
        </w:r>
      </w:hyperlink>
    </w:p>
    <w:p w14:paraId="543D9E2F" w14:textId="76A50513" w:rsidR="002E273B" w:rsidRDefault="002E273B">
      <w:pPr>
        <w:pStyle w:val="TOC1"/>
        <w:tabs>
          <w:tab w:val="right" w:leader="dot" w:pos="9016"/>
        </w:tabs>
        <w:rPr>
          <w:rFonts w:asciiTheme="minorHAnsi" w:eastAsiaTheme="minorEastAsia" w:hAnsiTheme="minorHAnsi" w:cstheme="minorBidi"/>
          <w:noProof/>
          <w:kern w:val="2"/>
          <w14:ligatures w14:val="standardContextual"/>
        </w:rPr>
      </w:pPr>
      <w:hyperlink w:anchor="_Toc233028398" w:history="1">
        <w:r w:rsidRPr="009A7D66">
          <w:rPr>
            <w:rStyle w:val="Hyperlink"/>
            <w:noProof/>
          </w:rPr>
          <w:t>Age of offenders at the time of a category A or B serious youth offence</w:t>
        </w:r>
        <w:r>
          <w:rPr>
            <w:noProof/>
            <w:webHidden/>
          </w:rPr>
          <w:t xml:space="preserve"> </w:t>
        </w:r>
        <w:r>
          <w:rPr>
            <w:noProof/>
            <w:webHidden/>
          </w:rPr>
          <w:fldChar w:fldCharType="begin"/>
        </w:r>
        <w:r>
          <w:rPr>
            <w:noProof/>
            <w:webHidden/>
          </w:rPr>
          <w:instrText xml:space="preserve"> PAGEREF _Toc233028398 \h </w:instrText>
        </w:r>
        <w:r>
          <w:rPr>
            <w:noProof/>
            <w:webHidden/>
          </w:rPr>
        </w:r>
        <w:r>
          <w:rPr>
            <w:noProof/>
            <w:webHidden/>
          </w:rPr>
          <w:fldChar w:fldCharType="separate"/>
        </w:r>
        <w:r>
          <w:rPr>
            <w:noProof/>
            <w:webHidden/>
          </w:rPr>
          <w:t>15</w:t>
        </w:r>
        <w:r>
          <w:rPr>
            <w:noProof/>
            <w:webHidden/>
          </w:rPr>
          <w:fldChar w:fldCharType="end"/>
        </w:r>
      </w:hyperlink>
    </w:p>
    <w:p w14:paraId="5AEA4A03" w14:textId="01DA5918" w:rsidR="002E273B" w:rsidRDefault="002E273B">
      <w:pPr>
        <w:pStyle w:val="TOC1"/>
        <w:tabs>
          <w:tab w:val="right" w:leader="dot" w:pos="9016"/>
        </w:tabs>
        <w:rPr>
          <w:rFonts w:asciiTheme="minorHAnsi" w:eastAsiaTheme="minorEastAsia" w:hAnsiTheme="minorHAnsi" w:cstheme="minorBidi"/>
          <w:noProof/>
          <w:kern w:val="2"/>
          <w14:ligatures w14:val="standardContextual"/>
        </w:rPr>
      </w:pPr>
      <w:hyperlink w:anchor="_Toc233028399" w:history="1">
        <w:r w:rsidRPr="009A7D66">
          <w:rPr>
            <w:rStyle w:val="Hyperlink"/>
            <w:noProof/>
          </w:rPr>
          <w:t>Gender of offenders who committed category A and B serious youth offences</w:t>
        </w:r>
        <w:r>
          <w:rPr>
            <w:noProof/>
            <w:webHidden/>
          </w:rPr>
          <w:t xml:space="preserve"> </w:t>
        </w:r>
        <w:r>
          <w:rPr>
            <w:noProof/>
            <w:webHidden/>
          </w:rPr>
          <w:fldChar w:fldCharType="begin"/>
        </w:r>
        <w:r>
          <w:rPr>
            <w:noProof/>
            <w:webHidden/>
          </w:rPr>
          <w:instrText xml:space="preserve"> PAGEREF _Toc233028399 \h </w:instrText>
        </w:r>
        <w:r>
          <w:rPr>
            <w:noProof/>
            <w:webHidden/>
          </w:rPr>
        </w:r>
        <w:r>
          <w:rPr>
            <w:noProof/>
            <w:webHidden/>
          </w:rPr>
          <w:fldChar w:fldCharType="separate"/>
        </w:r>
        <w:r>
          <w:rPr>
            <w:noProof/>
            <w:webHidden/>
          </w:rPr>
          <w:t>17</w:t>
        </w:r>
        <w:r>
          <w:rPr>
            <w:noProof/>
            <w:webHidden/>
          </w:rPr>
          <w:fldChar w:fldCharType="end"/>
        </w:r>
      </w:hyperlink>
    </w:p>
    <w:p w14:paraId="6926463B" w14:textId="6944BA28" w:rsidR="002E273B" w:rsidRDefault="002E273B">
      <w:pPr>
        <w:pStyle w:val="TOC1"/>
        <w:tabs>
          <w:tab w:val="right" w:leader="dot" w:pos="9016"/>
        </w:tabs>
        <w:rPr>
          <w:rFonts w:asciiTheme="minorHAnsi" w:eastAsiaTheme="minorEastAsia" w:hAnsiTheme="minorHAnsi" w:cstheme="minorBidi"/>
          <w:noProof/>
          <w:kern w:val="2"/>
          <w14:ligatures w14:val="standardContextual"/>
        </w:rPr>
      </w:pPr>
      <w:hyperlink w:anchor="_Toc233028400" w:history="1">
        <w:r w:rsidRPr="009A7D66">
          <w:rPr>
            <w:rStyle w:val="Hyperlink"/>
            <w:noProof/>
          </w:rPr>
          <w:t>How were category A and B serious youth offences sentenced?</w:t>
        </w:r>
        <w:r>
          <w:rPr>
            <w:noProof/>
            <w:webHidden/>
          </w:rPr>
          <w:t xml:space="preserve"> </w:t>
        </w:r>
        <w:r>
          <w:rPr>
            <w:noProof/>
            <w:webHidden/>
          </w:rPr>
          <w:fldChar w:fldCharType="begin"/>
        </w:r>
        <w:r>
          <w:rPr>
            <w:noProof/>
            <w:webHidden/>
          </w:rPr>
          <w:instrText xml:space="preserve"> PAGEREF _Toc233028400 \h </w:instrText>
        </w:r>
        <w:r>
          <w:rPr>
            <w:noProof/>
            <w:webHidden/>
          </w:rPr>
        </w:r>
        <w:r>
          <w:rPr>
            <w:noProof/>
            <w:webHidden/>
          </w:rPr>
          <w:fldChar w:fldCharType="separate"/>
        </w:r>
        <w:r>
          <w:rPr>
            <w:noProof/>
            <w:webHidden/>
          </w:rPr>
          <w:t>19</w:t>
        </w:r>
        <w:r>
          <w:rPr>
            <w:noProof/>
            <w:webHidden/>
          </w:rPr>
          <w:fldChar w:fldCharType="end"/>
        </w:r>
      </w:hyperlink>
    </w:p>
    <w:p w14:paraId="7C6129E9" w14:textId="6B0BA4FD" w:rsidR="002E273B" w:rsidRDefault="002E273B">
      <w:pPr>
        <w:pStyle w:val="TOC1"/>
        <w:tabs>
          <w:tab w:val="right" w:leader="dot" w:pos="9016"/>
        </w:tabs>
        <w:rPr>
          <w:rFonts w:asciiTheme="minorHAnsi" w:eastAsiaTheme="minorEastAsia" w:hAnsiTheme="minorHAnsi" w:cstheme="minorBidi"/>
          <w:noProof/>
          <w:kern w:val="2"/>
          <w14:ligatures w14:val="standardContextual"/>
        </w:rPr>
      </w:pPr>
      <w:hyperlink w:anchor="_Toc233028401" w:history="1">
        <w:r w:rsidRPr="009A7D66">
          <w:rPr>
            <w:rStyle w:val="Hyperlink"/>
            <w:noProof/>
          </w:rPr>
          <w:t>How many offenders sentenced for category A and B serious youth offences had prior category A and B offences?</w:t>
        </w:r>
        <w:r>
          <w:rPr>
            <w:noProof/>
            <w:webHidden/>
          </w:rPr>
          <w:t xml:space="preserve"> </w:t>
        </w:r>
        <w:r>
          <w:rPr>
            <w:noProof/>
            <w:webHidden/>
          </w:rPr>
          <w:fldChar w:fldCharType="begin"/>
        </w:r>
        <w:r>
          <w:rPr>
            <w:noProof/>
            <w:webHidden/>
          </w:rPr>
          <w:instrText xml:space="preserve"> PAGEREF _Toc233028401 \h </w:instrText>
        </w:r>
        <w:r>
          <w:rPr>
            <w:noProof/>
            <w:webHidden/>
          </w:rPr>
        </w:r>
        <w:r>
          <w:rPr>
            <w:noProof/>
            <w:webHidden/>
          </w:rPr>
          <w:fldChar w:fldCharType="separate"/>
        </w:r>
        <w:r>
          <w:rPr>
            <w:noProof/>
            <w:webHidden/>
          </w:rPr>
          <w:t>25</w:t>
        </w:r>
        <w:r>
          <w:rPr>
            <w:noProof/>
            <w:webHidden/>
          </w:rPr>
          <w:fldChar w:fldCharType="end"/>
        </w:r>
      </w:hyperlink>
    </w:p>
    <w:p w14:paraId="3691BFBD" w14:textId="06652B42" w:rsidR="002E273B" w:rsidRDefault="002E273B">
      <w:pPr>
        <w:pStyle w:val="TOC1"/>
        <w:tabs>
          <w:tab w:val="right" w:leader="dot" w:pos="9016"/>
        </w:tabs>
        <w:rPr>
          <w:rFonts w:asciiTheme="minorHAnsi" w:eastAsiaTheme="minorEastAsia" w:hAnsiTheme="minorHAnsi" w:cstheme="minorBidi"/>
          <w:noProof/>
          <w:kern w:val="2"/>
          <w14:ligatures w14:val="standardContextual"/>
        </w:rPr>
      </w:pPr>
      <w:hyperlink w:anchor="_Toc233028402" w:history="1">
        <w:r w:rsidRPr="009A7D66">
          <w:rPr>
            <w:rStyle w:val="Hyperlink"/>
            <w:noProof/>
          </w:rPr>
          <w:t>Category A and B offences committed by children aged under 16</w:t>
        </w:r>
        <w:r>
          <w:rPr>
            <w:noProof/>
            <w:webHidden/>
          </w:rPr>
          <w:t xml:space="preserve"> </w:t>
        </w:r>
        <w:r>
          <w:rPr>
            <w:noProof/>
            <w:webHidden/>
          </w:rPr>
          <w:fldChar w:fldCharType="begin"/>
        </w:r>
        <w:r>
          <w:rPr>
            <w:noProof/>
            <w:webHidden/>
          </w:rPr>
          <w:instrText xml:space="preserve"> PAGEREF _Toc233028402 \h </w:instrText>
        </w:r>
        <w:r>
          <w:rPr>
            <w:noProof/>
            <w:webHidden/>
          </w:rPr>
        </w:r>
        <w:r>
          <w:rPr>
            <w:noProof/>
            <w:webHidden/>
          </w:rPr>
          <w:fldChar w:fldCharType="separate"/>
        </w:r>
        <w:r>
          <w:rPr>
            <w:noProof/>
            <w:webHidden/>
          </w:rPr>
          <w:t>27</w:t>
        </w:r>
        <w:r>
          <w:rPr>
            <w:noProof/>
            <w:webHidden/>
          </w:rPr>
          <w:fldChar w:fldCharType="end"/>
        </w:r>
      </w:hyperlink>
    </w:p>
    <w:p w14:paraId="10758550" w14:textId="18CDE799" w:rsidR="002E273B" w:rsidRDefault="002E273B">
      <w:pPr>
        <w:pStyle w:val="TOC1"/>
        <w:tabs>
          <w:tab w:val="right" w:leader="dot" w:pos="9016"/>
        </w:tabs>
        <w:rPr>
          <w:rFonts w:asciiTheme="minorHAnsi" w:eastAsiaTheme="minorEastAsia" w:hAnsiTheme="minorHAnsi" w:cstheme="minorBidi"/>
          <w:noProof/>
          <w:kern w:val="2"/>
          <w14:ligatures w14:val="standardContextual"/>
        </w:rPr>
      </w:pPr>
      <w:hyperlink w:anchor="_Toc233028403" w:history="1">
        <w:r w:rsidRPr="009A7D66">
          <w:rPr>
            <w:rStyle w:val="Hyperlink"/>
            <w:noProof/>
          </w:rPr>
          <w:t>Conclusion</w:t>
        </w:r>
        <w:r>
          <w:rPr>
            <w:noProof/>
            <w:webHidden/>
          </w:rPr>
          <w:t xml:space="preserve"> </w:t>
        </w:r>
        <w:r>
          <w:rPr>
            <w:noProof/>
            <w:webHidden/>
          </w:rPr>
          <w:fldChar w:fldCharType="begin"/>
        </w:r>
        <w:r>
          <w:rPr>
            <w:noProof/>
            <w:webHidden/>
          </w:rPr>
          <w:instrText xml:space="preserve"> PAGEREF _Toc233028403 \h </w:instrText>
        </w:r>
        <w:r>
          <w:rPr>
            <w:noProof/>
            <w:webHidden/>
          </w:rPr>
        </w:r>
        <w:r>
          <w:rPr>
            <w:noProof/>
            <w:webHidden/>
          </w:rPr>
          <w:fldChar w:fldCharType="separate"/>
        </w:r>
        <w:r>
          <w:rPr>
            <w:noProof/>
            <w:webHidden/>
          </w:rPr>
          <w:t>29</w:t>
        </w:r>
        <w:r>
          <w:rPr>
            <w:noProof/>
            <w:webHidden/>
          </w:rPr>
          <w:fldChar w:fldCharType="end"/>
        </w:r>
      </w:hyperlink>
    </w:p>
    <w:p w14:paraId="078804C4" w14:textId="1A018BC2" w:rsidR="002E273B" w:rsidRDefault="002E273B">
      <w:pPr>
        <w:pStyle w:val="TOC1"/>
        <w:tabs>
          <w:tab w:val="right" w:leader="dot" w:pos="9016"/>
        </w:tabs>
        <w:rPr>
          <w:rFonts w:asciiTheme="minorHAnsi" w:eastAsiaTheme="minorEastAsia" w:hAnsiTheme="minorHAnsi" w:cstheme="minorBidi"/>
          <w:noProof/>
          <w:kern w:val="2"/>
          <w14:ligatures w14:val="standardContextual"/>
        </w:rPr>
      </w:pPr>
      <w:hyperlink w:anchor="_Toc233028404" w:history="1">
        <w:r w:rsidRPr="009A7D66">
          <w:rPr>
            <w:rStyle w:val="Hyperlink"/>
            <w:noProof/>
          </w:rPr>
          <w:t>Appendix: Publicly available judgments involving category A and B serious youth offences (to 30 June 2024)</w:t>
        </w:r>
        <w:r>
          <w:rPr>
            <w:noProof/>
            <w:webHidden/>
          </w:rPr>
          <w:t xml:space="preserve"> </w:t>
        </w:r>
        <w:r>
          <w:rPr>
            <w:noProof/>
            <w:webHidden/>
          </w:rPr>
          <w:fldChar w:fldCharType="begin"/>
        </w:r>
        <w:r>
          <w:rPr>
            <w:noProof/>
            <w:webHidden/>
          </w:rPr>
          <w:instrText xml:space="preserve"> PAGEREF _Toc233028404 \h </w:instrText>
        </w:r>
        <w:r>
          <w:rPr>
            <w:noProof/>
            <w:webHidden/>
          </w:rPr>
        </w:r>
        <w:r>
          <w:rPr>
            <w:noProof/>
            <w:webHidden/>
          </w:rPr>
          <w:fldChar w:fldCharType="separate"/>
        </w:r>
        <w:r>
          <w:rPr>
            <w:noProof/>
            <w:webHidden/>
          </w:rPr>
          <w:t>33</w:t>
        </w:r>
        <w:r>
          <w:rPr>
            <w:noProof/>
            <w:webHidden/>
          </w:rPr>
          <w:fldChar w:fldCharType="end"/>
        </w:r>
      </w:hyperlink>
    </w:p>
    <w:p w14:paraId="082B773F" w14:textId="72038434" w:rsidR="002E273B" w:rsidRDefault="002E273B">
      <w:pPr>
        <w:pStyle w:val="TOC1"/>
        <w:tabs>
          <w:tab w:val="right" w:leader="dot" w:pos="9016"/>
        </w:tabs>
        <w:rPr>
          <w:rFonts w:asciiTheme="minorHAnsi" w:eastAsiaTheme="minorEastAsia" w:hAnsiTheme="minorHAnsi" w:cstheme="minorBidi"/>
          <w:noProof/>
          <w:kern w:val="2"/>
          <w14:ligatures w14:val="standardContextual"/>
        </w:rPr>
      </w:pPr>
      <w:hyperlink w:anchor="_Toc233028405" w:history="1">
        <w:r w:rsidRPr="009A7D66">
          <w:rPr>
            <w:rStyle w:val="Hyperlink"/>
            <w:noProof/>
          </w:rPr>
          <w:t>References</w:t>
        </w:r>
        <w:r>
          <w:rPr>
            <w:noProof/>
            <w:webHidden/>
          </w:rPr>
          <w:t xml:space="preserve"> </w:t>
        </w:r>
        <w:r>
          <w:rPr>
            <w:noProof/>
            <w:webHidden/>
          </w:rPr>
          <w:fldChar w:fldCharType="begin"/>
        </w:r>
        <w:r>
          <w:rPr>
            <w:noProof/>
            <w:webHidden/>
          </w:rPr>
          <w:instrText xml:space="preserve"> PAGEREF _Toc233028405 \h </w:instrText>
        </w:r>
        <w:r>
          <w:rPr>
            <w:noProof/>
            <w:webHidden/>
          </w:rPr>
        </w:r>
        <w:r>
          <w:rPr>
            <w:noProof/>
            <w:webHidden/>
          </w:rPr>
          <w:fldChar w:fldCharType="separate"/>
        </w:r>
        <w:r>
          <w:rPr>
            <w:noProof/>
            <w:webHidden/>
          </w:rPr>
          <w:t>36</w:t>
        </w:r>
        <w:r>
          <w:rPr>
            <w:noProof/>
            <w:webHidden/>
          </w:rPr>
          <w:fldChar w:fldCharType="end"/>
        </w:r>
      </w:hyperlink>
    </w:p>
    <w:p w14:paraId="5B290C9E" w14:textId="068A6D87" w:rsidR="00D919BC" w:rsidRDefault="002E273B" w:rsidP="00D919BC">
      <w:r>
        <w:fldChar w:fldCharType="end"/>
      </w:r>
    </w:p>
    <w:p w14:paraId="7F70FF8E" w14:textId="77777777" w:rsidR="001B4B37" w:rsidRDefault="001B4B37" w:rsidP="00EC3507">
      <w:pPr>
        <w:pStyle w:val="Heading1"/>
        <w:pageBreakBefore/>
      </w:pPr>
      <w:bookmarkStart w:id="1" w:name="_Toc233028392"/>
      <w:r>
        <w:lastRenderedPageBreak/>
        <w:t>Introduction</w:t>
      </w:r>
      <w:bookmarkEnd w:id="1"/>
    </w:p>
    <w:p w14:paraId="2D08DAFB" w14:textId="77777777" w:rsidR="001B4B37" w:rsidRDefault="001B4B37" w:rsidP="00156186">
      <w:r>
        <w:t>In February 2018, legislation came into effect classifying certain crimes as either ‘category A serious youth offences’ or ‘category B serious youth offences’.</w:t>
      </w:r>
      <w:r>
        <w:rPr>
          <w:rStyle w:val="Superscript"/>
        </w:rPr>
        <w:footnoteReference w:id="1"/>
      </w:r>
      <w:r>
        <w:t xml:space="preserve"> The intent of that legislation was to increase the number of children and young people, who commit serious crimes while aged 16 or older, that are sentenced in adult courts (rather than the Children’s Court) and that receive sentences of adult imprisonment (rather than detention in a youth justice centre).</w:t>
      </w:r>
      <w:r>
        <w:rPr>
          <w:rStyle w:val="Superscript"/>
        </w:rPr>
        <w:footnoteReference w:id="2"/>
      </w:r>
      <w:r>
        <w:t xml:space="preserve"> In late 2025, additional legislation passed both houses of parliament to further increase the likelihood of category A and B serious youth offences being sentenced in the adult courts and being sentenced to imprisonment.</w:t>
      </w:r>
      <w:r>
        <w:rPr>
          <w:rStyle w:val="Superscript"/>
        </w:rPr>
        <w:footnoteReference w:id="3"/>
      </w:r>
      <w:r>
        <w:t xml:space="preserve"> The new legislation does this by expanding the range of offences that will be uplifted,</w:t>
      </w:r>
      <w:r>
        <w:rPr>
          <w:rStyle w:val="Superscript"/>
        </w:rPr>
        <w:footnoteReference w:id="4"/>
      </w:r>
      <w:r>
        <w:t xml:space="preserve"> expanding the age of offenders to which category A and B classification applies (14 </w:t>
      </w:r>
      <w:r>
        <w:lastRenderedPageBreak/>
        <w:t>or over, rather than 16 or over)</w:t>
      </w:r>
      <w:r>
        <w:rPr>
          <w:rStyle w:val="Superscript"/>
        </w:rPr>
        <w:footnoteReference w:id="5"/>
      </w:r>
      <w:r>
        <w:t xml:space="preserve"> and changing the default presumption of uplift to mandatory uplift for most offences.</w:t>
      </w:r>
      <w:r>
        <w:rPr>
          <w:rStyle w:val="Superscript"/>
        </w:rPr>
        <w:footnoteReference w:id="6"/>
      </w:r>
    </w:p>
    <w:p w14:paraId="47C59458" w14:textId="77777777" w:rsidR="001B4B37" w:rsidRDefault="001B4B37" w:rsidP="00156186">
      <w:r>
        <w:t xml:space="preserve">This report presents the first publicly available data on the prevalence of category A and B serious youth offences in Victoria since the 2018 reforms commenced, through to 30 June 2024. Using data provided to the Sentencing Advisory Council by Victorian courts, the report examines the jurisdictions in which category A and B offences were sentenced and the sentences imposed. The findings of this report will provide an important baseline against which to examine the effect of the 2025 reforms in the years to come. </w:t>
      </w:r>
    </w:p>
    <w:p w14:paraId="2D55CE9E" w14:textId="041128F4" w:rsidR="004F582A" w:rsidRPr="004C1627" w:rsidRDefault="004F582A" w:rsidP="004C1627">
      <w:pPr>
        <w:pStyle w:val="IntenseQuote"/>
      </w:pPr>
      <w:r w:rsidRPr="004C1627">
        <w:t>Reference period: 26 February 2018 to 30 June 2024 (almost 6.5 years)</w:t>
      </w:r>
      <w:r w:rsidR="00F112F5" w:rsidRPr="004C1627">
        <w:t>.</w:t>
      </w:r>
      <w:r w:rsidR="00EB2AC3" w:rsidRPr="004C1627">
        <w:t xml:space="preserve"> </w:t>
      </w:r>
      <w:r w:rsidRPr="004C1627">
        <w:t>Jurisdictions: Children’s Court, County Court, Supreme Court</w:t>
      </w:r>
      <w:r w:rsidR="00F112F5" w:rsidRPr="004C1627">
        <w:t>.</w:t>
      </w:r>
      <w:r w:rsidR="00EB2AC3" w:rsidRPr="004C1627">
        <w:t xml:space="preserve"> </w:t>
      </w:r>
      <w:r w:rsidRPr="004C1627">
        <w:t>Inclusions: All sentenced category A and B serious youth offences committed by children and young people aged 16 to 20</w:t>
      </w:r>
    </w:p>
    <w:p w14:paraId="01D8C08D" w14:textId="77777777" w:rsidR="001B4B37" w:rsidRDefault="001B4B37" w:rsidP="00156186">
      <w:r w:rsidRPr="00124D50">
        <w:t>Courts and practitioners will also likely benefit from the list (in the Appendix) of publicly</w:t>
      </w:r>
      <w:r>
        <w:t xml:space="preserve"> available judgments in cases involving category A and B serious youth offences; judgments are sorted by the offence type, the offender’s age at the time of the offence and the sentence type imposed. Having these judgments readily accessible will assist courts and practitioners to more easily identify comparable cases.</w:t>
      </w:r>
    </w:p>
    <w:p w14:paraId="735F86C2" w14:textId="77777777" w:rsidR="001B4B37" w:rsidRDefault="001B4B37" w:rsidP="00415A0A">
      <w:pPr>
        <w:pStyle w:val="Heading1"/>
        <w:pageBreakBefore/>
      </w:pPr>
      <w:bookmarkStart w:id="2" w:name="_Toc233028393"/>
      <w:r>
        <w:lastRenderedPageBreak/>
        <w:t>Which crimes are category A or category B serious youth offences?</w:t>
      </w:r>
      <w:bookmarkEnd w:id="2"/>
      <w:r>
        <w:t xml:space="preserve"> </w:t>
      </w:r>
    </w:p>
    <w:p w14:paraId="32C1C0C2" w14:textId="7313C3E1" w:rsidR="001B4B37" w:rsidRDefault="001B4B37" w:rsidP="00156186">
      <w:r>
        <w:t>From 2018 to 2025, there were 15 crimes classified as category A (10 offences) or category B (5 offences) serious youth offences.</w:t>
      </w:r>
      <w:r>
        <w:rPr>
          <w:rStyle w:val="Superscript"/>
        </w:rPr>
        <w:footnoteReference w:id="7"/>
      </w:r>
      <w:r>
        <w:t xml:space="preserve"> These classifications applied if the offence was committed on or after 26 February 2018 (adult imprisonment) or on or after 5 April 2018 (uplift). For the uplift provisions to apply, the child must have been </w:t>
      </w:r>
      <w:r w:rsidRPr="00124D50">
        <w:t>aged 16 or 17 at the time of the offence.</w:t>
      </w:r>
      <w:r w:rsidRPr="003B78C2">
        <w:rPr>
          <w:rStyle w:val="Superscript"/>
        </w:rPr>
        <w:footnoteReference w:id="8"/>
      </w:r>
      <w:r w:rsidRPr="00124D50">
        <w:t xml:space="preserve"> And for the sentencing provisions to apply, the </w:t>
      </w:r>
      <w:r>
        <w:t xml:space="preserve">child or young person must have been aged under 21 at the time of sentencing (and </w:t>
      </w:r>
      <w:r w:rsidRPr="00124D50">
        <w:t>the provisions only applied in the higher courts).</w:t>
      </w:r>
      <w:r w:rsidRPr="003B78C2">
        <w:rPr>
          <w:rStyle w:val="Superscript"/>
        </w:rPr>
        <w:footnoteReference w:id="9"/>
      </w:r>
      <w:r w:rsidRPr="00124D50">
        <w:t xml:space="preserve"> Table 1 lists all offences classified as category A or category B serious youth offences, the maximum penalty for </w:t>
      </w:r>
      <w:r>
        <w:t>the offence and other sentencing schemes that applied during the reference period.</w:t>
      </w:r>
    </w:p>
    <w:p w14:paraId="1B7AC862" w14:textId="77777777" w:rsidR="00EB4514" w:rsidRPr="00F112F5" w:rsidRDefault="00EB4514" w:rsidP="00F112F5">
      <w:pPr>
        <w:pStyle w:val="Caption"/>
      </w:pPr>
      <w:r w:rsidRPr="003B78C2">
        <w:t>Table 1</w:t>
      </w:r>
      <w:r w:rsidRPr="00F112F5">
        <w:t>: Category A and B serious youth offences</w:t>
      </w:r>
    </w:p>
    <w:tbl>
      <w:tblPr>
        <w:tblStyle w:val="Table"/>
        <w:tblW w:w="5000" w:type="pct"/>
        <w:tblLook w:val="0080" w:firstRow="0" w:lastRow="0" w:firstColumn="1" w:lastColumn="0" w:noHBand="0" w:noVBand="0"/>
      </w:tblPr>
      <w:tblGrid>
        <w:gridCol w:w="3606"/>
        <w:gridCol w:w="2404"/>
        <w:gridCol w:w="3006"/>
      </w:tblGrid>
      <w:tr w:rsidR="00EB4514" w14:paraId="0FE84890" w14:textId="77777777" w:rsidTr="008E7036">
        <w:trPr>
          <w:trHeight w:val="20"/>
          <w:tblHeader/>
        </w:trPr>
        <w:tc>
          <w:tcPr>
            <w:tcW w:w="2000" w:type="pct"/>
          </w:tcPr>
          <w:p w14:paraId="50661305" w14:textId="77777777" w:rsidR="00EB4514" w:rsidRDefault="00EB4514" w:rsidP="00E61DBF">
            <w:pPr>
              <w:pStyle w:val="TableHeading"/>
            </w:pPr>
            <w:r>
              <w:t>Offence</w:t>
            </w:r>
          </w:p>
        </w:tc>
        <w:tc>
          <w:tcPr>
            <w:tcW w:w="1333" w:type="pct"/>
          </w:tcPr>
          <w:p w14:paraId="76F4823A" w14:textId="77777777" w:rsidR="00EB4514" w:rsidRDefault="00EB4514" w:rsidP="00E61DBF">
            <w:pPr>
              <w:pStyle w:val="TableHeading"/>
            </w:pPr>
            <w:r>
              <w:t xml:space="preserve">Maximum </w:t>
            </w:r>
            <w:proofErr w:type="spellStart"/>
            <w:r>
              <w:t>penalty</w:t>
            </w:r>
            <w:r w:rsidRPr="003B78C2">
              <w:rPr>
                <w:rStyle w:val="Superscript"/>
              </w:rPr>
              <w:t>a</w:t>
            </w:r>
            <w:proofErr w:type="spellEnd"/>
          </w:p>
        </w:tc>
        <w:tc>
          <w:tcPr>
            <w:tcW w:w="1667" w:type="pct"/>
          </w:tcPr>
          <w:p w14:paraId="1D34DBFD" w14:textId="77777777" w:rsidR="00EB4514" w:rsidRDefault="00EB4514" w:rsidP="00E61DBF">
            <w:pPr>
              <w:pStyle w:val="TableHeading"/>
            </w:pPr>
            <w:r>
              <w:t>Other sentencing schemes</w:t>
            </w:r>
          </w:p>
        </w:tc>
      </w:tr>
      <w:tr w:rsidR="00EB4514" w14:paraId="48D8B344" w14:textId="77777777" w:rsidTr="008E7036">
        <w:trPr>
          <w:trHeight w:val="20"/>
        </w:trPr>
        <w:tc>
          <w:tcPr>
            <w:tcW w:w="2000" w:type="pct"/>
          </w:tcPr>
          <w:p w14:paraId="5D347302" w14:textId="77777777" w:rsidR="00EB4514" w:rsidRPr="00E61DBF" w:rsidRDefault="00EB4514" w:rsidP="00E61DBF">
            <w:pPr>
              <w:pStyle w:val="TableBody"/>
              <w:rPr>
                <w:b/>
                <w:bCs/>
              </w:rPr>
            </w:pPr>
            <w:r w:rsidRPr="00E61DBF">
              <w:rPr>
                <w:b/>
                <w:bCs/>
              </w:rPr>
              <w:t>Category A serious youth offences</w:t>
            </w:r>
          </w:p>
        </w:tc>
        <w:tc>
          <w:tcPr>
            <w:tcW w:w="1333" w:type="pct"/>
          </w:tcPr>
          <w:p w14:paraId="402D047E" w14:textId="77777777" w:rsidR="00EB4514" w:rsidRDefault="00EB4514" w:rsidP="002E6A34">
            <w:pPr>
              <w:pStyle w:val="TableBody"/>
              <w:rPr>
                <w:rFonts w:ascii="ITC Franklin Gothic Std Book" w:hAnsi="ITC Franklin Gothic Std Book" w:cstheme="minorBidi"/>
                <w:color w:val="auto"/>
                <w:lang w:val="en-AU"/>
              </w:rPr>
            </w:pPr>
          </w:p>
        </w:tc>
        <w:tc>
          <w:tcPr>
            <w:tcW w:w="1667" w:type="pct"/>
          </w:tcPr>
          <w:p w14:paraId="1A123DC7" w14:textId="77777777" w:rsidR="00EB4514" w:rsidRDefault="00EB4514" w:rsidP="002E6A34">
            <w:pPr>
              <w:pStyle w:val="TableBody"/>
              <w:rPr>
                <w:rFonts w:ascii="ITC Franklin Gothic Std Book" w:hAnsi="ITC Franklin Gothic Std Book" w:cstheme="minorBidi"/>
                <w:color w:val="auto"/>
                <w:lang w:val="en-AU"/>
              </w:rPr>
            </w:pPr>
          </w:p>
        </w:tc>
      </w:tr>
      <w:tr w:rsidR="00EB4514" w14:paraId="38D1D5F4" w14:textId="77777777" w:rsidTr="008E7036">
        <w:trPr>
          <w:trHeight w:val="20"/>
        </w:trPr>
        <w:tc>
          <w:tcPr>
            <w:tcW w:w="2000" w:type="pct"/>
          </w:tcPr>
          <w:p w14:paraId="3C62057B" w14:textId="77777777" w:rsidR="00EB4514" w:rsidRPr="003B78C2" w:rsidRDefault="00EB4514" w:rsidP="002E6A34">
            <w:pPr>
              <w:pStyle w:val="TableBody"/>
              <w:rPr>
                <w:rStyle w:val="Bold"/>
              </w:rPr>
            </w:pPr>
            <w:r w:rsidRPr="003B78C2">
              <w:rPr>
                <w:rStyle w:val="Bold"/>
              </w:rPr>
              <w:t>Murder</w:t>
            </w:r>
          </w:p>
          <w:p w14:paraId="177907FE" w14:textId="77777777" w:rsidR="00EB4514" w:rsidRDefault="00EB4514" w:rsidP="002E6A34">
            <w:pPr>
              <w:pStyle w:val="TableBody"/>
            </w:pPr>
            <w:r>
              <w:t>Common law</w:t>
            </w:r>
          </w:p>
        </w:tc>
        <w:tc>
          <w:tcPr>
            <w:tcW w:w="1333" w:type="pct"/>
          </w:tcPr>
          <w:p w14:paraId="1934599E" w14:textId="77777777" w:rsidR="00EB4514" w:rsidRDefault="00EB4514" w:rsidP="002E6A34">
            <w:pPr>
              <w:pStyle w:val="TableBody"/>
            </w:pPr>
            <w:r>
              <w:t>Life imprisonment</w:t>
            </w:r>
          </w:p>
        </w:tc>
        <w:tc>
          <w:tcPr>
            <w:tcW w:w="1667" w:type="pct"/>
          </w:tcPr>
          <w:p w14:paraId="085EBAAC" w14:textId="77777777" w:rsidR="00EB4514" w:rsidRDefault="00EB4514" w:rsidP="002E6A34">
            <w:pPr>
              <w:pStyle w:val="TableBody"/>
            </w:pPr>
            <w:r>
              <w:t>Category 1 offence</w:t>
            </w:r>
          </w:p>
          <w:p w14:paraId="352C1BC5" w14:textId="77777777" w:rsidR="00EB4514" w:rsidRDefault="00EB4514" w:rsidP="002E6A34">
            <w:pPr>
              <w:pStyle w:val="TableBody"/>
            </w:pPr>
            <w:r>
              <w:t>Standard sentence offence</w:t>
            </w:r>
          </w:p>
          <w:p w14:paraId="783232C0" w14:textId="77777777" w:rsidR="00EB4514" w:rsidRDefault="00EB4514" w:rsidP="002E6A34">
            <w:pPr>
              <w:pStyle w:val="TableBody"/>
            </w:pPr>
            <w:r>
              <w:t>Serious offender offence</w:t>
            </w:r>
          </w:p>
        </w:tc>
      </w:tr>
      <w:tr w:rsidR="00EB4514" w14:paraId="0D29995D" w14:textId="77777777" w:rsidTr="008E7036">
        <w:trPr>
          <w:trHeight w:val="20"/>
        </w:trPr>
        <w:tc>
          <w:tcPr>
            <w:tcW w:w="2000" w:type="pct"/>
          </w:tcPr>
          <w:p w14:paraId="6509C230" w14:textId="77777777" w:rsidR="00EB4514" w:rsidRPr="003B78C2" w:rsidRDefault="00EB4514" w:rsidP="002E6A34">
            <w:pPr>
              <w:pStyle w:val="TableBody"/>
              <w:rPr>
                <w:rStyle w:val="Bold"/>
              </w:rPr>
            </w:pPr>
            <w:r w:rsidRPr="003B78C2">
              <w:rPr>
                <w:rStyle w:val="Bold"/>
              </w:rPr>
              <w:t>Attempted murder</w:t>
            </w:r>
          </w:p>
          <w:p w14:paraId="426B8F64" w14:textId="77777777" w:rsidR="00EB4514" w:rsidRDefault="00EB4514" w:rsidP="002E6A34">
            <w:pPr>
              <w:pStyle w:val="TableBody"/>
            </w:pPr>
            <w:r>
              <w:t>Common law</w:t>
            </w:r>
          </w:p>
        </w:tc>
        <w:tc>
          <w:tcPr>
            <w:tcW w:w="1333" w:type="pct"/>
          </w:tcPr>
          <w:p w14:paraId="3368D502" w14:textId="77777777" w:rsidR="00EB4514" w:rsidRDefault="00EB4514" w:rsidP="002E6A34">
            <w:pPr>
              <w:pStyle w:val="TableBody"/>
            </w:pPr>
            <w:r>
              <w:t>25 years’ imprisonment</w:t>
            </w:r>
          </w:p>
        </w:tc>
        <w:tc>
          <w:tcPr>
            <w:tcW w:w="1667" w:type="pct"/>
          </w:tcPr>
          <w:p w14:paraId="57C073DC" w14:textId="77777777" w:rsidR="00EB4514" w:rsidRDefault="00EB4514" w:rsidP="002E6A34">
            <w:pPr>
              <w:pStyle w:val="TableBody"/>
            </w:pPr>
            <w:r>
              <w:t>Serious offender offence</w:t>
            </w:r>
          </w:p>
        </w:tc>
      </w:tr>
      <w:tr w:rsidR="00EB4514" w14:paraId="5AF66486" w14:textId="77777777" w:rsidTr="008E7036">
        <w:trPr>
          <w:trHeight w:val="20"/>
        </w:trPr>
        <w:tc>
          <w:tcPr>
            <w:tcW w:w="2000" w:type="pct"/>
          </w:tcPr>
          <w:p w14:paraId="0FED417B" w14:textId="77777777" w:rsidR="00EB4514" w:rsidRPr="003B78C2" w:rsidRDefault="00EB4514" w:rsidP="002E6A34">
            <w:pPr>
              <w:pStyle w:val="TableBody"/>
              <w:rPr>
                <w:rStyle w:val="Bold"/>
              </w:rPr>
            </w:pPr>
            <w:r w:rsidRPr="003B78C2">
              <w:rPr>
                <w:rStyle w:val="Bold"/>
              </w:rPr>
              <w:t>Manslaughter</w:t>
            </w:r>
          </w:p>
          <w:p w14:paraId="1BF5C41B" w14:textId="77777777" w:rsidR="00EB4514" w:rsidRDefault="00EB4514" w:rsidP="002E6A34">
            <w:pPr>
              <w:pStyle w:val="TableBody"/>
            </w:pPr>
            <w:r>
              <w:t>Common law</w:t>
            </w:r>
          </w:p>
        </w:tc>
        <w:tc>
          <w:tcPr>
            <w:tcW w:w="1333" w:type="pct"/>
          </w:tcPr>
          <w:p w14:paraId="3E711108" w14:textId="77777777" w:rsidR="00EB4514" w:rsidRDefault="00EB4514" w:rsidP="002E6A34">
            <w:pPr>
              <w:pStyle w:val="TableBody"/>
            </w:pPr>
            <w:r>
              <w:t>25 years’ imprisonment</w:t>
            </w:r>
          </w:p>
        </w:tc>
        <w:tc>
          <w:tcPr>
            <w:tcW w:w="1667" w:type="pct"/>
          </w:tcPr>
          <w:p w14:paraId="12A735DA" w14:textId="77777777" w:rsidR="00EB4514" w:rsidRDefault="00EB4514" w:rsidP="002E6A34">
            <w:pPr>
              <w:pStyle w:val="TableBody"/>
            </w:pPr>
            <w:r>
              <w:t>Category 2 offence</w:t>
            </w:r>
          </w:p>
          <w:p w14:paraId="33C9ACC9" w14:textId="77777777" w:rsidR="00EB4514" w:rsidRDefault="00EB4514" w:rsidP="002E6A34">
            <w:pPr>
              <w:pStyle w:val="TableBody"/>
            </w:pPr>
            <w:r>
              <w:t>Serious offender offence</w:t>
            </w:r>
          </w:p>
        </w:tc>
      </w:tr>
      <w:tr w:rsidR="00EB4514" w14:paraId="037A6FEF" w14:textId="77777777" w:rsidTr="008E7036">
        <w:trPr>
          <w:trHeight w:val="20"/>
        </w:trPr>
        <w:tc>
          <w:tcPr>
            <w:tcW w:w="2000" w:type="pct"/>
          </w:tcPr>
          <w:p w14:paraId="397B49CA" w14:textId="77777777" w:rsidR="00EB4514" w:rsidRPr="003B78C2" w:rsidRDefault="00EB4514" w:rsidP="002E6A34">
            <w:pPr>
              <w:pStyle w:val="TableBody"/>
              <w:rPr>
                <w:rStyle w:val="Bold"/>
              </w:rPr>
            </w:pPr>
            <w:r w:rsidRPr="003B78C2">
              <w:rPr>
                <w:rStyle w:val="Bold"/>
              </w:rPr>
              <w:t>Child homicide</w:t>
            </w:r>
          </w:p>
          <w:p w14:paraId="49CA8D72" w14:textId="77777777" w:rsidR="00EB4514" w:rsidRDefault="00EB4514" w:rsidP="002E6A34">
            <w:pPr>
              <w:pStyle w:val="TableBody"/>
            </w:pPr>
            <w:r w:rsidRPr="00F56C6C">
              <w:rPr>
                <w:rStyle w:val="Italic"/>
              </w:rPr>
              <w:t xml:space="preserve">Crimes Act 1958 </w:t>
            </w:r>
            <w:r>
              <w:t>(Vic) s 5A</w:t>
            </w:r>
          </w:p>
        </w:tc>
        <w:tc>
          <w:tcPr>
            <w:tcW w:w="1333" w:type="pct"/>
          </w:tcPr>
          <w:p w14:paraId="7AA117B1" w14:textId="77777777" w:rsidR="00EB4514" w:rsidRDefault="00EB4514" w:rsidP="002E6A34">
            <w:pPr>
              <w:pStyle w:val="TableBody"/>
            </w:pPr>
            <w:r>
              <w:t>25 years’ imprisonment</w:t>
            </w:r>
          </w:p>
        </w:tc>
        <w:tc>
          <w:tcPr>
            <w:tcW w:w="1667" w:type="pct"/>
          </w:tcPr>
          <w:p w14:paraId="1116D3DF" w14:textId="77777777" w:rsidR="00EB4514" w:rsidRDefault="00EB4514" w:rsidP="002E6A34">
            <w:pPr>
              <w:pStyle w:val="TableBody"/>
            </w:pPr>
            <w:r>
              <w:t>Category 2 offence</w:t>
            </w:r>
          </w:p>
          <w:p w14:paraId="33CABB26" w14:textId="77777777" w:rsidR="00EB4514" w:rsidRDefault="00EB4514" w:rsidP="002E6A34">
            <w:pPr>
              <w:pStyle w:val="TableBody"/>
            </w:pPr>
            <w:r>
              <w:t>Serious offender offence</w:t>
            </w:r>
          </w:p>
        </w:tc>
      </w:tr>
      <w:tr w:rsidR="00EB4514" w14:paraId="7990BC45" w14:textId="77777777" w:rsidTr="008E7036">
        <w:trPr>
          <w:trHeight w:val="20"/>
        </w:trPr>
        <w:tc>
          <w:tcPr>
            <w:tcW w:w="2000" w:type="pct"/>
          </w:tcPr>
          <w:p w14:paraId="0B24D01C" w14:textId="77777777" w:rsidR="00EB4514" w:rsidRPr="003B78C2" w:rsidRDefault="00EB4514" w:rsidP="002E6A34">
            <w:pPr>
              <w:pStyle w:val="TableBody"/>
              <w:rPr>
                <w:rStyle w:val="Bold"/>
              </w:rPr>
            </w:pPr>
            <w:r w:rsidRPr="003B78C2">
              <w:rPr>
                <w:rStyle w:val="Bold"/>
              </w:rPr>
              <w:t xml:space="preserve">Homicide by firearm </w:t>
            </w:r>
          </w:p>
          <w:p w14:paraId="1E508310" w14:textId="77777777" w:rsidR="00EB4514" w:rsidRDefault="00EB4514" w:rsidP="002E6A34">
            <w:pPr>
              <w:pStyle w:val="TableBody"/>
            </w:pPr>
            <w:r w:rsidRPr="00F56C6C">
              <w:rPr>
                <w:rStyle w:val="Italic"/>
              </w:rPr>
              <w:t xml:space="preserve">Crimes Act 1958 </w:t>
            </w:r>
            <w:r>
              <w:t>(Vic) s 5B</w:t>
            </w:r>
          </w:p>
        </w:tc>
        <w:tc>
          <w:tcPr>
            <w:tcW w:w="1333" w:type="pct"/>
          </w:tcPr>
          <w:p w14:paraId="11C0BBD5" w14:textId="77777777" w:rsidR="00EB4514" w:rsidRDefault="00EB4514" w:rsidP="002E6A34">
            <w:pPr>
              <w:pStyle w:val="TableBody"/>
            </w:pPr>
            <w:r>
              <w:t>25 years’ imprisonment</w:t>
            </w:r>
          </w:p>
        </w:tc>
        <w:tc>
          <w:tcPr>
            <w:tcW w:w="1667" w:type="pct"/>
          </w:tcPr>
          <w:p w14:paraId="29F284A4" w14:textId="77777777" w:rsidR="00EB4514" w:rsidRDefault="00EB4514" w:rsidP="002E6A34">
            <w:pPr>
              <w:pStyle w:val="TableBody"/>
            </w:pPr>
            <w:r>
              <w:t>Category 2 offence</w:t>
            </w:r>
          </w:p>
          <w:p w14:paraId="57D74C23" w14:textId="77777777" w:rsidR="00EB4514" w:rsidRDefault="00EB4514" w:rsidP="002E6A34">
            <w:pPr>
              <w:pStyle w:val="TableBody"/>
            </w:pPr>
            <w:r>
              <w:t xml:space="preserve">Serious offender offence </w:t>
            </w:r>
          </w:p>
        </w:tc>
      </w:tr>
      <w:tr w:rsidR="00EB4514" w14:paraId="1F683165" w14:textId="77777777" w:rsidTr="008E7036">
        <w:trPr>
          <w:trHeight w:val="20"/>
        </w:trPr>
        <w:tc>
          <w:tcPr>
            <w:tcW w:w="2000" w:type="pct"/>
          </w:tcPr>
          <w:p w14:paraId="40938FF0" w14:textId="77777777" w:rsidR="00EB4514" w:rsidRPr="003B78C2" w:rsidRDefault="00EB4514" w:rsidP="002E6A34">
            <w:pPr>
              <w:pStyle w:val="TableBody"/>
              <w:rPr>
                <w:rStyle w:val="Bold"/>
              </w:rPr>
            </w:pPr>
            <w:r w:rsidRPr="003B78C2">
              <w:rPr>
                <w:rStyle w:val="Bold"/>
              </w:rPr>
              <w:t>Arson causing death</w:t>
            </w:r>
          </w:p>
          <w:p w14:paraId="7805C12D" w14:textId="77777777" w:rsidR="00EB4514" w:rsidRDefault="00EB4514" w:rsidP="002E6A34">
            <w:pPr>
              <w:pStyle w:val="TableBody"/>
            </w:pPr>
            <w:r w:rsidRPr="00F56C6C">
              <w:rPr>
                <w:rStyle w:val="Italic"/>
              </w:rPr>
              <w:t xml:space="preserve">Crimes Act 1958 </w:t>
            </w:r>
            <w:r>
              <w:t>(Vic) s 197A</w:t>
            </w:r>
          </w:p>
        </w:tc>
        <w:tc>
          <w:tcPr>
            <w:tcW w:w="1333" w:type="pct"/>
          </w:tcPr>
          <w:p w14:paraId="0FD0D722" w14:textId="77777777" w:rsidR="00EB4514" w:rsidRDefault="00EB4514" w:rsidP="002E6A34">
            <w:pPr>
              <w:pStyle w:val="TableBody"/>
            </w:pPr>
            <w:r>
              <w:t>25 years’ imprisonment</w:t>
            </w:r>
          </w:p>
        </w:tc>
        <w:tc>
          <w:tcPr>
            <w:tcW w:w="1667" w:type="pct"/>
          </w:tcPr>
          <w:p w14:paraId="59D9E986" w14:textId="77777777" w:rsidR="00EB4514" w:rsidRDefault="00EB4514" w:rsidP="002E6A34">
            <w:pPr>
              <w:pStyle w:val="TableBody"/>
            </w:pPr>
            <w:r>
              <w:t>Category 2 offence</w:t>
            </w:r>
          </w:p>
          <w:p w14:paraId="17E0A009" w14:textId="77777777" w:rsidR="00EB4514" w:rsidRDefault="00EB4514" w:rsidP="002E6A34">
            <w:pPr>
              <w:pStyle w:val="TableBody"/>
            </w:pPr>
            <w:r>
              <w:t>Serious offender offence</w:t>
            </w:r>
          </w:p>
        </w:tc>
      </w:tr>
      <w:tr w:rsidR="00EB4514" w14:paraId="26EE306C" w14:textId="77777777" w:rsidTr="008E7036">
        <w:trPr>
          <w:trHeight w:val="20"/>
        </w:trPr>
        <w:tc>
          <w:tcPr>
            <w:tcW w:w="2000" w:type="pct"/>
          </w:tcPr>
          <w:p w14:paraId="7B3BA509" w14:textId="77777777" w:rsidR="00EB4514" w:rsidRPr="003B78C2" w:rsidRDefault="00EB4514" w:rsidP="002E6A34">
            <w:pPr>
              <w:pStyle w:val="TableBody"/>
              <w:rPr>
                <w:rStyle w:val="Bold"/>
              </w:rPr>
            </w:pPr>
            <w:r w:rsidRPr="003B78C2">
              <w:rPr>
                <w:rStyle w:val="Bold"/>
              </w:rPr>
              <w:t>Culpable driving causing death</w:t>
            </w:r>
          </w:p>
          <w:p w14:paraId="3A37570F" w14:textId="77777777" w:rsidR="00EB4514" w:rsidRDefault="00EB4514" w:rsidP="002E6A34">
            <w:pPr>
              <w:pStyle w:val="TableBody"/>
            </w:pPr>
            <w:r w:rsidRPr="00F56C6C">
              <w:rPr>
                <w:rStyle w:val="Italic"/>
              </w:rPr>
              <w:lastRenderedPageBreak/>
              <w:t xml:space="preserve">Crimes Act 1958 </w:t>
            </w:r>
            <w:r>
              <w:t>(Vic) s 318</w:t>
            </w:r>
          </w:p>
        </w:tc>
        <w:tc>
          <w:tcPr>
            <w:tcW w:w="1333" w:type="pct"/>
          </w:tcPr>
          <w:p w14:paraId="7813BFF9" w14:textId="77777777" w:rsidR="00EB4514" w:rsidRDefault="00EB4514" w:rsidP="002E6A34">
            <w:pPr>
              <w:pStyle w:val="TableBody"/>
            </w:pPr>
            <w:r>
              <w:lastRenderedPageBreak/>
              <w:t>20 years’ imprisonment</w:t>
            </w:r>
          </w:p>
        </w:tc>
        <w:tc>
          <w:tcPr>
            <w:tcW w:w="1667" w:type="pct"/>
          </w:tcPr>
          <w:p w14:paraId="28B8B862" w14:textId="77777777" w:rsidR="00EB4514" w:rsidRDefault="00EB4514" w:rsidP="002E6A34">
            <w:pPr>
              <w:pStyle w:val="TableBody"/>
            </w:pPr>
            <w:r>
              <w:t>Category 2 offence</w:t>
            </w:r>
          </w:p>
          <w:p w14:paraId="51864411" w14:textId="77777777" w:rsidR="00EB4514" w:rsidRDefault="00EB4514" w:rsidP="002E6A34">
            <w:pPr>
              <w:pStyle w:val="TableBody"/>
            </w:pPr>
            <w:r>
              <w:t>Standard sentence offence</w:t>
            </w:r>
          </w:p>
        </w:tc>
      </w:tr>
      <w:tr w:rsidR="00EB4514" w14:paraId="5A1AD3F1" w14:textId="77777777" w:rsidTr="008E7036">
        <w:trPr>
          <w:trHeight w:val="20"/>
        </w:trPr>
        <w:tc>
          <w:tcPr>
            <w:tcW w:w="2000" w:type="pct"/>
          </w:tcPr>
          <w:p w14:paraId="1AC45676" w14:textId="77777777" w:rsidR="00EB4514" w:rsidRPr="003B78C2" w:rsidRDefault="00EB4514" w:rsidP="002E6A34">
            <w:pPr>
              <w:pStyle w:val="TableBody"/>
              <w:rPr>
                <w:rStyle w:val="Bold"/>
              </w:rPr>
            </w:pPr>
            <w:r w:rsidRPr="003B78C2">
              <w:rPr>
                <w:rStyle w:val="Bold"/>
              </w:rPr>
              <w:t>Intentionally causing serious injury in circumstances of gross violence</w:t>
            </w:r>
          </w:p>
          <w:p w14:paraId="79359B52" w14:textId="77777777" w:rsidR="00EB4514" w:rsidRDefault="00EB4514" w:rsidP="002E6A34">
            <w:pPr>
              <w:pStyle w:val="TableBody"/>
            </w:pPr>
            <w:r w:rsidRPr="00F56C6C">
              <w:rPr>
                <w:rStyle w:val="Italic"/>
              </w:rPr>
              <w:t xml:space="preserve">Crimes Act 1958 </w:t>
            </w:r>
            <w:r>
              <w:t>(Vic) s 15A</w:t>
            </w:r>
          </w:p>
        </w:tc>
        <w:tc>
          <w:tcPr>
            <w:tcW w:w="1333" w:type="pct"/>
          </w:tcPr>
          <w:p w14:paraId="18948A4F" w14:textId="77777777" w:rsidR="00EB4514" w:rsidRDefault="00EB4514" w:rsidP="002E6A34">
            <w:pPr>
              <w:pStyle w:val="TableBody"/>
            </w:pPr>
            <w:r>
              <w:t>20 years’ imprisonment</w:t>
            </w:r>
          </w:p>
        </w:tc>
        <w:tc>
          <w:tcPr>
            <w:tcW w:w="1667" w:type="pct"/>
          </w:tcPr>
          <w:p w14:paraId="158AB35F" w14:textId="77777777" w:rsidR="00EB4514" w:rsidRDefault="00EB4514" w:rsidP="002E6A34">
            <w:pPr>
              <w:pStyle w:val="TableBody"/>
            </w:pPr>
            <w:r>
              <w:t>Category 1 offence</w:t>
            </w:r>
          </w:p>
          <w:p w14:paraId="050FFF9C" w14:textId="77777777" w:rsidR="00EB4514" w:rsidRDefault="00EB4514" w:rsidP="002E6A34">
            <w:pPr>
              <w:pStyle w:val="TableBody"/>
            </w:pPr>
            <w:r>
              <w:t>Minimum non-parole period</w:t>
            </w:r>
          </w:p>
          <w:p w14:paraId="51CDAAB5" w14:textId="77777777" w:rsidR="00EB4514" w:rsidRDefault="00EB4514" w:rsidP="002E6A34">
            <w:pPr>
              <w:pStyle w:val="TableBody"/>
            </w:pPr>
            <w:r>
              <w:t>Serious offender offence</w:t>
            </w:r>
          </w:p>
        </w:tc>
      </w:tr>
      <w:tr w:rsidR="00EB4514" w14:paraId="082ACC4B" w14:textId="77777777" w:rsidTr="008E7036">
        <w:trPr>
          <w:trHeight w:val="20"/>
        </w:trPr>
        <w:tc>
          <w:tcPr>
            <w:tcW w:w="2000" w:type="pct"/>
          </w:tcPr>
          <w:p w14:paraId="5241BDDC" w14:textId="77777777" w:rsidR="00EB4514" w:rsidRPr="003B78C2" w:rsidRDefault="00EB4514" w:rsidP="002E6A34">
            <w:pPr>
              <w:pStyle w:val="TableBody"/>
              <w:rPr>
                <w:rStyle w:val="Bold"/>
              </w:rPr>
            </w:pPr>
            <w:r w:rsidRPr="003B78C2">
              <w:rPr>
                <w:rStyle w:val="Bold"/>
              </w:rPr>
              <w:t>Aggravated home invasion</w:t>
            </w:r>
          </w:p>
          <w:p w14:paraId="3F1D7DAF" w14:textId="77777777" w:rsidR="00EB4514" w:rsidRDefault="00EB4514" w:rsidP="002E6A34">
            <w:pPr>
              <w:pStyle w:val="TableBody"/>
            </w:pPr>
            <w:r w:rsidRPr="00F56C6C">
              <w:rPr>
                <w:rStyle w:val="Italic"/>
              </w:rPr>
              <w:t xml:space="preserve">Crimes Act 1958 </w:t>
            </w:r>
            <w:r>
              <w:t>(Vic) s 77B</w:t>
            </w:r>
          </w:p>
        </w:tc>
        <w:tc>
          <w:tcPr>
            <w:tcW w:w="1333" w:type="pct"/>
          </w:tcPr>
          <w:p w14:paraId="696B7777" w14:textId="77777777" w:rsidR="00EB4514" w:rsidRDefault="00EB4514" w:rsidP="002E6A34">
            <w:pPr>
              <w:pStyle w:val="TableBody"/>
            </w:pPr>
            <w:r>
              <w:t>25 years’ imprisonment</w:t>
            </w:r>
          </w:p>
        </w:tc>
        <w:tc>
          <w:tcPr>
            <w:tcW w:w="1667" w:type="pct"/>
          </w:tcPr>
          <w:p w14:paraId="5AD308B7" w14:textId="77777777" w:rsidR="00EB4514" w:rsidRDefault="00EB4514" w:rsidP="002E6A34">
            <w:pPr>
              <w:pStyle w:val="TableBody"/>
            </w:pPr>
            <w:r>
              <w:t>Category 1 offence</w:t>
            </w:r>
          </w:p>
          <w:p w14:paraId="6D023150" w14:textId="77777777" w:rsidR="00EB4514" w:rsidRDefault="00EB4514" w:rsidP="002E6A34">
            <w:pPr>
              <w:pStyle w:val="TableBody"/>
            </w:pPr>
            <w:r>
              <w:t>Minimum non-parole period</w:t>
            </w:r>
          </w:p>
        </w:tc>
      </w:tr>
      <w:tr w:rsidR="00EB4514" w14:paraId="14417347" w14:textId="77777777" w:rsidTr="008E7036">
        <w:trPr>
          <w:trHeight w:val="20"/>
        </w:trPr>
        <w:tc>
          <w:tcPr>
            <w:tcW w:w="2000" w:type="pct"/>
          </w:tcPr>
          <w:p w14:paraId="6CEC0108" w14:textId="77777777" w:rsidR="00EB4514" w:rsidRPr="003B78C2" w:rsidRDefault="00EB4514" w:rsidP="002E6A34">
            <w:pPr>
              <w:pStyle w:val="TableBody"/>
              <w:rPr>
                <w:rStyle w:val="Bold"/>
              </w:rPr>
            </w:pPr>
            <w:r w:rsidRPr="003B78C2">
              <w:rPr>
                <w:rStyle w:val="Bold"/>
              </w:rPr>
              <w:t>Aggravated carjacking</w:t>
            </w:r>
          </w:p>
          <w:p w14:paraId="34F07B0E" w14:textId="77777777" w:rsidR="00EB4514" w:rsidRDefault="00EB4514" w:rsidP="002E6A34">
            <w:pPr>
              <w:pStyle w:val="TableBody"/>
            </w:pPr>
            <w:r w:rsidRPr="00F56C6C">
              <w:rPr>
                <w:rStyle w:val="Italic"/>
              </w:rPr>
              <w:t xml:space="preserve">Crimes Act 1958 </w:t>
            </w:r>
            <w:r>
              <w:t>(Vic) s 79A</w:t>
            </w:r>
          </w:p>
        </w:tc>
        <w:tc>
          <w:tcPr>
            <w:tcW w:w="1333" w:type="pct"/>
          </w:tcPr>
          <w:p w14:paraId="08AD9856" w14:textId="77777777" w:rsidR="00EB4514" w:rsidRDefault="00EB4514" w:rsidP="002E6A34">
            <w:pPr>
              <w:pStyle w:val="TableBody"/>
            </w:pPr>
            <w:r>
              <w:t>25 years’ imprisonment</w:t>
            </w:r>
          </w:p>
        </w:tc>
        <w:tc>
          <w:tcPr>
            <w:tcW w:w="1667" w:type="pct"/>
          </w:tcPr>
          <w:p w14:paraId="06B9E354" w14:textId="77777777" w:rsidR="00EB4514" w:rsidRDefault="00EB4514" w:rsidP="002E6A34">
            <w:pPr>
              <w:pStyle w:val="TableBody"/>
            </w:pPr>
            <w:r>
              <w:t>Category 1 offence</w:t>
            </w:r>
          </w:p>
          <w:p w14:paraId="2452B6F4" w14:textId="77777777" w:rsidR="00EB4514" w:rsidRDefault="00EB4514" w:rsidP="002E6A34">
            <w:pPr>
              <w:pStyle w:val="TableBody"/>
            </w:pPr>
            <w:r>
              <w:t>Minimum non-parole period</w:t>
            </w:r>
          </w:p>
        </w:tc>
      </w:tr>
      <w:tr w:rsidR="00EB4514" w14:paraId="08D022C5" w14:textId="77777777" w:rsidTr="008E7036">
        <w:trPr>
          <w:trHeight w:val="20"/>
        </w:trPr>
        <w:tc>
          <w:tcPr>
            <w:tcW w:w="2000" w:type="pct"/>
          </w:tcPr>
          <w:p w14:paraId="2DF02CF5" w14:textId="77777777" w:rsidR="00EB4514" w:rsidRPr="003B78C2" w:rsidRDefault="00EB4514" w:rsidP="002E6A34">
            <w:pPr>
              <w:pStyle w:val="TableBody"/>
              <w:rPr>
                <w:rStyle w:val="Bold"/>
              </w:rPr>
            </w:pPr>
            <w:r w:rsidRPr="003B78C2">
              <w:rPr>
                <w:rStyle w:val="Bold"/>
              </w:rPr>
              <w:t>Various terrorism offences</w:t>
            </w:r>
          </w:p>
        </w:tc>
        <w:tc>
          <w:tcPr>
            <w:tcW w:w="1333" w:type="pct"/>
          </w:tcPr>
          <w:p w14:paraId="71F97563" w14:textId="77777777" w:rsidR="00EB4514" w:rsidRDefault="00EB4514" w:rsidP="002E6A34">
            <w:pPr>
              <w:pStyle w:val="TableBody"/>
            </w:pPr>
            <w:r>
              <w:t>Varies</w:t>
            </w:r>
          </w:p>
        </w:tc>
        <w:tc>
          <w:tcPr>
            <w:tcW w:w="1667" w:type="pct"/>
          </w:tcPr>
          <w:p w14:paraId="0A1954A0" w14:textId="77777777" w:rsidR="00EB4514" w:rsidRDefault="00EB4514" w:rsidP="002E6A34">
            <w:pPr>
              <w:pStyle w:val="TableBody"/>
            </w:pPr>
            <w:r>
              <w:t>Various</w:t>
            </w:r>
          </w:p>
        </w:tc>
      </w:tr>
      <w:tr w:rsidR="00EB4514" w:rsidRPr="00F56C6C" w14:paraId="661B305C" w14:textId="77777777" w:rsidTr="008E7036">
        <w:trPr>
          <w:trHeight w:val="20"/>
        </w:trPr>
        <w:tc>
          <w:tcPr>
            <w:tcW w:w="2000" w:type="pct"/>
          </w:tcPr>
          <w:p w14:paraId="33D28C3A" w14:textId="77777777" w:rsidR="00EB4514" w:rsidRPr="003B78C2" w:rsidRDefault="00EB4514" w:rsidP="005D7580">
            <w:pPr>
              <w:pStyle w:val="TableBody"/>
              <w:rPr>
                <w:rStyle w:val="Bold"/>
              </w:rPr>
            </w:pPr>
            <w:r w:rsidRPr="003B78C2">
              <w:rPr>
                <w:rStyle w:val="Bold"/>
              </w:rPr>
              <w:t>Category B serious youth offences</w:t>
            </w:r>
          </w:p>
        </w:tc>
        <w:tc>
          <w:tcPr>
            <w:tcW w:w="1333" w:type="pct"/>
          </w:tcPr>
          <w:p w14:paraId="2F5A4A70" w14:textId="77777777" w:rsidR="00EB4514" w:rsidRPr="005D7580" w:rsidRDefault="00EB4514" w:rsidP="005D7580">
            <w:pPr>
              <w:pStyle w:val="TableBody"/>
            </w:pPr>
          </w:p>
        </w:tc>
        <w:tc>
          <w:tcPr>
            <w:tcW w:w="1667" w:type="pct"/>
          </w:tcPr>
          <w:p w14:paraId="35E67B76" w14:textId="77777777" w:rsidR="00EB4514" w:rsidRPr="005D7580" w:rsidRDefault="00EB4514" w:rsidP="005D7580">
            <w:pPr>
              <w:pStyle w:val="TableBody"/>
            </w:pPr>
          </w:p>
        </w:tc>
      </w:tr>
      <w:tr w:rsidR="00EB4514" w14:paraId="42750845" w14:textId="77777777" w:rsidTr="008E7036">
        <w:trPr>
          <w:trHeight w:val="20"/>
        </w:trPr>
        <w:tc>
          <w:tcPr>
            <w:tcW w:w="2000" w:type="pct"/>
          </w:tcPr>
          <w:p w14:paraId="3C1B391A" w14:textId="77777777" w:rsidR="00EB4514" w:rsidRPr="003B78C2" w:rsidRDefault="00EB4514" w:rsidP="002E6A34">
            <w:pPr>
              <w:pStyle w:val="TableBody"/>
              <w:rPr>
                <w:rStyle w:val="Bold"/>
              </w:rPr>
            </w:pPr>
            <w:r w:rsidRPr="003B78C2">
              <w:rPr>
                <w:rStyle w:val="Bold"/>
              </w:rPr>
              <w:t>Recklessly causing serious injury in circumstances of gross violence</w:t>
            </w:r>
          </w:p>
          <w:p w14:paraId="7B6A61B3" w14:textId="77777777" w:rsidR="00EB4514" w:rsidRDefault="00EB4514" w:rsidP="002E6A34">
            <w:pPr>
              <w:pStyle w:val="TableBody"/>
            </w:pPr>
            <w:r w:rsidRPr="00F56C6C">
              <w:rPr>
                <w:rStyle w:val="Italic"/>
              </w:rPr>
              <w:t xml:space="preserve">Crimes Act 1958 </w:t>
            </w:r>
            <w:r>
              <w:t>(Vic) s 15B</w:t>
            </w:r>
          </w:p>
        </w:tc>
        <w:tc>
          <w:tcPr>
            <w:tcW w:w="1333" w:type="pct"/>
          </w:tcPr>
          <w:p w14:paraId="3B330644" w14:textId="77777777" w:rsidR="00EB4514" w:rsidRDefault="00EB4514" w:rsidP="002E6A34">
            <w:pPr>
              <w:pStyle w:val="TableBody"/>
            </w:pPr>
            <w:r>
              <w:t>15 years’ imprisonment</w:t>
            </w:r>
          </w:p>
        </w:tc>
        <w:tc>
          <w:tcPr>
            <w:tcW w:w="1667" w:type="pct"/>
          </w:tcPr>
          <w:p w14:paraId="2F842A75" w14:textId="77777777" w:rsidR="00EB4514" w:rsidRDefault="00EB4514" w:rsidP="002E6A34">
            <w:pPr>
              <w:pStyle w:val="TableBody"/>
            </w:pPr>
            <w:r>
              <w:t>Category 1 offence</w:t>
            </w:r>
          </w:p>
          <w:p w14:paraId="7C5D967A" w14:textId="77777777" w:rsidR="00EB4514" w:rsidRDefault="00EB4514" w:rsidP="002E6A34">
            <w:pPr>
              <w:pStyle w:val="TableBody"/>
            </w:pPr>
            <w:r>
              <w:t>Minimum non-parole period</w:t>
            </w:r>
          </w:p>
          <w:p w14:paraId="2D62CD91" w14:textId="77777777" w:rsidR="00EB4514" w:rsidRDefault="00EB4514" w:rsidP="002E6A34">
            <w:pPr>
              <w:pStyle w:val="TableBody"/>
            </w:pPr>
            <w:r>
              <w:t>Serious offender offence</w:t>
            </w:r>
          </w:p>
        </w:tc>
      </w:tr>
      <w:tr w:rsidR="00EB4514" w14:paraId="567AB530" w14:textId="77777777" w:rsidTr="008E7036">
        <w:trPr>
          <w:trHeight w:val="20"/>
        </w:trPr>
        <w:tc>
          <w:tcPr>
            <w:tcW w:w="2000" w:type="pct"/>
          </w:tcPr>
          <w:p w14:paraId="1ECB1BAE" w14:textId="77777777" w:rsidR="00EB4514" w:rsidRPr="003B78C2" w:rsidRDefault="00EB4514" w:rsidP="002E6A34">
            <w:pPr>
              <w:pStyle w:val="TableBody"/>
              <w:rPr>
                <w:rStyle w:val="Bold"/>
              </w:rPr>
            </w:pPr>
            <w:r w:rsidRPr="003B78C2">
              <w:rPr>
                <w:rStyle w:val="Bold"/>
              </w:rPr>
              <w:t>Rape</w:t>
            </w:r>
          </w:p>
          <w:p w14:paraId="70F1A92A" w14:textId="77777777" w:rsidR="00EB4514" w:rsidRDefault="00EB4514" w:rsidP="002E6A34">
            <w:pPr>
              <w:pStyle w:val="TableBody"/>
            </w:pPr>
            <w:r w:rsidRPr="00F56C6C">
              <w:rPr>
                <w:rStyle w:val="Italic"/>
              </w:rPr>
              <w:t xml:space="preserve">Crimes Act 1958 </w:t>
            </w:r>
            <w:r>
              <w:t>(Vic) s 38</w:t>
            </w:r>
          </w:p>
        </w:tc>
        <w:tc>
          <w:tcPr>
            <w:tcW w:w="1333" w:type="pct"/>
          </w:tcPr>
          <w:p w14:paraId="01F3B0FD" w14:textId="77777777" w:rsidR="00EB4514" w:rsidRDefault="00EB4514" w:rsidP="002E6A34">
            <w:pPr>
              <w:pStyle w:val="TableBody"/>
            </w:pPr>
            <w:r>
              <w:t>25 years’ imprisonment</w:t>
            </w:r>
          </w:p>
        </w:tc>
        <w:tc>
          <w:tcPr>
            <w:tcW w:w="1667" w:type="pct"/>
          </w:tcPr>
          <w:p w14:paraId="7CD98FC8" w14:textId="77777777" w:rsidR="00EB4514" w:rsidRDefault="00EB4514" w:rsidP="002E6A34">
            <w:pPr>
              <w:pStyle w:val="TableBody"/>
            </w:pPr>
            <w:r>
              <w:t>Category 1 offence</w:t>
            </w:r>
          </w:p>
          <w:p w14:paraId="416DDC80" w14:textId="77777777" w:rsidR="00EB4514" w:rsidRDefault="00EB4514" w:rsidP="002E6A34">
            <w:pPr>
              <w:pStyle w:val="TableBody"/>
            </w:pPr>
            <w:r>
              <w:t>Standard sentence offence</w:t>
            </w:r>
          </w:p>
          <w:p w14:paraId="2EB0FA2F" w14:textId="77777777" w:rsidR="00EB4514" w:rsidRDefault="00EB4514" w:rsidP="002E6A34">
            <w:pPr>
              <w:pStyle w:val="TableBody"/>
            </w:pPr>
            <w:r>
              <w:t>Serious offender offence</w:t>
            </w:r>
          </w:p>
        </w:tc>
      </w:tr>
      <w:tr w:rsidR="00EB4514" w14:paraId="31682B70" w14:textId="77777777" w:rsidTr="008E7036">
        <w:trPr>
          <w:trHeight w:val="20"/>
        </w:trPr>
        <w:tc>
          <w:tcPr>
            <w:tcW w:w="2000" w:type="pct"/>
          </w:tcPr>
          <w:p w14:paraId="3C85E3A8" w14:textId="77777777" w:rsidR="00EB4514" w:rsidRPr="003B78C2" w:rsidRDefault="00EB4514" w:rsidP="002E6A34">
            <w:pPr>
              <w:pStyle w:val="TableBody"/>
              <w:rPr>
                <w:rStyle w:val="Bold"/>
              </w:rPr>
            </w:pPr>
            <w:r w:rsidRPr="003B78C2">
              <w:rPr>
                <w:rStyle w:val="Bold"/>
              </w:rPr>
              <w:t>Rape by compelling sexual penetration</w:t>
            </w:r>
          </w:p>
          <w:p w14:paraId="777B691D" w14:textId="77777777" w:rsidR="00EB4514" w:rsidRDefault="00EB4514" w:rsidP="002E6A34">
            <w:pPr>
              <w:pStyle w:val="TableBody"/>
            </w:pPr>
            <w:r w:rsidRPr="00F56C6C">
              <w:rPr>
                <w:rStyle w:val="Italic"/>
              </w:rPr>
              <w:t xml:space="preserve">Crimes Act 1958 </w:t>
            </w:r>
            <w:r>
              <w:t>(Vic) s 39</w:t>
            </w:r>
          </w:p>
        </w:tc>
        <w:tc>
          <w:tcPr>
            <w:tcW w:w="1333" w:type="pct"/>
          </w:tcPr>
          <w:p w14:paraId="547C6982" w14:textId="77777777" w:rsidR="00EB4514" w:rsidRDefault="00EB4514" w:rsidP="002E6A34">
            <w:pPr>
              <w:pStyle w:val="TableBody"/>
            </w:pPr>
            <w:r>
              <w:t>25 years’ imprisonment</w:t>
            </w:r>
          </w:p>
        </w:tc>
        <w:tc>
          <w:tcPr>
            <w:tcW w:w="1667" w:type="pct"/>
          </w:tcPr>
          <w:p w14:paraId="43E87053" w14:textId="77777777" w:rsidR="00EB4514" w:rsidRDefault="00EB4514" w:rsidP="002E6A34">
            <w:pPr>
              <w:pStyle w:val="TableBody"/>
            </w:pPr>
            <w:r>
              <w:t>Category 1 offence</w:t>
            </w:r>
          </w:p>
          <w:p w14:paraId="472A00A9" w14:textId="77777777" w:rsidR="00EB4514" w:rsidRDefault="00EB4514" w:rsidP="002E6A34">
            <w:pPr>
              <w:pStyle w:val="TableBody"/>
            </w:pPr>
            <w:r>
              <w:t xml:space="preserve">Serious </w:t>
            </w:r>
            <w:proofErr w:type="gramStart"/>
            <w:r>
              <w:t>offender offence</w:t>
            </w:r>
            <w:proofErr w:type="gramEnd"/>
            <w:r>
              <w:t xml:space="preserve"> (if committed against a child)</w:t>
            </w:r>
          </w:p>
        </w:tc>
      </w:tr>
      <w:tr w:rsidR="00EB4514" w14:paraId="4D379FDF" w14:textId="77777777" w:rsidTr="008E7036">
        <w:trPr>
          <w:trHeight w:val="20"/>
        </w:trPr>
        <w:tc>
          <w:tcPr>
            <w:tcW w:w="2000" w:type="pct"/>
          </w:tcPr>
          <w:p w14:paraId="04572B94" w14:textId="77777777" w:rsidR="00EB4514" w:rsidRPr="003B78C2" w:rsidRDefault="00EB4514" w:rsidP="002E6A34">
            <w:pPr>
              <w:pStyle w:val="TableBody"/>
              <w:rPr>
                <w:rStyle w:val="Bold"/>
              </w:rPr>
            </w:pPr>
            <w:r w:rsidRPr="003B78C2">
              <w:rPr>
                <w:rStyle w:val="Bold"/>
              </w:rPr>
              <w:t>Home invasion</w:t>
            </w:r>
          </w:p>
          <w:p w14:paraId="1F2F6F9C" w14:textId="77777777" w:rsidR="00EB4514" w:rsidRDefault="00EB4514" w:rsidP="002E6A34">
            <w:pPr>
              <w:pStyle w:val="TableBody"/>
            </w:pPr>
            <w:r w:rsidRPr="00F56C6C">
              <w:rPr>
                <w:rStyle w:val="Italic"/>
              </w:rPr>
              <w:t xml:space="preserve">Crimes Act 1958 </w:t>
            </w:r>
            <w:r>
              <w:t>(Vic) s 77A</w:t>
            </w:r>
          </w:p>
        </w:tc>
        <w:tc>
          <w:tcPr>
            <w:tcW w:w="1333" w:type="pct"/>
          </w:tcPr>
          <w:p w14:paraId="79D978E7" w14:textId="77777777" w:rsidR="00EB4514" w:rsidRDefault="00EB4514" w:rsidP="002E6A34">
            <w:pPr>
              <w:pStyle w:val="TableBody"/>
            </w:pPr>
            <w:r>
              <w:t>25 years’ imprisonment</w:t>
            </w:r>
          </w:p>
        </w:tc>
        <w:tc>
          <w:tcPr>
            <w:tcW w:w="1667" w:type="pct"/>
          </w:tcPr>
          <w:p w14:paraId="27002FD4" w14:textId="77777777" w:rsidR="00EB4514" w:rsidRDefault="00EB4514" w:rsidP="002E6A34">
            <w:pPr>
              <w:pStyle w:val="TableBody"/>
            </w:pPr>
            <w:r>
              <w:t>Category 2 offence</w:t>
            </w:r>
          </w:p>
        </w:tc>
      </w:tr>
      <w:tr w:rsidR="00EB4514" w14:paraId="5E83B734" w14:textId="77777777" w:rsidTr="008E7036">
        <w:trPr>
          <w:trHeight w:val="20"/>
        </w:trPr>
        <w:tc>
          <w:tcPr>
            <w:tcW w:w="2000" w:type="pct"/>
          </w:tcPr>
          <w:p w14:paraId="69FD0F44" w14:textId="77777777" w:rsidR="00EB4514" w:rsidRPr="003B78C2" w:rsidRDefault="00EB4514" w:rsidP="002E6A34">
            <w:pPr>
              <w:pStyle w:val="TableBody"/>
              <w:rPr>
                <w:rStyle w:val="Bold"/>
              </w:rPr>
            </w:pPr>
            <w:r w:rsidRPr="003B78C2">
              <w:rPr>
                <w:rStyle w:val="Bold"/>
              </w:rPr>
              <w:t>Carjacking</w:t>
            </w:r>
          </w:p>
          <w:p w14:paraId="2C3F9B11" w14:textId="77777777" w:rsidR="00EB4514" w:rsidRDefault="00EB4514" w:rsidP="002E6A34">
            <w:pPr>
              <w:pStyle w:val="TableBody"/>
            </w:pPr>
            <w:r w:rsidRPr="00F56C6C">
              <w:rPr>
                <w:rStyle w:val="Italic"/>
              </w:rPr>
              <w:t xml:space="preserve">Crimes Act 1958 </w:t>
            </w:r>
            <w:r>
              <w:t>(Vic) s 79</w:t>
            </w:r>
          </w:p>
        </w:tc>
        <w:tc>
          <w:tcPr>
            <w:tcW w:w="1333" w:type="pct"/>
          </w:tcPr>
          <w:p w14:paraId="1F2C9C37" w14:textId="77777777" w:rsidR="00EB4514" w:rsidRDefault="00EB4514" w:rsidP="002E6A34">
            <w:pPr>
              <w:pStyle w:val="TableBody"/>
            </w:pPr>
            <w:r>
              <w:t>15 years’ imprisonment</w:t>
            </w:r>
          </w:p>
        </w:tc>
        <w:tc>
          <w:tcPr>
            <w:tcW w:w="1667" w:type="pct"/>
          </w:tcPr>
          <w:p w14:paraId="0D71B6EF" w14:textId="77777777" w:rsidR="00EB4514" w:rsidRDefault="00EB4514" w:rsidP="002E6A34">
            <w:pPr>
              <w:pStyle w:val="TableBody"/>
            </w:pPr>
            <w:r>
              <w:t>Category 2 offence</w:t>
            </w:r>
          </w:p>
        </w:tc>
      </w:tr>
    </w:tbl>
    <w:p w14:paraId="01323BD4" w14:textId="77777777" w:rsidR="00EB4514" w:rsidRDefault="00EB4514" w:rsidP="002472CC">
      <w:pPr>
        <w:pStyle w:val="Footnote"/>
      </w:pPr>
      <w:proofErr w:type="spellStart"/>
      <w:r>
        <w:t>a</w:t>
      </w:r>
      <w:proofErr w:type="spellEnd"/>
      <w:r>
        <w:tab/>
      </w:r>
      <w:proofErr w:type="gramStart"/>
      <w:r>
        <w:t>The</w:t>
      </w:r>
      <w:proofErr w:type="gramEnd"/>
      <w:r>
        <w:t xml:space="preserve"> maximum penalty for manslaughter and for child homicide was previously 20 years’ imprisonment, but the maximum penalty was increased to 25 years for both offences in 2020: </w:t>
      </w:r>
      <w:r>
        <w:rPr>
          <w:rStyle w:val="Italic"/>
        </w:rPr>
        <w:t xml:space="preserve">Crimes Amendment (Manslaughter and Related Offences) Act 2020 </w:t>
      </w:r>
      <w:r>
        <w:t>(Vic) ss 3–4.</w:t>
      </w:r>
    </w:p>
    <w:p w14:paraId="4E0C9BD5" w14:textId="77777777" w:rsidR="001B4B37" w:rsidRDefault="001B4B37" w:rsidP="001B4B37">
      <w:pPr>
        <w:pStyle w:val="Heading2"/>
      </w:pPr>
      <w:r>
        <w:t xml:space="preserve">What are the age boundaries for category A and B offence classification? </w:t>
      </w:r>
    </w:p>
    <w:p w14:paraId="54C30D8C" w14:textId="77777777" w:rsidR="001B4B37" w:rsidRDefault="001B4B37" w:rsidP="00156186">
      <w:r>
        <w:t>Unlike some offence classifications in Victoria that apply based on the offender’s age,</w:t>
      </w:r>
      <w:r>
        <w:rPr>
          <w:rStyle w:val="Superscript"/>
        </w:rPr>
        <w:footnoteReference w:id="10"/>
      </w:r>
      <w:r>
        <w:t xml:space="preserve"> category A and B offence classification applies irrespective of the offender’s age, including in the </w:t>
      </w:r>
      <w:r>
        <w:rPr>
          <w:rStyle w:val="Italic"/>
        </w:rPr>
        <w:t xml:space="preserve">Sentencing Act 1991 </w:t>
      </w:r>
      <w:r>
        <w:t xml:space="preserve">(Vic), which pertains to the adult jurisdiction. In theory, a murder committed by a 50-year-old would constitute a category A serious youth offence, because the definition of category A serious youth offence has no </w:t>
      </w:r>
      <w:r>
        <w:lastRenderedPageBreak/>
        <w:t>age boundary.</w:t>
      </w:r>
      <w:r>
        <w:rPr>
          <w:rStyle w:val="Superscript"/>
        </w:rPr>
        <w:footnoteReference w:id="11"/>
      </w:r>
      <w:r>
        <w:t xml:space="preserve"> In that instance, however, category A and B offence classification would have no practical effect. </w:t>
      </w:r>
    </w:p>
    <w:p w14:paraId="59EBA586" w14:textId="77777777" w:rsidR="001B4B37" w:rsidRDefault="001B4B37" w:rsidP="00156186">
      <w:r>
        <w:t xml:space="preserve">Instead, the relevant age boundaries were imposed in the provisions governing the consequences of category A and B offence classification. For example, section 356 of the </w:t>
      </w:r>
      <w:r>
        <w:rPr>
          <w:rStyle w:val="Italic"/>
        </w:rPr>
        <w:t xml:space="preserve">Children, Youth and Families Act 2005 </w:t>
      </w:r>
      <w:r>
        <w:t xml:space="preserve">(Vic) (as it was) specified that the Children’s Court should have, except in certain circumstances, uplifted category A offences to the higher courts if the offence was committed by a child aged 16 or over. That is, this uplift provision did not apply to offences committed by children aged under 16. Similarly, the proscriptions in section 32(2C) of the </w:t>
      </w:r>
      <w:r>
        <w:rPr>
          <w:rStyle w:val="Italic"/>
        </w:rPr>
        <w:t xml:space="preserve">Sentencing Act 1991 </w:t>
      </w:r>
      <w:r>
        <w:t>(Vic) only applied to the sentencing of ‘young offenders’, who are defined as anyone aged under 21 at the time of sentencing.</w:t>
      </w:r>
      <w:r>
        <w:rPr>
          <w:rStyle w:val="Superscript"/>
        </w:rPr>
        <w:footnoteReference w:id="12"/>
      </w:r>
      <w:r>
        <w:t xml:space="preserve"> That is, this sentencing provision did not apply to offenders aged 21 or over at the time of sentencing. </w:t>
      </w:r>
    </w:p>
    <w:p w14:paraId="4039F493" w14:textId="77777777" w:rsidR="001B4B37" w:rsidRDefault="001B4B37" w:rsidP="00156186">
      <w:r>
        <w:t xml:space="preserve">As shown in Figure 1, an age boundary was not imposed in only one provision </w:t>
      </w:r>
      <w:r w:rsidRPr="00124D50">
        <w:t xml:space="preserve">governing the consequences of category A or B offence classification: section 362(1)(g) </w:t>
      </w:r>
      <w:r>
        <w:t xml:space="preserve">of the </w:t>
      </w:r>
      <w:r>
        <w:rPr>
          <w:rStyle w:val="Italic"/>
        </w:rPr>
        <w:t xml:space="preserve">Children, Youth and Families Act 2005 </w:t>
      </w:r>
      <w:r>
        <w:t xml:space="preserve">(Vic) required the Children’s Court to </w:t>
      </w:r>
      <w:r w:rsidRPr="00124D50">
        <w:t xml:space="preserve">consider the need to protect the community in sentencing a category A or category B </w:t>
      </w:r>
      <w:r>
        <w:t>serious youth offence, regardless of the child’s age at the time of the offence.</w:t>
      </w:r>
      <w:r>
        <w:rPr>
          <w:rStyle w:val="Superscript"/>
        </w:rPr>
        <w:footnoteReference w:id="13"/>
      </w:r>
      <w:r>
        <w:t xml:space="preserve"> </w:t>
      </w:r>
    </w:p>
    <w:p w14:paraId="3B7A93C2" w14:textId="77777777" w:rsidR="00E41A37" w:rsidRPr="00533AD1" w:rsidRDefault="00E41A37" w:rsidP="00533AD1">
      <w:pPr>
        <w:pStyle w:val="Caption"/>
      </w:pPr>
      <w:r w:rsidRPr="003B78C2">
        <w:t>Figure 1</w:t>
      </w:r>
      <w:r w:rsidRPr="00533AD1">
        <w:t>: Age boundaries for category A and B offence classification in this report</w:t>
      </w:r>
    </w:p>
    <w:p w14:paraId="16FE11A9" w14:textId="77777777" w:rsidR="00A1142B" w:rsidRPr="00A1142B" w:rsidRDefault="00A1142B" w:rsidP="007B627D">
      <w:pPr>
        <w:ind w:left="936"/>
        <w:rPr>
          <w:b/>
          <w:bCs/>
        </w:rPr>
      </w:pPr>
      <w:r w:rsidRPr="00A1142B">
        <w:rPr>
          <w:b/>
          <w:bCs/>
        </w:rPr>
        <w:t>Category A and B offences in this report:</w:t>
      </w:r>
    </w:p>
    <w:p w14:paraId="5DC1AECB" w14:textId="77777777" w:rsidR="00A1142B" w:rsidRDefault="00A1142B" w:rsidP="007B627D">
      <w:pPr>
        <w:pStyle w:val="Bullets"/>
        <w:ind w:left="2232"/>
      </w:pPr>
      <w:r w:rsidRPr="00701DD9">
        <w:t>aged under 21 at time of sentencing</w:t>
      </w:r>
    </w:p>
    <w:p w14:paraId="18137681" w14:textId="77777777" w:rsidR="00A1142B" w:rsidRDefault="00A1142B" w:rsidP="007B627D">
      <w:pPr>
        <w:pStyle w:val="Bullets"/>
        <w:ind w:left="2232"/>
      </w:pPr>
      <w:r w:rsidRPr="00701DD9">
        <w:lastRenderedPageBreak/>
        <w:t>aged 16 or over at time of offence</w:t>
      </w:r>
    </w:p>
    <w:p w14:paraId="0B967244" w14:textId="77777777" w:rsidR="00A1142B" w:rsidRDefault="00A1142B" w:rsidP="007B627D">
      <w:pPr>
        <w:pStyle w:val="Bullets"/>
        <w:ind w:left="2232"/>
      </w:pPr>
      <w:r w:rsidRPr="00701DD9">
        <w:t xml:space="preserve">sentencing provisions apply </w:t>
      </w:r>
      <w:r>
        <w:t>(</w:t>
      </w:r>
      <w:r w:rsidRPr="00701DD9">
        <w:t xml:space="preserve"> higher courts</w:t>
      </w:r>
      <w:r>
        <w:t>)</w:t>
      </w:r>
    </w:p>
    <w:p w14:paraId="416C3A6A" w14:textId="0B5B7DF2" w:rsidR="00A1142B" w:rsidRDefault="00A1142B" w:rsidP="007B627D">
      <w:pPr>
        <w:pStyle w:val="Bullets"/>
        <w:ind w:left="2232"/>
      </w:pPr>
      <w:r w:rsidRPr="00701DD9">
        <w:t xml:space="preserve">uplift provisions apply </w:t>
      </w:r>
      <w:r>
        <w:t>(</w:t>
      </w:r>
      <w:r w:rsidRPr="00701DD9">
        <w:t>Children’s Court</w:t>
      </w:r>
      <w:r>
        <w:t>)</w:t>
      </w:r>
    </w:p>
    <w:p w14:paraId="1A3A3E47" w14:textId="0EB49385" w:rsidR="00A1142B" w:rsidRDefault="00A1142B" w:rsidP="007B627D">
      <w:pPr>
        <w:ind w:left="936"/>
      </w:pPr>
      <w:r w:rsidRPr="00A1142B">
        <w:rPr>
          <w:b/>
          <w:bCs/>
        </w:rPr>
        <w:t>Not</w:t>
      </w:r>
      <w:r>
        <w:t xml:space="preserve"> c</w:t>
      </w:r>
      <w:r w:rsidRPr="00701DD9">
        <w:t>ategory A and B offences in this report</w:t>
      </w:r>
      <w:r>
        <w:t>:</w:t>
      </w:r>
    </w:p>
    <w:p w14:paraId="0B8DD309" w14:textId="77777777" w:rsidR="00A1142B" w:rsidRDefault="00A1142B" w:rsidP="007B627D">
      <w:pPr>
        <w:pStyle w:val="Bullets"/>
        <w:ind w:left="2232"/>
      </w:pPr>
      <w:r w:rsidRPr="00701DD9">
        <w:t>aged under 16 at time of offence</w:t>
      </w:r>
    </w:p>
    <w:p w14:paraId="679A28BA" w14:textId="61896964" w:rsidR="00A1142B" w:rsidRPr="00701DD9" w:rsidRDefault="00A1142B" w:rsidP="007B627D">
      <w:pPr>
        <w:pStyle w:val="Bullets"/>
        <w:ind w:left="2232"/>
      </w:pPr>
      <w:r w:rsidRPr="00701DD9">
        <w:t xml:space="preserve">community protection is a mandatory consideration </w:t>
      </w:r>
      <w:r>
        <w:t>(</w:t>
      </w:r>
      <w:r w:rsidRPr="00701DD9">
        <w:t>Children’s Court</w:t>
      </w:r>
      <w:r>
        <w:t>)</w:t>
      </w:r>
    </w:p>
    <w:p w14:paraId="0A687EA7" w14:textId="77777777" w:rsidR="001B4B37" w:rsidRDefault="001B4B37" w:rsidP="00156186">
      <w:r>
        <w:t>A lower age boundary of 16 at offence date is applied for the purpose of this report, which is intended to examine the effects of the uplift and sentencing provisions relating to category A and B offence classification. The alternative – applying an ageless category A and B offence classification regardless of the practical effects – would be to classify a murder committed by a 50-year-old as a ‘serious youth offence’. While there was one provision that applied to category A and B offences committed by children aged under 16, the practical effects of that provision were likely very limited: even though that provision elevated community protection from discretionary to mandatory, courts would ordinarily have had regard to community protection in any event. Further, the reforms were intentionally aimed at ‘</w:t>
      </w:r>
      <w:proofErr w:type="spellStart"/>
      <w:r>
        <w:t>increas</w:t>
      </w:r>
      <w:proofErr w:type="spellEnd"/>
      <w:r>
        <w:t>[</w:t>
      </w:r>
      <w:proofErr w:type="spellStart"/>
      <w:r>
        <w:t>ing</w:t>
      </w:r>
      <w:proofErr w:type="spellEnd"/>
      <w:r>
        <w:t>] the consequences for young offenders aged 16 years or older’.</w:t>
      </w:r>
      <w:r>
        <w:rPr>
          <w:rStyle w:val="Superscript"/>
        </w:rPr>
        <w:footnoteReference w:id="14"/>
      </w:r>
      <w:r>
        <w:t xml:space="preserve"> </w:t>
      </w:r>
    </w:p>
    <w:p w14:paraId="65CF7893" w14:textId="77777777" w:rsidR="001B4B37" w:rsidRDefault="001B4B37" w:rsidP="00156186">
      <w:r>
        <w:t xml:space="preserve">Given the aim and functions of category A and B offence classification, this report is concerned only (unless otherwise specified) with category A and B serious youth offences committed by a child or young person </w:t>
      </w:r>
      <w:r>
        <w:rPr>
          <w:rStyle w:val="Bold"/>
        </w:rPr>
        <w:t>aged 16 or over at the time of the offence</w:t>
      </w:r>
      <w:r>
        <w:t xml:space="preserve"> and </w:t>
      </w:r>
      <w:r>
        <w:rPr>
          <w:rStyle w:val="Bold"/>
        </w:rPr>
        <w:t>aged under 21 at the time of sentencing</w:t>
      </w:r>
      <w:r>
        <w:t>.</w:t>
      </w:r>
    </w:p>
    <w:p w14:paraId="63518A2C" w14:textId="77777777" w:rsidR="001B4B37" w:rsidRDefault="001B4B37" w:rsidP="00415A0A">
      <w:pPr>
        <w:pStyle w:val="Heading1"/>
        <w:pageBreakBefore/>
      </w:pPr>
      <w:bookmarkStart w:id="3" w:name="_Toc233028394"/>
      <w:r>
        <w:lastRenderedPageBreak/>
        <w:t>The intended effects of category A offence classification</w:t>
      </w:r>
      <w:bookmarkEnd w:id="3"/>
    </w:p>
    <w:p w14:paraId="4A2EB3F8" w14:textId="77777777" w:rsidR="001B4B37" w:rsidRDefault="001B4B37" w:rsidP="00156186">
      <w:r>
        <w:t>During the reference period in this report (prior to the 2025 reforms), category A offence classification had two primary intended effects on sentencing.</w:t>
      </w:r>
      <w:r>
        <w:rPr>
          <w:rStyle w:val="Superscript"/>
        </w:rPr>
        <w:footnoteReference w:id="15"/>
      </w:r>
      <w:r>
        <w:t xml:space="preserve"> The first effect related to the jurisdiction in which cases involving category A offences could be heard. Previously, there would have been a default presumption that many of the offences would be heard summarily in the Children’s Court.</w:t>
      </w:r>
      <w:r>
        <w:rPr>
          <w:rStyle w:val="Superscript"/>
        </w:rPr>
        <w:footnoteReference w:id="16"/>
      </w:r>
      <w:r>
        <w:t xml:space="preserve"> However, the 2018 reforms made it so that category A offences could only be heard in the Children’s Court if:</w:t>
      </w:r>
    </w:p>
    <w:p w14:paraId="7CBAFFD7" w14:textId="77777777" w:rsidR="001B4B37" w:rsidRDefault="001B4B37" w:rsidP="00156186">
      <w:pPr>
        <w:pStyle w:val="Bullets"/>
      </w:pPr>
      <w:r>
        <w:t>the child or prosecution requested that the case be heard summarily</w:t>
      </w:r>
      <w:r>
        <w:rPr>
          <w:rStyle w:val="Superscript"/>
        </w:rPr>
        <w:footnoteReference w:id="17"/>
      </w:r>
      <w:r>
        <w:t xml:space="preserve"> and</w:t>
      </w:r>
    </w:p>
    <w:p w14:paraId="2CF5D7A3" w14:textId="77777777" w:rsidR="001B4B37" w:rsidRDefault="001B4B37" w:rsidP="00156186">
      <w:pPr>
        <w:pStyle w:val="Bullets"/>
      </w:pPr>
      <w:r>
        <w:t xml:space="preserve">the court believed that the sentencing options in the Children’s Court would be sufficient and </w:t>
      </w:r>
    </w:p>
    <w:p w14:paraId="6E5E5DDB" w14:textId="77777777" w:rsidR="001B4B37" w:rsidRDefault="001B4B37" w:rsidP="00156186">
      <w:pPr>
        <w:pStyle w:val="Bullets"/>
      </w:pPr>
      <w:r>
        <w:t xml:space="preserve">one of the following applied: </w:t>
      </w:r>
    </w:p>
    <w:p w14:paraId="35438C00" w14:textId="77777777" w:rsidR="001B4B37" w:rsidRDefault="001B4B37" w:rsidP="00EC1C1B">
      <w:pPr>
        <w:pStyle w:val="Bullets"/>
        <w:numPr>
          <w:ilvl w:val="1"/>
          <w:numId w:val="2"/>
        </w:numPr>
      </w:pPr>
      <w:r>
        <w:t xml:space="preserve">it would be in the interests of any victims of the offence or </w:t>
      </w:r>
    </w:p>
    <w:p w14:paraId="7B5EB623" w14:textId="77777777" w:rsidR="001B4B37" w:rsidRDefault="001B4B37" w:rsidP="00EC1C1B">
      <w:pPr>
        <w:pStyle w:val="Bullets"/>
        <w:numPr>
          <w:ilvl w:val="1"/>
          <w:numId w:val="2"/>
        </w:numPr>
      </w:pPr>
      <w:r>
        <w:t xml:space="preserve">the accused was particularly vulnerable because of cognitive impairment or mental illness or </w:t>
      </w:r>
    </w:p>
    <w:p w14:paraId="7B7E4A42" w14:textId="77777777" w:rsidR="001B4B37" w:rsidRDefault="001B4B37" w:rsidP="00EC1C1B">
      <w:pPr>
        <w:pStyle w:val="Bullets"/>
        <w:numPr>
          <w:ilvl w:val="1"/>
          <w:numId w:val="2"/>
        </w:numPr>
      </w:pPr>
      <w:r>
        <w:lastRenderedPageBreak/>
        <w:t>there was a substantial and compelling reason to hear the case summarily.</w:t>
      </w:r>
      <w:r>
        <w:rPr>
          <w:rStyle w:val="Superscript"/>
        </w:rPr>
        <w:footnoteReference w:id="18"/>
      </w:r>
      <w:r>
        <w:t xml:space="preserve"> </w:t>
      </w:r>
    </w:p>
    <w:p w14:paraId="36F3B565" w14:textId="77777777" w:rsidR="001B4B37" w:rsidRDefault="001B4B37" w:rsidP="00156186">
      <w:r>
        <w:t>In deciding whether there was a substantial and compelling reason not to transfer the matter to an adult court, the Children’s Court was required to have regard to parliament’s intention that category A serious youth offences should not normally be dealt with in the Children’s Court.</w:t>
      </w:r>
      <w:r>
        <w:rPr>
          <w:rStyle w:val="Superscript"/>
        </w:rPr>
        <w:footnoteReference w:id="19"/>
      </w:r>
      <w:r>
        <w:t xml:space="preserve"> Importantly, the uplift provisions for category A and B offence classification only applied if the offence was committed by a child aged 16 or 17 at the time of the offence. For young people aged 18 to 20 at the time of the offence, the matter had to be dealt with in the higher courts.</w:t>
      </w:r>
    </w:p>
    <w:p w14:paraId="3E82C16D" w14:textId="77777777" w:rsidR="001B4B37" w:rsidRDefault="001B4B37" w:rsidP="00156186">
      <w:r>
        <w:t>The second effect of category A offence classification was that if the matter was heard in an adult court, the court was required to impose a sentence of adult imprisonment (rather than a youth justice centre order) unless there were ‘exceptional circumstances’ that justified not doing so.</w:t>
      </w:r>
      <w:r>
        <w:rPr>
          <w:rStyle w:val="Superscript"/>
        </w:rPr>
        <w:footnoteReference w:id="20"/>
      </w:r>
      <w:r>
        <w:t xml:space="preserve"> </w:t>
      </w:r>
    </w:p>
    <w:p w14:paraId="3943555B" w14:textId="77777777" w:rsidR="001B4B37" w:rsidRDefault="001B4B37" w:rsidP="001B4B37">
      <w:pPr>
        <w:pStyle w:val="Heading1"/>
      </w:pPr>
      <w:bookmarkStart w:id="4" w:name="_Toc233028395"/>
      <w:r>
        <w:t>The intended effects of category B classification</w:t>
      </w:r>
      <w:bookmarkEnd w:id="4"/>
    </w:p>
    <w:p w14:paraId="672E46F8" w14:textId="77777777" w:rsidR="001B4B37" w:rsidRDefault="001B4B37" w:rsidP="00156186">
      <w:r>
        <w:t>As with category A offence classification, there were two primary intended effects of category B offence classification prior to the 2025 reforms, again related to presumptions around jurisdiction and adult imprisonment. For offenders aged 16 or 17 at the time of the offence, category B offences retained a default presumption of being heard in the Children’s Court, unless the court considered the offending ‘unsuitable by reason of exceptional circumstances to be determined summarily’.</w:t>
      </w:r>
      <w:r>
        <w:rPr>
          <w:rStyle w:val="Superscript"/>
        </w:rPr>
        <w:footnoteReference w:id="21"/>
      </w:r>
      <w:r>
        <w:t xml:space="preserve"> For young </w:t>
      </w:r>
      <w:r>
        <w:lastRenderedPageBreak/>
        <w:t xml:space="preserve">people aged 18 to 20 at the time of the offence, the matter would have been required to be dealt with in the higher courts. Further, if an adult court sentenced a young offender for a category B serious youth offence and that young offender had </w:t>
      </w:r>
      <w:r>
        <w:rPr>
          <w:rStyle w:val="Italic"/>
        </w:rPr>
        <w:t xml:space="preserve">previously </w:t>
      </w:r>
      <w:r>
        <w:t>been sentenced for a category A or B serious youth offence, the court was required to impose a sentence of adult imprisonment (rather than a youth justice centre order) unless there were ‘exceptional circumstances’ that justified not doing so.</w:t>
      </w:r>
      <w:r>
        <w:rPr>
          <w:rStyle w:val="Superscript"/>
        </w:rPr>
        <w:footnoteReference w:id="22"/>
      </w:r>
    </w:p>
    <w:p w14:paraId="756579CC" w14:textId="77777777" w:rsidR="001B4B37" w:rsidRDefault="001B4B37" w:rsidP="001B4B37">
      <w:pPr>
        <w:pStyle w:val="Heading1"/>
      </w:pPr>
      <w:bookmarkStart w:id="5" w:name="_Toc233028396"/>
      <w:r>
        <w:t>The expected effects of introducing category A and B offence classification</w:t>
      </w:r>
      <w:bookmarkEnd w:id="5"/>
    </w:p>
    <w:p w14:paraId="50FE81EB" w14:textId="77777777" w:rsidR="001B4B37" w:rsidRDefault="001B4B37" w:rsidP="00156186">
      <w:r>
        <w:t>In summary, for category A offences, the 2018 reforms would have been expected to increase the number of children (aged 16 or 17 at the time of the offence) having matters heard in the adult courts, and increase the number of children and young people (aged 16 to 20 at the time of sentencing) receiving imprisonment rather than a youth justice centre order. For category B offences, the classification would not have been expected to have had as significant an effect as category A classification, due to the presumption of summary jurisdiction for category B offences (offenders aged 16 or 17 at the time of the offence) and the precondition of a relevant prior offence before the presumption of adult imprisonment applied.</w:t>
      </w:r>
    </w:p>
    <w:p w14:paraId="4ECAE31F" w14:textId="77777777" w:rsidR="001B4B37" w:rsidRDefault="001B4B37" w:rsidP="001B4B37">
      <w:pPr>
        <w:pStyle w:val="Heading1"/>
      </w:pPr>
      <w:bookmarkStart w:id="6" w:name="_Toc233028397"/>
      <w:r>
        <w:t>How many category A and B serious youth offences were sentenced?</w:t>
      </w:r>
      <w:bookmarkEnd w:id="6"/>
      <w:r>
        <w:t xml:space="preserve"> </w:t>
      </w:r>
    </w:p>
    <w:p w14:paraId="5877F26E" w14:textId="0A0A0D82" w:rsidR="001B4B37" w:rsidRDefault="001B4B37" w:rsidP="00156186">
      <w:r>
        <w:t xml:space="preserve">From 26 February 2018 to 30 June 2024 (almost 6.5 years), Victorian courts sentenced 489 charges of category A and B serious youth offences committed by children and young people aged 16 to 20 (Figure 2). The 489 charges were in 418 cases, which is the equivalent of one category A or B offence being sentenced every six days, or 66 cases per year. Of the </w:t>
      </w:r>
      <w:r>
        <w:lastRenderedPageBreak/>
        <w:t xml:space="preserve">489 charges, 70% were sentenced in the Children’s Court and 30% in the higher courts. The three most common category A and B offences in the Children’s Court were home invasion (116 charges), aggravated carjacking (77 charges) and carjacking (66 charges): two are category B offences. And the three most common category A and B offences in the higher courts were home invasion (34 charges), aggravated home invasion (31 charges) and aggravated carjacking (30 charges): two are category A offences. </w:t>
      </w:r>
    </w:p>
    <w:p w14:paraId="0C9C3B75" w14:textId="77777777" w:rsidR="001B4B37" w:rsidRDefault="001B4B37" w:rsidP="00156186">
      <w:r>
        <w:t>Of the 290 cases involving category A and B serious youth offences in the Children’s Court, 19% (56 cases) were sentenced outside metropolitan Melbourne. Of the 128 cases involving category A and B serious youth offences in the higher courts, 8% (10 cases) were sentenced outside metropolitan Melbourne. This suggests that category A and B serious youth offences were not particularly overrepresented in regional areas.</w:t>
      </w:r>
      <w:r>
        <w:rPr>
          <w:rStyle w:val="Superscript"/>
        </w:rPr>
        <w:footnoteReference w:id="23"/>
      </w:r>
    </w:p>
    <w:p w14:paraId="60A1B4A5" w14:textId="77777777" w:rsidR="001B4B37" w:rsidRPr="00411E3C" w:rsidRDefault="001B4B37" w:rsidP="00411E3C">
      <w:pPr>
        <w:pStyle w:val="Caption"/>
      </w:pPr>
      <w:r w:rsidRPr="003B78C2">
        <w:t>Figure 2</w:t>
      </w:r>
      <w:r w:rsidRPr="00411E3C">
        <w:t>: Number of category A and B serious youth offences sentenced in Victoria, 26 February 2018 to 30 June 2024 (489 charges in 418 cases)</w:t>
      </w:r>
      <w:r w:rsidRPr="00411E3C">
        <w:rPr>
          <w:rStyle w:val="Superscript"/>
        </w:rPr>
        <w:footnoteReference w:id="24"/>
      </w:r>
    </w:p>
    <w:p w14:paraId="009EFC67" w14:textId="58FCC8B6" w:rsidR="004718A9" w:rsidRDefault="004718A9" w:rsidP="00CB5789">
      <w:pPr>
        <w:ind w:left="936"/>
      </w:pPr>
      <w:r>
        <w:t xml:space="preserve">Total number of sentenced offences that </w:t>
      </w:r>
      <w:r w:rsidRPr="00EA0A29">
        <w:rPr>
          <w:b/>
          <w:bCs/>
        </w:rPr>
        <w:t xml:space="preserve">could have been subject to the consequences of category A and B offence classification </w:t>
      </w:r>
      <w:r w:rsidRPr="00EA0A29">
        <w:rPr>
          <w:b/>
          <w:bCs/>
          <w:i/>
          <w:iCs/>
        </w:rPr>
        <w:t>if</w:t>
      </w:r>
      <w:r>
        <w:t xml:space="preserve"> the offence date and age boundaries applied (26 February 2018 to 30 June 2024)</w:t>
      </w:r>
      <w:r w:rsidR="002F79C0">
        <w:t>:</w:t>
      </w:r>
    </w:p>
    <w:p w14:paraId="77D50A3D" w14:textId="0A8CC993" w:rsidR="00921869" w:rsidRDefault="00921869" w:rsidP="00CB5789">
      <w:pPr>
        <w:pStyle w:val="Bullets"/>
        <w:ind w:left="2232"/>
      </w:pPr>
      <w:r>
        <w:t>2,169 charges (children, young people and adults)</w:t>
      </w:r>
      <w:r w:rsidR="003860CE">
        <w:t>:</w:t>
      </w:r>
    </w:p>
    <w:p w14:paraId="42F6B4AE" w14:textId="77777777" w:rsidR="00921869" w:rsidRDefault="00921869" w:rsidP="00CB5789">
      <w:pPr>
        <w:pStyle w:val="Bullets"/>
        <w:numPr>
          <w:ilvl w:val="1"/>
          <w:numId w:val="2"/>
        </w:numPr>
        <w:ind w:left="2952"/>
      </w:pPr>
      <w:r>
        <w:t>590 charges in the Children’s Court</w:t>
      </w:r>
    </w:p>
    <w:p w14:paraId="0D7E4E0E" w14:textId="77777777" w:rsidR="00921869" w:rsidRDefault="00921869" w:rsidP="00CB5789">
      <w:pPr>
        <w:pStyle w:val="Bullets"/>
        <w:numPr>
          <w:ilvl w:val="1"/>
          <w:numId w:val="2"/>
        </w:numPr>
        <w:ind w:left="2952"/>
      </w:pPr>
      <w:r>
        <w:t>1,579 charges in the higher courts</w:t>
      </w:r>
    </w:p>
    <w:p w14:paraId="6F1A072B" w14:textId="297D25F8" w:rsidR="009E59CC" w:rsidRPr="00E577FA" w:rsidRDefault="009E59CC" w:rsidP="00CB5789">
      <w:pPr>
        <w:ind w:left="936"/>
      </w:pPr>
      <w:r w:rsidRPr="003B78C2">
        <w:rPr>
          <w:rStyle w:val="Bold"/>
        </w:rPr>
        <w:lastRenderedPageBreak/>
        <w:t xml:space="preserve">Total number of category A and B offences </w:t>
      </w:r>
      <w:r>
        <w:t>committed by children and young people aged 16 or over (all courts)</w:t>
      </w:r>
      <w:r w:rsidR="00E577FA">
        <w:t>:</w:t>
      </w:r>
    </w:p>
    <w:p w14:paraId="7B6B162D" w14:textId="77777777" w:rsidR="00112A73" w:rsidRDefault="00921869" w:rsidP="00CB5789">
      <w:pPr>
        <w:pStyle w:val="Bullets"/>
        <w:ind w:left="2232"/>
      </w:pPr>
      <w:r w:rsidRPr="006405B6">
        <w:t>489 charges (23% of 2,169 charges)</w:t>
      </w:r>
    </w:p>
    <w:p w14:paraId="1637C02D" w14:textId="3713532F" w:rsidR="00921869" w:rsidRPr="006405B6" w:rsidRDefault="00921869" w:rsidP="00CB5789">
      <w:pPr>
        <w:pStyle w:val="Bullets"/>
        <w:ind w:left="2232"/>
      </w:pPr>
      <w:r w:rsidRPr="006405B6">
        <w:t>418 cases</w:t>
      </w:r>
    </w:p>
    <w:p w14:paraId="551D760B" w14:textId="7EB663AD" w:rsidR="00351472" w:rsidRPr="001C5197" w:rsidRDefault="00351472" w:rsidP="00CB5789">
      <w:pPr>
        <w:ind w:left="936"/>
      </w:pPr>
      <w:r>
        <w:t>Total number of category A and B offences committed by</w:t>
      </w:r>
      <w:r w:rsidR="001C5197">
        <w:t xml:space="preserve"> </w:t>
      </w:r>
      <w:r>
        <w:t>children aged 16 or 17</w:t>
      </w:r>
      <w:r w:rsidR="001C5197">
        <w:t xml:space="preserve"> </w:t>
      </w:r>
      <w:r>
        <w:t>(Children’s Court)</w:t>
      </w:r>
      <w:r w:rsidR="001C5197">
        <w:t>:</w:t>
      </w:r>
    </w:p>
    <w:p w14:paraId="1D9CEC2B" w14:textId="77777777" w:rsidR="00921869" w:rsidRPr="002E6A34" w:rsidRDefault="00921869" w:rsidP="00CB5789">
      <w:pPr>
        <w:pStyle w:val="Bullets"/>
        <w:ind w:left="2232"/>
      </w:pPr>
      <w:r w:rsidRPr="002E6A34">
        <w:t>342 charges (70% of 489 charges)</w:t>
      </w:r>
    </w:p>
    <w:p w14:paraId="281CF5B4" w14:textId="77777777" w:rsidR="00921869" w:rsidRPr="002E6A34" w:rsidRDefault="00921869" w:rsidP="00CB5789">
      <w:pPr>
        <w:pStyle w:val="Bullets"/>
        <w:ind w:left="2232"/>
      </w:pPr>
      <w:r w:rsidRPr="002E6A34">
        <w:t>290 cases (69% of 418 cases)</w:t>
      </w:r>
    </w:p>
    <w:p w14:paraId="2964DE8E" w14:textId="75A4B679" w:rsidR="00C04FA5" w:rsidRPr="00D65AAE" w:rsidRDefault="00C04FA5" w:rsidP="00CB5789">
      <w:pPr>
        <w:ind w:left="936"/>
      </w:pPr>
      <w:r>
        <w:t>Total number of category A and B offences committed by children and young people aged 16 to 20</w:t>
      </w:r>
      <w:r w:rsidR="00D65AAE">
        <w:t xml:space="preserve"> </w:t>
      </w:r>
      <w:r>
        <w:t>(higher courts)</w:t>
      </w:r>
      <w:r w:rsidR="00D65AAE">
        <w:t>:</w:t>
      </w:r>
    </w:p>
    <w:p w14:paraId="114AB823" w14:textId="77777777" w:rsidR="00921869" w:rsidRPr="002E6A34" w:rsidRDefault="00921869" w:rsidP="00CB5789">
      <w:pPr>
        <w:pStyle w:val="Bullets"/>
        <w:ind w:left="2232"/>
      </w:pPr>
      <w:r w:rsidRPr="002E6A34">
        <w:t>147 charges (30% of 489 charges)</w:t>
      </w:r>
    </w:p>
    <w:p w14:paraId="7A86D979" w14:textId="77777777" w:rsidR="00921869" w:rsidRPr="002E6A34" w:rsidRDefault="00921869" w:rsidP="00CB5789">
      <w:pPr>
        <w:pStyle w:val="Bullets"/>
        <w:ind w:left="2232"/>
      </w:pPr>
      <w:r w:rsidRPr="002E6A34">
        <w:t>128 cases (31% of 418 cases)</w:t>
      </w:r>
    </w:p>
    <w:tbl>
      <w:tblPr>
        <w:tblStyle w:val="Table"/>
        <w:tblW w:w="5107" w:type="pct"/>
        <w:tblLayout w:type="fixed"/>
        <w:tblLook w:val="04A0" w:firstRow="1" w:lastRow="0" w:firstColumn="1" w:lastColumn="0" w:noHBand="0" w:noVBand="1"/>
      </w:tblPr>
      <w:tblGrid>
        <w:gridCol w:w="3523"/>
        <w:gridCol w:w="1149"/>
        <w:gridCol w:w="3310"/>
        <w:gridCol w:w="1227"/>
      </w:tblGrid>
      <w:tr w:rsidR="000E08CE" w:rsidRPr="00B54E7C" w14:paraId="063FCF85" w14:textId="77777777" w:rsidTr="00A31AFB">
        <w:trPr>
          <w:trHeight w:val="283"/>
          <w:tblHeader/>
        </w:trPr>
        <w:tc>
          <w:tcPr>
            <w:tcW w:w="1913" w:type="pct"/>
            <w:noWrap/>
            <w:hideMark/>
          </w:tcPr>
          <w:p w14:paraId="44E096F5" w14:textId="603485CD" w:rsidR="000E08CE" w:rsidRPr="00765AF7" w:rsidRDefault="005120E4" w:rsidP="006F1FA2">
            <w:pPr>
              <w:pStyle w:val="TableHeading"/>
            </w:pPr>
            <w:r>
              <w:t xml:space="preserve">Category A and B offences sentenced in the Children’s Court </w:t>
            </w:r>
            <w:r w:rsidR="000E08CE" w:rsidRPr="00B54E7C">
              <w:t>Children's Court</w:t>
            </w:r>
          </w:p>
        </w:tc>
        <w:tc>
          <w:tcPr>
            <w:tcW w:w="624" w:type="pct"/>
            <w:noWrap/>
            <w:hideMark/>
          </w:tcPr>
          <w:p w14:paraId="770C0699" w14:textId="77777777" w:rsidR="000E08CE" w:rsidRPr="00B54E7C" w:rsidRDefault="000E08CE" w:rsidP="006F1FA2">
            <w:pPr>
              <w:pStyle w:val="TableHeading"/>
            </w:pPr>
            <w:r>
              <w:t>Number of charges</w:t>
            </w:r>
          </w:p>
        </w:tc>
        <w:tc>
          <w:tcPr>
            <w:tcW w:w="1797" w:type="pct"/>
            <w:noWrap/>
            <w:hideMark/>
          </w:tcPr>
          <w:p w14:paraId="2366145E" w14:textId="3D7E2D6E" w:rsidR="000E08CE" w:rsidRPr="00765AF7" w:rsidRDefault="00E747A9" w:rsidP="006F1FA2">
            <w:pPr>
              <w:pStyle w:val="TableHeading"/>
              <w:rPr>
                <w:szCs w:val="20"/>
              </w:rPr>
            </w:pPr>
            <w:r>
              <w:t>Category A and B offences sentenced in the h</w:t>
            </w:r>
            <w:r w:rsidR="000E08CE" w:rsidRPr="00B54E7C">
              <w:t>igher courts</w:t>
            </w:r>
          </w:p>
        </w:tc>
        <w:tc>
          <w:tcPr>
            <w:tcW w:w="667" w:type="pct"/>
            <w:noWrap/>
            <w:hideMark/>
          </w:tcPr>
          <w:p w14:paraId="1E282C7F" w14:textId="77777777" w:rsidR="000E08CE" w:rsidRPr="00B54E7C" w:rsidRDefault="000E08CE" w:rsidP="006F1FA2">
            <w:pPr>
              <w:pStyle w:val="TableHeading"/>
            </w:pPr>
            <w:r>
              <w:t>Number of charges</w:t>
            </w:r>
          </w:p>
        </w:tc>
      </w:tr>
      <w:tr w:rsidR="000E08CE" w:rsidRPr="00765AF7" w14:paraId="52539C82" w14:textId="77777777" w:rsidTr="00A31AFB">
        <w:trPr>
          <w:trHeight w:val="312"/>
        </w:trPr>
        <w:tc>
          <w:tcPr>
            <w:tcW w:w="1913" w:type="pct"/>
            <w:noWrap/>
            <w:hideMark/>
          </w:tcPr>
          <w:p w14:paraId="5908CA73" w14:textId="5FDE10B3" w:rsidR="000E08CE" w:rsidRPr="00B54E7C" w:rsidRDefault="000E08CE" w:rsidP="006F1FA2">
            <w:pPr>
              <w:pStyle w:val="TableBody"/>
            </w:pPr>
            <w:r w:rsidRPr="00B54E7C">
              <w:t>Home invasion (</w:t>
            </w:r>
            <w:r>
              <w:t xml:space="preserve">category </w:t>
            </w:r>
            <w:r w:rsidR="00801535">
              <w:t>B</w:t>
            </w:r>
            <w:r w:rsidRPr="00B54E7C">
              <w:t>)</w:t>
            </w:r>
          </w:p>
        </w:tc>
        <w:tc>
          <w:tcPr>
            <w:tcW w:w="624" w:type="pct"/>
            <w:noWrap/>
            <w:hideMark/>
          </w:tcPr>
          <w:p w14:paraId="414B9344" w14:textId="77777777" w:rsidR="000E08CE" w:rsidRPr="003B78C2" w:rsidRDefault="000E08CE" w:rsidP="003B78C2">
            <w:pPr>
              <w:pStyle w:val="TableBody"/>
            </w:pPr>
            <w:r w:rsidRPr="003B78C2">
              <w:t>116</w:t>
            </w:r>
          </w:p>
        </w:tc>
        <w:tc>
          <w:tcPr>
            <w:tcW w:w="1797" w:type="pct"/>
            <w:noWrap/>
            <w:hideMark/>
          </w:tcPr>
          <w:p w14:paraId="0B5D6A5A" w14:textId="104A2597" w:rsidR="000E08CE" w:rsidRPr="00B54E7C" w:rsidRDefault="000E08CE" w:rsidP="006F1FA2">
            <w:pPr>
              <w:pStyle w:val="TableBody"/>
            </w:pPr>
            <w:r w:rsidRPr="00B54E7C">
              <w:t xml:space="preserve">Home invasion </w:t>
            </w:r>
            <w:r>
              <w:t xml:space="preserve">(category </w:t>
            </w:r>
            <w:r w:rsidR="00801535">
              <w:t>B</w:t>
            </w:r>
            <w:r>
              <w:t>)</w:t>
            </w:r>
          </w:p>
        </w:tc>
        <w:tc>
          <w:tcPr>
            <w:tcW w:w="667" w:type="pct"/>
            <w:noWrap/>
            <w:hideMark/>
          </w:tcPr>
          <w:p w14:paraId="19C5BF96" w14:textId="77777777" w:rsidR="000E08CE" w:rsidRPr="003B78C2" w:rsidRDefault="000E08CE" w:rsidP="003B78C2">
            <w:pPr>
              <w:pStyle w:val="TableBody"/>
            </w:pPr>
            <w:r w:rsidRPr="003B78C2">
              <w:t>34</w:t>
            </w:r>
          </w:p>
        </w:tc>
      </w:tr>
      <w:tr w:rsidR="000E08CE" w:rsidRPr="00765AF7" w14:paraId="6F8A0B15" w14:textId="77777777" w:rsidTr="00A31AFB">
        <w:trPr>
          <w:trHeight w:val="312"/>
        </w:trPr>
        <w:tc>
          <w:tcPr>
            <w:tcW w:w="1913" w:type="pct"/>
            <w:noWrap/>
            <w:hideMark/>
          </w:tcPr>
          <w:p w14:paraId="6CA7F7D9" w14:textId="7F340ACA" w:rsidR="000E08CE" w:rsidRPr="00B54E7C" w:rsidRDefault="000E08CE" w:rsidP="006F1FA2">
            <w:pPr>
              <w:pStyle w:val="TableBody"/>
            </w:pPr>
            <w:r w:rsidRPr="00B54E7C">
              <w:t xml:space="preserve">Aggravated carjacking </w:t>
            </w:r>
            <w:r>
              <w:t xml:space="preserve">(category </w:t>
            </w:r>
            <w:r w:rsidR="00801535">
              <w:t>A</w:t>
            </w:r>
            <w:r>
              <w:t>)</w:t>
            </w:r>
          </w:p>
        </w:tc>
        <w:tc>
          <w:tcPr>
            <w:tcW w:w="624" w:type="pct"/>
            <w:noWrap/>
            <w:hideMark/>
          </w:tcPr>
          <w:p w14:paraId="02DC2AC2" w14:textId="77777777" w:rsidR="000E08CE" w:rsidRPr="003B78C2" w:rsidRDefault="000E08CE" w:rsidP="003B78C2">
            <w:pPr>
              <w:pStyle w:val="TableBody"/>
            </w:pPr>
            <w:r w:rsidRPr="003B78C2">
              <w:t>77</w:t>
            </w:r>
          </w:p>
        </w:tc>
        <w:tc>
          <w:tcPr>
            <w:tcW w:w="1797" w:type="pct"/>
            <w:noWrap/>
            <w:hideMark/>
          </w:tcPr>
          <w:p w14:paraId="53610FBE" w14:textId="5B059BFC" w:rsidR="000E08CE" w:rsidRPr="00B54E7C" w:rsidRDefault="000E08CE" w:rsidP="006F1FA2">
            <w:pPr>
              <w:pStyle w:val="TableBody"/>
            </w:pPr>
            <w:r w:rsidRPr="00B54E7C">
              <w:t xml:space="preserve">Aggravated home invasion </w:t>
            </w:r>
            <w:r>
              <w:t xml:space="preserve">(category </w:t>
            </w:r>
            <w:r w:rsidR="00801535">
              <w:t>A</w:t>
            </w:r>
            <w:r>
              <w:t>)</w:t>
            </w:r>
          </w:p>
        </w:tc>
        <w:tc>
          <w:tcPr>
            <w:tcW w:w="667" w:type="pct"/>
            <w:noWrap/>
            <w:hideMark/>
          </w:tcPr>
          <w:p w14:paraId="4DA5DFDD" w14:textId="77777777" w:rsidR="000E08CE" w:rsidRPr="003B78C2" w:rsidRDefault="000E08CE" w:rsidP="003B78C2">
            <w:pPr>
              <w:pStyle w:val="TableBody"/>
            </w:pPr>
            <w:r w:rsidRPr="003B78C2">
              <w:t>31</w:t>
            </w:r>
          </w:p>
        </w:tc>
      </w:tr>
      <w:tr w:rsidR="000E08CE" w:rsidRPr="00765AF7" w14:paraId="04A6ECE9" w14:textId="77777777" w:rsidTr="00A31AFB">
        <w:trPr>
          <w:trHeight w:val="312"/>
        </w:trPr>
        <w:tc>
          <w:tcPr>
            <w:tcW w:w="1913" w:type="pct"/>
            <w:noWrap/>
            <w:hideMark/>
          </w:tcPr>
          <w:p w14:paraId="1DD810C1" w14:textId="06A87B87" w:rsidR="000E08CE" w:rsidRPr="00B54E7C" w:rsidRDefault="000E08CE" w:rsidP="006F1FA2">
            <w:pPr>
              <w:pStyle w:val="TableBody"/>
            </w:pPr>
            <w:r w:rsidRPr="00B54E7C">
              <w:t xml:space="preserve">Carjacking </w:t>
            </w:r>
            <w:r>
              <w:t xml:space="preserve">(category </w:t>
            </w:r>
            <w:r w:rsidR="00801535">
              <w:t>B</w:t>
            </w:r>
            <w:r>
              <w:t>)</w:t>
            </w:r>
          </w:p>
        </w:tc>
        <w:tc>
          <w:tcPr>
            <w:tcW w:w="624" w:type="pct"/>
            <w:noWrap/>
            <w:hideMark/>
          </w:tcPr>
          <w:p w14:paraId="050773CA" w14:textId="77777777" w:rsidR="000E08CE" w:rsidRPr="003B78C2" w:rsidRDefault="000E08CE" w:rsidP="003B78C2">
            <w:pPr>
              <w:pStyle w:val="TableBody"/>
            </w:pPr>
            <w:r w:rsidRPr="003B78C2">
              <w:t>66</w:t>
            </w:r>
          </w:p>
        </w:tc>
        <w:tc>
          <w:tcPr>
            <w:tcW w:w="1797" w:type="pct"/>
            <w:noWrap/>
            <w:hideMark/>
          </w:tcPr>
          <w:p w14:paraId="09F1BE4A" w14:textId="4234A605" w:rsidR="000E08CE" w:rsidRPr="00B54E7C" w:rsidRDefault="000E08CE" w:rsidP="006F1FA2">
            <w:pPr>
              <w:pStyle w:val="TableBody"/>
            </w:pPr>
            <w:r w:rsidRPr="00B54E7C">
              <w:t xml:space="preserve">Aggravated carjacking </w:t>
            </w:r>
            <w:r>
              <w:t xml:space="preserve">(category </w:t>
            </w:r>
            <w:r w:rsidR="00801535">
              <w:t>A</w:t>
            </w:r>
            <w:r>
              <w:t>)</w:t>
            </w:r>
          </w:p>
        </w:tc>
        <w:tc>
          <w:tcPr>
            <w:tcW w:w="667" w:type="pct"/>
            <w:noWrap/>
            <w:hideMark/>
          </w:tcPr>
          <w:p w14:paraId="1A1DCF50" w14:textId="77777777" w:rsidR="000E08CE" w:rsidRPr="003B78C2" w:rsidRDefault="000E08CE" w:rsidP="003B78C2">
            <w:pPr>
              <w:pStyle w:val="TableBody"/>
            </w:pPr>
            <w:r w:rsidRPr="003B78C2">
              <w:t>30</w:t>
            </w:r>
          </w:p>
        </w:tc>
      </w:tr>
      <w:tr w:rsidR="000E08CE" w:rsidRPr="00765AF7" w14:paraId="46B0AA9B" w14:textId="77777777" w:rsidTr="00A31AFB">
        <w:trPr>
          <w:trHeight w:val="312"/>
        </w:trPr>
        <w:tc>
          <w:tcPr>
            <w:tcW w:w="1913" w:type="pct"/>
            <w:noWrap/>
            <w:hideMark/>
          </w:tcPr>
          <w:p w14:paraId="12DB46A4" w14:textId="2928E24A" w:rsidR="000E08CE" w:rsidRPr="00B54E7C" w:rsidRDefault="000E08CE" w:rsidP="006F1FA2">
            <w:pPr>
              <w:pStyle w:val="TableBody"/>
            </w:pPr>
            <w:r w:rsidRPr="00B54E7C">
              <w:t xml:space="preserve">Aggravated home invasion </w:t>
            </w:r>
            <w:r>
              <w:t xml:space="preserve">(category </w:t>
            </w:r>
            <w:r w:rsidR="00801535">
              <w:t>A</w:t>
            </w:r>
            <w:r>
              <w:t>)</w:t>
            </w:r>
          </w:p>
        </w:tc>
        <w:tc>
          <w:tcPr>
            <w:tcW w:w="624" w:type="pct"/>
            <w:noWrap/>
            <w:hideMark/>
          </w:tcPr>
          <w:p w14:paraId="0131CA90" w14:textId="77777777" w:rsidR="000E08CE" w:rsidRPr="003B78C2" w:rsidRDefault="000E08CE" w:rsidP="003B78C2">
            <w:pPr>
              <w:pStyle w:val="TableBody"/>
            </w:pPr>
            <w:r w:rsidRPr="003B78C2">
              <w:t>46</w:t>
            </w:r>
          </w:p>
        </w:tc>
        <w:tc>
          <w:tcPr>
            <w:tcW w:w="1797" w:type="pct"/>
            <w:noWrap/>
            <w:hideMark/>
          </w:tcPr>
          <w:p w14:paraId="6E34A6A4" w14:textId="29ECFB6F" w:rsidR="000E08CE" w:rsidRPr="00B54E7C" w:rsidRDefault="000E08CE" w:rsidP="006F1FA2">
            <w:pPr>
              <w:pStyle w:val="TableBody"/>
            </w:pPr>
            <w:r w:rsidRPr="00B54E7C">
              <w:t xml:space="preserve">Rape </w:t>
            </w:r>
            <w:r>
              <w:t xml:space="preserve">(category </w:t>
            </w:r>
            <w:r w:rsidR="00801535">
              <w:t>B</w:t>
            </w:r>
            <w:r>
              <w:t>)</w:t>
            </w:r>
          </w:p>
        </w:tc>
        <w:tc>
          <w:tcPr>
            <w:tcW w:w="667" w:type="pct"/>
            <w:noWrap/>
            <w:hideMark/>
          </w:tcPr>
          <w:p w14:paraId="74E9C17C" w14:textId="77777777" w:rsidR="000E08CE" w:rsidRPr="003B78C2" w:rsidRDefault="000E08CE" w:rsidP="003B78C2">
            <w:pPr>
              <w:pStyle w:val="TableBody"/>
            </w:pPr>
            <w:r w:rsidRPr="003B78C2">
              <w:t>15</w:t>
            </w:r>
          </w:p>
        </w:tc>
      </w:tr>
      <w:tr w:rsidR="000E08CE" w:rsidRPr="00765AF7" w14:paraId="2AACA177" w14:textId="77777777" w:rsidTr="00A31AFB">
        <w:trPr>
          <w:trHeight w:val="312"/>
        </w:trPr>
        <w:tc>
          <w:tcPr>
            <w:tcW w:w="1913" w:type="pct"/>
            <w:noWrap/>
            <w:hideMark/>
          </w:tcPr>
          <w:p w14:paraId="028DE031" w14:textId="3A2418C4" w:rsidR="000E08CE" w:rsidRPr="00B54E7C" w:rsidRDefault="000E08CE" w:rsidP="006F1FA2">
            <w:pPr>
              <w:pStyle w:val="TableBody"/>
            </w:pPr>
            <w:r w:rsidRPr="00B54E7C">
              <w:t xml:space="preserve">Rape </w:t>
            </w:r>
            <w:r>
              <w:t xml:space="preserve">(category </w:t>
            </w:r>
            <w:r w:rsidR="00801535">
              <w:t>B</w:t>
            </w:r>
            <w:r>
              <w:t>)</w:t>
            </w:r>
          </w:p>
        </w:tc>
        <w:tc>
          <w:tcPr>
            <w:tcW w:w="624" w:type="pct"/>
            <w:noWrap/>
            <w:hideMark/>
          </w:tcPr>
          <w:p w14:paraId="17DE7026" w14:textId="77777777" w:rsidR="000E08CE" w:rsidRPr="003B78C2" w:rsidRDefault="000E08CE" w:rsidP="003B78C2">
            <w:pPr>
              <w:pStyle w:val="TableBody"/>
            </w:pPr>
            <w:r w:rsidRPr="003B78C2">
              <w:t>19</w:t>
            </w:r>
          </w:p>
        </w:tc>
        <w:tc>
          <w:tcPr>
            <w:tcW w:w="1797" w:type="pct"/>
            <w:noWrap/>
            <w:hideMark/>
          </w:tcPr>
          <w:p w14:paraId="4B812C10" w14:textId="7727633E" w:rsidR="000E08CE" w:rsidRPr="00B54E7C" w:rsidRDefault="000E08CE" w:rsidP="006F1FA2">
            <w:pPr>
              <w:pStyle w:val="TableBody"/>
            </w:pPr>
            <w:r w:rsidRPr="00B54E7C">
              <w:t xml:space="preserve">Manslaughter </w:t>
            </w:r>
            <w:r>
              <w:t xml:space="preserve">(category </w:t>
            </w:r>
            <w:r w:rsidR="00801535">
              <w:t>A</w:t>
            </w:r>
            <w:r>
              <w:t>)</w:t>
            </w:r>
          </w:p>
        </w:tc>
        <w:tc>
          <w:tcPr>
            <w:tcW w:w="667" w:type="pct"/>
            <w:noWrap/>
            <w:hideMark/>
          </w:tcPr>
          <w:p w14:paraId="35842C84" w14:textId="77777777" w:rsidR="000E08CE" w:rsidRPr="003B78C2" w:rsidRDefault="000E08CE" w:rsidP="003B78C2">
            <w:pPr>
              <w:pStyle w:val="TableBody"/>
            </w:pPr>
            <w:r w:rsidRPr="003B78C2">
              <w:t>10</w:t>
            </w:r>
          </w:p>
        </w:tc>
      </w:tr>
      <w:tr w:rsidR="000E08CE" w:rsidRPr="00765AF7" w14:paraId="4997EC5B" w14:textId="77777777" w:rsidTr="00A31AFB">
        <w:trPr>
          <w:trHeight w:val="312"/>
        </w:trPr>
        <w:tc>
          <w:tcPr>
            <w:tcW w:w="1913" w:type="pct"/>
            <w:noWrap/>
            <w:hideMark/>
          </w:tcPr>
          <w:p w14:paraId="3BBB2015" w14:textId="7273FE75" w:rsidR="000E08CE" w:rsidRPr="00B54E7C" w:rsidRDefault="000E08CE" w:rsidP="006F1FA2">
            <w:pPr>
              <w:pStyle w:val="TableBody"/>
            </w:pPr>
            <w:r>
              <w:t>Intentionally causing serious injury in circumstances of</w:t>
            </w:r>
            <w:r w:rsidRPr="00B54E7C">
              <w:t xml:space="preserve"> gross violence </w:t>
            </w:r>
            <w:r>
              <w:t xml:space="preserve">(category </w:t>
            </w:r>
            <w:r w:rsidR="00801535">
              <w:t>A</w:t>
            </w:r>
            <w:r>
              <w:t>)</w:t>
            </w:r>
          </w:p>
        </w:tc>
        <w:tc>
          <w:tcPr>
            <w:tcW w:w="624" w:type="pct"/>
            <w:noWrap/>
            <w:hideMark/>
          </w:tcPr>
          <w:p w14:paraId="14CA94E8" w14:textId="77777777" w:rsidR="000E08CE" w:rsidRPr="003B78C2" w:rsidRDefault="000E08CE" w:rsidP="003B78C2">
            <w:pPr>
              <w:pStyle w:val="TableBody"/>
            </w:pPr>
            <w:r w:rsidRPr="003B78C2">
              <w:t>11</w:t>
            </w:r>
          </w:p>
        </w:tc>
        <w:tc>
          <w:tcPr>
            <w:tcW w:w="1797" w:type="pct"/>
            <w:noWrap/>
            <w:hideMark/>
          </w:tcPr>
          <w:p w14:paraId="3ABF4280" w14:textId="3E3625DB" w:rsidR="000E08CE" w:rsidRPr="00B54E7C" w:rsidRDefault="000E08CE" w:rsidP="006F1FA2">
            <w:pPr>
              <w:pStyle w:val="TableBody"/>
            </w:pPr>
            <w:r w:rsidRPr="00B54E7C">
              <w:t xml:space="preserve">Culpable driving causing death </w:t>
            </w:r>
            <w:r>
              <w:t xml:space="preserve">(category </w:t>
            </w:r>
            <w:r w:rsidR="00801535">
              <w:t>A</w:t>
            </w:r>
            <w:r>
              <w:t>)</w:t>
            </w:r>
          </w:p>
        </w:tc>
        <w:tc>
          <w:tcPr>
            <w:tcW w:w="667" w:type="pct"/>
            <w:noWrap/>
            <w:hideMark/>
          </w:tcPr>
          <w:p w14:paraId="56670782" w14:textId="77777777" w:rsidR="000E08CE" w:rsidRPr="003B78C2" w:rsidRDefault="000E08CE" w:rsidP="003B78C2">
            <w:pPr>
              <w:pStyle w:val="TableBody"/>
            </w:pPr>
            <w:r w:rsidRPr="003B78C2">
              <w:t>9</w:t>
            </w:r>
          </w:p>
        </w:tc>
      </w:tr>
      <w:tr w:rsidR="000E08CE" w:rsidRPr="00765AF7" w14:paraId="0593BD67" w14:textId="77777777" w:rsidTr="00A31AFB">
        <w:trPr>
          <w:trHeight w:val="312"/>
        </w:trPr>
        <w:tc>
          <w:tcPr>
            <w:tcW w:w="1913" w:type="pct"/>
            <w:noWrap/>
            <w:hideMark/>
          </w:tcPr>
          <w:p w14:paraId="645328A3" w14:textId="7E10929F" w:rsidR="000E08CE" w:rsidRPr="00B54E7C" w:rsidRDefault="000E08CE" w:rsidP="006F1FA2">
            <w:pPr>
              <w:pStyle w:val="TableBody"/>
            </w:pPr>
            <w:r>
              <w:t>Recklessly causing serious injury in circumstances</w:t>
            </w:r>
            <w:r w:rsidRPr="00B54E7C">
              <w:t xml:space="preserve"> </w:t>
            </w:r>
            <w:r>
              <w:t xml:space="preserve">of </w:t>
            </w:r>
            <w:r w:rsidRPr="00B54E7C">
              <w:t xml:space="preserve">gross violence </w:t>
            </w:r>
            <w:r>
              <w:t xml:space="preserve">(category </w:t>
            </w:r>
            <w:r w:rsidR="00801535">
              <w:t>B</w:t>
            </w:r>
            <w:r>
              <w:t>)</w:t>
            </w:r>
          </w:p>
        </w:tc>
        <w:tc>
          <w:tcPr>
            <w:tcW w:w="624" w:type="pct"/>
            <w:noWrap/>
            <w:hideMark/>
          </w:tcPr>
          <w:p w14:paraId="654ADD4A" w14:textId="77777777" w:rsidR="000E08CE" w:rsidRPr="003B78C2" w:rsidRDefault="000E08CE" w:rsidP="003B78C2">
            <w:pPr>
              <w:pStyle w:val="TableBody"/>
            </w:pPr>
            <w:r w:rsidRPr="003B78C2">
              <w:t>7</w:t>
            </w:r>
          </w:p>
        </w:tc>
        <w:tc>
          <w:tcPr>
            <w:tcW w:w="1797" w:type="pct"/>
            <w:noWrap/>
            <w:hideMark/>
          </w:tcPr>
          <w:p w14:paraId="04184531" w14:textId="2D4E3939" w:rsidR="000E08CE" w:rsidRPr="00B54E7C" w:rsidRDefault="000E08CE" w:rsidP="006F1FA2">
            <w:pPr>
              <w:pStyle w:val="TableBody"/>
            </w:pPr>
            <w:r w:rsidRPr="00B54E7C">
              <w:t xml:space="preserve">Carjacking </w:t>
            </w:r>
            <w:r>
              <w:t xml:space="preserve">(category </w:t>
            </w:r>
            <w:r w:rsidR="00801535">
              <w:t>B</w:t>
            </w:r>
            <w:r>
              <w:t>)</w:t>
            </w:r>
          </w:p>
        </w:tc>
        <w:tc>
          <w:tcPr>
            <w:tcW w:w="667" w:type="pct"/>
            <w:noWrap/>
            <w:hideMark/>
          </w:tcPr>
          <w:p w14:paraId="32230C18" w14:textId="77777777" w:rsidR="000E08CE" w:rsidRPr="003B78C2" w:rsidRDefault="000E08CE" w:rsidP="003B78C2">
            <w:pPr>
              <w:pStyle w:val="TableBody"/>
            </w:pPr>
            <w:r w:rsidRPr="003B78C2">
              <w:t>7</w:t>
            </w:r>
          </w:p>
        </w:tc>
      </w:tr>
      <w:tr w:rsidR="000E08CE" w:rsidRPr="00765AF7" w14:paraId="039B59F8" w14:textId="77777777" w:rsidTr="00A31AFB">
        <w:trPr>
          <w:trHeight w:val="312"/>
        </w:trPr>
        <w:tc>
          <w:tcPr>
            <w:tcW w:w="1913" w:type="pct"/>
            <w:noWrap/>
            <w:hideMark/>
          </w:tcPr>
          <w:p w14:paraId="0FD5D33D" w14:textId="77777777" w:rsidR="000E08CE" w:rsidRPr="00765AF7" w:rsidRDefault="000E08CE" w:rsidP="006F1FA2">
            <w:pPr>
              <w:pStyle w:val="TableBody"/>
              <w:rPr>
                <w:rFonts w:ascii="Aptos Narrow" w:hAnsi="Aptos Narrow"/>
              </w:rPr>
            </w:pPr>
          </w:p>
        </w:tc>
        <w:tc>
          <w:tcPr>
            <w:tcW w:w="624" w:type="pct"/>
            <w:noWrap/>
            <w:hideMark/>
          </w:tcPr>
          <w:p w14:paraId="19159531" w14:textId="77777777" w:rsidR="000E08CE" w:rsidRPr="00765AF7" w:rsidRDefault="000E08CE" w:rsidP="006F1FA2">
            <w:pPr>
              <w:pStyle w:val="TableBody"/>
              <w:rPr>
                <w:szCs w:val="20"/>
              </w:rPr>
            </w:pPr>
          </w:p>
        </w:tc>
        <w:tc>
          <w:tcPr>
            <w:tcW w:w="1797" w:type="pct"/>
            <w:noWrap/>
            <w:hideMark/>
          </w:tcPr>
          <w:p w14:paraId="6C093DF5" w14:textId="7481AC98" w:rsidR="000E08CE" w:rsidRPr="00B54E7C" w:rsidRDefault="000E08CE" w:rsidP="006F1FA2">
            <w:pPr>
              <w:pStyle w:val="TableBody"/>
            </w:pPr>
            <w:r>
              <w:t xml:space="preserve">Intentionally causing serious injury in circumstances of </w:t>
            </w:r>
            <w:r w:rsidRPr="00B54E7C">
              <w:t xml:space="preserve">gross violence </w:t>
            </w:r>
            <w:r>
              <w:t xml:space="preserve">(category </w:t>
            </w:r>
            <w:r w:rsidR="00801535">
              <w:t>A</w:t>
            </w:r>
            <w:r>
              <w:t>)</w:t>
            </w:r>
          </w:p>
        </w:tc>
        <w:tc>
          <w:tcPr>
            <w:tcW w:w="667" w:type="pct"/>
            <w:noWrap/>
            <w:hideMark/>
          </w:tcPr>
          <w:p w14:paraId="399AD2F2" w14:textId="77777777" w:rsidR="000E08CE" w:rsidRPr="003B78C2" w:rsidRDefault="000E08CE" w:rsidP="003B78C2">
            <w:pPr>
              <w:pStyle w:val="TableBody"/>
            </w:pPr>
            <w:r w:rsidRPr="003B78C2">
              <w:t>5</w:t>
            </w:r>
          </w:p>
        </w:tc>
      </w:tr>
      <w:tr w:rsidR="000E08CE" w:rsidRPr="00765AF7" w14:paraId="3F6111CA" w14:textId="77777777" w:rsidTr="00A31AFB">
        <w:trPr>
          <w:trHeight w:val="312"/>
        </w:trPr>
        <w:tc>
          <w:tcPr>
            <w:tcW w:w="1913" w:type="pct"/>
            <w:noWrap/>
            <w:hideMark/>
          </w:tcPr>
          <w:p w14:paraId="79D74094" w14:textId="77777777" w:rsidR="000E08CE" w:rsidRPr="00765AF7" w:rsidRDefault="000E08CE" w:rsidP="006F1FA2">
            <w:pPr>
              <w:pStyle w:val="TableBody"/>
              <w:rPr>
                <w:rFonts w:ascii="Aptos Narrow" w:hAnsi="Aptos Narrow"/>
              </w:rPr>
            </w:pPr>
          </w:p>
        </w:tc>
        <w:tc>
          <w:tcPr>
            <w:tcW w:w="624" w:type="pct"/>
            <w:noWrap/>
            <w:hideMark/>
          </w:tcPr>
          <w:p w14:paraId="51D56487" w14:textId="77777777" w:rsidR="000E08CE" w:rsidRPr="00765AF7" w:rsidRDefault="000E08CE" w:rsidP="006F1FA2">
            <w:pPr>
              <w:pStyle w:val="TableBody"/>
              <w:rPr>
                <w:szCs w:val="20"/>
              </w:rPr>
            </w:pPr>
          </w:p>
        </w:tc>
        <w:tc>
          <w:tcPr>
            <w:tcW w:w="1797" w:type="pct"/>
            <w:noWrap/>
            <w:hideMark/>
          </w:tcPr>
          <w:p w14:paraId="027E6524" w14:textId="4F10C7D0" w:rsidR="000E08CE" w:rsidRPr="00B54E7C" w:rsidRDefault="000E08CE" w:rsidP="006F1FA2">
            <w:pPr>
              <w:pStyle w:val="TableBody"/>
            </w:pPr>
            <w:r w:rsidRPr="00B54E7C">
              <w:t xml:space="preserve">Murder </w:t>
            </w:r>
            <w:r>
              <w:t xml:space="preserve">(category </w:t>
            </w:r>
            <w:r w:rsidR="00801535">
              <w:t>A</w:t>
            </w:r>
            <w:r>
              <w:t>)</w:t>
            </w:r>
          </w:p>
        </w:tc>
        <w:tc>
          <w:tcPr>
            <w:tcW w:w="667" w:type="pct"/>
            <w:noWrap/>
            <w:hideMark/>
          </w:tcPr>
          <w:p w14:paraId="45FABE3D" w14:textId="77777777" w:rsidR="000E08CE" w:rsidRPr="003B78C2" w:rsidRDefault="000E08CE" w:rsidP="003B78C2">
            <w:pPr>
              <w:pStyle w:val="TableBody"/>
            </w:pPr>
            <w:r w:rsidRPr="003B78C2">
              <w:t>3</w:t>
            </w:r>
          </w:p>
        </w:tc>
      </w:tr>
      <w:tr w:rsidR="000E08CE" w:rsidRPr="00765AF7" w14:paraId="7D81E5F0" w14:textId="77777777" w:rsidTr="00A31AFB">
        <w:trPr>
          <w:trHeight w:val="312"/>
        </w:trPr>
        <w:tc>
          <w:tcPr>
            <w:tcW w:w="1913" w:type="pct"/>
            <w:noWrap/>
            <w:hideMark/>
          </w:tcPr>
          <w:p w14:paraId="09F444E2" w14:textId="77777777" w:rsidR="000E08CE" w:rsidRPr="00765AF7" w:rsidRDefault="000E08CE" w:rsidP="006F1FA2">
            <w:pPr>
              <w:pStyle w:val="TableBody"/>
              <w:rPr>
                <w:rFonts w:ascii="Aptos Narrow" w:hAnsi="Aptos Narrow"/>
              </w:rPr>
            </w:pPr>
          </w:p>
        </w:tc>
        <w:tc>
          <w:tcPr>
            <w:tcW w:w="624" w:type="pct"/>
            <w:noWrap/>
            <w:hideMark/>
          </w:tcPr>
          <w:p w14:paraId="7B03450D" w14:textId="77777777" w:rsidR="000E08CE" w:rsidRPr="00765AF7" w:rsidRDefault="000E08CE" w:rsidP="006F1FA2">
            <w:pPr>
              <w:pStyle w:val="TableBody"/>
              <w:rPr>
                <w:szCs w:val="20"/>
              </w:rPr>
            </w:pPr>
          </w:p>
        </w:tc>
        <w:tc>
          <w:tcPr>
            <w:tcW w:w="1797" w:type="pct"/>
            <w:noWrap/>
            <w:hideMark/>
          </w:tcPr>
          <w:p w14:paraId="477CF158" w14:textId="405B537C" w:rsidR="000E08CE" w:rsidRPr="00B54E7C" w:rsidRDefault="000E08CE" w:rsidP="006F1FA2">
            <w:pPr>
              <w:pStyle w:val="TableBody"/>
            </w:pPr>
            <w:r>
              <w:t>Recklessly causing serious injury in circumstances</w:t>
            </w:r>
            <w:r w:rsidRPr="00B54E7C">
              <w:t xml:space="preserve"> </w:t>
            </w:r>
            <w:r>
              <w:t xml:space="preserve">of </w:t>
            </w:r>
            <w:r w:rsidRPr="00B54E7C">
              <w:t xml:space="preserve">gross violence </w:t>
            </w:r>
            <w:r>
              <w:t xml:space="preserve">(category </w:t>
            </w:r>
            <w:r w:rsidR="00801535">
              <w:t>BS</w:t>
            </w:r>
            <w:r>
              <w:t>)</w:t>
            </w:r>
          </w:p>
        </w:tc>
        <w:tc>
          <w:tcPr>
            <w:tcW w:w="667" w:type="pct"/>
            <w:noWrap/>
            <w:hideMark/>
          </w:tcPr>
          <w:p w14:paraId="1F438CEB" w14:textId="77777777" w:rsidR="000E08CE" w:rsidRPr="003B78C2" w:rsidRDefault="000E08CE" w:rsidP="003B78C2">
            <w:pPr>
              <w:pStyle w:val="TableBody"/>
            </w:pPr>
            <w:r w:rsidRPr="003B78C2">
              <w:t>3</w:t>
            </w:r>
          </w:p>
        </w:tc>
      </w:tr>
    </w:tbl>
    <w:p w14:paraId="369C002C" w14:textId="77777777" w:rsidR="001B4B37" w:rsidRDefault="001B4B37" w:rsidP="001B4B37">
      <w:pPr>
        <w:pStyle w:val="Heading1"/>
      </w:pPr>
      <w:bookmarkStart w:id="7" w:name="_Toc233028398"/>
      <w:r>
        <w:lastRenderedPageBreak/>
        <w:t>Age of offenders at the time of a category A or B serious youth offence</w:t>
      </w:r>
      <w:bookmarkEnd w:id="7"/>
    </w:p>
    <w:p w14:paraId="19BF76D9" w14:textId="7B61E82B" w:rsidR="001B4B37" w:rsidRDefault="001B4B37" w:rsidP="00156186">
      <w:r>
        <w:t>Table 2 presents the ages of children and young people at the time of committing the 489 sentenced charges of category A and B serious youth offences during the reference period. In the Children’s Court, 52% of the total 342 charges of category A and B serious youth offences in that jurisdiction were committed by children aged 16, and the other 48% were committed by children aged 17.</w:t>
      </w:r>
      <w:r>
        <w:rPr>
          <w:rStyle w:val="Superscript"/>
        </w:rPr>
        <w:footnoteReference w:id="25"/>
      </w:r>
      <w:r>
        <w:t xml:space="preserve"> In the higher courts, only 22% of category A and B serious youth offences (33 charges) were committed by children aged 16 or 17, collectively; the other 78% were committed by young offenders aged 18 to 20. And among those 33 charges committed by children aged 16 or 17, 9 were homicide offences that had to be sentenced in the higher courts (there was no discretion to hear the offences summarily). </w:t>
      </w:r>
    </w:p>
    <w:p w14:paraId="613F14A8" w14:textId="77777777" w:rsidR="001B4B37" w:rsidRDefault="001B4B37" w:rsidP="00156186">
      <w:r>
        <w:t>This means that just 24 category A and B serious youth offences committed by children aged 16 or 17 were uplifted to the adult jurisdiction (12 aggravated home invasions, 6 aggravated carjackings, 2 home invasions, 1 carjacking and 3 charges of intentionally causing serious injury in circumstances of gross violence). Of these 24 offences, 3 were category B offences,</w:t>
      </w:r>
      <w:r>
        <w:rPr>
          <w:rStyle w:val="Superscript"/>
        </w:rPr>
        <w:footnoteReference w:id="26"/>
      </w:r>
      <w:r>
        <w:t xml:space="preserve"> and 21 were category A offences for which there was a presumption of uplift to the adult jurisdiction. </w:t>
      </w:r>
    </w:p>
    <w:p w14:paraId="4C086937" w14:textId="77777777" w:rsidR="001B4B37" w:rsidRDefault="001B4B37" w:rsidP="00156186">
      <w:r>
        <w:t xml:space="preserve">Conversely, 134 category A offences committed by children aged 16 or 17 remained in the Children’s Court. This means that of all the category A </w:t>
      </w:r>
      <w:r>
        <w:lastRenderedPageBreak/>
        <w:t xml:space="preserve">offences committed by children aged 16 or 17 where there was some discretion about which court would sentence the offender, just 14% were uplifted to the adult jurisdiction (21 of 155 charges). The other 86% of cases remained in the Children’s Court. This means that the child or prosecution requested that the matter be dealt with summarily; the Children’s Court considered the sentencing options available to be sufficient in the circumstances; and it was in the interests of the victim or victims, the accused was particularly vulnerable due to cognitive impairment or mental illness, or there was a substantial and compelling reason to hear the matter summarily. These cases frequently involved young children who took part in group offending on a complicity basis (that is, the child was not the principal offender). The personal circumstances of the children in these cases typically involve a background of disadvantage and trauma that shows why the circumstances so often constituted substantial and compelling reasons that justified dealing with the matters summarily. </w:t>
      </w:r>
    </w:p>
    <w:p w14:paraId="79B94A4E" w14:textId="77777777" w:rsidR="001B4B37" w:rsidRPr="007716A5" w:rsidRDefault="001B4B37" w:rsidP="007716A5">
      <w:pPr>
        <w:pStyle w:val="Caption"/>
      </w:pPr>
      <w:r w:rsidRPr="003B78C2">
        <w:t>Table 2</w:t>
      </w:r>
      <w:r w:rsidRPr="007716A5">
        <w:t>: Ages of children and young people at the time of committing category A and B serious youth offences, by jurisdiction and offence (489 charges)</w:t>
      </w:r>
    </w:p>
    <w:tbl>
      <w:tblPr>
        <w:tblStyle w:val="Table"/>
        <w:tblW w:w="0" w:type="auto"/>
        <w:tblLook w:val="0020" w:firstRow="1" w:lastRow="0" w:firstColumn="0" w:lastColumn="0" w:noHBand="0" w:noVBand="0"/>
      </w:tblPr>
      <w:tblGrid>
        <w:gridCol w:w="2370"/>
        <w:gridCol w:w="1429"/>
        <w:gridCol w:w="830"/>
        <w:gridCol w:w="1067"/>
        <w:gridCol w:w="830"/>
        <w:gridCol w:w="830"/>
        <w:gridCol w:w="830"/>
        <w:gridCol w:w="830"/>
      </w:tblGrid>
      <w:tr w:rsidR="00A5437F" w14:paraId="544F44F3" w14:textId="77777777" w:rsidTr="008E7036">
        <w:trPr>
          <w:trHeight w:val="60"/>
          <w:tblHeader/>
        </w:trPr>
        <w:tc>
          <w:tcPr>
            <w:tcW w:w="0" w:type="auto"/>
          </w:tcPr>
          <w:p w14:paraId="678D60AC" w14:textId="5F2B8A68" w:rsidR="00A5437F" w:rsidRPr="00A5437F" w:rsidRDefault="00A5437F" w:rsidP="00E1644E">
            <w:pPr>
              <w:pStyle w:val="TableHeading"/>
            </w:pPr>
            <w:r w:rsidRPr="00A5437F">
              <w:t>Offence</w:t>
            </w:r>
          </w:p>
        </w:tc>
        <w:tc>
          <w:tcPr>
            <w:tcW w:w="0" w:type="auto"/>
          </w:tcPr>
          <w:p w14:paraId="35C29E39" w14:textId="744CE9A2" w:rsidR="00A5437F" w:rsidRPr="00A5437F" w:rsidRDefault="00A5437F" w:rsidP="00E1644E">
            <w:pPr>
              <w:pStyle w:val="TableHeading"/>
            </w:pPr>
            <w:r w:rsidRPr="00A5437F">
              <w:t>Children’s Court</w:t>
            </w:r>
          </w:p>
        </w:tc>
        <w:tc>
          <w:tcPr>
            <w:tcW w:w="0" w:type="auto"/>
          </w:tcPr>
          <w:p w14:paraId="063CC53B" w14:textId="77777777" w:rsidR="00A5437F" w:rsidRPr="00A5437F" w:rsidRDefault="00A5437F" w:rsidP="00E1644E">
            <w:pPr>
              <w:pStyle w:val="TableHeading"/>
            </w:pPr>
          </w:p>
        </w:tc>
        <w:tc>
          <w:tcPr>
            <w:tcW w:w="0" w:type="auto"/>
          </w:tcPr>
          <w:p w14:paraId="646717B6" w14:textId="45ABE8B8" w:rsidR="00A5437F" w:rsidRPr="00A5437F" w:rsidRDefault="00A5437F" w:rsidP="00E1644E">
            <w:pPr>
              <w:pStyle w:val="TableHeading"/>
            </w:pPr>
            <w:r w:rsidRPr="00A5437F">
              <w:t>Higher courts</w:t>
            </w:r>
          </w:p>
        </w:tc>
        <w:tc>
          <w:tcPr>
            <w:tcW w:w="0" w:type="auto"/>
          </w:tcPr>
          <w:p w14:paraId="6205928F" w14:textId="77777777" w:rsidR="00A5437F" w:rsidRPr="00A5437F" w:rsidRDefault="00A5437F" w:rsidP="00E1644E">
            <w:pPr>
              <w:pStyle w:val="TableHeading"/>
            </w:pPr>
          </w:p>
        </w:tc>
        <w:tc>
          <w:tcPr>
            <w:tcW w:w="0" w:type="auto"/>
          </w:tcPr>
          <w:p w14:paraId="0AD451F1" w14:textId="77777777" w:rsidR="00A5437F" w:rsidRPr="00A5437F" w:rsidRDefault="00A5437F" w:rsidP="00E1644E">
            <w:pPr>
              <w:pStyle w:val="TableHeading"/>
            </w:pPr>
          </w:p>
        </w:tc>
        <w:tc>
          <w:tcPr>
            <w:tcW w:w="0" w:type="auto"/>
          </w:tcPr>
          <w:p w14:paraId="0E5843CD" w14:textId="77777777" w:rsidR="00A5437F" w:rsidRPr="00A5437F" w:rsidRDefault="00A5437F" w:rsidP="00E1644E">
            <w:pPr>
              <w:pStyle w:val="TableHeading"/>
            </w:pPr>
          </w:p>
        </w:tc>
        <w:tc>
          <w:tcPr>
            <w:tcW w:w="0" w:type="auto"/>
          </w:tcPr>
          <w:p w14:paraId="6B2DBA41" w14:textId="77777777" w:rsidR="00A5437F" w:rsidRPr="00A5437F" w:rsidRDefault="00A5437F" w:rsidP="00E1644E">
            <w:pPr>
              <w:pStyle w:val="TableHeading"/>
            </w:pPr>
          </w:p>
        </w:tc>
      </w:tr>
      <w:tr w:rsidR="00A5437F" w14:paraId="65CD43C8" w14:textId="77777777" w:rsidTr="008E7036">
        <w:trPr>
          <w:trHeight w:val="60"/>
          <w:tblHeader/>
        </w:trPr>
        <w:tc>
          <w:tcPr>
            <w:tcW w:w="0" w:type="auto"/>
          </w:tcPr>
          <w:p w14:paraId="6B26D6BD" w14:textId="77777777" w:rsidR="00A5437F" w:rsidRPr="00A5437F" w:rsidRDefault="00A5437F" w:rsidP="00E1644E">
            <w:pPr>
              <w:pStyle w:val="TableHeading"/>
            </w:pPr>
          </w:p>
        </w:tc>
        <w:tc>
          <w:tcPr>
            <w:tcW w:w="0" w:type="auto"/>
          </w:tcPr>
          <w:p w14:paraId="4C08F656" w14:textId="1BC88F25" w:rsidR="00A5437F" w:rsidRPr="00A5437F" w:rsidRDefault="00A5437F" w:rsidP="00E1644E">
            <w:pPr>
              <w:pStyle w:val="TableHeading"/>
            </w:pPr>
            <w:r w:rsidRPr="00A5437F">
              <w:t>Aged</w:t>
            </w:r>
            <w:r w:rsidR="002410D8">
              <w:t xml:space="preserve"> </w:t>
            </w:r>
            <w:r w:rsidRPr="00A5437F">
              <w:t>16</w:t>
            </w:r>
          </w:p>
        </w:tc>
        <w:tc>
          <w:tcPr>
            <w:tcW w:w="0" w:type="auto"/>
          </w:tcPr>
          <w:p w14:paraId="0EDF2DD1" w14:textId="3050218A" w:rsidR="00A5437F" w:rsidRPr="00A5437F" w:rsidRDefault="00A5437F" w:rsidP="00E1644E">
            <w:pPr>
              <w:pStyle w:val="TableHeading"/>
            </w:pPr>
            <w:r w:rsidRPr="00A5437F">
              <w:t>Aged 17</w:t>
            </w:r>
          </w:p>
        </w:tc>
        <w:tc>
          <w:tcPr>
            <w:tcW w:w="0" w:type="auto"/>
          </w:tcPr>
          <w:p w14:paraId="22ED65F9" w14:textId="0D2375B1" w:rsidR="00A5437F" w:rsidRPr="00A5437F" w:rsidRDefault="00A5437F" w:rsidP="00E1644E">
            <w:pPr>
              <w:pStyle w:val="TableHeading"/>
            </w:pPr>
            <w:r w:rsidRPr="00A5437F">
              <w:t>Aged 16</w:t>
            </w:r>
          </w:p>
        </w:tc>
        <w:tc>
          <w:tcPr>
            <w:tcW w:w="0" w:type="auto"/>
          </w:tcPr>
          <w:p w14:paraId="086DBA08" w14:textId="2466B083" w:rsidR="00A5437F" w:rsidRPr="00A5437F" w:rsidRDefault="00A5437F" w:rsidP="00E1644E">
            <w:pPr>
              <w:pStyle w:val="TableHeading"/>
            </w:pPr>
            <w:r w:rsidRPr="00A5437F">
              <w:t>Aged 17</w:t>
            </w:r>
          </w:p>
        </w:tc>
        <w:tc>
          <w:tcPr>
            <w:tcW w:w="0" w:type="auto"/>
          </w:tcPr>
          <w:p w14:paraId="74867DB3" w14:textId="128E67B0" w:rsidR="00A5437F" w:rsidRPr="00A5437F" w:rsidRDefault="00A5437F" w:rsidP="00E1644E">
            <w:pPr>
              <w:pStyle w:val="TableHeading"/>
            </w:pPr>
            <w:r w:rsidRPr="00A5437F">
              <w:t>Aged 18</w:t>
            </w:r>
          </w:p>
        </w:tc>
        <w:tc>
          <w:tcPr>
            <w:tcW w:w="0" w:type="auto"/>
          </w:tcPr>
          <w:p w14:paraId="66913017" w14:textId="7C2C7319" w:rsidR="00A5437F" w:rsidRPr="00A5437F" w:rsidRDefault="00A5437F" w:rsidP="00E1644E">
            <w:pPr>
              <w:pStyle w:val="TableHeading"/>
            </w:pPr>
            <w:r w:rsidRPr="00A5437F">
              <w:t>Aged 19</w:t>
            </w:r>
          </w:p>
        </w:tc>
        <w:tc>
          <w:tcPr>
            <w:tcW w:w="0" w:type="auto"/>
          </w:tcPr>
          <w:p w14:paraId="6AEECA21" w14:textId="50486DB5" w:rsidR="00A5437F" w:rsidRPr="00A5437F" w:rsidRDefault="00A5437F" w:rsidP="00E1644E">
            <w:pPr>
              <w:pStyle w:val="TableHeading"/>
            </w:pPr>
            <w:r w:rsidRPr="00A5437F">
              <w:t>Aged 20</w:t>
            </w:r>
          </w:p>
        </w:tc>
      </w:tr>
      <w:tr w:rsidR="001B4B37" w14:paraId="0DB2BFD5" w14:textId="77777777" w:rsidTr="008E7036">
        <w:trPr>
          <w:trHeight w:val="60"/>
        </w:trPr>
        <w:tc>
          <w:tcPr>
            <w:tcW w:w="0" w:type="auto"/>
          </w:tcPr>
          <w:p w14:paraId="21CAE386" w14:textId="77777777" w:rsidR="001B4B37" w:rsidRPr="00A5437F" w:rsidRDefault="001B4B37" w:rsidP="00A5437F">
            <w:pPr>
              <w:pStyle w:val="TableBody"/>
            </w:pPr>
            <w:r w:rsidRPr="00A5437F">
              <w:t>Category A serious youth offences</w:t>
            </w:r>
          </w:p>
        </w:tc>
        <w:tc>
          <w:tcPr>
            <w:tcW w:w="0" w:type="auto"/>
          </w:tcPr>
          <w:p w14:paraId="7F8748AB" w14:textId="77777777" w:rsidR="001B4B37" w:rsidRPr="00A5437F" w:rsidRDefault="001B4B37" w:rsidP="00A5437F">
            <w:pPr>
              <w:pStyle w:val="TableBody"/>
            </w:pPr>
          </w:p>
        </w:tc>
        <w:tc>
          <w:tcPr>
            <w:tcW w:w="0" w:type="auto"/>
          </w:tcPr>
          <w:p w14:paraId="03FBC2C8" w14:textId="77777777" w:rsidR="001B4B37" w:rsidRPr="00A5437F" w:rsidRDefault="001B4B37" w:rsidP="00A5437F">
            <w:pPr>
              <w:pStyle w:val="TableBody"/>
            </w:pPr>
          </w:p>
        </w:tc>
        <w:tc>
          <w:tcPr>
            <w:tcW w:w="0" w:type="auto"/>
          </w:tcPr>
          <w:p w14:paraId="6C6C3378" w14:textId="77777777" w:rsidR="001B4B37" w:rsidRPr="00A5437F" w:rsidRDefault="001B4B37" w:rsidP="00A5437F">
            <w:pPr>
              <w:pStyle w:val="TableBody"/>
            </w:pPr>
          </w:p>
        </w:tc>
        <w:tc>
          <w:tcPr>
            <w:tcW w:w="0" w:type="auto"/>
          </w:tcPr>
          <w:p w14:paraId="0DFF6102" w14:textId="77777777" w:rsidR="001B4B37" w:rsidRPr="00A5437F" w:rsidRDefault="001B4B37" w:rsidP="00A5437F">
            <w:pPr>
              <w:pStyle w:val="TableBody"/>
            </w:pPr>
          </w:p>
        </w:tc>
        <w:tc>
          <w:tcPr>
            <w:tcW w:w="0" w:type="auto"/>
          </w:tcPr>
          <w:p w14:paraId="1939381C" w14:textId="77777777" w:rsidR="001B4B37" w:rsidRPr="00A5437F" w:rsidRDefault="001B4B37" w:rsidP="00A5437F">
            <w:pPr>
              <w:pStyle w:val="TableBody"/>
            </w:pPr>
          </w:p>
        </w:tc>
        <w:tc>
          <w:tcPr>
            <w:tcW w:w="0" w:type="auto"/>
          </w:tcPr>
          <w:p w14:paraId="432A4E5B" w14:textId="77777777" w:rsidR="001B4B37" w:rsidRPr="00A5437F" w:rsidRDefault="001B4B37" w:rsidP="00A5437F">
            <w:pPr>
              <w:pStyle w:val="TableBody"/>
            </w:pPr>
          </w:p>
        </w:tc>
        <w:tc>
          <w:tcPr>
            <w:tcW w:w="0" w:type="auto"/>
          </w:tcPr>
          <w:p w14:paraId="490CDE23" w14:textId="77777777" w:rsidR="001B4B37" w:rsidRPr="00A5437F" w:rsidRDefault="001B4B37" w:rsidP="00A5437F">
            <w:pPr>
              <w:pStyle w:val="TableBody"/>
            </w:pPr>
          </w:p>
        </w:tc>
      </w:tr>
      <w:tr w:rsidR="001B4B37" w14:paraId="19BC4419" w14:textId="77777777" w:rsidTr="008E7036">
        <w:trPr>
          <w:trHeight w:val="60"/>
        </w:trPr>
        <w:tc>
          <w:tcPr>
            <w:tcW w:w="0" w:type="auto"/>
          </w:tcPr>
          <w:p w14:paraId="1D75FD10" w14:textId="77777777" w:rsidR="001B4B37" w:rsidRPr="00A5437F" w:rsidRDefault="001B4B37" w:rsidP="00A5437F">
            <w:pPr>
              <w:pStyle w:val="TableBody"/>
            </w:pPr>
            <w:r w:rsidRPr="00A5437F">
              <w:t>Murder</w:t>
            </w:r>
          </w:p>
        </w:tc>
        <w:tc>
          <w:tcPr>
            <w:tcW w:w="0" w:type="auto"/>
          </w:tcPr>
          <w:p w14:paraId="527A0882" w14:textId="77777777" w:rsidR="001B4B37" w:rsidRPr="00A5437F" w:rsidRDefault="001B4B37" w:rsidP="00A5437F">
            <w:pPr>
              <w:pStyle w:val="TableBody"/>
            </w:pPr>
            <w:r w:rsidRPr="00A5437F">
              <w:t>0</w:t>
            </w:r>
          </w:p>
        </w:tc>
        <w:tc>
          <w:tcPr>
            <w:tcW w:w="0" w:type="auto"/>
          </w:tcPr>
          <w:p w14:paraId="2EA537D2" w14:textId="77777777" w:rsidR="001B4B37" w:rsidRPr="00A5437F" w:rsidRDefault="001B4B37" w:rsidP="00A5437F">
            <w:pPr>
              <w:pStyle w:val="TableBody"/>
            </w:pPr>
            <w:r w:rsidRPr="00A5437F">
              <w:t>0</w:t>
            </w:r>
          </w:p>
        </w:tc>
        <w:tc>
          <w:tcPr>
            <w:tcW w:w="0" w:type="auto"/>
          </w:tcPr>
          <w:p w14:paraId="135B4FE7" w14:textId="77777777" w:rsidR="001B4B37" w:rsidRPr="00A5437F" w:rsidRDefault="001B4B37" w:rsidP="00A5437F">
            <w:pPr>
              <w:pStyle w:val="TableBody"/>
            </w:pPr>
            <w:r w:rsidRPr="00A5437F">
              <w:t>1</w:t>
            </w:r>
          </w:p>
        </w:tc>
        <w:tc>
          <w:tcPr>
            <w:tcW w:w="0" w:type="auto"/>
          </w:tcPr>
          <w:p w14:paraId="311517E0" w14:textId="77777777" w:rsidR="001B4B37" w:rsidRPr="00A5437F" w:rsidRDefault="001B4B37" w:rsidP="00A5437F">
            <w:pPr>
              <w:pStyle w:val="TableBody"/>
            </w:pPr>
            <w:r w:rsidRPr="00A5437F">
              <w:t>1</w:t>
            </w:r>
          </w:p>
        </w:tc>
        <w:tc>
          <w:tcPr>
            <w:tcW w:w="0" w:type="auto"/>
          </w:tcPr>
          <w:p w14:paraId="1141C6BE" w14:textId="77777777" w:rsidR="001B4B37" w:rsidRPr="00A5437F" w:rsidRDefault="001B4B37" w:rsidP="00A5437F">
            <w:pPr>
              <w:pStyle w:val="TableBody"/>
            </w:pPr>
            <w:r w:rsidRPr="00A5437F">
              <w:t>0</w:t>
            </w:r>
          </w:p>
        </w:tc>
        <w:tc>
          <w:tcPr>
            <w:tcW w:w="0" w:type="auto"/>
          </w:tcPr>
          <w:p w14:paraId="23721CC0" w14:textId="77777777" w:rsidR="001B4B37" w:rsidRPr="00A5437F" w:rsidRDefault="001B4B37" w:rsidP="00A5437F">
            <w:pPr>
              <w:pStyle w:val="TableBody"/>
            </w:pPr>
            <w:r w:rsidRPr="00A5437F">
              <w:t>1</w:t>
            </w:r>
          </w:p>
        </w:tc>
        <w:tc>
          <w:tcPr>
            <w:tcW w:w="0" w:type="auto"/>
          </w:tcPr>
          <w:p w14:paraId="6BC5AE4A" w14:textId="77777777" w:rsidR="001B4B37" w:rsidRPr="00A5437F" w:rsidRDefault="001B4B37" w:rsidP="00A5437F">
            <w:pPr>
              <w:pStyle w:val="TableBody"/>
            </w:pPr>
            <w:r w:rsidRPr="00A5437F">
              <w:t>0</w:t>
            </w:r>
          </w:p>
        </w:tc>
      </w:tr>
      <w:tr w:rsidR="001B4B37" w14:paraId="5C9C152A" w14:textId="77777777" w:rsidTr="008E7036">
        <w:trPr>
          <w:trHeight w:val="60"/>
        </w:trPr>
        <w:tc>
          <w:tcPr>
            <w:tcW w:w="0" w:type="auto"/>
          </w:tcPr>
          <w:p w14:paraId="668D2642" w14:textId="77777777" w:rsidR="001B4B37" w:rsidRPr="00A5437F" w:rsidRDefault="001B4B37" w:rsidP="00A5437F">
            <w:pPr>
              <w:pStyle w:val="TableBody"/>
            </w:pPr>
            <w:r w:rsidRPr="00A5437F">
              <w:t>Manslaughter</w:t>
            </w:r>
          </w:p>
        </w:tc>
        <w:tc>
          <w:tcPr>
            <w:tcW w:w="0" w:type="auto"/>
          </w:tcPr>
          <w:p w14:paraId="50018E23" w14:textId="77777777" w:rsidR="001B4B37" w:rsidRPr="00A5437F" w:rsidRDefault="001B4B37" w:rsidP="00A5437F">
            <w:pPr>
              <w:pStyle w:val="TableBody"/>
            </w:pPr>
            <w:r w:rsidRPr="00A5437F">
              <w:t>0</w:t>
            </w:r>
          </w:p>
        </w:tc>
        <w:tc>
          <w:tcPr>
            <w:tcW w:w="0" w:type="auto"/>
          </w:tcPr>
          <w:p w14:paraId="66B6BE96" w14:textId="77777777" w:rsidR="001B4B37" w:rsidRPr="00A5437F" w:rsidRDefault="001B4B37" w:rsidP="00A5437F">
            <w:pPr>
              <w:pStyle w:val="TableBody"/>
            </w:pPr>
            <w:r w:rsidRPr="00A5437F">
              <w:t>0</w:t>
            </w:r>
          </w:p>
        </w:tc>
        <w:tc>
          <w:tcPr>
            <w:tcW w:w="0" w:type="auto"/>
          </w:tcPr>
          <w:p w14:paraId="0BBA7396" w14:textId="77777777" w:rsidR="001B4B37" w:rsidRPr="00A5437F" w:rsidRDefault="001B4B37" w:rsidP="00A5437F">
            <w:pPr>
              <w:pStyle w:val="TableBody"/>
            </w:pPr>
            <w:r w:rsidRPr="00A5437F">
              <w:t>3</w:t>
            </w:r>
          </w:p>
        </w:tc>
        <w:tc>
          <w:tcPr>
            <w:tcW w:w="0" w:type="auto"/>
          </w:tcPr>
          <w:p w14:paraId="0AF0F4F9" w14:textId="77777777" w:rsidR="001B4B37" w:rsidRPr="00A5437F" w:rsidRDefault="001B4B37" w:rsidP="00A5437F">
            <w:pPr>
              <w:pStyle w:val="TableBody"/>
            </w:pPr>
            <w:r w:rsidRPr="00A5437F">
              <w:t>2</w:t>
            </w:r>
          </w:p>
        </w:tc>
        <w:tc>
          <w:tcPr>
            <w:tcW w:w="0" w:type="auto"/>
          </w:tcPr>
          <w:p w14:paraId="58F29FC4" w14:textId="77777777" w:rsidR="001B4B37" w:rsidRPr="00A5437F" w:rsidRDefault="001B4B37" w:rsidP="00A5437F">
            <w:pPr>
              <w:pStyle w:val="TableBody"/>
            </w:pPr>
            <w:r w:rsidRPr="00A5437F">
              <w:t>4</w:t>
            </w:r>
          </w:p>
        </w:tc>
        <w:tc>
          <w:tcPr>
            <w:tcW w:w="0" w:type="auto"/>
          </w:tcPr>
          <w:p w14:paraId="6EE7FB97" w14:textId="77777777" w:rsidR="001B4B37" w:rsidRPr="00A5437F" w:rsidRDefault="001B4B37" w:rsidP="00A5437F">
            <w:pPr>
              <w:pStyle w:val="TableBody"/>
            </w:pPr>
            <w:r w:rsidRPr="00A5437F">
              <w:t>1</w:t>
            </w:r>
          </w:p>
        </w:tc>
        <w:tc>
          <w:tcPr>
            <w:tcW w:w="0" w:type="auto"/>
          </w:tcPr>
          <w:p w14:paraId="54ABC471" w14:textId="77777777" w:rsidR="001B4B37" w:rsidRPr="00A5437F" w:rsidRDefault="001B4B37" w:rsidP="00A5437F">
            <w:pPr>
              <w:pStyle w:val="TableBody"/>
            </w:pPr>
            <w:r w:rsidRPr="00A5437F">
              <w:t>0</w:t>
            </w:r>
          </w:p>
        </w:tc>
      </w:tr>
      <w:tr w:rsidR="001B4B37" w14:paraId="0B0C8DFA" w14:textId="77777777" w:rsidTr="008E7036">
        <w:trPr>
          <w:trHeight w:val="60"/>
        </w:trPr>
        <w:tc>
          <w:tcPr>
            <w:tcW w:w="0" w:type="auto"/>
          </w:tcPr>
          <w:p w14:paraId="6AE4DE99" w14:textId="77777777" w:rsidR="001B4B37" w:rsidRPr="00A5437F" w:rsidRDefault="001B4B37" w:rsidP="00A5437F">
            <w:pPr>
              <w:pStyle w:val="TableBody"/>
            </w:pPr>
            <w:r w:rsidRPr="00A5437F">
              <w:t>Culpable driving causing death</w:t>
            </w:r>
          </w:p>
        </w:tc>
        <w:tc>
          <w:tcPr>
            <w:tcW w:w="0" w:type="auto"/>
          </w:tcPr>
          <w:p w14:paraId="693C7476" w14:textId="77777777" w:rsidR="001B4B37" w:rsidRPr="00A5437F" w:rsidRDefault="001B4B37" w:rsidP="00A5437F">
            <w:pPr>
              <w:pStyle w:val="TableBody"/>
            </w:pPr>
            <w:r w:rsidRPr="00A5437F">
              <w:t>0</w:t>
            </w:r>
          </w:p>
        </w:tc>
        <w:tc>
          <w:tcPr>
            <w:tcW w:w="0" w:type="auto"/>
          </w:tcPr>
          <w:p w14:paraId="4F4CCDD3" w14:textId="77777777" w:rsidR="001B4B37" w:rsidRPr="00A5437F" w:rsidRDefault="001B4B37" w:rsidP="00A5437F">
            <w:pPr>
              <w:pStyle w:val="TableBody"/>
            </w:pPr>
            <w:r w:rsidRPr="00A5437F">
              <w:t>0</w:t>
            </w:r>
          </w:p>
        </w:tc>
        <w:tc>
          <w:tcPr>
            <w:tcW w:w="0" w:type="auto"/>
          </w:tcPr>
          <w:p w14:paraId="5080F443" w14:textId="77777777" w:rsidR="001B4B37" w:rsidRPr="00A5437F" w:rsidRDefault="001B4B37" w:rsidP="00A5437F">
            <w:pPr>
              <w:pStyle w:val="TableBody"/>
            </w:pPr>
            <w:r w:rsidRPr="00A5437F">
              <w:t>1</w:t>
            </w:r>
          </w:p>
        </w:tc>
        <w:tc>
          <w:tcPr>
            <w:tcW w:w="0" w:type="auto"/>
          </w:tcPr>
          <w:p w14:paraId="7E279BA8" w14:textId="77777777" w:rsidR="001B4B37" w:rsidRPr="00A5437F" w:rsidRDefault="001B4B37" w:rsidP="00A5437F">
            <w:pPr>
              <w:pStyle w:val="TableBody"/>
            </w:pPr>
            <w:r w:rsidRPr="00A5437F">
              <w:t>1</w:t>
            </w:r>
          </w:p>
        </w:tc>
        <w:tc>
          <w:tcPr>
            <w:tcW w:w="0" w:type="auto"/>
          </w:tcPr>
          <w:p w14:paraId="508B7CC2" w14:textId="77777777" w:rsidR="001B4B37" w:rsidRPr="00A5437F" w:rsidRDefault="001B4B37" w:rsidP="00A5437F">
            <w:pPr>
              <w:pStyle w:val="TableBody"/>
            </w:pPr>
            <w:r w:rsidRPr="00A5437F">
              <w:t>2</w:t>
            </w:r>
          </w:p>
        </w:tc>
        <w:tc>
          <w:tcPr>
            <w:tcW w:w="0" w:type="auto"/>
          </w:tcPr>
          <w:p w14:paraId="123DFAB7" w14:textId="77777777" w:rsidR="001B4B37" w:rsidRPr="00A5437F" w:rsidRDefault="001B4B37" w:rsidP="00A5437F">
            <w:pPr>
              <w:pStyle w:val="TableBody"/>
            </w:pPr>
            <w:r w:rsidRPr="00A5437F">
              <w:t>5</w:t>
            </w:r>
          </w:p>
        </w:tc>
        <w:tc>
          <w:tcPr>
            <w:tcW w:w="0" w:type="auto"/>
          </w:tcPr>
          <w:p w14:paraId="6EC808F5" w14:textId="77777777" w:rsidR="001B4B37" w:rsidRPr="00A5437F" w:rsidRDefault="001B4B37" w:rsidP="00A5437F">
            <w:pPr>
              <w:pStyle w:val="TableBody"/>
            </w:pPr>
            <w:r w:rsidRPr="00A5437F">
              <w:t>0</w:t>
            </w:r>
          </w:p>
        </w:tc>
      </w:tr>
      <w:tr w:rsidR="001B4B37" w14:paraId="022C324F" w14:textId="77777777" w:rsidTr="008E7036">
        <w:trPr>
          <w:trHeight w:val="60"/>
        </w:trPr>
        <w:tc>
          <w:tcPr>
            <w:tcW w:w="0" w:type="auto"/>
          </w:tcPr>
          <w:p w14:paraId="7BAF63BE" w14:textId="77777777" w:rsidR="001B4B37" w:rsidRPr="00A5437F" w:rsidRDefault="001B4B37" w:rsidP="00A5437F">
            <w:pPr>
              <w:pStyle w:val="TableBody"/>
            </w:pPr>
            <w:r w:rsidRPr="00A5437F">
              <w:t>Intentionally causing serious injury in circumstances of gross violence</w:t>
            </w:r>
          </w:p>
        </w:tc>
        <w:tc>
          <w:tcPr>
            <w:tcW w:w="0" w:type="auto"/>
          </w:tcPr>
          <w:p w14:paraId="12926B82" w14:textId="77777777" w:rsidR="001B4B37" w:rsidRPr="00A5437F" w:rsidRDefault="001B4B37" w:rsidP="00A5437F">
            <w:pPr>
              <w:pStyle w:val="TableBody"/>
            </w:pPr>
            <w:r w:rsidRPr="00A5437F">
              <w:t>7</w:t>
            </w:r>
          </w:p>
        </w:tc>
        <w:tc>
          <w:tcPr>
            <w:tcW w:w="0" w:type="auto"/>
          </w:tcPr>
          <w:p w14:paraId="16331AE4" w14:textId="77777777" w:rsidR="001B4B37" w:rsidRPr="00A5437F" w:rsidRDefault="001B4B37" w:rsidP="00A5437F">
            <w:pPr>
              <w:pStyle w:val="TableBody"/>
            </w:pPr>
            <w:r w:rsidRPr="00A5437F">
              <w:t>4</w:t>
            </w:r>
          </w:p>
        </w:tc>
        <w:tc>
          <w:tcPr>
            <w:tcW w:w="0" w:type="auto"/>
          </w:tcPr>
          <w:p w14:paraId="419B6D4D" w14:textId="77777777" w:rsidR="001B4B37" w:rsidRPr="00A5437F" w:rsidRDefault="001B4B37" w:rsidP="00A5437F">
            <w:pPr>
              <w:pStyle w:val="TableBody"/>
            </w:pPr>
            <w:r w:rsidRPr="00A5437F">
              <w:t>2</w:t>
            </w:r>
          </w:p>
        </w:tc>
        <w:tc>
          <w:tcPr>
            <w:tcW w:w="0" w:type="auto"/>
          </w:tcPr>
          <w:p w14:paraId="02BCFFF6" w14:textId="77777777" w:rsidR="001B4B37" w:rsidRPr="00A5437F" w:rsidRDefault="001B4B37" w:rsidP="00A5437F">
            <w:pPr>
              <w:pStyle w:val="TableBody"/>
            </w:pPr>
            <w:r w:rsidRPr="00A5437F">
              <w:t>1</w:t>
            </w:r>
          </w:p>
        </w:tc>
        <w:tc>
          <w:tcPr>
            <w:tcW w:w="0" w:type="auto"/>
          </w:tcPr>
          <w:p w14:paraId="27B443CE" w14:textId="77777777" w:rsidR="001B4B37" w:rsidRPr="00A5437F" w:rsidRDefault="001B4B37" w:rsidP="00A5437F">
            <w:pPr>
              <w:pStyle w:val="TableBody"/>
            </w:pPr>
            <w:r w:rsidRPr="00A5437F">
              <w:t>1</w:t>
            </w:r>
          </w:p>
        </w:tc>
        <w:tc>
          <w:tcPr>
            <w:tcW w:w="0" w:type="auto"/>
          </w:tcPr>
          <w:p w14:paraId="4999FB99" w14:textId="77777777" w:rsidR="001B4B37" w:rsidRPr="00A5437F" w:rsidRDefault="001B4B37" w:rsidP="00A5437F">
            <w:pPr>
              <w:pStyle w:val="TableBody"/>
            </w:pPr>
            <w:r w:rsidRPr="00A5437F">
              <w:t>1</w:t>
            </w:r>
          </w:p>
        </w:tc>
        <w:tc>
          <w:tcPr>
            <w:tcW w:w="0" w:type="auto"/>
          </w:tcPr>
          <w:p w14:paraId="3355EB2F" w14:textId="77777777" w:rsidR="001B4B37" w:rsidRPr="00A5437F" w:rsidRDefault="001B4B37" w:rsidP="00A5437F">
            <w:pPr>
              <w:pStyle w:val="TableBody"/>
            </w:pPr>
            <w:r w:rsidRPr="00A5437F">
              <w:t>0</w:t>
            </w:r>
          </w:p>
        </w:tc>
      </w:tr>
      <w:tr w:rsidR="001B4B37" w14:paraId="24CEE9C9" w14:textId="77777777" w:rsidTr="008E7036">
        <w:trPr>
          <w:trHeight w:val="60"/>
        </w:trPr>
        <w:tc>
          <w:tcPr>
            <w:tcW w:w="0" w:type="auto"/>
          </w:tcPr>
          <w:p w14:paraId="7492B811" w14:textId="77777777" w:rsidR="001B4B37" w:rsidRPr="00A5437F" w:rsidRDefault="001B4B37" w:rsidP="00A5437F">
            <w:pPr>
              <w:pStyle w:val="TableBody"/>
            </w:pPr>
            <w:r w:rsidRPr="00A5437F">
              <w:t>Aggravated home invasion</w:t>
            </w:r>
          </w:p>
        </w:tc>
        <w:tc>
          <w:tcPr>
            <w:tcW w:w="0" w:type="auto"/>
          </w:tcPr>
          <w:p w14:paraId="3BAC6D4C" w14:textId="77777777" w:rsidR="001B4B37" w:rsidRPr="00A5437F" w:rsidRDefault="001B4B37" w:rsidP="00A5437F">
            <w:pPr>
              <w:pStyle w:val="TableBody"/>
            </w:pPr>
            <w:r w:rsidRPr="00A5437F">
              <w:t>28</w:t>
            </w:r>
          </w:p>
        </w:tc>
        <w:tc>
          <w:tcPr>
            <w:tcW w:w="0" w:type="auto"/>
          </w:tcPr>
          <w:p w14:paraId="60E9D699" w14:textId="77777777" w:rsidR="001B4B37" w:rsidRPr="00A5437F" w:rsidRDefault="001B4B37" w:rsidP="00A5437F">
            <w:pPr>
              <w:pStyle w:val="TableBody"/>
            </w:pPr>
            <w:r w:rsidRPr="00A5437F">
              <w:t>18</w:t>
            </w:r>
          </w:p>
        </w:tc>
        <w:tc>
          <w:tcPr>
            <w:tcW w:w="0" w:type="auto"/>
          </w:tcPr>
          <w:p w14:paraId="05DA8B32" w14:textId="77777777" w:rsidR="001B4B37" w:rsidRPr="00A5437F" w:rsidRDefault="001B4B37" w:rsidP="00A5437F">
            <w:pPr>
              <w:pStyle w:val="TableBody"/>
            </w:pPr>
            <w:r w:rsidRPr="00A5437F">
              <w:t>2</w:t>
            </w:r>
          </w:p>
        </w:tc>
        <w:tc>
          <w:tcPr>
            <w:tcW w:w="0" w:type="auto"/>
          </w:tcPr>
          <w:p w14:paraId="2C1AA7F3" w14:textId="77777777" w:rsidR="001B4B37" w:rsidRPr="00A5437F" w:rsidRDefault="001B4B37" w:rsidP="00A5437F">
            <w:pPr>
              <w:pStyle w:val="TableBody"/>
            </w:pPr>
            <w:r w:rsidRPr="00A5437F">
              <w:t>10</w:t>
            </w:r>
          </w:p>
        </w:tc>
        <w:tc>
          <w:tcPr>
            <w:tcW w:w="0" w:type="auto"/>
          </w:tcPr>
          <w:p w14:paraId="15A9E441" w14:textId="77777777" w:rsidR="001B4B37" w:rsidRPr="00A5437F" w:rsidRDefault="001B4B37" w:rsidP="00A5437F">
            <w:pPr>
              <w:pStyle w:val="TableBody"/>
            </w:pPr>
            <w:r w:rsidRPr="00A5437F">
              <w:t>13</w:t>
            </w:r>
          </w:p>
        </w:tc>
        <w:tc>
          <w:tcPr>
            <w:tcW w:w="0" w:type="auto"/>
          </w:tcPr>
          <w:p w14:paraId="31A65653" w14:textId="77777777" w:rsidR="001B4B37" w:rsidRPr="00A5437F" w:rsidRDefault="001B4B37" w:rsidP="00A5437F">
            <w:pPr>
              <w:pStyle w:val="TableBody"/>
            </w:pPr>
            <w:r w:rsidRPr="00A5437F">
              <w:t>5</w:t>
            </w:r>
          </w:p>
        </w:tc>
        <w:tc>
          <w:tcPr>
            <w:tcW w:w="0" w:type="auto"/>
          </w:tcPr>
          <w:p w14:paraId="554A7748" w14:textId="77777777" w:rsidR="001B4B37" w:rsidRPr="00A5437F" w:rsidRDefault="001B4B37" w:rsidP="00A5437F">
            <w:pPr>
              <w:pStyle w:val="TableBody"/>
            </w:pPr>
            <w:r w:rsidRPr="00A5437F">
              <w:t>1</w:t>
            </w:r>
          </w:p>
        </w:tc>
      </w:tr>
      <w:tr w:rsidR="001B4B37" w14:paraId="48F9440D" w14:textId="77777777" w:rsidTr="008E7036">
        <w:trPr>
          <w:trHeight w:val="60"/>
        </w:trPr>
        <w:tc>
          <w:tcPr>
            <w:tcW w:w="0" w:type="auto"/>
          </w:tcPr>
          <w:p w14:paraId="30EB9BB0" w14:textId="77777777" w:rsidR="001B4B37" w:rsidRPr="00A5437F" w:rsidRDefault="001B4B37" w:rsidP="00A5437F">
            <w:pPr>
              <w:pStyle w:val="TableBody"/>
            </w:pPr>
            <w:r w:rsidRPr="00A5437F">
              <w:t>Aggravated carjacking</w:t>
            </w:r>
          </w:p>
        </w:tc>
        <w:tc>
          <w:tcPr>
            <w:tcW w:w="0" w:type="auto"/>
          </w:tcPr>
          <w:p w14:paraId="59C07658" w14:textId="77777777" w:rsidR="001B4B37" w:rsidRPr="00A5437F" w:rsidRDefault="001B4B37" w:rsidP="00A5437F">
            <w:pPr>
              <w:pStyle w:val="TableBody"/>
            </w:pPr>
            <w:r w:rsidRPr="00A5437F">
              <w:t>42</w:t>
            </w:r>
          </w:p>
        </w:tc>
        <w:tc>
          <w:tcPr>
            <w:tcW w:w="0" w:type="auto"/>
          </w:tcPr>
          <w:p w14:paraId="4788EBC7" w14:textId="77777777" w:rsidR="001B4B37" w:rsidRPr="00A5437F" w:rsidRDefault="001B4B37" w:rsidP="00A5437F">
            <w:pPr>
              <w:pStyle w:val="TableBody"/>
            </w:pPr>
            <w:r w:rsidRPr="00A5437F">
              <w:t>35</w:t>
            </w:r>
          </w:p>
        </w:tc>
        <w:tc>
          <w:tcPr>
            <w:tcW w:w="0" w:type="auto"/>
          </w:tcPr>
          <w:p w14:paraId="6ACA1B04" w14:textId="77777777" w:rsidR="001B4B37" w:rsidRPr="00A5437F" w:rsidRDefault="001B4B37" w:rsidP="00A5437F">
            <w:pPr>
              <w:pStyle w:val="TableBody"/>
            </w:pPr>
            <w:r w:rsidRPr="00A5437F">
              <w:t>1</w:t>
            </w:r>
          </w:p>
        </w:tc>
        <w:tc>
          <w:tcPr>
            <w:tcW w:w="0" w:type="auto"/>
          </w:tcPr>
          <w:p w14:paraId="667B4D9B" w14:textId="77777777" w:rsidR="001B4B37" w:rsidRPr="00A5437F" w:rsidRDefault="001B4B37" w:rsidP="00A5437F">
            <w:pPr>
              <w:pStyle w:val="TableBody"/>
            </w:pPr>
            <w:r w:rsidRPr="00A5437F">
              <w:t>5</w:t>
            </w:r>
          </w:p>
        </w:tc>
        <w:tc>
          <w:tcPr>
            <w:tcW w:w="0" w:type="auto"/>
          </w:tcPr>
          <w:p w14:paraId="235D158B" w14:textId="77777777" w:rsidR="001B4B37" w:rsidRPr="00A5437F" w:rsidRDefault="001B4B37" w:rsidP="00A5437F">
            <w:pPr>
              <w:pStyle w:val="TableBody"/>
            </w:pPr>
            <w:r w:rsidRPr="00A5437F">
              <w:t>11</w:t>
            </w:r>
          </w:p>
        </w:tc>
        <w:tc>
          <w:tcPr>
            <w:tcW w:w="0" w:type="auto"/>
          </w:tcPr>
          <w:p w14:paraId="45102DFE" w14:textId="77777777" w:rsidR="001B4B37" w:rsidRPr="00A5437F" w:rsidRDefault="001B4B37" w:rsidP="00A5437F">
            <w:pPr>
              <w:pStyle w:val="TableBody"/>
            </w:pPr>
            <w:r w:rsidRPr="00A5437F">
              <w:t>10</w:t>
            </w:r>
          </w:p>
        </w:tc>
        <w:tc>
          <w:tcPr>
            <w:tcW w:w="0" w:type="auto"/>
          </w:tcPr>
          <w:p w14:paraId="18C14177" w14:textId="77777777" w:rsidR="001B4B37" w:rsidRPr="00A5437F" w:rsidRDefault="001B4B37" w:rsidP="00A5437F">
            <w:pPr>
              <w:pStyle w:val="TableBody"/>
            </w:pPr>
            <w:r w:rsidRPr="00A5437F">
              <w:t>3</w:t>
            </w:r>
          </w:p>
        </w:tc>
      </w:tr>
      <w:tr w:rsidR="001B4B37" w14:paraId="2FB702CD" w14:textId="77777777" w:rsidTr="008E7036">
        <w:trPr>
          <w:trHeight w:val="60"/>
        </w:trPr>
        <w:tc>
          <w:tcPr>
            <w:tcW w:w="0" w:type="auto"/>
          </w:tcPr>
          <w:p w14:paraId="1DB48E0D" w14:textId="77777777" w:rsidR="001B4B37" w:rsidRPr="00A5437F" w:rsidRDefault="001B4B37" w:rsidP="00A5437F">
            <w:pPr>
              <w:pStyle w:val="TableBody"/>
            </w:pPr>
            <w:r w:rsidRPr="00A5437F">
              <w:t>Category B serious youth offences</w:t>
            </w:r>
          </w:p>
        </w:tc>
        <w:tc>
          <w:tcPr>
            <w:tcW w:w="0" w:type="auto"/>
          </w:tcPr>
          <w:p w14:paraId="32BA4EB5" w14:textId="77777777" w:rsidR="001B4B37" w:rsidRPr="00A5437F" w:rsidRDefault="001B4B37" w:rsidP="00A5437F">
            <w:pPr>
              <w:pStyle w:val="TableBody"/>
            </w:pPr>
          </w:p>
        </w:tc>
        <w:tc>
          <w:tcPr>
            <w:tcW w:w="0" w:type="auto"/>
          </w:tcPr>
          <w:p w14:paraId="306A4242" w14:textId="77777777" w:rsidR="001B4B37" w:rsidRPr="00A5437F" w:rsidRDefault="001B4B37" w:rsidP="00A5437F">
            <w:pPr>
              <w:pStyle w:val="TableBody"/>
            </w:pPr>
          </w:p>
        </w:tc>
        <w:tc>
          <w:tcPr>
            <w:tcW w:w="0" w:type="auto"/>
          </w:tcPr>
          <w:p w14:paraId="777CA2E8" w14:textId="77777777" w:rsidR="001B4B37" w:rsidRPr="00A5437F" w:rsidRDefault="001B4B37" w:rsidP="00A5437F">
            <w:pPr>
              <w:pStyle w:val="TableBody"/>
            </w:pPr>
          </w:p>
        </w:tc>
        <w:tc>
          <w:tcPr>
            <w:tcW w:w="0" w:type="auto"/>
          </w:tcPr>
          <w:p w14:paraId="0382A2AF" w14:textId="77777777" w:rsidR="001B4B37" w:rsidRPr="00A5437F" w:rsidRDefault="001B4B37" w:rsidP="00A5437F">
            <w:pPr>
              <w:pStyle w:val="TableBody"/>
            </w:pPr>
          </w:p>
        </w:tc>
        <w:tc>
          <w:tcPr>
            <w:tcW w:w="0" w:type="auto"/>
          </w:tcPr>
          <w:p w14:paraId="45A7C58D" w14:textId="77777777" w:rsidR="001B4B37" w:rsidRPr="00A5437F" w:rsidRDefault="001B4B37" w:rsidP="00A5437F">
            <w:pPr>
              <w:pStyle w:val="TableBody"/>
            </w:pPr>
          </w:p>
        </w:tc>
        <w:tc>
          <w:tcPr>
            <w:tcW w:w="0" w:type="auto"/>
          </w:tcPr>
          <w:p w14:paraId="505291FB" w14:textId="77777777" w:rsidR="001B4B37" w:rsidRPr="00A5437F" w:rsidRDefault="001B4B37" w:rsidP="00A5437F">
            <w:pPr>
              <w:pStyle w:val="TableBody"/>
            </w:pPr>
          </w:p>
        </w:tc>
        <w:tc>
          <w:tcPr>
            <w:tcW w:w="0" w:type="auto"/>
          </w:tcPr>
          <w:p w14:paraId="0AB72945" w14:textId="77777777" w:rsidR="001B4B37" w:rsidRPr="00A5437F" w:rsidRDefault="001B4B37" w:rsidP="00A5437F">
            <w:pPr>
              <w:pStyle w:val="TableBody"/>
            </w:pPr>
          </w:p>
        </w:tc>
      </w:tr>
      <w:tr w:rsidR="001B4B37" w14:paraId="4D943401" w14:textId="77777777" w:rsidTr="008E7036">
        <w:trPr>
          <w:trHeight w:val="60"/>
        </w:trPr>
        <w:tc>
          <w:tcPr>
            <w:tcW w:w="0" w:type="auto"/>
          </w:tcPr>
          <w:p w14:paraId="1AF337EF" w14:textId="77777777" w:rsidR="001B4B37" w:rsidRPr="00A5437F" w:rsidRDefault="001B4B37" w:rsidP="00A5437F">
            <w:pPr>
              <w:pStyle w:val="TableBody"/>
            </w:pPr>
            <w:r w:rsidRPr="00A5437F">
              <w:t>Home invasion</w:t>
            </w:r>
          </w:p>
        </w:tc>
        <w:tc>
          <w:tcPr>
            <w:tcW w:w="0" w:type="auto"/>
          </w:tcPr>
          <w:p w14:paraId="7FB58DE8" w14:textId="77777777" w:rsidR="001B4B37" w:rsidRPr="00A5437F" w:rsidRDefault="001B4B37" w:rsidP="00A5437F">
            <w:pPr>
              <w:pStyle w:val="TableBody"/>
            </w:pPr>
            <w:r w:rsidRPr="00A5437F">
              <w:t>55</w:t>
            </w:r>
          </w:p>
        </w:tc>
        <w:tc>
          <w:tcPr>
            <w:tcW w:w="0" w:type="auto"/>
          </w:tcPr>
          <w:p w14:paraId="7312056C" w14:textId="77777777" w:rsidR="001B4B37" w:rsidRPr="00A5437F" w:rsidRDefault="001B4B37" w:rsidP="00A5437F">
            <w:pPr>
              <w:pStyle w:val="TableBody"/>
            </w:pPr>
            <w:r w:rsidRPr="00A5437F">
              <w:t>61</w:t>
            </w:r>
          </w:p>
        </w:tc>
        <w:tc>
          <w:tcPr>
            <w:tcW w:w="0" w:type="auto"/>
          </w:tcPr>
          <w:p w14:paraId="15670217" w14:textId="77777777" w:rsidR="001B4B37" w:rsidRPr="00A5437F" w:rsidRDefault="001B4B37" w:rsidP="00A5437F">
            <w:pPr>
              <w:pStyle w:val="TableBody"/>
            </w:pPr>
            <w:r w:rsidRPr="00A5437F">
              <w:t>0</w:t>
            </w:r>
          </w:p>
        </w:tc>
        <w:tc>
          <w:tcPr>
            <w:tcW w:w="0" w:type="auto"/>
          </w:tcPr>
          <w:p w14:paraId="2BC7D797" w14:textId="77777777" w:rsidR="001B4B37" w:rsidRPr="00A5437F" w:rsidRDefault="001B4B37" w:rsidP="00A5437F">
            <w:pPr>
              <w:pStyle w:val="TableBody"/>
            </w:pPr>
            <w:r w:rsidRPr="00A5437F">
              <w:t>2</w:t>
            </w:r>
          </w:p>
        </w:tc>
        <w:tc>
          <w:tcPr>
            <w:tcW w:w="0" w:type="auto"/>
          </w:tcPr>
          <w:p w14:paraId="2CA68E47" w14:textId="77777777" w:rsidR="001B4B37" w:rsidRPr="00A5437F" w:rsidRDefault="001B4B37" w:rsidP="00A5437F">
            <w:pPr>
              <w:pStyle w:val="TableBody"/>
            </w:pPr>
            <w:r w:rsidRPr="00A5437F">
              <w:t>23</w:t>
            </w:r>
          </w:p>
        </w:tc>
        <w:tc>
          <w:tcPr>
            <w:tcW w:w="0" w:type="auto"/>
          </w:tcPr>
          <w:p w14:paraId="0CAD0C25" w14:textId="77777777" w:rsidR="001B4B37" w:rsidRPr="00A5437F" w:rsidRDefault="001B4B37" w:rsidP="00A5437F">
            <w:pPr>
              <w:pStyle w:val="TableBody"/>
            </w:pPr>
            <w:r w:rsidRPr="00A5437F">
              <w:t>7</w:t>
            </w:r>
          </w:p>
        </w:tc>
        <w:tc>
          <w:tcPr>
            <w:tcW w:w="0" w:type="auto"/>
          </w:tcPr>
          <w:p w14:paraId="65B78C74" w14:textId="77777777" w:rsidR="001B4B37" w:rsidRPr="00A5437F" w:rsidRDefault="001B4B37" w:rsidP="00A5437F">
            <w:pPr>
              <w:pStyle w:val="TableBody"/>
            </w:pPr>
            <w:r w:rsidRPr="00A5437F">
              <w:t>2</w:t>
            </w:r>
          </w:p>
        </w:tc>
      </w:tr>
      <w:tr w:rsidR="001B4B37" w14:paraId="589D51DA" w14:textId="77777777" w:rsidTr="008E7036">
        <w:trPr>
          <w:trHeight w:val="60"/>
        </w:trPr>
        <w:tc>
          <w:tcPr>
            <w:tcW w:w="0" w:type="auto"/>
          </w:tcPr>
          <w:p w14:paraId="499BD97D" w14:textId="77777777" w:rsidR="001B4B37" w:rsidRPr="00A5437F" w:rsidRDefault="001B4B37" w:rsidP="00A5437F">
            <w:pPr>
              <w:pStyle w:val="TableBody"/>
            </w:pPr>
            <w:r w:rsidRPr="00A5437F">
              <w:t>Carjacking</w:t>
            </w:r>
          </w:p>
        </w:tc>
        <w:tc>
          <w:tcPr>
            <w:tcW w:w="0" w:type="auto"/>
          </w:tcPr>
          <w:p w14:paraId="7AF3630E" w14:textId="77777777" w:rsidR="001B4B37" w:rsidRPr="00A5437F" w:rsidRDefault="001B4B37" w:rsidP="00A5437F">
            <w:pPr>
              <w:pStyle w:val="TableBody"/>
            </w:pPr>
            <w:r w:rsidRPr="00A5437F">
              <w:t>34</w:t>
            </w:r>
          </w:p>
        </w:tc>
        <w:tc>
          <w:tcPr>
            <w:tcW w:w="0" w:type="auto"/>
          </w:tcPr>
          <w:p w14:paraId="662BF756" w14:textId="77777777" w:rsidR="001B4B37" w:rsidRPr="00A5437F" w:rsidRDefault="001B4B37" w:rsidP="00A5437F">
            <w:pPr>
              <w:pStyle w:val="TableBody"/>
            </w:pPr>
            <w:r w:rsidRPr="00A5437F">
              <w:t>32</w:t>
            </w:r>
          </w:p>
        </w:tc>
        <w:tc>
          <w:tcPr>
            <w:tcW w:w="0" w:type="auto"/>
          </w:tcPr>
          <w:p w14:paraId="3FBC83C5" w14:textId="77777777" w:rsidR="001B4B37" w:rsidRPr="00A5437F" w:rsidRDefault="001B4B37" w:rsidP="00A5437F">
            <w:pPr>
              <w:pStyle w:val="TableBody"/>
            </w:pPr>
            <w:r w:rsidRPr="00A5437F">
              <w:t>0</w:t>
            </w:r>
          </w:p>
        </w:tc>
        <w:tc>
          <w:tcPr>
            <w:tcW w:w="0" w:type="auto"/>
          </w:tcPr>
          <w:p w14:paraId="3E17FB20" w14:textId="77777777" w:rsidR="001B4B37" w:rsidRPr="00A5437F" w:rsidRDefault="001B4B37" w:rsidP="00A5437F">
            <w:pPr>
              <w:pStyle w:val="TableBody"/>
            </w:pPr>
            <w:r w:rsidRPr="00A5437F">
              <w:t>1</w:t>
            </w:r>
          </w:p>
        </w:tc>
        <w:tc>
          <w:tcPr>
            <w:tcW w:w="0" w:type="auto"/>
          </w:tcPr>
          <w:p w14:paraId="3909DD4E" w14:textId="77777777" w:rsidR="001B4B37" w:rsidRPr="00A5437F" w:rsidRDefault="001B4B37" w:rsidP="00A5437F">
            <w:pPr>
              <w:pStyle w:val="TableBody"/>
            </w:pPr>
            <w:r w:rsidRPr="00A5437F">
              <w:t>3</w:t>
            </w:r>
          </w:p>
        </w:tc>
        <w:tc>
          <w:tcPr>
            <w:tcW w:w="0" w:type="auto"/>
          </w:tcPr>
          <w:p w14:paraId="4A7BDBA4" w14:textId="77777777" w:rsidR="001B4B37" w:rsidRPr="00A5437F" w:rsidRDefault="001B4B37" w:rsidP="00A5437F">
            <w:pPr>
              <w:pStyle w:val="TableBody"/>
            </w:pPr>
            <w:r w:rsidRPr="00A5437F">
              <w:t>3</w:t>
            </w:r>
          </w:p>
        </w:tc>
        <w:tc>
          <w:tcPr>
            <w:tcW w:w="0" w:type="auto"/>
          </w:tcPr>
          <w:p w14:paraId="0CA60869" w14:textId="77777777" w:rsidR="001B4B37" w:rsidRPr="00A5437F" w:rsidRDefault="001B4B37" w:rsidP="00A5437F">
            <w:pPr>
              <w:pStyle w:val="TableBody"/>
            </w:pPr>
            <w:r w:rsidRPr="00A5437F">
              <w:t>0</w:t>
            </w:r>
          </w:p>
        </w:tc>
      </w:tr>
      <w:tr w:rsidR="001B4B37" w14:paraId="7B3D54E8" w14:textId="77777777" w:rsidTr="008E7036">
        <w:trPr>
          <w:trHeight w:val="60"/>
        </w:trPr>
        <w:tc>
          <w:tcPr>
            <w:tcW w:w="0" w:type="auto"/>
          </w:tcPr>
          <w:p w14:paraId="2659EA65" w14:textId="77777777" w:rsidR="001B4B37" w:rsidRPr="00A5437F" w:rsidRDefault="001B4B37" w:rsidP="00A5437F">
            <w:pPr>
              <w:pStyle w:val="TableBody"/>
            </w:pPr>
            <w:r w:rsidRPr="00A5437F">
              <w:t xml:space="preserve">Recklessly causing serious injury in </w:t>
            </w:r>
            <w:r w:rsidRPr="00A5437F">
              <w:lastRenderedPageBreak/>
              <w:t>circumstances of gross violence</w:t>
            </w:r>
          </w:p>
        </w:tc>
        <w:tc>
          <w:tcPr>
            <w:tcW w:w="0" w:type="auto"/>
          </w:tcPr>
          <w:p w14:paraId="6281E221" w14:textId="77777777" w:rsidR="001B4B37" w:rsidRPr="00A5437F" w:rsidRDefault="001B4B37" w:rsidP="00A5437F">
            <w:pPr>
              <w:pStyle w:val="TableBody"/>
            </w:pPr>
            <w:r w:rsidRPr="00A5437F">
              <w:lastRenderedPageBreak/>
              <w:t>4</w:t>
            </w:r>
          </w:p>
        </w:tc>
        <w:tc>
          <w:tcPr>
            <w:tcW w:w="0" w:type="auto"/>
          </w:tcPr>
          <w:p w14:paraId="2BCD0A18" w14:textId="77777777" w:rsidR="001B4B37" w:rsidRPr="00A5437F" w:rsidRDefault="001B4B37" w:rsidP="00A5437F">
            <w:pPr>
              <w:pStyle w:val="TableBody"/>
            </w:pPr>
            <w:r w:rsidRPr="00A5437F">
              <w:t>3</w:t>
            </w:r>
          </w:p>
        </w:tc>
        <w:tc>
          <w:tcPr>
            <w:tcW w:w="0" w:type="auto"/>
          </w:tcPr>
          <w:p w14:paraId="74090917" w14:textId="77777777" w:rsidR="001B4B37" w:rsidRPr="00A5437F" w:rsidRDefault="001B4B37" w:rsidP="00A5437F">
            <w:pPr>
              <w:pStyle w:val="TableBody"/>
            </w:pPr>
            <w:r w:rsidRPr="00A5437F">
              <w:t>0</w:t>
            </w:r>
          </w:p>
        </w:tc>
        <w:tc>
          <w:tcPr>
            <w:tcW w:w="0" w:type="auto"/>
          </w:tcPr>
          <w:p w14:paraId="19AEB769" w14:textId="77777777" w:rsidR="001B4B37" w:rsidRPr="00A5437F" w:rsidRDefault="001B4B37" w:rsidP="00A5437F">
            <w:pPr>
              <w:pStyle w:val="TableBody"/>
            </w:pPr>
            <w:r w:rsidRPr="00A5437F">
              <w:t>0</w:t>
            </w:r>
          </w:p>
        </w:tc>
        <w:tc>
          <w:tcPr>
            <w:tcW w:w="0" w:type="auto"/>
          </w:tcPr>
          <w:p w14:paraId="5EBEFAF4" w14:textId="77777777" w:rsidR="001B4B37" w:rsidRPr="00A5437F" w:rsidRDefault="001B4B37" w:rsidP="00A5437F">
            <w:pPr>
              <w:pStyle w:val="TableBody"/>
            </w:pPr>
            <w:r w:rsidRPr="00A5437F">
              <w:t>1</w:t>
            </w:r>
          </w:p>
        </w:tc>
        <w:tc>
          <w:tcPr>
            <w:tcW w:w="0" w:type="auto"/>
          </w:tcPr>
          <w:p w14:paraId="5FAE4B3D" w14:textId="77777777" w:rsidR="001B4B37" w:rsidRPr="00A5437F" w:rsidRDefault="001B4B37" w:rsidP="00A5437F">
            <w:pPr>
              <w:pStyle w:val="TableBody"/>
            </w:pPr>
            <w:r w:rsidRPr="00A5437F">
              <w:t>2</w:t>
            </w:r>
          </w:p>
        </w:tc>
        <w:tc>
          <w:tcPr>
            <w:tcW w:w="0" w:type="auto"/>
          </w:tcPr>
          <w:p w14:paraId="3C8952E1" w14:textId="77777777" w:rsidR="001B4B37" w:rsidRPr="00A5437F" w:rsidRDefault="001B4B37" w:rsidP="00A5437F">
            <w:pPr>
              <w:pStyle w:val="TableBody"/>
            </w:pPr>
            <w:r w:rsidRPr="00A5437F">
              <w:t>0</w:t>
            </w:r>
          </w:p>
        </w:tc>
      </w:tr>
      <w:tr w:rsidR="001B4B37" w14:paraId="2A8A42B6" w14:textId="77777777" w:rsidTr="008E7036">
        <w:trPr>
          <w:trHeight w:val="60"/>
        </w:trPr>
        <w:tc>
          <w:tcPr>
            <w:tcW w:w="0" w:type="auto"/>
          </w:tcPr>
          <w:p w14:paraId="7AEF39F2" w14:textId="77777777" w:rsidR="001B4B37" w:rsidRPr="00A5437F" w:rsidRDefault="001B4B37" w:rsidP="00A5437F">
            <w:pPr>
              <w:pStyle w:val="TableBody"/>
            </w:pPr>
            <w:r w:rsidRPr="00A5437F">
              <w:t>Rape</w:t>
            </w:r>
          </w:p>
        </w:tc>
        <w:tc>
          <w:tcPr>
            <w:tcW w:w="0" w:type="auto"/>
          </w:tcPr>
          <w:p w14:paraId="468EE7E2" w14:textId="77777777" w:rsidR="001B4B37" w:rsidRPr="00A5437F" w:rsidRDefault="001B4B37" w:rsidP="00A5437F">
            <w:pPr>
              <w:pStyle w:val="TableBody"/>
            </w:pPr>
            <w:r w:rsidRPr="00A5437F">
              <w:t>9</w:t>
            </w:r>
          </w:p>
        </w:tc>
        <w:tc>
          <w:tcPr>
            <w:tcW w:w="0" w:type="auto"/>
          </w:tcPr>
          <w:p w14:paraId="7362A363" w14:textId="77777777" w:rsidR="001B4B37" w:rsidRPr="00A5437F" w:rsidRDefault="001B4B37" w:rsidP="00A5437F">
            <w:pPr>
              <w:pStyle w:val="TableBody"/>
            </w:pPr>
            <w:r w:rsidRPr="00A5437F">
              <w:t>9</w:t>
            </w:r>
          </w:p>
        </w:tc>
        <w:tc>
          <w:tcPr>
            <w:tcW w:w="0" w:type="auto"/>
          </w:tcPr>
          <w:p w14:paraId="2A230873" w14:textId="77777777" w:rsidR="001B4B37" w:rsidRPr="00A5437F" w:rsidRDefault="001B4B37" w:rsidP="00A5437F">
            <w:pPr>
              <w:pStyle w:val="TableBody"/>
            </w:pPr>
            <w:r w:rsidRPr="00A5437F">
              <w:t>0</w:t>
            </w:r>
          </w:p>
        </w:tc>
        <w:tc>
          <w:tcPr>
            <w:tcW w:w="0" w:type="auto"/>
          </w:tcPr>
          <w:p w14:paraId="1D07E471" w14:textId="77777777" w:rsidR="001B4B37" w:rsidRPr="00A5437F" w:rsidRDefault="001B4B37" w:rsidP="00A5437F">
            <w:pPr>
              <w:pStyle w:val="TableBody"/>
            </w:pPr>
            <w:r w:rsidRPr="00A5437F">
              <w:t>0</w:t>
            </w:r>
          </w:p>
        </w:tc>
        <w:tc>
          <w:tcPr>
            <w:tcW w:w="0" w:type="auto"/>
          </w:tcPr>
          <w:p w14:paraId="52D39386" w14:textId="77777777" w:rsidR="001B4B37" w:rsidRPr="00A5437F" w:rsidRDefault="001B4B37" w:rsidP="00A5437F">
            <w:pPr>
              <w:pStyle w:val="TableBody"/>
            </w:pPr>
            <w:r w:rsidRPr="00A5437F">
              <w:t>9</w:t>
            </w:r>
          </w:p>
        </w:tc>
        <w:tc>
          <w:tcPr>
            <w:tcW w:w="0" w:type="auto"/>
          </w:tcPr>
          <w:p w14:paraId="19CF58AB" w14:textId="77777777" w:rsidR="001B4B37" w:rsidRPr="00A5437F" w:rsidRDefault="001B4B37" w:rsidP="00A5437F">
            <w:pPr>
              <w:pStyle w:val="TableBody"/>
            </w:pPr>
            <w:r w:rsidRPr="00A5437F">
              <w:t>5</w:t>
            </w:r>
          </w:p>
        </w:tc>
        <w:tc>
          <w:tcPr>
            <w:tcW w:w="0" w:type="auto"/>
          </w:tcPr>
          <w:p w14:paraId="42895B8F" w14:textId="77777777" w:rsidR="001B4B37" w:rsidRPr="00A5437F" w:rsidRDefault="001B4B37" w:rsidP="00A5437F">
            <w:pPr>
              <w:pStyle w:val="TableBody"/>
            </w:pPr>
            <w:r w:rsidRPr="00A5437F">
              <w:t>1</w:t>
            </w:r>
          </w:p>
        </w:tc>
      </w:tr>
      <w:tr w:rsidR="001B4B37" w14:paraId="594695E6" w14:textId="77777777" w:rsidTr="008E7036">
        <w:trPr>
          <w:trHeight w:val="60"/>
        </w:trPr>
        <w:tc>
          <w:tcPr>
            <w:tcW w:w="0" w:type="auto"/>
          </w:tcPr>
          <w:p w14:paraId="152DF7B8" w14:textId="77777777" w:rsidR="001B4B37" w:rsidRPr="00A5437F" w:rsidRDefault="001B4B37" w:rsidP="00A5437F">
            <w:pPr>
              <w:pStyle w:val="TableBody"/>
            </w:pPr>
            <w:r w:rsidRPr="00A5437F">
              <w:t>Rape by compelling sexual penetration</w:t>
            </w:r>
          </w:p>
        </w:tc>
        <w:tc>
          <w:tcPr>
            <w:tcW w:w="0" w:type="auto"/>
          </w:tcPr>
          <w:p w14:paraId="1F84F8C8" w14:textId="77777777" w:rsidR="001B4B37" w:rsidRPr="00A5437F" w:rsidRDefault="001B4B37" w:rsidP="00A5437F">
            <w:pPr>
              <w:pStyle w:val="TableBody"/>
            </w:pPr>
            <w:r w:rsidRPr="00A5437F">
              <w:t>0</w:t>
            </w:r>
          </w:p>
        </w:tc>
        <w:tc>
          <w:tcPr>
            <w:tcW w:w="0" w:type="auto"/>
          </w:tcPr>
          <w:p w14:paraId="4B48C734" w14:textId="77777777" w:rsidR="001B4B37" w:rsidRPr="00A5437F" w:rsidRDefault="001B4B37" w:rsidP="00A5437F">
            <w:pPr>
              <w:pStyle w:val="TableBody"/>
            </w:pPr>
            <w:r w:rsidRPr="00A5437F">
              <w:t>1</w:t>
            </w:r>
          </w:p>
        </w:tc>
        <w:tc>
          <w:tcPr>
            <w:tcW w:w="0" w:type="auto"/>
          </w:tcPr>
          <w:p w14:paraId="420EF8B9" w14:textId="77777777" w:rsidR="001B4B37" w:rsidRPr="00A5437F" w:rsidRDefault="001B4B37" w:rsidP="00A5437F">
            <w:pPr>
              <w:pStyle w:val="TableBody"/>
            </w:pPr>
            <w:r w:rsidRPr="00A5437F">
              <w:t>0</w:t>
            </w:r>
          </w:p>
        </w:tc>
        <w:tc>
          <w:tcPr>
            <w:tcW w:w="0" w:type="auto"/>
          </w:tcPr>
          <w:p w14:paraId="53689B16" w14:textId="77777777" w:rsidR="001B4B37" w:rsidRPr="00A5437F" w:rsidRDefault="001B4B37" w:rsidP="00A5437F">
            <w:pPr>
              <w:pStyle w:val="TableBody"/>
            </w:pPr>
            <w:r w:rsidRPr="00A5437F">
              <w:t>0</w:t>
            </w:r>
          </w:p>
        </w:tc>
        <w:tc>
          <w:tcPr>
            <w:tcW w:w="0" w:type="auto"/>
          </w:tcPr>
          <w:p w14:paraId="6F127893" w14:textId="77777777" w:rsidR="001B4B37" w:rsidRPr="00A5437F" w:rsidRDefault="001B4B37" w:rsidP="00A5437F">
            <w:pPr>
              <w:pStyle w:val="TableBody"/>
            </w:pPr>
            <w:r w:rsidRPr="00A5437F">
              <w:t>0</w:t>
            </w:r>
          </w:p>
        </w:tc>
        <w:tc>
          <w:tcPr>
            <w:tcW w:w="0" w:type="auto"/>
          </w:tcPr>
          <w:p w14:paraId="32A89A96" w14:textId="77777777" w:rsidR="001B4B37" w:rsidRPr="00A5437F" w:rsidRDefault="001B4B37" w:rsidP="00A5437F">
            <w:pPr>
              <w:pStyle w:val="TableBody"/>
            </w:pPr>
            <w:r w:rsidRPr="00A5437F">
              <w:t>0</w:t>
            </w:r>
          </w:p>
        </w:tc>
        <w:tc>
          <w:tcPr>
            <w:tcW w:w="0" w:type="auto"/>
          </w:tcPr>
          <w:p w14:paraId="093F37A6" w14:textId="77777777" w:rsidR="001B4B37" w:rsidRPr="00A5437F" w:rsidRDefault="001B4B37" w:rsidP="00A5437F">
            <w:pPr>
              <w:pStyle w:val="TableBody"/>
            </w:pPr>
            <w:r w:rsidRPr="00A5437F">
              <w:t>0</w:t>
            </w:r>
          </w:p>
        </w:tc>
      </w:tr>
    </w:tbl>
    <w:p w14:paraId="60FD9B84" w14:textId="77777777" w:rsidR="001B4B37" w:rsidRDefault="001B4B37" w:rsidP="001B4B37">
      <w:pPr>
        <w:pStyle w:val="Heading1"/>
      </w:pPr>
      <w:bookmarkStart w:id="8" w:name="_Toc233028399"/>
      <w:r>
        <w:t>Gender of offenders who committed category A and B serious youth offences</w:t>
      </w:r>
      <w:bookmarkEnd w:id="8"/>
    </w:p>
    <w:p w14:paraId="7C4408C4" w14:textId="77777777" w:rsidR="001B4B37" w:rsidRDefault="001B4B37" w:rsidP="00156186">
      <w:r>
        <w:t>Across both the Children’s Court and the higher courts during the reference period, there were 418 cases involving category A and B serious youth offences committed by children and young people aged 16 to 20 at the time of the offence. In those cases, 92% of offenders were male (384 offenders) and just 8% were female (34 offenders).</w:t>
      </w:r>
    </w:p>
    <w:p w14:paraId="0FA9C346" w14:textId="77777777" w:rsidR="00A55318" w:rsidRPr="002E6A34" w:rsidRDefault="00A55318" w:rsidP="00E64682">
      <w:pPr>
        <w:pStyle w:val="IntenseQuote"/>
      </w:pPr>
      <w:r w:rsidRPr="002E6A34">
        <w:t>92% of category A or B serious youth offences were committed by male offenders</w:t>
      </w:r>
    </w:p>
    <w:p w14:paraId="59114408" w14:textId="77777777" w:rsidR="001B4B37" w:rsidRDefault="001B4B37" w:rsidP="00156186">
      <w:r>
        <w:t xml:space="preserve">Of those 418 cases, 128 were sentenced in the higher courts. Just 6 involved female offenders (5%); the other 122 involved male offenders (95%). Of the 6 female offenders, 4 were aged 18 and 2 were aged 19 at the time of the offence. They were sentenced for culpable driving causing death (1 offender), aggravated carjacking (2 offenders), home invasion (2 offenders) and carjacking (1 offender). They were not sentenced for murder, manslaughter, rape or gross violence offences; those category A and B offences were all committed by male offenders. Almost </w:t>
      </w:r>
      <w:proofErr w:type="gramStart"/>
      <w:r>
        <w:t>all of</w:t>
      </w:r>
      <w:proofErr w:type="gramEnd"/>
      <w:r>
        <w:t xml:space="preserve"> the category A and B offences involving female offenders also seemed to have been committed in company with one or more male co-offenders. And the 6 female offenders all appeared to have experienced significant childhood trauma that was linked to their offending (see, for example, Case Study </w:t>
      </w:r>
      <w:r>
        <w:lastRenderedPageBreak/>
        <w:t>1).</w:t>
      </w:r>
      <w:r>
        <w:rPr>
          <w:rStyle w:val="Superscript"/>
        </w:rPr>
        <w:footnoteReference w:id="27"/>
      </w:r>
      <w:r>
        <w:t xml:space="preserve"> This is consistent with decades of research on the drivers of offending by female offenders and the different offence types they commit, compared to male offenders.</w:t>
      </w:r>
      <w:r>
        <w:rPr>
          <w:rStyle w:val="Superscript"/>
        </w:rPr>
        <w:footnoteReference w:id="28"/>
      </w:r>
    </w:p>
    <w:p w14:paraId="066BD86D" w14:textId="77777777" w:rsidR="001B4B37" w:rsidRDefault="001B4B37" w:rsidP="00156186">
      <w:r>
        <w:t>The remaining 290 cases were sentenced in the Children’s Court. In those cases, 90% of offenders were male (262 offenders) and the other 10% were female (28 offenders). The 28 female offenders were sentenced for aggravated home invasion (3 offenders), aggravated carjacking (4 offenders), carjacking (17 offenders) and home invasion (8 offenders). They were not sentenced for any gross violence or rape offences.</w:t>
      </w:r>
    </w:p>
    <w:p w14:paraId="2516FC7B" w14:textId="77777777" w:rsidR="001671A3" w:rsidRDefault="001671A3" w:rsidP="001671A3">
      <w:pPr>
        <w:pStyle w:val="Heading2"/>
      </w:pPr>
      <w:r>
        <w:t>Case Study 1: Young female offender in the higher courts</w:t>
      </w:r>
    </w:p>
    <w:p w14:paraId="7DE0C695" w14:textId="77777777" w:rsidR="001671A3" w:rsidRDefault="001671A3" w:rsidP="001671A3">
      <w:r>
        <w:t xml:space="preserve">The young offender in this case was an 18-year-old Aboriginal woman who had pleaded guilty to home invasion, which is a category B serious youth offence and a category 2 offence. Along with two male co-offenders, she broke into a family’s home while family members slept inside, stole car keys and then stole vehicles. </w:t>
      </w:r>
      <w:r w:rsidRPr="00751AE0">
        <w:t xml:space="preserve">She had a long history of </w:t>
      </w:r>
      <w:r w:rsidRPr="0075170E">
        <w:t>trauma</w:t>
      </w:r>
      <w:r w:rsidRPr="00751AE0">
        <w:t xml:space="preserve">, serious mental health issues and difficult family </w:t>
      </w:r>
      <w:r>
        <w:t xml:space="preserve">circumstances. Also, she had reconnected with her parents prior to sentencing, she had successfully completed a residential rehabilitation program, she was no longer using substances, and she had participated in a Koori Court sentencing conversation. The court found the totality of the circumstances to be substantial, </w:t>
      </w:r>
      <w:r w:rsidRPr="00751AE0">
        <w:t xml:space="preserve">compelling, exceptional and rare, and ordered a 2-year </w:t>
      </w:r>
      <w:r w:rsidRPr="00751AE0">
        <w:lastRenderedPageBreak/>
        <w:t xml:space="preserve">community correction order </w:t>
      </w:r>
      <w:r>
        <w:t>rather than imprisonment, which is otherwise required for a category 2 offence.</w:t>
      </w:r>
    </w:p>
    <w:p w14:paraId="332F4268" w14:textId="77777777" w:rsidR="001671A3" w:rsidRPr="00CF4843" w:rsidRDefault="001671A3" w:rsidP="001671A3">
      <w:pPr>
        <w:jc w:val="right"/>
      </w:pPr>
      <w:r w:rsidRPr="00F56C6C">
        <w:rPr>
          <w:rStyle w:val="Italic"/>
        </w:rPr>
        <w:t xml:space="preserve">DPP v Perry (a pseudonym) </w:t>
      </w:r>
      <w:r>
        <w:t>[2020] VCC 2015</w:t>
      </w:r>
    </w:p>
    <w:p w14:paraId="725A8830" w14:textId="77777777" w:rsidR="001B4B37" w:rsidRDefault="001B4B37" w:rsidP="001B4B37">
      <w:pPr>
        <w:pStyle w:val="Heading1"/>
      </w:pPr>
      <w:bookmarkStart w:id="9" w:name="_Toc233028400"/>
      <w:r>
        <w:t>How were category A and B serious youth offences sentenced?</w:t>
      </w:r>
      <w:bookmarkEnd w:id="9"/>
      <w:r>
        <w:t xml:space="preserve"> </w:t>
      </w:r>
    </w:p>
    <w:p w14:paraId="16279B4B" w14:textId="77777777" w:rsidR="001B4B37" w:rsidRDefault="001B4B37" w:rsidP="00156186">
      <w:r w:rsidRPr="00124D50">
        <w:t xml:space="preserve">The provisions that limit the availability of youth justice centre orders for category A and B </w:t>
      </w:r>
      <w:r>
        <w:t xml:space="preserve">serious youth offences only apply either to cases that have been transferred to the adult courts (for offenders aged 16 or 17) or to cases that must already be heard in the higher </w:t>
      </w:r>
      <w:r w:rsidRPr="00124D50">
        <w:t xml:space="preserve">courts (for offenders aged 18 to 20). The Children’s Court must apply its usual sentencing principles to category A and B offences, including the principle of parsimony, enshrined in section 361 of the </w:t>
      </w:r>
      <w:r w:rsidRPr="00751AE0">
        <w:rPr>
          <w:rStyle w:val="Italic"/>
        </w:rPr>
        <w:t xml:space="preserve">Children, Youth and Families Act 2005 </w:t>
      </w:r>
      <w:r w:rsidRPr="00124D50">
        <w:t>(Vic),</w:t>
      </w:r>
      <w:r w:rsidRPr="003B78C2">
        <w:rPr>
          <w:rStyle w:val="Superscript"/>
        </w:rPr>
        <w:footnoteReference w:id="29"/>
      </w:r>
      <w:r w:rsidRPr="00124D50">
        <w:t xml:space="preserve"> which prevents a court </w:t>
      </w:r>
      <w:r w:rsidRPr="00751AE0">
        <w:t xml:space="preserve">from imposing a more severe penalty if a less severe penalty would be sufficient. The </w:t>
      </w:r>
      <w:r w:rsidRPr="00124D50">
        <w:t xml:space="preserve">Children’s Court cannot impose a youth justice centre order ‘unless it is satisfied that it is </w:t>
      </w:r>
      <w:r>
        <w:t>not appropriate to impose a [less severe] sentence’.</w:t>
      </w:r>
      <w:r w:rsidRPr="003B78C2">
        <w:rPr>
          <w:rStyle w:val="Superscript"/>
        </w:rPr>
        <w:footnoteReference w:id="30"/>
      </w:r>
      <w:r>
        <w:t xml:space="preserve"> Given that sentencing principles, purposes, factors and other legislative requirements differ between the Children’s Court and the adult courts, the sentencing outcomes for category A and B offences are presented separately for each jurisdiction. The sentences imposed should </w:t>
      </w:r>
      <w:r>
        <w:rPr>
          <w:rStyle w:val="Italic"/>
        </w:rPr>
        <w:t xml:space="preserve">not </w:t>
      </w:r>
      <w:r w:rsidRPr="00124D50">
        <w:t xml:space="preserve">be compared between jurisdictions. Sentencing outcomes in the higher courts include </w:t>
      </w:r>
      <w:r w:rsidRPr="00751AE0">
        <w:t xml:space="preserve">cases involving offenders aged 18 to 20 at the time of the offence, whereas outcomes </w:t>
      </w:r>
      <w:r w:rsidRPr="00124D50">
        <w:t xml:space="preserve">in the Children’s Court do not. Further, the very fact that cases involving offenders aged 16 and 17 were uplifted to the higher courts suggests that those cases were different </w:t>
      </w:r>
      <w:r>
        <w:t xml:space="preserve">in nature (were more objectively </w:t>
      </w:r>
      <w:r>
        <w:lastRenderedPageBreak/>
        <w:t>serious and/or had fewer subjective mitigating factors) to the cases involving category A and B offences in the Children’s Court.</w:t>
      </w:r>
    </w:p>
    <w:p w14:paraId="087D377C" w14:textId="77777777" w:rsidR="001B4B37" w:rsidRDefault="001B4B37" w:rsidP="001B4B37">
      <w:pPr>
        <w:pStyle w:val="Heading2"/>
      </w:pPr>
      <w:r>
        <w:t xml:space="preserve">Sentencing outcomes for category A and B offences in the Children’s Court </w:t>
      </w:r>
    </w:p>
    <w:p w14:paraId="46C63C1B" w14:textId="58CE997A" w:rsidR="001B4B37" w:rsidRDefault="001B4B37" w:rsidP="00156186">
      <w:r>
        <w:t>In the Children’s Court, 32% of category A and B serious youth offences resulted in a sentence of detention in a youth justice centre (Figure 3). Custodial rates were highest for children sentenced for intentionally causing serious injury in circumstances of gross violence (73%), aggravated home invasion (37%) and aggravated carjacking (35%), all category A offences. Other sentencing outcomes for category A and B offences included youth attendance or youth supervision orders (35%),</w:t>
      </w:r>
      <w:r>
        <w:rPr>
          <w:rStyle w:val="Superscript"/>
        </w:rPr>
        <w:footnoteReference w:id="31"/>
      </w:r>
      <w:r>
        <w:t xml:space="preserve"> probation (15%), youth diversion (10%),</w:t>
      </w:r>
      <w:r>
        <w:rPr>
          <w:rStyle w:val="Superscript"/>
        </w:rPr>
        <w:footnoteReference w:id="32"/>
      </w:r>
      <w:r>
        <w:t xml:space="preserve"> good behaviour bonds (8%) and accountable undertakings (&lt;1%).</w:t>
      </w:r>
    </w:p>
    <w:p w14:paraId="760656D4" w14:textId="77777777" w:rsidR="002E3907" w:rsidRPr="002E6A34" w:rsidRDefault="002E3907" w:rsidP="00FF51B5">
      <w:pPr>
        <w:pStyle w:val="IntenseQuote"/>
      </w:pPr>
      <w:r w:rsidRPr="002E6A34">
        <w:t>32% of category A and B offences received custodial sentences in the Children’s Court</w:t>
      </w:r>
    </w:p>
    <w:p w14:paraId="743940A7" w14:textId="77777777" w:rsidR="002429C7" w:rsidRPr="003B78C2" w:rsidRDefault="002429C7" w:rsidP="003B78C2">
      <w:pPr>
        <w:pStyle w:val="Caption"/>
        <w:sectPr w:rsidR="002429C7" w:rsidRPr="003B78C2" w:rsidSect="00D6349A">
          <w:headerReference w:type="default" r:id="rId8"/>
          <w:footerReference w:type="default" r:id="rId9"/>
          <w:pgSz w:w="11906" w:h="16838"/>
          <w:pgMar w:top="1440" w:right="1440" w:bottom="1440" w:left="1440" w:header="720" w:footer="720" w:gutter="0"/>
          <w:cols w:space="720"/>
          <w:noEndnote/>
          <w:docGrid w:linePitch="326"/>
        </w:sectPr>
      </w:pPr>
    </w:p>
    <w:p w14:paraId="3DFCAA28" w14:textId="77777777" w:rsidR="001B4B37" w:rsidRPr="00FF51B5" w:rsidRDefault="001B4B37" w:rsidP="003B78C2">
      <w:pPr>
        <w:pStyle w:val="Caption"/>
      </w:pPr>
      <w:r w:rsidRPr="003B78C2">
        <w:lastRenderedPageBreak/>
        <w:t>Figure 3</w:t>
      </w:r>
      <w:r w:rsidRPr="00FF51B5">
        <w:t>: Sentence types imposed for category A and B serious youth offences in the Children’s Court, 26 February 2018 to 30 June 2024 (342 charges)</w:t>
      </w:r>
    </w:p>
    <w:tbl>
      <w:tblPr>
        <w:tblStyle w:val="Table"/>
        <w:tblW w:w="5000" w:type="pct"/>
        <w:tblLayout w:type="fixed"/>
        <w:tblLook w:val="04A0" w:firstRow="1" w:lastRow="0" w:firstColumn="1" w:lastColumn="0" w:noHBand="0" w:noVBand="1"/>
      </w:tblPr>
      <w:tblGrid>
        <w:gridCol w:w="2122"/>
        <w:gridCol w:w="1363"/>
        <w:gridCol w:w="1743"/>
        <w:gridCol w:w="1744"/>
        <w:gridCol w:w="1744"/>
        <w:gridCol w:w="1744"/>
        <w:gridCol w:w="1744"/>
        <w:gridCol w:w="1744"/>
      </w:tblGrid>
      <w:tr w:rsidR="00FF51B5" w:rsidRPr="00FF51B5" w14:paraId="42189058" w14:textId="77777777" w:rsidTr="00561750">
        <w:trPr>
          <w:trHeight w:val="312"/>
        </w:trPr>
        <w:tc>
          <w:tcPr>
            <w:tcW w:w="761" w:type="pct"/>
            <w:noWrap/>
            <w:hideMark/>
          </w:tcPr>
          <w:p w14:paraId="39EF2428" w14:textId="4B25AB17" w:rsidR="00FF51B5" w:rsidRPr="00FF51B5" w:rsidRDefault="007220B8" w:rsidP="005E12E2">
            <w:pPr>
              <w:pStyle w:val="TableHeading"/>
            </w:pPr>
            <w:r>
              <w:t>Offence</w:t>
            </w:r>
          </w:p>
        </w:tc>
        <w:tc>
          <w:tcPr>
            <w:tcW w:w="489" w:type="pct"/>
            <w:noWrap/>
            <w:hideMark/>
          </w:tcPr>
          <w:p w14:paraId="264AD5D2" w14:textId="77777777" w:rsidR="00FF51B5" w:rsidRPr="00CF6FA9" w:rsidRDefault="00FF51B5" w:rsidP="005E12E2">
            <w:pPr>
              <w:pStyle w:val="TableHeading"/>
            </w:pPr>
            <w:r w:rsidRPr="00CF6FA9">
              <w:t>Youth justice centre order</w:t>
            </w:r>
          </w:p>
        </w:tc>
        <w:tc>
          <w:tcPr>
            <w:tcW w:w="625" w:type="pct"/>
            <w:noWrap/>
            <w:hideMark/>
          </w:tcPr>
          <w:p w14:paraId="1FF9911D" w14:textId="5F56AF02" w:rsidR="00FF51B5" w:rsidRPr="00CF6FA9" w:rsidRDefault="00FF51B5" w:rsidP="005E12E2">
            <w:pPr>
              <w:pStyle w:val="TableHeading"/>
            </w:pPr>
            <w:r w:rsidRPr="00CF6FA9">
              <w:t>Youth supervision</w:t>
            </w:r>
            <w:r w:rsidR="007E1031">
              <w:t xml:space="preserve"> order or youth </w:t>
            </w:r>
            <w:r w:rsidRPr="00CF6FA9">
              <w:t>attendance order</w:t>
            </w:r>
          </w:p>
        </w:tc>
        <w:tc>
          <w:tcPr>
            <w:tcW w:w="625" w:type="pct"/>
            <w:noWrap/>
            <w:hideMark/>
          </w:tcPr>
          <w:p w14:paraId="4440C560" w14:textId="77777777" w:rsidR="00FF51B5" w:rsidRPr="00CF6FA9" w:rsidRDefault="00FF51B5" w:rsidP="005E12E2">
            <w:pPr>
              <w:pStyle w:val="TableHeading"/>
            </w:pPr>
            <w:r w:rsidRPr="00CF6FA9">
              <w:t>Probation</w:t>
            </w:r>
          </w:p>
        </w:tc>
        <w:tc>
          <w:tcPr>
            <w:tcW w:w="625" w:type="pct"/>
            <w:noWrap/>
            <w:hideMark/>
          </w:tcPr>
          <w:p w14:paraId="03E0C46D" w14:textId="77777777" w:rsidR="00FF51B5" w:rsidRPr="00CF6FA9" w:rsidRDefault="00FF51B5" w:rsidP="005E12E2">
            <w:pPr>
              <w:pStyle w:val="TableHeading"/>
            </w:pPr>
            <w:r w:rsidRPr="00CF6FA9">
              <w:t>Good behaviour bond</w:t>
            </w:r>
          </w:p>
        </w:tc>
        <w:tc>
          <w:tcPr>
            <w:tcW w:w="625" w:type="pct"/>
            <w:noWrap/>
            <w:hideMark/>
          </w:tcPr>
          <w:p w14:paraId="60DC4730" w14:textId="77777777" w:rsidR="00FF51B5" w:rsidRPr="00CF6FA9" w:rsidRDefault="00FF51B5" w:rsidP="005E12E2">
            <w:pPr>
              <w:pStyle w:val="TableHeading"/>
            </w:pPr>
            <w:r w:rsidRPr="00CF6FA9">
              <w:t>Accountable undertaking</w:t>
            </w:r>
          </w:p>
        </w:tc>
        <w:tc>
          <w:tcPr>
            <w:tcW w:w="625" w:type="pct"/>
            <w:noWrap/>
            <w:hideMark/>
          </w:tcPr>
          <w:p w14:paraId="7DA3E21D" w14:textId="77777777" w:rsidR="00FF51B5" w:rsidRPr="00CF6FA9" w:rsidRDefault="00FF51B5" w:rsidP="005E12E2">
            <w:pPr>
              <w:pStyle w:val="TableHeading"/>
            </w:pPr>
            <w:r w:rsidRPr="00CF6FA9">
              <w:t>Diversion</w:t>
            </w:r>
          </w:p>
        </w:tc>
        <w:tc>
          <w:tcPr>
            <w:tcW w:w="625" w:type="pct"/>
            <w:noWrap/>
            <w:hideMark/>
          </w:tcPr>
          <w:p w14:paraId="13265F09" w14:textId="49E3D95C" w:rsidR="00FF51B5" w:rsidRPr="00CF6FA9" w:rsidRDefault="000872ED" w:rsidP="005E12E2">
            <w:pPr>
              <w:pStyle w:val="TableHeading"/>
            </w:pPr>
            <w:r>
              <w:t>Percentage</w:t>
            </w:r>
            <w:r w:rsidR="00FF51B5" w:rsidRPr="00CF6FA9">
              <w:t xml:space="preserve"> custodial</w:t>
            </w:r>
            <w:r>
              <w:t xml:space="preserve"> sentences</w:t>
            </w:r>
          </w:p>
        </w:tc>
      </w:tr>
      <w:tr w:rsidR="00FF51B5" w:rsidRPr="00FF51B5" w14:paraId="3261F126" w14:textId="77777777" w:rsidTr="00561750">
        <w:trPr>
          <w:trHeight w:val="312"/>
        </w:trPr>
        <w:tc>
          <w:tcPr>
            <w:tcW w:w="761" w:type="pct"/>
            <w:noWrap/>
            <w:hideMark/>
          </w:tcPr>
          <w:p w14:paraId="43666306" w14:textId="1A8D0C45" w:rsidR="00FF51B5" w:rsidRPr="00CF6FA9" w:rsidRDefault="00381F52" w:rsidP="00652DBC">
            <w:pPr>
              <w:pStyle w:val="TableBody"/>
            </w:pPr>
            <w:r>
              <w:t xml:space="preserve">Recklessly causing serious injury in circumstances of gross violence </w:t>
            </w:r>
            <w:r w:rsidR="00FF51B5" w:rsidRPr="00CF6FA9">
              <w:t>(</w:t>
            </w:r>
            <w:r w:rsidR="009A6C5D">
              <w:t xml:space="preserve">category </w:t>
            </w:r>
            <w:r w:rsidR="00FF51B5" w:rsidRPr="00CF6FA9">
              <w:t>B)</w:t>
            </w:r>
          </w:p>
        </w:tc>
        <w:tc>
          <w:tcPr>
            <w:tcW w:w="489" w:type="pct"/>
            <w:noWrap/>
            <w:hideMark/>
          </w:tcPr>
          <w:p w14:paraId="49F1BBF7" w14:textId="77777777" w:rsidR="00FF51B5" w:rsidRPr="00CF6FA9" w:rsidRDefault="00FF51B5" w:rsidP="00652DBC">
            <w:pPr>
              <w:pStyle w:val="TableBody"/>
            </w:pPr>
            <w:r w:rsidRPr="00CF6FA9">
              <w:t>2</w:t>
            </w:r>
          </w:p>
        </w:tc>
        <w:tc>
          <w:tcPr>
            <w:tcW w:w="625" w:type="pct"/>
            <w:noWrap/>
            <w:hideMark/>
          </w:tcPr>
          <w:p w14:paraId="59C4C3F4" w14:textId="77777777" w:rsidR="00FF51B5" w:rsidRPr="00CF6FA9" w:rsidRDefault="00FF51B5" w:rsidP="00652DBC">
            <w:pPr>
              <w:pStyle w:val="TableBody"/>
            </w:pPr>
            <w:r w:rsidRPr="00CF6FA9">
              <w:t>4</w:t>
            </w:r>
          </w:p>
        </w:tc>
        <w:tc>
          <w:tcPr>
            <w:tcW w:w="625" w:type="pct"/>
            <w:noWrap/>
            <w:hideMark/>
          </w:tcPr>
          <w:p w14:paraId="6C9E3D95" w14:textId="774594C1" w:rsidR="00FF51B5" w:rsidRPr="00CF6FA9" w:rsidRDefault="00FF51B5" w:rsidP="00652DBC">
            <w:pPr>
              <w:pStyle w:val="TableBody"/>
            </w:pPr>
          </w:p>
        </w:tc>
        <w:tc>
          <w:tcPr>
            <w:tcW w:w="625" w:type="pct"/>
            <w:noWrap/>
            <w:hideMark/>
          </w:tcPr>
          <w:p w14:paraId="0DAD6415" w14:textId="77777777" w:rsidR="00FF51B5" w:rsidRPr="00CF6FA9" w:rsidRDefault="00FF51B5" w:rsidP="00652DBC">
            <w:pPr>
              <w:pStyle w:val="TableBody"/>
            </w:pPr>
            <w:r w:rsidRPr="00CF6FA9">
              <w:t>0</w:t>
            </w:r>
          </w:p>
        </w:tc>
        <w:tc>
          <w:tcPr>
            <w:tcW w:w="625" w:type="pct"/>
            <w:noWrap/>
            <w:hideMark/>
          </w:tcPr>
          <w:p w14:paraId="4FE54348" w14:textId="77777777" w:rsidR="00FF51B5" w:rsidRPr="00CF6FA9" w:rsidRDefault="00FF51B5" w:rsidP="00652DBC">
            <w:pPr>
              <w:pStyle w:val="TableBody"/>
            </w:pPr>
            <w:r w:rsidRPr="00CF6FA9">
              <w:t>0</w:t>
            </w:r>
          </w:p>
        </w:tc>
        <w:tc>
          <w:tcPr>
            <w:tcW w:w="625" w:type="pct"/>
            <w:noWrap/>
            <w:hideMark/>
          </w:tcPr>
          <w:p w14:paraId="29531034" w14:textId="77777777" w:rsidR="00FF51B5" w:rsidRPr="00CF6FA9" w:rsidRDefault="00FF51B5" w:rsidP="00652DBC">
            <w:pPr>
              <w:pStyle w:val="TableBody"/>
            </w:pPr>
            <w:r w:rsidRPr="00CF6FA9">
              <w:t>1</w:t>
            </w:r>
          </w:p>
        </w:tc>
        <w:tc>
          <w:tcPr>
            <w:tcW w:w="625" w:type="pct"/>
            <w:noWrap/>
            <w:hideMark/>
          </w:tcPr>
          <w:p w14:paraId="72A155B5" w14:textId="77777777" w:rsidR="00FF51B5" w:rsidRPr="00CF6FA9" w:rsidRDefault="00FF51B5" w:rsidP="00652DBC">
            <w:pPr>
              <w:pStyle w:val="TableBody"/>
            </w:pPr>
            <w:r w:rsidRPr="00CF6FA9">
              <w:t>29</w:t>
            </w:r>
          </w:p>
        </w:tc>
      </w:tr>
      <w:tr w:rsidR="00FF51B5" w:rsidRPr="00FF51B5" w14:paraId="3D12EB0A" w14:textId="77777777" w:rsidTr="00561750">
        <w:trPr>
          <w:trHeight w:val="312"/>
        </w:trPr>
        <w:tc>
          <w:tcPr>
            <w:tcW w:w="761" w:type="pct"/>
            <w:noWrap/>
            <w:hideMark/>
          </w:tcPr>
          <w:p w14:paraId="726D03F6" w14:textId="71809C39" w:rsidR="00FF51B5" w:rsidRPr="00CF6FA9" w:rsidRDefault="00381F52" w:rsidP="00652DBC">
            <w:pPr>
              <w:pStyle w:val="TableBody"/>
            </w:pPr>
            <w:r>
              <w:t xml:space="preserve">Intentionally causing serious injury in circumstances of gross violence </w:t>
            </w:r>
            <w:r w:rsidR="00FF51B5" w:rsidRPr="00CF6FA9">
              <w:t>(</w:t>
            </w:r>
            <w:r w:rsidR="009A6C5D">
              <w:t xml:space="preserve">category </w:t>
            </w:r>
            <w:r w:rsidR="00FF51B5" w:rsidRPr="00CF6FA9">
              <w:t>A)</w:t>
            </w:r>
          </w:p>
        </w:tc>
        <w:tc>
          <w:tcPr>
            <w:tcW w:w="489" w:type="pct"/>
            <w:noWrap/>
            <w:hideMark/>
          </w:tcPr>
          <w:p w14:paraId="5B3DE74E" w14:textId="77777777" w:rsidR="00FF51B5" w:rsidRPr="00CF6FA9" w:rsidRDefault="00FF51B5" w:rsidP="00652DBC">
            <w:pPr>
              <w:pStyle w:val="TableBody"/>
            </w:pPr>
            <w:r w:rsidRPr="00CF6FA9">
              <w:t>8</w:t>
            </w:r>
          </w:p>
        </w:tc>
        <w:tc>
          <w:tcPr>
            <w:tcW w:w="625" w:type="pct"/>
            <w:noWrap/>
            <w:hideMark/>
          </w:tcPr>
          <w:p w14:paraId="70DF8DC0" w14:textId="77777777" w:rsidR="00FF51B5" w:rsidRPr="00CF6FA9" w:rsidRDefault="00FF51B5" w:rsidP="00652DBC">
            <w:pPr>
              <w:pStyle w:val="TableBody"/>
            </w:pPr>
            <w:r w:rsidRPr="00CF6FA9">
              <w:t>2</w:t>
            </w:r>
          </w:p>
        </w:tc>
        <w:tc>
          <w:tcPr>
            <w:tcW w:w="625" w:type="pct"/>
            <w:noWrap/>
            <w:hideMark/>
          </w:tcPr>
          <w:p w14:paraId="4B4DE69A" w14:textId="77777777" w:rsidR="00FF51B5" w:rsidRPr="00CF6FA9" w:rsidRDefault="00FF51B5" w:rsidP="00652DBC">
            <w:pPr>
              <w:pStyle w:val="TableBody"/>
            </w:pPr>
            <w:r w:rsidRPr="00CF6FA9">
              <w:t>0</w:t>
            </w:r>
          </w:p>
        </w:tc>
        <w:tc>
          <w:tcPr>
            <w:tcW w:w="625" w:type="pct"/>
            <w:noWrap/>
            <w:hideMark/>
          </w:tcPr>
          <w:p w14:paraId="0694727F" w14:textId="77777777" w:rsidR="00FF51B5" w:rsidRPr="00CF6FA9" w:rsidRDefault="00FF51B5" w:rsidP="00652DBC">
            <w:pPr>
              <w:pStyle w:val="TableBody"/>
            </w:pPr>
            <w:r w:rsidRPr="00CF6FA9">
              <w:t>0</w:t>
            </w:r>
          </w:p>
        </w:tc>
        <w:tc>
          <w:tcPr>
            <w:tcW w:w="625" w:type="pct"/>
            <w:noWrap/>
            <w:hideMark/>
          </w:tcPr>
          <w:p w14:paraId="07F92FBB" w14:textId="77777777" w:rsidR="00FF51B5" w:rsidRPr="00CF6FA9" w:rsidRDefault="00FF51B5" w:rsidP="00652DBC">
            <w:pPr>
              <w:pStyle w:val="TableBody"/>
            </w:pPr>
            <w:r w:rsidRPr="00CF6FA9">
              <w:t>0</w:t>
            </w:r>
          </w:p>
        </w:tc>
        <w:tc>
          <w:tcPr>
            <w:tcW w:w="625" w:type="pct"/>
            <w:noWrap/>
            <w:hideMark/>
          </w:tcPr>
          <w:p w14:paraId="7DA8D83F" w14:textId="77777777" w:rsidR="00FF51B5" w:rsidRPr="00CF6FA9" w:rsidRDefault="00FF51B5" w:rsidP="00652DBC">
            <w:pPr>
              <w:pStyle w:val="TableBody"/>
            </w:pPr>
            <w:r w:rsidRPr="00CF6FA9">
              <w:t>1</w:t>
            </w:r>
          </w:p>
        </w:tc>
        <w:tc>
          <w:tcPr>
            <w:tcW w:w="625" w:type="pct"/>
            <w:noWrap/>
            <w:hideMark/>
          </w:tcPr>
          <w:p w14:paraId="517CD562" w14:textId="77777777" w:rsidR="00FF51B5" w:rsidRPr="00CF6FA9" w:rsidRDefault="00FF51B5" w:rsidP="00652DBC">
            <w:pPr>
              <w:pStyle w:val="TableBody"/>
            </w:pPr>
            <w:r w:rsidRPr="00CF6FA9">
              <w:t>73</w:t>
            </w:r>
          </w:p>
        </w:tc>
      </w:tr>
      <w:tr w:rsidR="00FF51B5" w:rsidRPr="00FF51B5" w14:paraId="74F47139" w14:textId="77777777" w:rsidTr="00561750">
        <w:trPr>
          <w:trHeight w:val="312"/>
        </w:trPr>
        <w:tc>
          <w:tcPr>
            <w:tcW w:w="761" w:type="pct"/>
            <w:noWrap/>
            <w:hideMark/>
          </w:tcPr>
          <w:p w14:paraId="19CFC1B1" w14:textId="09228C43" w:rsidR="00FF51B5" w:rsidRPr="00CF6FA9" w:rsidRDefault="00FF51B5" w:rsidP="00652DBC">
            <w:pPr>
              <w:pStyle w:val="TableBody"/>
            </w:pPr>
            <w:r w:rsidRPr="00CF6FA9">
              <w:t>Rape (</w:t>
            </w:r>
            <w:r w:rsidR="009A6C5D">
              <w:t xml:space="preserve">category </w:t>
            </w:r>
            <w:r w:rsidRPr="00CF6FA9">
              <w:t>B)</w:t>
            </w:r>
          </w:p>
        </w:tc>
        <w:tc>
          <w:tcPr>
            <w:tcW w:w="489" w:type="pct"/>
            <w:noWrap/>
            <w:hideMark/>
          </w:tcPr>
          <w:p w14:paraId="52465BB9" w14:textId="77777777" w:rsidR="00FF51B5" w:rsidRPr="00CF6FA9" w:rsidRDefault="00FF51B5" w:rsidP="00652DBC">
            <w:pPr>
              <w:pStyle w:val="TableBody"/>
            </w:pPr>
            <w:r w:rsidRPr="00CF6FA9">
              <w:t>3</w:t>
            </w:r>
          </w:p>
        </w:tc>
        <w:tc>
          <w:tcPr>
            <w:tcW w:w="625" w:type="pct"/>
            <w:noWrap/>
            <w:hideMark/>
          </w:tcPr>
          <w:p w14:paraId="7039996D" w14:textId="77777777" w:rsidR="00FF51B5" w:rsidRPr="00CF6FA9" w:rsidRDefault="00FF51B5" w:rsidP="00652DBC">
            <w:pPr>
              <w:pStyle w:val="TableBody"/>
            </w:pPr>
            <w:r w:rsidRPr="00CF6FA9">
              <w:t>12</w:t>
            </w:r>
          </w:p>
        </w:tc>
        <w:tc>
          <w:tcPr>
            <w:tcW w:w="625" w:type="pct"/>
            <w:noWrap/>
            <w:hideMark/>
          </w:tcPr>
          <w:p w14:paraId="6CBFE6E7" w14:textId="77777777" w:rsidR="00FF51B5" w:rsidRPr="00CF6FA9" w:rsidRDefault="00FF51B5" w:rsidP="00652DBC">
            <w:pPr>
              <w:pStyle w:val="TableBody"/>
            </w:pPr>
            <w:r w:rsidRPr="00CF6FA9">
              <w:t>2</w:t>
            </w:r>
          </w:p>
        </w:tc>
        <w:tc>
          <w:tcPr>
            <w:tcW w:w="625" w:type="pct"/>
            <w:noWrap/>
            <w:hideMark/>
          </w:tcPr>
          <w:p w14:paraId="190A12F2" w14:textId="77777777" w:rsidR="00FF51B5" w:rsidRPr="00CF6FA9" w:rsidRDefault="00FF51B5" w:rsidP="00652DBC">
            <w:pPr>
              <w:pStyle w:val="TableBody"/>
            </w:pPr>
            <w:r w:rsidRPr="00CF6FA9">
              <w:t>1</w:t>
            </w:r>
          </w:p>
        </w:tc>
        <w:tc>
          <w:tcPr>
            <w:tcW w:w="625" w:type="pct"/>
            <w:noWrap/>
            <w:hideMark/>
          </w:tcPr>
          <w:p w14:paraId="32859E77" w14:textId="77777777" w:rsidR="00FF51B5" w:rsidRPr="00CF6FA9" w:rsidRDefault="00FF51B5" w:rsidP="00652DBC">
            <w:pPr>
              <w:pStyle w:val="TableBody"/>
            </w:pPr>
            <w:r w:rsidRPr="00CF6FA9">
              <w:t>0</w:t>
            </w:r>
          </w:p>
        </w:tc>
        <w:tc>
          <w:tcPr>
            <w:tcW w:w="625" w:type="pct"/>
            <w:noWrap/>
            <w:hideMark/>
          </w:tcPr>
          <w:p w14:paraId="4B1CF8D2" w14:textId="77777777" w:rsidR="00FF51B5" w:rsidRPr="00CF6FA9" w:rsidRDefault="00FF51B5" w:rsidP="00652DBC">
            <w:pPr>
              <w:pStyle w:val="TableBody"/>
            </w:pPr>
            <w:r w:rsidRPr="00CF6FA9">
              <w:t>1</w:t>
            </w:r>
          </w:p>
        </w:tc>
        <w:tc>
          <w:tcPr>
            <w:tcW w:w="625" w:type="pct"/>
            <w:noWrap/>
            <w:hideMark/>
          </w:tcPr>
          <w:p w14:paraId="318275F8" w14:textId="77777777" w:rsidR="00FF51B5" w:rsidRPr="00CF6FA9" w:rsidRDefault="00FF51B5" w:rsidP="00652DBC">
            <w:pPr>
              <w:pStyle w:val="TableBody"/>
            </w:pPr>
            <w:r w:rsidRPr="00CF6FA9">
              <w:t>16</w:t>
            </w:r>
          </w:p>
        </w:tc>
      </w:tr>
      <w:tr w:rsidR="00FF51B5" w:rsidRPr="00FF51B5" w14:paraId="0D36C145" w14:textId="77777777" w:rsidTr="00561750">
        <w:trPr>
          <w:trHeight w:val="312"/>
        </w:trPr>
        <w:tc>
          <w:tcPr>
            <w:tcW w:w="761" w:type="pct"/>
            <w:noWrap/>
            <w:hideMark/>
          </w:tcPr>
          <w:p w14:paraId="60A89882" w14:textId="0D6BAEE0" w:rsidR="00FF51B5" w:rsidRPr="00CF6FA9" w:rsidRDefault="00FF51B5" w:rsidP="00652DBC">
            <w:pPr>
              <w:pStyle w:val="TableBody"/>
            </w:pPr>
            <w:r w:rsidRPr="00CF6FA9">
              <w:t>Aggravated home invasion (</w:t>
            </w:r>
            <w:r w:rsidR="009A6C5D">
              <w:t xml:space="preserve">category </w:t>
            </w:r>
            <w:r w:rsidRPr="00CF6FA9">
              <w:t>A)</w:t>
            </w:r>
          </w:p>
        </w:tc>
        <w:tc>
          <w:tcPr>
            <w:tcW w:w="489" w:type="pct"/>
            <w:noWrap/>
            <w:hideMark/>
          </w:tcPr>
          <w:p w14:paraId="3EEF965B" w14:textId="77777777" w:rsidR="00FF51B5" w:rsidRPr="00CF6FA9" w:rsidRDefault="00FF51B5" w:rsidP="00652DBC">
            <w:pPr>
              <w:pStyle w:val="TableBody"/>
            </w:pPr>
            <w:r w:rsidRPr="00CF6FA9">
              <w:t>17</w:t>
            </w:r>
          </w:p>
        </w:tc>
        <w:tc>
          <w:tcPr>
            <w:tcW w:w="625" w:type="pct"/>
            <w:noWrap/>
            <w:hideMark/>
          </w:tcPr>
          <w:p w14:paraId="086806D1" w14:textId="77777777" w:rsidR="00FF51B5" w:rsidRPr="00CF6FA9" w:rsidRDefault="00FF51B5" w:rsidP="00652DBC">
            <w:pPr>
              <w:pStyle w:val="TableBody"/>
            </w:pPr>
            <w:r w:rsidRPr="00CF6FA9">
              <w:t>16</w:t>
            </w:r>
          </w:p>
        </w:tc>
        <w:tc>
          <w:tcPr>
            <w:tcW w:w="625" w:type="pct"/>
            <w:noWrap/>
            <w:hideMark/>
          </w:tcPr>
          <w:p w14:paraId="19DA26AB" w14:textId="77777777" w:rsidR="00FF51B5" w:rsidRPr="00CF6FA9" w:rsidRDefault="00FF51B5" w:rsidP="00652DBC">
            <w:pPr>
              <w:pStyle w:val="TableBody"/>
            </w:pPr>
            <w:r w:rsidRPr="00CF6FA9">
              <w:t>6</w:t>
            </w:r>
          </w:p>
        </w:tc>
        <w:tc>
          <w:tcPr>
            <w:tcW w:w="625" w:type="pct"/>
            <w:noWrap/>
            <w:hideMark/>
          </w:tcPr>
          <w:p w14:paraId="610A1E13" w14:textId="77777777" w:rsidR="00FF51B5" w:rsidRPr="00CF6FA9" w:rsidRDefault="00FF51B5" w:rsidP="00652DBC">
            <w:pPr>
              <w:pStyle w:val="TableBody"/>
            </w:pPr>
            <w:r w:rsidRPr="00CF6FA9">
              <w:t>3</w:t>
            </w:r>
          </w:p>
        </w:tc>
        <w:tc>
          <w:tcPr>
            <w:tcW w:w="625" w:type="pct"/>
            <w:noWrap/>
            <w:hideMark/>
          </w:tcPr>
          <w:p w14:paraId="5C30A255" w14:textId="77777777" w:rsidR="00FF51B5" w:rsidRPr="00CF6FA9" w:rsidRDefault="00FF51B5" w:rsidP="00652DBC">
            <w:pPr>
              <w:pStyle w:val="TableBody"/>
            </w:pPr>
            <w:r w:rsidRPr="00CF6FA9">
              <w:t>0</w:t>
            </w:r>
          </w:p>
        </w:tc>
        <w:tc>
          <w:tcPr>
            <w:tcW w:w="625" w:type="pct"/>
            <w:noWrap/>
            <w:hideMark/>
          </w:tcPr>
          <w:p w14:paraId="50D07224" w14:textId="77777777" w:rsidR="00FF51B5" w:rsidRPr="00CF6FA9" w:rsidRDefault="00FF51B5" w:rsidP="00652DBC">
            <w:pPr>
              <w:pStyle w:val="TableBody"/>
            </w:pPr>
            <w:r w:rsidRPr="00CF6FA9">
              <w:t>4</w:t>
            </w:r>
          </w:p>
        </w:tc>
        <w:tc>
          <w:tcPr>
            <w:tcW w:w="625" w:type="pct"/>
            <w:noWrap/>
            <w:hideMark/>
          </w:tcPr>
          <w:p w14:paraId="67B7B20E" w14:textId="77777777" w:rsidR="00FF51B5" w:rsidRPr="00CF6FA9" w:rsidRDefault="00FF51B5" w:rsidP="00652DBC">
            <w:pPr>
              <w:pStyle w:val="TableBody"/>
            </w:pPr>
            <w:r w:rsidRPr="00CF6FA9">
              <w:t>37</w:t>
            </w:r>
          </w:p>
        </w:tc>
      </w:tr>
      <w:tr w:rsidR="00FF51B5" w:rsidRPr="00FF51B5" w14:paraId="334F0EF9" w14:textId="77777777" w:rsidTr="00561750">
        <w:trPr>
          <w:trHeight w:val="312"/>
        </w:trPr>
        <w:tc>
          <w:tcPr>
            <w:tcW w:w="761" w:type="pct"/>
            <w:noWrap/>
            <w:hideMark/>
          </w:tcPr>
          <w:p w14:paraId="08A1230D" w14:textId="77207441" w:rsidR="00FF51B5" w:rsidRPr="00CF6FA9" w:rsidRDefault="00FF51B5" w:rsidP="00652DBC">
            <w:pPr>
              <w:pStyle w:val="TableBody"/>
            </w:pPr>
            <w:r w:rsidRPr="00CF6FA9">
              <w:t>Carjacking (</w:t>
            </w:r>
            <w:r w:rsidR="009A6C5D">
              <w:t xml:space="preserve">category </w:t>
            </w:r>
            <w:r w:rsidRPr="00CF6FA9">
              <w:t>B)</w:t>
            </w:r>
          </w:p>
        </w:tc>
        <w:tc>
          <w:tcPr>
            <w:tcW w:w="489" w:type="pct"/>
            <w:noWrap/>
            <w:hideMark/>
          </w:tcPr>
          <w:p w14:paraId="28CA58EE" w14:textId="77777777" w:rsidR="00FF51B5" w:rsidRPr="00CF6FA9" w:rsidRDefault="00FF51B5" w:rsidP="00652DBC">
            <w:pPr>
              <w:pStyle w:val="TableBody"/>
            </w:pPr>
            <w:r w:rsidRPr="00CF6FA9">
              <w:t>13</w:t>
            </w:r>
          </w:p>
        </w:tc>
        <w:tc>
          <w:tcPr>
            <w:tcW w:w="625" w:type="pct"/>
            <w:noWrap/>
            <w:hideMark/>
          </w:tcPr>
          <w:p w14:paraId="75C26691" w14:textId="77777777" w:rsidR="00FF51B5" w:rsidRPr="00CF6FA9" w:rsidRDefault="00FF51B5" w:rsidP="00652DBC">
            <w:pPr>
              <w:pStyle w:val="TableBody"/>
            </w:pPr>
            <w:r w:rsidRPr="00CF6FA9">
              <w:t>25</w:t>
            </w:r>
          </w:p>
        </w:tc>
        <w:tc>
          <w:tcPr>
            <w:tcW w:w="625" w:type="pct"/>
            <w:noWrap/>
            <w:hideMark/>
          </w:tcPr>
          <w:p w14:paraId="3DE5CD26" w14:textId="77777777" w:rsidR="00FF51B5" w:rsidRPr="00CF6FA9" w:rsidRDefault="00FF51B5" w:rsidP="00652DBC">
            <w:pPr>
              <w:pStyle w:val="TableBody"/>
            </w:pPr>
            <w:r w:rsidRPr="00CF6FA9">
              <w:t>10</w:t>
            </w:r>
          </w:p>
        </w:tc>
        <w:tc>
          <w:tcPr>
            <w:tcW w:w="625" w:type="pct"/>
            <w:noWrap/>
            <w:hideMark/>
          </w:tcPr>
          <w:p w14:paraId="33FC0A0A" w14:textId="77777777" w:rsidR="00FF51B5" w:rsidRPr="00CF6FA9" w:rsidRDefault="00FF51B5" w:rsidP="00652DBC">
            <w:pPr>
              <w:pStyle w:val="TableBody"/>
            </w:pPr>
            <w:r w:rsidRPr="00CF6FA9">
              <w:t>10</w:t>
            </w:r>
          </w:p>
        </w:tc>
        <w:tc>
          <w:tcPr>
            <w:tcW w:w="625" w:type="pct"/>
            <w:noWrap/>
            <w:hideMark/>
          </w:tcPr>
          <w:p w14:paraId="6719F64D" w14:textId="77777777" w:rsidR="00FF51B5" w:rsidRPr="00CF6FA9" w:rsidRDefault="00FF51B5" w:rsidP="00652DBC">
            <w:pPr>
              <w:pStyle w:val="TableBody"/>
            </w:pPr>
            <w:r w:rsidRPr="00CF6FA9">
              <w:t>0</w:t>
            </w:r>
          </w:p>
        </w:tc>
        <w:tc>
          <w:tcPr>
            <w:tcW w:w="625" w:type="pct"/>
            <w:noWrap/>
            <w:hideMark/>
          </w:tcPr>
          <w:p w14:paraId="6A0ACB8D" w14:textId="77777777" w:rsidR="00FF51B5" w:rsidRPr="00CF6FA9" w:rsidRDefault="00FF51B5" w:rsidP="00652DBC">
            <w:pPr>
              <w:pStyle w:val="TableBody"/>
            </w:pPr>
            <w:r w:rsidRPr="00CF6FA9">
              <w:t>8</w:t>
            </w:r>
          </w:p>
        </w:tc>
        <w:tc>
          <w:tcPr>
            <w:tcW w:w="625" w:type="pct"/>
            <w:noWrap/>
            <w:hideMark/>
          </w:tcPr>
          <w:p w14:paraId="3B2FC96C" w14:textId="77777777" w:rsidR="00FF51B5" w:rsidRPr="00CF6FA9" w:rsidRDefault="00FF51B5" w:rsidP="00652DBC">
            <w:pPr>
              <w:pStyle w:val="TableBody"/>
            </w:pPr>
            <w:r w:rsidRPr="00CF6FA9">
              <w:t>20</w:t>
            </w:r>
          </w:p>
        </w:tc>
      </w:tr>
      <w:tr w:rsidR="00FF51B5" w:rsidRPr="00FF51B5" w14:paraId="3986D1D0" w14:textId="77777777" w:rsidTr="00561750">
        <w:trPr>
          <w:trHeight w:val="312"/>
        </w:trPr>
        <w:tc>
          <w:tcPr>
            <w:tcW w:w="761" w:type="pct"/>
            <w:noWrap/>
            <w:hideMark/>
          </w:tcPr>
          <w:p w14:paraId="7AFE3F05" w14:textId="3318DA40" w:rsidR="00FF51B5" w:rsidRPr="00CF6FA9" w:rsidRDefault="00FF51B5" w:rsidP="00652DBC">
            <w:pPr>
              <w:pStyle w:val="TableBody"/>
            </w:pPr>
            <w:r w:rsidRPr="00CF6FA9">
              <w:t>Aggravated carjacking (</w:t>
            </w:r>
            <w:r w:rsidR="009A6C5D">
              <w:t xml:space="preserve">category </w:t>
            </w:r>
            <w:r w:rsidRPr="00CF6FA9">
              <w:t>A)</w:t>
            </w:r>
          </w:p>
        </w:tc>
        <w:tc>
          <w:tcPr>
            <w:tcW w:w="489" w:type="pct"/>
            <w:noWrap/>
            <w:hideMark/>
          </w:tcPr>
          <w:p w14:paraId="06C4977C" w14:textId="77777777" w:rsidR="00FF51B5" w:rsidRPr="00CF6FA9" w:rsidRDefault="00FF51B5" w:rsidP="00652DBC">
            <w:pPr>
              <w:pStyle w:val="TableBody"/>
            </w:pPr>
            <w:r w:rsidRPr="00CF6FA9">
              <w:t>27</w:t>
            </w:r>
          </w:p>
        </w:tc>
        <w:tc>
          <w:tcPr>
            <w:tcW w:w="625" w:type="pct"/>
            <w:noWrap/>
            <w:hideMark/>
          </w:tcPr>
          <w:p w14:paraId="3EF41C7B" w14:textId="77777777" w:rsidR="00FF51B5" w:rsidRPr="00CF6FA9" w:rsidRDefault="00FF51B5" w:rsidP="00652DBC">
            <w:pPr>
              <w:pStyle w:val="TableBody"/>
            </w:pPr>
            <w:r w:rsidRPr="00CF6FA9">
              <w:t>33</w:t>
            </w:r>
          </w:p>
        </w:tc>
        <w:tc>
          <w:tcPr>
            <w:tcW w:w="625" w:type="pct"/>
            <w:noWrap/>
            <w:hideMark/>
          </w:tcPr>
          <w:p w14:paraId="35F56982" w14:textId="77777777" w:rsidR="00FF51B5" w:rsidRPr="00CF6FA9" w:rsidRDefault="00FF51B5" w:rsidP="00652DBC">
            <w:pPr>
              <w:pStyle w:val="TableBody"/>
            </w:pPr>
            <w:r w:rsidRPr="00CF6FA9">
              <w:t>11</w:t>
            </w:r>
          </w:p>
        </w:tc>
        <w:tc>
          <w:tcPr>
            <w:tcW w:w="625" w:type="pct"/>
            <w:noWrap/>
            <w:hideMark/>
          </w:tcPr>
          <w:p w14:paraId="22DD7D5D" w14:textId="77777777" w:rsidR="00FF51B5" w:rsidRPr="00CF6FA9" w:rsidRDefault="00FF51B5" w:rsidP="00652DBC">
            <w:pPr>
              <w:pStyle w:val="TableBody"/>
            </w:pPr>
            <w:r w:rsidRPr="00CF6FA9">
              <w:t>4</w:t>
            </w:r>
          </w:p>
        </w:tc>
        <w:tc>
          <w:tcPr>
            <w:tcW w:w="625" w:type="pct"/>
            <w:noWrap/>
            <w:hideMark/>
          </w:tcPr>
          <w:p w14:paraId="261F2A29" w14:textId="77777777" w:rsidR="00FF51B5" w:rsidRPr="00CF6FA9" w:rsidRDefault="00FF51B5" w:rsidP="00652DBC">
            <w:pPr>
              <w:pStyle w:val="TableBody"/>
            </w:pPr>
            <w:r w:rsidRPr="00CF6FA9">
              <w:t>0</w:t>
            </w:r>
          </w:p>
        </w:tc>
        <w:tc>
          <w:tcPr>
            <w:tcW w:w="625" w:type="pct"/>
            <w:noWrap/>
            <w:hideMark/>
          </w:tcPr>
          <w:p w14:paraId="14A1246A" w14:textId="77777777" w:rsidR="00FF51B5" w:rsidRPr="00CF6FA9" w:rsidRDefault="00FF51B5" w:rsidP="00652DBC">
            <w:pPr>
              <w:pStyle w:val="TableBody"/>
            </w:pPr>
            <w:r w:rsidRPr="00CF6FA9">
              <w:t>2</w:t>
            </w:r>
          </w:p>
        </w:tc>
        <w:tc>
          <w:tcPr>
            <w:tcW w:w="625" w:type="pct"/>
            <w:noWrap/>
            <w:hideMark/>
          </w:tcPr>
          <w:p w14:paraId="04FEAEDC" w14:textId="77777777" w:rsidR="00FF51B5" w:rsidRPr="00CF6FA9" w:rsidRDefault="00FF51B5" w:rsidP="00652DBC">
            <w:pPr>
              <w:pStyle w:val="TableBody"/>
            </w:pPr>
            <w:r w:rsidRPr="00CF6FA9">
              <w:t>35</w:t>
            </w:r>
          </w:p>
        </w:tc>
      </w:tr>
      <w:tr w:rsidR="00FF51B5" w:rsidRPr="00FF51B5" w14:paraId="18613A7D" w14:textId="77777777" w:rsidTr="00561750">
        <w:trPr>
          <w:trHeight w:val="312"/>
        </w:trPr>
        <w:tc>
          <w:tcPr>
            <w:tcW w:w="761" w:type="pct"/>
            <w:noWrap/>
            <w:hideMark/>
          </w:tcPr>
          <w:p w14:paraId="042BF2A1" w14:textId="5B798DCF" w:rsidR="00FF51B5" w:rsidRPr="00CF6FA9" w:rsidRDefault="00FF51B5" w:rsidP="00652DBC">
            <w:pPr>
              <w:pStyle w:val="TableBody"/>
            </w:pPr>
            <w:r w:rsidRPr="00CF6FA9">
              <w:t>Home invasion (</w:t>
            </w:r>
            <w:r w:rsidR="009A6C5D">
              <w:t xml:space="preserve">category </w:t>
            </w:r>
            <w:r w:rsidRPr="00CF6FA9">
              <w:t>B)</w:t>
            </w:r>
          </w:p>
        </w:tc>
        <w:tc>
          <w:tcPr>
            <w:tcW w:w="489" w:type="pct"/>
            <w:noWrap/>
            <w:hideMark/>
          </w:tcPr>
          <w:p w14:paraId="2507CAB4" w14:textId="77777777" w:rsidR="00FF51B5" w:rsidRPr="00CF6FA9" w:rsidRDefault="00FF51B5" w:rsidP="00652DBC">
            <w:pPr>
              <w:pStyle w:val="TableBody"/>
            </w:pPr>
            <w:r w:rsidRPr="00CF6FA9">
              <w:t>40</w:t>
            </w:r>
          </w:p>
        </w:tc>
        <w:tc>
          <w:tcPr>
            <w:tcW w:w="625" w:type="pct"/>
            <w:noWrap/>
            <w:hideMark/>
          </w:tcPr>
          <w:p w14:paraId="36F8286B" w14:textId="77777777" w:rsidR="00FF51B5" w:rsidRPr="00CF6FA9" w:rsidRDefault="00FF51B5" w:rsidP="00652DBC">
            <w:pPr>
              <w:pStyle w:val="TableBody"/>
            </w:pPr>
            <w:r w:rsidRPr="00CF6FA9">
              <w:t>29</w:t>
            </w:r>
          </w:p>
        </w:tc>
        <w:tc>
          <w:tcPr>
            <w:tcW w:w="625" w:type="pct"/>
            <w:noWrap/>
            <w:hideMark/>
          </w:tcPr>
          <w:p w14:paraId="69336038" w14:textId="77777777" w:rsidR="00FF51B5" w:rsidRPr="00CF6FA9" w:rsidRDefault="00FF51B5" w:rsidP="00652DBC">
            <w:pPr>
              <w:pStyle w:val="TableBody"/>
            </w:pPr>
            <w:r w:rsidRPr="00CF6FA9">
              <w:t>21</w:t>
            </w:r>
          </w:p>
        </w:tc>
        <w:tc>
          <w:tcPr>
            <w:tcW w:w="625" w:type="pct"/>
            <w:noWrap/>
            <w:hideMark/>
          </w:tcPr>
          <w:p w14:paraId="72FF2BE4" w14:textId="77777777" w:rsidR="00FF51B5" w:rsidRPr="00CF6FA9" w:rsidRDefault="00FF51B5" w:rsidP="00652DBC">
            <w:pPr>
              <w:pStyle w:val="TableBody"/>
            </w:pPr>
            <w:r w:rsidRPr="00CF6FA9">
              <w:t>9</w:t>
            </w:r>
          </w:p>
        </w:tc>
        <w:tc>
          <w:tcPr>
            <w:tcW w:w="625" w:type="pct"/>
            <w:noWrap/>
            <w:hideMark/>
          </w:tcPr>
          <w:p w14:paraId="4243CB14" w14:textId="77777777" w:rsidR="00FF51B5" w:rsidRPr="00CF6FA9" w:rsidRDefault="00FF51B5" w:rsidP="00652DBC">
            <w:pPr>
              <w:pStyle w:val="TableBody"/>
            </w:pPr>
            <w:r w:rsidRPr="00CF6FA9">
              <w:t>2</w:t>
            </w:r>
          </w:p>
        </w:tc>
        <w:tc>
          <w:tcPr>
            <w:tcW w:w="625" w:type="pct"/>
            <w:noWrap/>
            <w:hideMark/>
          </w:tcPr>
          <w:p w14:paraId="3DD2A4D8" w14:textId="77777777" w:rsidR="00FF51B5" w:rsidRPr="00CF6FA9" w:rsidRDefault="00FF51B5" w:rsidP="00652DBC">
            <w:pPr>
              <w:pStyle w:val="TableBody"/>
            </w:pPr>
            <w:r w:rsidRPr="00CF6FA9">
              <w:t>15</w:t>
            </w:r>
          </w:p>
        </w:tc>
        <w:tc>
          <w:tcPr>
            <w:tcW w:w="625" w:type="pct"/>
            <w:noWrap/>
            <w:hideMark/>
          </w:tcPr>
          <w:p w14:paraId="550ABF7E" w14:textId="77777777" w:rsidR="00FF51B5" w:rsidRPr="00CF6FA9" w:rsidRDefault="00FF51B5" w:rsidP="00652DBC">
            <w:pPr>
              <w:pStyle w:val="TableBody"/>
            </w:pPr>
            <w:r w:rsidRPr="00CF6FA9">
              <w:t>34</w:t>
            </w:r>
          </w:p>
        </w:tc>
      </w:tr>
    </w:tbl>
    <w:p w14:paraId="53723EA1" w14:textId="77777777" w:rsidR="002429C7" w:rsidRDefault="002429C7" w:rsidP="001B4B37">
      <w:pPr>
        <w:sectPr w:rsidR="002429C7" w:rsidSect="002429C7">
          <w:pgSz w:w="16838" w:h="11906" w:orient="landscape"/>
          <w:pgMar w:top="1440" w:right="1440" w:bottom="1440" w:left="1440" w:header="720" w:footer="720" w:gutter="0"/>
          <w:cols w:space="720"/>
          <w:noEndnote/>
          <w:docGrid w:linePitch="326"/>
        </w:sectPr>
      </w:pPr>
    </w:p>
    <w:p w14:paraId="45BC3925" w14:textId="77777777" w:rsidR="001B4B37" w:rsidRDefault="001B4B37" w:rsidP="001B4B37">
      <w:pPr>
        <w:pStyle w:val="Heading2"/>
      </w:pPr>
      <w:r>
        <w:lastRenderedPageBreak/>
        <w:t xml:space="preserve">Sentencing outcomes for category A and B offences in the higher courts </w:t>
      </w:r>
    </w:p>
    <w:p w14:paraId="60E90F90" w14:textId="1FA7A254" w:rsidR="001B4B37" w:rsidRPr="00124D50" w:rsidRDefault="001B4B37" w:rsidP="00156186">
      <w:r>
        <w:t xml:space="preserve">In the higher courts, 97% of category A and B serious youth offences resulted in a sentence involving some form of detention, constituted by either adult imprisonment (58% of the 147 charges) or detention in a youth justice centre (39%) (Figure 4). The remaining 3% received a community correction order for either home invasion (4 charges) or carjacking (1 charge), both category B offences. Imprisonment rates were highest for category A offences of murder (100%), culpable driving causing death (89%), aggravated carjacking (73%), aggravated home invasion (68%), manslaughter (60%) and intentionally causing serious injury in circumstances of gross violence (60%). Conversely, imprisonment rates were lowest for category B offences of carjacking (57%), home invasion (41%), rape (27%) and recklessly causing serious injury in circumstances of gross violence (0%). There were 25 charges of category A offences that resulted in a youth justice centre order, which could only have been imposed if there were ‘exceptional </w:t>
      </w:r>
      <w:r w:rsidRPr="00124D50">
        <w:t>circumstances’ to justify not imposing adult imprisonment (see Case Studies 2 and 3</w:t>
      </w:r>
      <w:r>
        <w:t xml:space="preserve"> </w:t>
      </w:r>
      <w:r w:rsidRPr="00124D50">
        <w:t xml:space="preserve">for examples of cases where exceptional circumstances were and were not made out). </w:t>
      </w:r>
    </w:p>
    <w:p w14:paraId="5FF644AA" w14:textId="5840D00A" w:rsidR="002E3907" w:rsidRPr="002E6A34" w:rsidRDefault="002E3907" w:rsidP="00AC439C">
      <w:pPr>
        <w:pStyle w:val="IntenseQuote"/>
        <w:rPr>
          <w:bCs/>
        </w:rPr>
      </w:pPr>
      <w:r w:rsidRPr="002E6A34">
        <w:rPr>
          <w:bCs/>
        </w:rPr>
        <w:t xml:space="preserve">97% of </w:t>
      </w:r>
      <w:r w:rsidRPr="00AC439C">
        <w:t>category A and B offences received custodial sentences in the higher courts</w:t>
      </w:r>
      <w:r w:rsidR="00E9183C">
        <w:t xml:space="preserve"> </w:t>
      </w:r>
      <w:r w:rsidRPr="00AC439C">
        <w:t>(58% imprisonm</w:t>
      </w:r>
      <w:r w:rsidRPr="002E6A34">
        <w:rPr>
          <w:bCs/>
        </w:rPr>
        <w:t>ent and 39% youth justice centre orders)</w:t>
      </w:r>
    </w:p>
    <w:p w14:paraId="68070052" w14:textId="77777777" w:rsidR="001B4B37" w:rsidRPr="00005EF5" w:rsidRDefault="001B4B37" w:rsidP="00005EF5">
      <w:pPr>
        <w:pStyle w:val="Caption"/>
      </w:pPr>
      <w:r w:rsidRPr="003B78C2">
        <w:t>Figure 4</w:t>
      </w:r>
      <w:r w:rsidRPr="00005EF5">
        <w:t>: Sentence types imposed for category A and B serious youth offences in the higher courts, 26 February 2018 to 30 June 2024 (147 charges)</w:t>
      </w:r>
    </w:p>
    <w:tbl>
      <w:tblPr>
        <w:tblStyle w:val="Table"/>
        <w:tblW w:w="5138" w:type="pct"/>
        <w:tblLayout w:type="fixed"/>
        <w:tblLook w:val="04A0" w:firstRow="1" w:lastRow="0" w:firstColumn="1" w:lastColumn="0" w:noHBand="0" w:noVBand="1"/>
      </w:tblPr>
      <w:tblGrid>
        <w:gridCol w:w="1929"/>
        <w:gridCol w:w="1929"/>
        <w:gridCol w:w="1805"/>
        <w:gridCol w:w="1805"/>
        <w:gridCol w:w="1797"/>
      </w:tblGrid>
      <w:tr w:rsidR="00DC1814" w:rsidRPr="00DC1814" w14:paraId="02AF057D" w14:textId="77777777" w:rsidTr="0039033E">
        <w:trPr>
          <w:trHeight w:val="312"/>
          <w:tblHeader/>
        </w:trPr>
        <w:tc>
          <w:tcPr>
            <w:tcW w:w="1041" w:type="pct"/>
            <w:noWrap/>
            <w:hideMark/>
          </w:tcPr>
          <w:p w14:paraId="66DF6DF8" w14:textId="187805C6" w:rsidR="00DC1814" w:rsidRPr="00DC1814" w:rsidRDefault="00DC1814" w:rsidP="00FF1F2F">
            <w:pPr>
              <w:pStyle w:val="TableHeading"/>
            </w:pPr>
            <w:r>
              <w:t>Offence</w:t>
            </w:r>
          </w:p>
        </w:tc>
        <w:tc>
          <w:tcPr>
            <w:tcW w:w="1041" w:type="pct"/>
            <w:noWrap/>
            <w:hideMark/>
          </w:tcPr>
          <w:p w14:paraId="248AAF24" w14:textId="77777777" w:rsidR="00DC1814" w:rsidRPr="00DC1814" w:rsidRDefault="00DC1814" w:rsidP="00FF1F2F">
            <w:pPr>
              <w:pStyle w:val="TableHeading"/>
            </w:pPr>
            <w:r w:rsidRPr="00DC1814">
              <w:t>Imprisonment</w:t>
            </w:r>
          </w:p>
        </w:tc>
        <w:tc>
          <w:tcPr>
            <w:tcW w:w="974" w:type="pct"/>
            <w:noWrap/>
            <w:hideMark/>
          </w:tcPr>
          <w:p w14:paraId="776DCF11" w14:textId="77777777" w:rsidR="00DC1814" w:rsidRPr="00DC1814" w:rsidRDefault="00DC1814" w:rsidP="00FF1F2F">
            <w:pPr>
              <w:pStyle w:val="TableHeading"/>
            </w:pPr>
            <w:r w:rsidRPr="00DC1814">
              <w:t>Youth justice centre order</w:t>
            </w:r>
          </w:p>
        </w:tc>
        <w:tc>
          <w:tcPr>
            <w:tcW w:w="974" w:type="pct"/>
            <w:noWrap/>
            <w:hideMark/>
          </w:tcPr>
          <w:p w14:paraId="4AADBAF5" w14:textId="77777777" w:rsidR="00DC1814" w:rsidRPr="00DC1814" w:rsidRDefault="00DC1814" w:rsidP="00FF1F2F">
            <w:pPr>
              <w:pStyle w:val="TableHeading"/>
            </w:pPr>
            <w:r w:rsidRPr="00DC1814">
              <w:t>Community correction order</w:t>
            </w:r>
          </w:p>
        </w:tc>
        <w:tc>
          <w:tcPr>
            <w:tcW w:w="970" w:type="pct"/>
            <w:noWrap/>
            <w:hideMark/>
          </w:tcPr>
          <w:p w14:paraId="05EA258B" w14:textId="7656ABF7" w:rsidR="00DC1814" w:rsidRPr="00DC1814" w:rsidRDefault="00DC1814" w:rsidP="00FF1F2F">
            <w:pPr>
              <w:pStyle w:val="TableHeading"/>
            </w:pPr>
            <w:r>
              <w:t>Percentage</w:t>
            </w:r>
            <w:r w:rsidRPr="00DC1814">
              <w:t xml:space="preserve"> imprisonment</w:t>
            </w:r>
          </w:p>
        </w:tc>
      </w:tr>
      <w:tr w:rsidR="00DC1814" w:rsidRPr="00DC1814" w14:paraId="1D9E309C" w14:textId="77777777" w:rsidTr="0039033E">
        <w:trPr>
          <w:trHeight w:val="312"/>
        </w:trPr>
        <w:tc>
          <w:tcPr>
            <w:tcW w:w="1041" w:type="pct"/>
            <w:noWrap/>
            <w:hideMark/>
          </w:tcPr>
          <w:p w14:paraId="0F724489" w14:textId="48540B78" w:rsidR="00DC1814" w:rsidRPr="00DC1814" w:rsidRDefault="00DC1814" w:rsidP="00FF1F2F">
            <w:pPr>
              <w:pStyle w:val="TableBody"/>
            </w:pPr>
            <w:r w:rsidRPr="00DC1814">
              <w:t>Home invasion (</w:t>
            </w:r>
            <w:r w:rsidR="0039033E">
              <w:t xml:space="preserve">category </w:t>
            </w:r>
            <w:r w:rsidRPr="00DC1814">
              <w:t>B)</w:t>
            </w:r>
          </w:p>
        </w:tc>
        <w:tc>
          <w:tcPr>
            <w:tcW w:w="1041" w:type="pct"/>
            <w:noWrap/>
            <w:hideMark/>
          </w:tcPr>
          <w:p w14:paraId="2DBBF11F" w14:textId="77777777" w:rsidR="00DC1814" w:rsidRPr="00DC1814" w:rsidRDefault="00DC1814" w:rsidP="00FF1F2F">
            <w:pPr>
              <w:pStyle w:val="TableBody"/>
            </w:pPr>
            <w:r w:rsidRPr="00DC1814">
              <w:t>14</w:t>
            </w:r>
          </w:p>
        </w:tc>
        <w:tc>
          <w:tcPr>
            <w:tcW w:w="974" w:type="pct"/>
            <w:noWrap/>
            <w:hideMark/>
          </w:tcPr>
          <w:p w14:paraId="1E1E0955" w14:textId="77777777" w:rsidR="00DC1814" w:rsidRPr="00DC1814" w:rsidRDefault="00DC1814" w:rsidP="00FF1F2F">
            <w:pPr>
              <w:pStyle w:val="TableBody"/>
            </w:pPr>
            <w:r w:rsidRPr="00DC1814">
              <w:t>16</w:t>
            </w:r>
          </w:p>
        </w:tc>
        <w:tc>
          <w:tcPr>
            <w:tcW w:w="974" w:type="pct"/>
            <w:noWrap/>
            <w:hideMark/>
          </w:tcPr>
          <w:p w14:paraId="0158B7E8" w14:textId="77777777" w:rsidR="00DC1814" w:rsidRPr="00DC1814" w:rsidRDefault="00DC1814" w:rsidP="00FF1F2F">
            <w:pPr>
              <w:pStyle w:val="TableBody"/>
            </w:pPr>
            <w:r w:rsidRPr="00DC1814">
              <w:t>4</w:t>
            </w:r>
          </w:p>
        </w:tc>
        <w:tc>
          <w:tcPr>
            <w:tcW w:w="970" w:type="pct"/>
            <w:noWrap/>
            <w:hideMark/>
          </w:tcPr>
          <w:p w14:paraId="4393F155" w14:textId="77777777" w:rsidR="00DC1814" w:rsidRPr="00DC1814" w:rsidRDefault="00DC1814" w:rsidP="00FF1F2F">
            <w:pPr>
              <w:pStyle w:val="TableBody"/>
            </w:pPr>
            <w:r w:rsidRPr="00DC1814">
              <w:t>41</w:t>
            </w:r>
          </w:p>
        </w:tc>
      </w:tr>
      <w:tr w:rsidR="00DC1814" w:rsidRPr="00DC1814" w14:paraId="32F11C8B" w14:textId="77777777" w:rsidTr="0039033E">
        <w:trPr>
          <w:trHeight w:val="312"/>
        </w:trPr>
        <w:tc>
          <w:tcPr>
            <w:tcW w:w="1041" w:type="pct"/>
            <w:noWrap/>
            <w:hideMark/>
          </w:tcPr>
          <w:p w14:paraId="58BB90BC" w14:textId="003EC2DD" w:rsidR="00DC1814" w:rsidRPr="00DC1814" w:rsidRDefault="00DC1814" w:rsidP="00FF1F2F">
            <w:pPr>
              <w:pStyle w:val="TableBody"/>
            </w:pPr>
            <w:r w:rsidRPr="00DC1814">
              <w:t>Aggravated home invasion (</w:t>
            </w:r>
            <w:r w:rsidR="0039033E">
              <w:t xml:space="preserve">category </w:t>
            </w:r>
            <w:r w:rsidRPr="00DC1814">
              <w:t>A)</w:t>
            </w:r>
          </w:p>
        </w:tc>
        <w:tc>
          <w:tcPr>
            <w:tcW w:w="1041" w:type="pct"/>
            <w:noWrap/>
            <w:hideMark/>
          </w:tcPr>
          <w:p w14:paraId="2EAC61C0" w14:textId="77777777" w:rsidR="00DC1814" w:rsidRPr="00DC1814" w:rsidRDefault="00DC1814" w:rsidP="00FF1F2F">
            <w:pPr>
              <w:pStyle w:val="TableBody"/>
            </w:pPr>
            <w:r w:rsidRPr="00DC1814">
              <w:t>21</w:t>
            </w:r>
          </w:p>
        </w:tc>
        <w:tc>
          <w:tcPr>
            <w:tcW w:w="974" w:type="pct"/>
            <w:noWrap/>
            <w:hideMark/>
          </w:tcPr>
          <w:p w14:paraId="262EDA58" w14:textId="77777777" w:rsidR="00DC1814" w:rsidRPr="00DC1814" w:rsidRDefault="00DC1814" w:rsidP="00FF1F2F">
            <w:pPr>
              <w:pStyle w:val="TableBody"/>
            </w:pPr>
            <w:r w:rsidRPr="00DC1814">
              <w:t>10</w:t>
            </w:r>
          </w:p>
        </w:tc>
        <w:tc>
          <w:tcPr>
            <w:tcW w:w="974" w:type="pct"/>
            <w:noWrap/>
            <w:hideMark/>
          </w:tcPr>
          <w:p w14:paraId="6E7B2268" w14:textId="77777777" w:rsidR="00DC1814" w:rsidRPr="00DC1814" w:rsidRDefault="00DC1814" w:rsidP="00FF1F2F">
            <w:pPr>
              <w:pStyle w:val="TableBody"/>
            </w:pPr>
          </w:p>
        </w:tc>
        <w:tc>
          <w:tcPr>
            <w:tcW w:w="970" w:type="pct"/>
            <w:noWrap/>
            <w:hideMark/>
          </w:tcPr>
          <w:p w14:paraId="04E3D1B7" w14:textId="77777777" w:rsidR="00DC1814" w:rsidRPr="00DC1814" w:rsidRDefault="00DC1814" w:rsidP="00FF1F2F">
            <w:pPr>
              <w:pStyle w:val="TableBody"/>
            </w:pPr>
            <w:r w:rsidRPr="00DC1814">
              <w:t>68</w:t>
            </w:r>
          </w:p>
        </w:tc>
      </w:tr>
      <w:tr w:rsidR="00DC1814" w:rsidRPr="00DC1814" w14:paraId="780C5C2A" w14:textId="77777777" w:rsidTr="0039033E">
        <w:trPr>
          <w:trHeight w:val="312"/>
        </w:trPr>
        <w:tc>
          <w:tcPr>
            <w:tcW w:w="1041" w:type="pct"/>
            <w:noWrap/>
            <w:hideMark/>
          </w:tcPr>
          <w:p w14:paraId="66E0C9C6" w14:textId="30891B25" w:rsidR="00DC1814" w:rsidRPr="00DC1814" w:rsidRDefault="00DC1814" w:rsidP="00FF1F2F">
            <w:pPr>
              <w:pStyle w:val="TableBody"/>
            </w:pPr>
            <w:r w:rsidRPr="00DC1814">
              <w:lastRenderedPageBreak/>
              <w:t>Aggravated carjacking (</w:t>
            </w:r>
            <w:r w:rsidR="00FF1F2F">
              <w:t xml:space="preserve">category </w:t>
            </w:r>
            <w:r w:rsidRPr="00DC1814">
              <w:t>A)</w:t>
            </w:r>
          </w:p>
        </w:tc>
        <w:tc>
          <w:tcPr>
            <w:tcW w:w="1041" w:type="pct"/>
            <w:noWrap/>
            <w:hideMark/>
          </w:tcPr>
          <w:p w14:paraId="58A9A37E" w14:textId="77777777" w:rsidR="00DC1814" w:rsidRPr="00DC1814" w:rsidRDefault="00DC1814" w:rsidP="00FF1F2F">
            <w:pPr>
              <w:pStyle w:val="TableBody"/>
            </w:pPr>
            <w:r w:rsidRPr="00DC1814">
              <w:t>22</w:t>
            </w:r>
          </w:p>
        </w:tc>
        <w:tc>
          <w:tcPr>
            <w:tcW w:w="974" w:type="pct"/>
            <w:noWrap/>
            <w:hideMark/>
          </w:tcPr>
          <w:p w14:paraId="7EF20E8F" w14:textId="77777777" w:rsidR="00DC1814" w:rsidRPr="00DC1814" w:rsidRDefault="00DC1814" w:rsidP="00FF1F2F">
            <w:pPr>
              <w:pStyle w:val="TableBody"/>
            </w:pPr>
            <w:r w:rsidRPr="00DC1814">
              <w:t>8</w:t>
            </w:r>
          </w:p>
        </w:tc>
        <w:tc>
          <w:tcPr>
            <w:tcW w:w="974" w:type="pct"/>
            <w:noWrap/>
            <w:hideMark/>
          </w:tcPr>
          <w:p w14:paraId="27257278" w14:textId="77777777" w:rsidR="00DC1814" w:rsidRPr="00DC1814" w:rsidRDefault="00DC1814" w:rsidP="00FF1F2F">
            <w:pPr>
              <w:pStyle w:val="TableBody"/>
            </w:pPr>
          </w:p>
        </w:tc>
        <w:tc>
          <w:tcPr>
            <w:tcW w:w="970" w:type="pct"/>
            <w:noWrap/>
            <w:hideMark/>
          </w:tcPr>
          <w:p w14:paraId="62A53C6F" w14:textId="77777777" w:rsidR="00DC1814" w:rsidRPr="00DC1814" w:rsidRDefault="00DC1814" w:rsidP="00FF1F2F">
            <w:pPr>
              <w:pStyle w:val="TableBody"/>
            </w:pPr>
            <w:r w:rsidRPr="00DC1814">
              <w:t>73</w:t>
            </w:r>
          </w:p>
        </w:tc>
      </w:tr>
      <w:tr w:rsidR="00DC1814" w:rsidRPr="00DC1814" w14:paraId="3ABF751B" w14:textId="77777777" w:rsidTr="0039033E">
        <w:trPr>
          <w:trHeight w:val="312"/>
        </w:trPr>
        <w:tc>
          <w:tcPr>
            <w:tcW w:w="1041" w:type="pct"/>
            <w:noWrap/>
            <w:hideMark/>
          </w:tcPr>
          <w:p w14:paraId="0D38C267" w14:textId="25C3DB0C" w:rsidR="00DC1814" w:rsidRPr="00DC1814" w:rsidRDefault="00DC1814" w:rsidP="00FF1F2F">
            <w:pPr>
              <w:pStyle w:val="TableBody"/>
            </w:pPr>
            <w:r w:rsidRPr="00DC1814">
              <w:t>Rape (</w:t>
            </w:r>
            <w:r w:rsidR="00FF1F2F">
              <w:t xml:space="preserve">category </w:t>
            </w:r>
            <w:r w:rsidRPr="00DC1814">
              <w:t>B)</w:t>
            </w:r>
          </w:p>
        </w:tc>
        <w:tc>
          <w:tcPr>
            <w:tcW w:w="1041" w:type="pct"/>
            <w:noWrap/>
            <w:hideMark/>
          </w:tcPr>
          <w:p w14:paraId="5586A8BB" w14:textId="77777777" w:rsidR="00DC1814" w:rsidRPr="00DC1814" w:rsidRDefault="00DC1814" w:rsidP="00FF1F2F">
            <w:pPr>
              <w:pStyle w:val="TableBody"/>
            </w:pPr>
            <w:r w:rsidRPr="00DC1814">
              <w:t>4</w:t>
            </w:r>
          </w:p>
        </w:tc>
        <w:tc>
          <w:tcPr>
            <w:tcW w:w="974" w:type="pct"/>
            <w:noWrap/>
            <w:hideMark/>
          </w:tcPr>
          <w:p w14:paraId="2A03FA6E" w14:textId="77777777" w:rsidR="00DC1814" w:rsidRPr="00DC1814" w:rsidRDefault="00DC1814" w:rsidP="00FF1F2F">
            <w:pPr>
              <w:pStyle w:val="TableBody"/>
            </w:pPr>
            <w:r w:rsidRPr="00DC1814">
              <w:t>11</w:t>
            </w:r>
          </w:p>
        </w:tc>
        <w:tc>
          <w:tcPr>
            <w:tcW w:w="974" w:type="pct"/>
            <w:noWrap/>
            <w:hideMark/>
          </w:tcPr>
          <w:p w14:paraId="75AB2865" w14:textId="77777777" w:rsidR="00DC1814" w:rsidRPr="00DC1814" w:rsidRDefault="00DC1814" w:rsidP="00FF1F2F">
            <w:pPr>
              <w:pStyle w:val="TableBody"/>
            </w:pPr>
          </w:p>
        </w:tc>
        <w:tc>
          <w:tcPr>
            <w:tcW w:w="970" w:type="pct"/>
            <w:noWrap/>
            <w:hideMark/>
          </w:tcPr>
          <w:p w14:paraId="4239B41C" w14:textId="77777777" w:rsidR="00DC1814" w:rsidRPr="00DC1814" w:rsidRDefault="00DC1814" w:rsidP="00FF1F2F">
            <w:pPr>
              <w:pStyle w:val="TableBody"/>
            </w:pPr>
            <w:r w:rsidRPr="00DC1814">
              <w:t>27</w:t>
            </w:r>
          </w:p>
        </w:tc>
      </w:tr>
      <w:tr w:rsidR="00DC1814" w:rsidRPr="00DC1814" w14:paraId="3A99730B" w14:textId="77777777" w:rsidTr="0039033E">
        <w:trPr>
          <w:trHeight w:val="312"/>
        </w:trPr>
        <w:tc>
          <w:tcPr>
            <w:tcW w:w="1041" w:type="pct"/>
            <w:noWrap/>
            <w:hideMark/>
          </w:tcPr>
          <w:p w14:paraId="5DFC6BF7" w14:textId="65B70F5C" w:rsidR="00DC1814" w:rsidRPr="00DC1814" w:rsidRDefault="00DC1814" w:rsidP="00FF1F2F">
            <w:pPr>
              <w:pStyle w:val="TableBody"/>
            </w:pPr>
            <w:r w:rsidRPr="00DC1814">
              <w:t>Manslaughter (</w:t>
            </w:r>
            <w:r w:rsidR="00FF1F2F">
              <w:t xml:space="preserve">category </w:t>
            </w:r>
            <w:r w:rsidRPr="00DC1814">
              <w:t>A)</w:t>
            </w:r>
          </w:p>
        </w:tc>
        <w:tc>
          <w:tcPr>
            <w:tcW w:w="1041" w:type="pct"/>
            <w:noWrap/>
            <w:hideMark/>
          </w:tcPr>
          <w:p w14:paraId="37C6D6CC" w14:textId="77777777" w:rsidR="00DC1814" w:rsidRPr="00DC1814" w:rsidRDefault="00DC1814" w:rsidP="00FF1F2F">
            <w:pPr>
              <w:pStyle w:val="TableBody"/>
            </w:pPr>
            <w:r w:rsidRPr="00DC1814">
              <w:t>6</w:t>
            </w:r>
          </w:p>
        </w:tc>
        <w:tc>
          <w:tcPr>
            <w:tcW w:w="974" w:type="pct"/>
            <w:noWrap/>
            <w:hideMark/>
          </w:tcPr>
          <w:p w14:paraId="622B1172" w14:textId="77777777" w:rsidR="00DC1814" w:rsidRPr="00DC1814" w:rsidRDefault="00DC1814" w:rsidP="00FF1F2F">
            <w:pPr>
              <w:pStyle w:val="TableBody"/>
            </w:pPr>
            <w:r w:rsidRPr="00DC1814">
              <w:t>4</w:t>
            </w:r>
          </w:p>
        </w:tc>
        <w:tc>
          <w:tcPr>
            <w:tcW w:w="974" w:type="pct"/>
            <w:noWrap/>
            <w:hideMark/>
          </w:tcPr>
          <w:p w14:paraId="29492B3E" w14:textId="77777777" w:rsidR="00DC1814" w:rsidRPr="00DC1814" w:rsidRDefault="00DC1814" w:rsidP="00FF1F2F">
            <w:pPr>
              <w:pStyle w:val="TableBody"/>
            </w:pPr>
          </w:p>
        </w:tc>
        <w:tc>
          <w:tcPr>
            <w:tcW w:w="970" w:type="pct"/>
            <w:noWrap/>
            <w:hideMark/>
          </w:tcPr>
          <w:p w14:paraId="770CA16B" w14:textId="77777777" w:rsidR="00DC1814" w:rsidRPr="00DC1814" w:rsidRDefault="00DC1814" w:rsidP="00FF1F2F">
            <w:pPr>
              <w:pStyle w:val="TableBody"/>
            </w:pPr>
            <w:r w:rsidRPr="00DC1814">
              <w:t>60</w:t>
            </w:r>
          </w:p>
        </w:tc>
      </w:tr>
      <w:tr w:rsidR="00DC1814" w:rsidRPr="00DC1814" w14:paraId="1774EB85" w14:textId="77777777" w:rsidTr="0039033E">
        <w:trPr>
          <w:trHeight w:val="312"/>
        </w:trPr>
        <w:tc>
          <w:tcPr>
            <w:tcW w:w="1041" w:type="pct"/>
            <w:noWrap/>
            <w:hideMark/>
          </w:tcPr>
          <w:p w14:paraId="2BDF3980" w14:textId="3AD51882" w:rsidR="00DC1814" w:rsidRPr="00DC1814" w:rsidRDefault="00DC1814" w:rsidP="00FF1F2F">
            <w:pPr>
              <w:pStyle w:val="TableBody"/>
            </w:pPr>
            <w:r w:rsidRPr="00DC1814">
              <w:t>Culpable driving causing death (</w:t>
            </w:r>
            <w:r w:rsidR="00FF1F2F">
              <w:t xml:space="preserve">category </w:t>
            </w:r>
            <w:r w:rsidRPr="00DC1814">
              <w:t>A)</w:t>
            </w:r>
          </w:p>
        </w:tc>
        <w:tc>
          <w:tcPr>
            <w:tcW w:w="1041" w:type="pct"/>
            <w:noWrap/>
            <w:hideMark/>
          </w:tcPr>
          <w:p w14:paraId="2DADA86F" w14:textId="77777777" w:rsidR="00DC1814" w:rsidRPr="00DC1814" w:rsidRDefault="00DC1814" w:rsidP="00FF1F2F">
            <w:pPr>
              <w:pStyle w:val="TableBody"/>
            </w:pPr>
            <w:r w:rsidRPr="00DC1814">
              <w:t>8</w:t>
            </w:r>
          </w:p>
        </w:tc>
        <w:tc>
          <w:tcPr>
            <w:tcW w:w="974" w:type="pct"/>
            <w:noWrap/>
            <w:hideMark/>
          </w:tcPr>
          <w:p w14:paraId="7A23885B" w14:textId="77777777" w:rsidR="00DC1814" w:rsidRPr="00DC1814" w:rsidRDefault="00DC1814" w:rsidP="00FF1F2F">
            <w:pPr>
              <w:pStyle w:val="TableBody"/>
            </w:pPr>
            <w:r w:rsidRPr="00DC1814">
              <w:t>1</w:t>
            </w:r>
          </w:p>
        </w:tc>
        <w:tc>
          <w:tcPr>
            <w:tcW w:w="974" w:type="pct"/>
            <w:noWrap/>
            <w:hideMark/>
          </w:tcPr>
          <w:p w14:paraId="403309B0" w14:textId="77777777" w:rsidR="00DC1814" w:rsidRPr="00DC1814" w:rsidRDefault="00DC1814" w:rsidP="00FF1F2F">
            <w:pPr>
              <w:pStyle w:val="TableBody"/>
            </w:pPr>
          </w:p>
        </w:tc>
        <w:tc>
          <w:tcPr>
            <w:tcW w:w="970" w:type="pct"/>
            <w:noWrap/>
            <w:hideMark/>
          </w:tcPr>
          <w:p w14:paraId="01077DE2" w14:textId="77777777" w:rsidR="00DC1814" w:rsidRPr="00DC1814" w:rsidRDefault="00DC1814" w:rsidP="00FF1F2F">
            <w:pPr>
              <w:pStyle w:val="TableBody"/>
            </w:pPr>
            <w:r w:rsidRPr="00DC1814">
              <w:t>89</w:t>
            </w:r>
          </w:p>
        </w:tc>
      </w:tr>
      <w:tr w:rsidR="00DC1814" w:rsidRPr="00DC1814" w14:paraId="38882CE5" w14:textId="77777777" w:rsidTr="0039033E">
        <w:trPr>
          <w:trHeight w:val="312"/>
        </w:trPr>
        <w:tc>
          <w:tcPr>
            <w:tcW w:w="1041" w:type="pct"/>
            <w:noWrap/>
            <w:hideMark/>
          </w:tcPr>
          <w:p w14:paraId="7B7C0B6E" w14:textId="1C1A1622" w:rsidR="00DC1814" w:rsidRPr="00DC1814" w:rsidRDefault="00DC1814" w:rsidP="00FF1F2F">
            <w:pPr>
              <w:pStyle w:val="TableBody"/>
            </w:pPr>
            <w:r w:rsidRPr="00DC1814">
              <w:t>Carjacking (</w:t>
            </w:r>
            <w:r w:rsidR="00FF1F2F">
              <w:t xml:space="preserve">category </w:t>
            </w:r>
            <w:r w:rsidRPr="00DC1814">
              <w:t>B)</w:t>
            </w:r>
          </w:p>
        </w:tc>
        <w:tc>
          <w:tcPr>
            <w:tcW w:w="1041" w:type="pct"/>
            <w:noWrap/>
            <w:hideMark/>
          </w:tcPr>
          <w:p w14:paraId="60CF768E" w14:textId="77777777" w:rsidR="00DC1814" w:rsidRPr="00DC1814" w:rsidRDefault="00DC1814" w:rsidP="00FF1F2F">
            <w:pPr>
              <w:pStyle w:val="TableBody"/>
            </w:pPr>
            <w:r w:rsidRPr="00DC1814">
              <w:t>4</w:t>
            </w:r>
          </w:p>
        </w:tc>
        <w:tc>
          <w:tcPr>
            <w:tcW w:w="974" w:type="pct"/>
            <w:noWrap/>
            <w:hideMark/>
          </w:tcPr>
          <w:p w14:paraId="120403EC" w14:textId="77777777" w:rsidR="00DC1814" w:rsidRPr="00DC1814" w:rsidRDefault="00DC1814" w:rsidP="00FF1F2F">
            <w:pPr>
              <w:pStyle w:val="TableBody"/>
            </w:pPr>
            <w:r w:rsidRPr="00DC1814">
              <w:t>2</w:t>
            </w:r>
          </w:p>
        </w:tc>
        <w:tc>
          <w:tcPr>
            <w:tcW w:w="974" w:type="pct"/>
            <w:noWrap/>
            <w:hideMark/>
          </w:tcPr>
          <w:p w14:paraId="3F174283" w14:textId="77777777" w:rsidR="00DC1814" w:rsidRPr="00DC1814" w:rsidRDefault="00DC1814" w:rsidP="00FF1F2F">
            <w:pPr>
              <w:pStyle w:val="TableBody"/>
            </w:pPr>
            <w:r w:rsidRPr="00DC1814">
              <w:t>1</w:t>
            </w:r>
          </w:p>
        </w:tc>
        <w:tc>
          <w:tcPr>
            <w:tcW w:w="970" w:type="pct"/>
            <w:noWrap/>
            <w:hideMark/>
          </w:tcPr>
          <w:p w14:paraId="7A5F63E4" w14:textId="77777777" w:rsidR="00DC1814" w:rsidRPr="00DC1814" w:rsidRDefault="00DC1814" w:rsidP="00FF1F2F">
            <w:pPr>
              <w:pStyle w:val="TableBody"/>
            </w:pPr>
            <w:r w:rsidRPr="00DC1814">
              <w:t>57</w:t>
            </w:r>
          </w:p>
        </w:tc>
      </w:tr>
      <w:tr w:rsidR="00DC1814" w:rsidRPr="00DC1814" w14:paraId="11ADB16D" w14:textId="77777777" w:rsidTr="0039033E">
        <w:trPr>
          <w:trHeight w:val="312"/>
        </w:trPr>
        <w:tc>
          <w:tcPr>
            <w:tcW w:w="1041" w:type="pct"/>
            <w:noWrap/>
            <w:hideMark/>
          </w:tcPr>
          <w:p w14:paraId="5B2F2BD3" w14:textId="218E3B6B" w:rsidR="00DC1814" w:rsidRPr="00DC1814" w:rsidRDefault="00FF1F2F" w:rsidP="00FF1F2F">
            <w:pPr>
              <w:pStyle w:val="TableBody"/>
            </w:pPr>
            <w:r>
              <w:t xml:space="preserve">Intentionally causing serious injury in circumstances of gross violence </w:t>
            </w:r>
            <w:r w:rsidR="00DC1814" w:rsidRPr="00DC1814">
              <w:t>(</w:t>
            </w:r>
            <w:r>
              <w:t xml:space="preserve">category </w:t>
            </w:r>
            <w:r w:rsidR="00DC1814" w:rsidRPr="00DC1814">
              <w:t>A)</w:t>
            </w:r>
          </w:p>
        </w:tc>
        <w:tc>
          <w:tcPr>
            <w:tcW w:w="1041" w:type="pct"/>
            <w:noWrap/>
            <w:hideMark/>
          </w:tcPr>
          <w:p w14:paraId="3BB1274D" w14:textId="77777777" w:rsidR="00DC1814" w:rsidRPr="00DC1814" w:rsidRDefault="00DC1814" w:rsidP="00FF1F2F">
            <w:pPr>
              <w:pStyle w:val="TableBody"/>
            </w:pPr>
            <w:r w:rsidRPr="00DC1814">
              <w:t>3</w:t>
            </w:r>
          </w:p>
        </w:tc>
        <w:tc>
          <w:tcPr>
            <w:tcW w:w="974" w:type="pct"/>
            <w:noWrap/>
            <w:hideMark/>
          </w:tcPr>
          <w:p w14:paraId="163D9329" w14:textId="77777777" w:rsidR="00DC1814" w:rsidRPr="00DC1814" w:rsidRDefault="00DC1814" w:rsidP="00FF1F2F">
            <w:pPr>
              <w:pStyle w:val="TableBody"/>
            </w:pPr>
            <w:r w:rsidRPr="00DC1814">
              <w:t>2</w:t>
            </w:r>
          </w:p>
        </w:tc>
        <w:tc>
          <w:tcPr>
            <w:tcW w:w="974" w:type="pct"/>
            <w:noWrap/>
            <w:hideMark/>
          </w:tcPr>
          <w:p w14:paraId="53434BBC" w14:textId="77777777" w:rsidR="00DC1814" w:rsidRPr="00DC1814" w:rsidRDefault="00DC1814" w:rsidP="00FF1F2F">
            <w:pPr>
              <w:pStyle w:val="TableBody"/>
            </w:pPr>
          </w:p>
        </w:tc>
        <w:tc>
          <w:tcPr>
            <w:tcW w:w="970" w:type="pct"/>
            <w:noWrap/>
            <w:hideMark/>
          </w:tcPr>
          <w:p w14:paraId="57BD3BD8" w14:textId="77777777" w:rsidR="00DC1814" w:rsidRPr="00DC1814" w:rsidRDefault="00DC1814" w:rsidP="00FF1F2F">
            <w:pPr>
              <w:pStyle w:val="TableBody"/>
            </w:pPr>
            <w:r w:rsidRPr="00DC1814">
              <w:t>60</w:t>
            </w:r>
          </w:p>
        </w:tc>
      </w:tr>
      <w:tr w:rsidR="00DC1814" w:rsidRPr="00DC1814" w14:paraId="33FB4DB4" w14:textId="77777777" w:rsidTr="0039033E">
        <w:trPr>
          <w:trHeight w:val="312"/>
        </w:trPr>
        <w:tc>
          <w:tcPr>
            <w:tcW w:w="1041" w:type="pct"/>
            <w:noWrap/>
            <w:hideMark/>
          </w:tcPr>
          <w:p w14:paraId="4F7C61E9" w14:textId="55E568FE" w:rsidR="00DC1814" w:rsidRPr="00DC1814" w:rsidRDefault="00DC1814" w:rsidP="00FF1F2F">
            <w:pPr>
              <w:pStyle w:val="TableBody"/>
            </w:pPr>
            <w:r w:rsidRPr="00DC1814">
              <w:t>Murder (</w:t>
            </w:r>
            <w:r w:rsidR="00FF1F2F">
              <w:t xml:space="preserve">category </w:t>
            </w:r>
            <w:r w:rsidRPr="00DC1814">
              <w:t>A)</w:t>
            </w:r>
          </w:p>
        </w:tc>
        <w:tc>
          <w:tcPr>
            <w:tcW w:w="1041" w:type="pct"/>
            <w:noWrap/>
            <w:hideMark/>
          </w:tcPr>
          <w:p w14:paraId="71C51423" w14:textId="77777777" w:rsidR="00DC1814" w:rsidRPr="00DC1814" w:rsidRDefault="00DC1814" w:rsidP="00FF1F2F">
            <w:pPr>
              <w:pStyle w:val="TableBody"/>
            </w:pPr>
            <w:r w:rsidRPr="00DC1814">
              <w:t>3</w:t>
            </w:r>
          </w:p>
        </w:tc>
        <w:tc>
          <w:tcPr>
            <w:tcW w:w="974" w:type="pct"/>
            <w:noWrap/>
            <w:hideMark/>
          </w:tcPr>
          <w:p w14:paraId="30A28385" w14:textId="77777777" w:rsidR="00DC1814" w:rsidRPr="00DC1814" w:rsidRDefault="00DC1814" w:rsidP="00FF1F2F">
            <w:pPr>
              <w:pStyle w:val="TableBody"/>
            </w:pPr>
          </w:p>
        </w:tc>
        <w:tc>
          <w:tcPr>
            <w:tcW w:w="974" w:type="pct"/>
            <w:noWrap/>
            <w:hideMark/>
          </w:tcPr>
          <w:p w14:paraId="659C4215" w14:textId="77777777" w:rsidR="00DC1814" w:rsidRPr="00DC1814" w:rsidRDefault="00DC1814" w:rsidP="00FF1F2F">
            <w:pPr>
              <w:pStyle w:val="TableBody"/>
            </w:pPr>
          </w:p>
        </w:tc>
        <w:tc>
          <w:tcPr>
            <w:tcW w:w="970" w:type="pct"/>
            <w:noWrap/>
            <w:hideMark/>
          </w:tcPr>
          <w:p w14:paraId="36A00562" w14:textId="77777777" w:rsidR="00DC1814" w:rsidRPr="00DC1814" w:rsidRDefault="00DC1814" w:rsidP="00FF1F2F">
            <w:pPr>
              <w:pStyle w:val="TableBody"/>
            </w:pPr>
            <w:r w:rsidRPr="00DC1814">
              <w:t>100</w:t>
            </w:r>
          </w:p>
        </w:tc>
      </w:tr>
      <w:tr w:rsidR="00DC1814" w:rsidRPr="00DC1814" w14:paraId="45C81306" w14:textId="77777777" w:rsidTr="0039033E">
        <w:trPr>
          <w:trHeight w:val="312"/>
        </w:trPr>
        <w:tc>
          <w:tcPr>
            <w:tcW w:w="1041" w:type="pct"/>
            <w:noWrap/>
            <w:hideMark/>
          </w:tcPr>
          <w:p w14:paraId="4AE0C8B5" w14:textId="676FC1D8" w:rsidR="00DC1814" w:rsidRPr="00DC1814" w:rsidRDefault="00AD157C" w:rsidP="00FF1F2F">
            <w:pPr>
              <w:pStyle w:val="TableBody"/>
            </w:pPr>
            <w:r>
              <w:t xml:space="preserve">Recklessly causing serious injury in circumstances of gross violence </w:t>
            </w:r>
            <w:r w:rsidR="00DC1814" w:rsidRPr="00DC1814">
              <w:t>(</w:t>
            </w:r>
            <w:r w:rsidR="00FF1F2F">
              <w:t xml:space="preserve">category </w:t>
            </w:r>
            <w:r w:rsidR="00DC1814" w:rsidRPr="00DC1814">
              <w:t>B)</w:t>
            </w:r>
          </w:p>
        </w:tc>
        <w:tc>
          <w:tcPr>
            <w:tcW w:w="1041" w:type="pct"/>
            <w:noWrap/>
            <w:hideMark/>
          </w:tcPr>
          <w:p w14:paraId="2C80AB2F" w14:textId="77777777" w:rsidR="00DC1814" w:rsidRPr="00DC1814" w:rsidRDefault="00DC1814" w:rsidP="00FF1F2F">
            <w:pPr>
              <w:pStyle w:val="TableBody"/>
            </w:pPr>
          </w:p>
        </w:tc>
        <w:tc>
          <w:tcPr>
            <w:tcW w:w="974" w:type="pct"/>
            <w:noWrap/>
            <w:hideMark/>
          </w:tcPr>
          <w:p w14:paraId="5F340556" w14:textId="77777777" w:rsidR="00DC1814" w:rsidRPr="00DC1814" w:rsidRDefault="00DC1814" w:rsidP="00FF1F2F">
            <w:pPr>
              <w:pStyle w:val="TableBody"/>
            </w:pPr>
            <w:r w:rsidRPr="00DC1814">
              <w:t>3</w:t>
            </w:r>
          </w:p>
        </w:tc>
        <w:tc>
          <w:tcPr>
            <w:tcW w:w="974" w:type="pct"/>
            <w:noWrap/>
            <w:hideMark/>
          </w:tcPr>
          <w:p w14:paraId="69BD9738" w14:textId="77777777" w:rsidR="00DC1814" w:rsidRPr="00DC1814" w:rsidRDefault="00DC1814" w:rsidP="00FF1F2F">
            <w:pPr>
              <w:pStyle w:val="TableBody"/>
            </w:pPr>
          </w:p>
        </w:tc>
        <w:tc>
          <w:tcPr>
            <w:tcW w:w="970" w:type="pct"/>
            <w:noWrap/>
            <w:hideMark/>
          </w:tcPr>
          <w:p w14:paraId="295F3D86" w14:textId="77777777" w:rsidR="00DC1814" w:rsidRPr="00DC1814" w:rsidRDefault="00DC1814" w:rsidP="00FF1F2F">
            <w:pPr>
              <w:pStyle w:val="TableBody"/>
            </w:pPr>
            <w:r w:rsidRPr="00DC1814">
              <w:t>0</w:t>
            </w:r>
          </w:p>
        </w:tc>
      </w:tr>
    </w:tbl>
    <w:p w14:paraId="08FA3204" w14:textId="77777777" w:rsidR="001B4B37" w:rsidRDefault="001B4B37" w:rsidP="00156186">
      <w:r>
        <w:t>It is also important to distinguish between the sentencing outcomes imposed on children aged 16 and 17 and sentencing outcomes imposed on young offenders aged 18 to 20, as different sentencing considerations apply to these two groups. Accordingly, there was a higher rate of youth justice centre orders (as opposed to adult imprisonment) in the 26 cases involving category A and B offences committed by offenders aged 16 and 17: 12 offenders received adult imprisonment (46%) and the other 14 received youth justice centre orders (54%).</w:t>
      </w:r>
    </w:p>
    <w:p w14:paraId="015D6DCB" w14:textId="77777777" w:rsidR="001B4B37" w:rsidRDefault="001B4B37" w:rsidP="002012C0">
      <w:pPr>
        <w:pStyle w:val="Heading2"/>
      </w:pPr>
      <w:r>
        <w:t>Case Study 2: Exceptional circumstances for a category A offence in the higher courts</w:t>
      </w:r>
    </w:p>
    <w:p w14:paraId="7849A9E8" w14:textId="77777777" w:rsidR="001B4B37" w:rsidRDefault="001B4B37" w:rsidP="001671A3">
      <w:r>
        <w:t xml:space="preserve">The offender took part in a late-night aggravated home invasion, entering a unit with three co-offenders, knowing that one co-offender was armed with a hammer and another had a knife. The offenders confronted a woman in bed with her five-year-old son, pointing the knife at her, which </w:t>
      </w:r>
      <w:r>
        <w:lastRenderedPageBreak/>
        <w:t xml:space="preserve">the court described as ‘a terrifying experience that will have a lasting effect on the victims’ and ‘a serious example of the offence’. </w:t>
      </w:r>
    </w:p>
    <w:p w14:paraId="3D082D15" w14:textId="77777777" w:rsidR="001B4B37" w:rsidRPr="00124D50" w:rsidRDefault="001B4B37" w:rsidP="001671A3">
      <w:r>
        <w:t xml:space="preserve">The court did, however, consider that, together, the combination of mitigating factors in the case constituted exceptional circumstances that justified a youth justice centre order instead of adult imprisonment. These mitigating factors included that the offender had no prior convictions; he had pleaded guilty; he had </w:t>
      </w:r>
      <w:r w:rsidRPr="00124D50">
        <w:t xml:space="preserve">cooperated with police and had given a detailed statement naming his co-offenders </w:t>
      </w:r>
      <w:r>
        <w:t xml:space="preserve">– he was violently assaulted while in custody as a result; he had a longstanding intellectual impairment; he was still very young; he was genuinely remorseful; he </w:t>
      </w:r>
      <w:r w:rsidRPr="00124D50">
        <w:t xml:space="preserve">had some community supports; he had reasonable prospects of rehabilitation; and </w:t>
      </w:r>
      <w:r>
        <w:t xml:space="preserve">Youth Justice had assessed him as vulnerable in adult prison and suitable for a </w:t>
      </w:r>
      <w:r w:rsidRPr="00124D50">
        <w:t>youth justice centre order. The court imposed a 2.5-year youth justice centre order.</w:t>
      </w:r>
    </w:p>
    <w:p w14:paraId="7DB6511F" w14:textId="77777777" w:rsidR="001B4B37" w:rsidRDefault="001B4B37" w:rsidP="006E6B08">
      <w:pPr>
        <w:jc w:val="right"/>
      </w:pPr>
      <w:r w:rsidRPr="00F56C6C">
        <w:rPr>
          <w:rStyle w:val="Italic"/>
        </w:rPr>
        <w:t>DPP v Webster</w:t>
      </w:r>
      <w:r>
        <w:rPr>
          <w:rStyle w:val="Italic"/>
        </w:rPr>
        <w:t xml:space="preserve"> </w:t>
      </w:r>
      <w:r>
        <w:t>[2019] VCC 2239</w:t>
      </w:r>
    </w:p>
    <w:p w14:paraId="565311F0" w14:textId="77777777" w:rsidR="001B4B37" w:rsidRDefault="001B4B37" w:rsidP="006E6B08">
      <w:pPr>
        <w:pStyle w:val="Heading2"/>
      </w:pPr>
      <w:r>
        <w:t>Case Study 3: No exceptional circumstances for a category A offence in the higher courts</w:t>
      </w:r>
    </w:p>
    <w:p w14:paraId="4BE411CF" w14:textId="77777777" w:rsidR="001B4B37" w:rsidRDefault="001B4B37" w:rsidP="001671A3">
      <w:r>
        <w:t xml:space="preserve">The offender (aged 18) was in company with two others. The group approached a car in which the victim was sitting, opened his car door and asked for a cigarette </w:t>
      </w:r>
      <w:r w:rsidRPr="00124D50">
        <w:t xml:space="preserve">or money. The victim said he didn’t have any money or cigarettes. The offender told the victim that he had a knife. The victim tried to close the car door but the offender stopped him from doing so. The victim exited the car and the offender struck him to the head with a glass beer bottle that shattered. The offender then punched the victim in the face. The group stole the victim’s keys and drove away in his car. The offender </w:t>
      </w:r>
      <w:r w:rsidRPr="00751AE0">
        <w:t xml:space="preserve">was charged with aggravated carjacking. In his victim impact statement, the victim </w:t>
      </w:r>
      <w:r w:rsidRPr="00124D50">
        <w:t xml:space="preserve">said he ‘cannot work properly anymore, is always under stress, and feels like crying all </w:t>
      </w:r>
      <w:r>
        <w:t xml:space="preserve">the time … and is so scared that he does not turn off his bedroom light at night’. </w:t>
      </w:r>
    </w:p>
    <w:p w14:paraId="078C0214" w14:textId="77777777" w:rsidR="001B4B37" w:rsidRDefault="001B4B37" w:rsidP="001671A3">
      <w:r>
        <w:lastRenderedPageBreak/>
        <w:t xml:space="preserve">Defence counsel in the case raised </w:t>
      </w:r>
      <w:proofErr w:type="gramStart"/>
      <w:r>
        <w:t>a number of</w:t>
      </w:r>
      <w:proofErr w:type="gramEnd"/>
      <w:r>
        <w:t xml:space="preserve"> matters in mitigation: the offender had pleaded guilty; he was a youthful offender; he would likely be </w:t>
      </w:r>
      <w:r w:rsidRPr="00751AE0">
        <w:t xml:space="preserve">deported to Liberia </w:t>
      </w:r>
      <w:proofErr w:type="gramStart"/>
      <w:r w:rsidRPr="00751AE0">
        <w:t>as a result of</w:t>
      </w:r>
      <w:proofErr w:type="gramEnd"/>
      <w:r w:rsidRPr="00751AE0">
        <w:t xml:space="preserve"> the sentence he would receive; and he had been </w:t>
      </w:r>
      <w:r>
        <w:t xml:space="preserve">diagnosed with a major depressive disorder and post-traumatic stress disorder. </w:t>
      </w:r>
    </w:p>
    <w:p w14:paraId="21385E82" w14:textId="77777777" w:rsidR="001B4B37" w:rsidRDefault="001B4B37" w:rsidP="001671A3">
      <w:r>
        <w:t xml:space="preserve">The aggravated carjacking offence was both a category A serious youth offence </w:t>
      </w:r>
      <w:r w:rsidRPr="00751AE0">
        <w:t xml:space="preserve">(requiring adult imprisonment unless there were exceptional circumstances) and a </w:t>
      </w:r>
      <w:r w:rsidRPr="00124D50">
        <w:t xml:space="preserve">category 1 offence (requiring a term of imprisonment unless there were substantial </w:t>
      </w:r>
      <w:r>
        <w:t xml:space="preserve">and compelling reasons that were exceptional and rare). The offence also carried a minimum term of 3 years’ imprisonment, unless there were substantial and compelling reasons that were exceptional and rare. Despite the mitigating factors in this case, the court concluded that the circumstances were not exceptional and ordered 3.5 years’ imprisonment with a 3-year non-parole period. </w:t>
      </w:r>
    </w:p>
    <w:p w14:paraId="0A8E5F45" w14:textId="77777777" w:rsidR="001B4B37" w:rsidRDefault="001B4B37" w:rsidP="006E6B08">
      <w:pPr>
        <w:jc w:val="right"/>
      </w:pPr>
      <w:r w:rsidRPr="00F56C6C">
        <w:rPr>
          <w:rStyle w:val="Italic"/>
        </w:rPr>
        <w:t xml:space="preserve">DPP v </w:t>
      </w:r>
      <w:proofErr w:type="spellStart"/>
      <w:r w:rsidRPr="00F56C6C">
        <w:rPr>
          <w:rStyle w:val="Italic"/>
        </w:rPr>
        <w:t>Tarplah</w:t>
      </w:r>
      <w:proofErr w:type="spellEnd"/>
      <w:r w:rsidRPr="00F56C6C">
        <w:rPr>
          <w:rStyle w:val="Italic"/>
        </w:rPr>
        <w:t xml:space="preserve"> </w:t>
      </w:r>
      <w:r>
        <w:t>[2022] VCC 2193</w:t>
      </w:r>
    </w:p>
    <w:p w14:paraId="12E99CD5" w14:textId="0C95217D" w:rsidR="001B4B37" w:rsidRDefault="001B4B37" w:rsidP="001B4B37">
      <w:pPr>
        <w:pStyle w:val="Heading1"/>
      </w:pPr>
      <w:bookmarkStart w:id="10" w:name="_Toc233028401"/>
      <w:r>
        <w:t>How many offenders sentenced for category A and B serious youth offences had prior category A and B offences?</w:t>
      </w:r>
      <w:bookmarkEnd w:id="10"/>
    </w:p>
    <w:p w14:paraId="273244CA" w14:textId="77777777" w:rsidR="001B4B37" w:rsidRDefault="001B4B37" w:rsidP="00156186">
      <w:r>
        <w:t>If a child or young person is sentenced for a category B serious youth offence in an adult court, their prior criminal history can dictate how the court approaches sentencing. If the offender has previously been sentenced for any offence that is now a category A or B serious youth offence (such as a home invasion committed in early 2017), then the court must impose a sentence of adult imprisonment, rather than a youth justice centre order, unless there are ‘exceptional circumstances’.</w:t>
      </w:r>
      <w:r>
        <w:rPr>
          <w:rStyle w:val="Superscript"/>
        </w:rPr>
        <w:footnoteReference w:id="33"/>
      </w:r>
      <w:r>
        <w:t xml:space="preserve"> If the </w:t>
      </w:r>
      <w:r>
        <w:lastRenderedPageBreak/>
        <w:t>offender has not previously been sentenced for a category A or B serious youth offence, then the court is at liberty to impose a youth justice centre order with a maximum length of 4 years.</w:t>
      </w:r>
      <w:r>
        <w:rPr>
          <w:rStyle w:val="Superscript"/>
        </w:rPr>
        <w:footnoteReference w:id="34"/>
      </w:r>
      <w:r>
        <w:t xml:space="preserve"> </w:t>
      </w:r>
    </w:p>
    <w:p w14:paraId="4E85AFB5" w14:textId="77777777" w:rsidR="001B4B37" w:rsidRDefault="001B4B37" w:rsidP="00156186">
      <w:r>
        <w:t xml:space="preserve">To understand how often ‘exceptional circumstances’ arose in the 418 cases involving category A or B serious youth offences, the Council examined whether the offender was (a) sentenced for a category A or B serious youth offence for the first time, (b) sentenced for a category A serious youth offence with at least one prior category A or B offence or (c) sentenced for a category B serious youth offence with at least one prior category A or B offence. To clarify, this is not an exhaustive account </w:t>
      </w:r>
      <w:r w:rsidRPr="00751AE0">
        <w:t xml:space="preserve">of each offender’s entire criminal history; it exclusively examines how many offenders </w:t>
      </w:r>
      <w:r>
        <w:t>had prior category A and B offences.</w:t>
      </w:r>
    </w:p>
    <w:p w14:paraId="79B280AD" w14:textId="77777777" w:rsidR="001B4B37" w:rsidRDefault="001B4B37" w:rsidP="00156186">
      <w:r>
        <w:t>In the Children’s Court, 90% of the 290 children sentenced for a category A or B serious youth offence had never previously been sentenced for a category A or B offence (Figure 5). Of the 30 who did have a prior category A or B offence, 12 were sentenced for a category A offence (meaning that despite the offenders’ prior criminal history, the court found there to be substantial and compelling reasons for the matter to remain in the Children’s Court) and 18 were sentenced for a category B offence (such that there was a default presumption that the matter would remain in the Children’s Court).</w:t>
      </w:r>
    </w:p>
    <w:p w14:paraId="42E7E761" w14:textId="77777777" w:rsidR="004718A9" w:rsidRPr="006E6B08" w:rsidRDefault="004718A9" w:rsidP="006E6B08">
      <w:pPr>
        <w:pStyle w:val="Caption"/>
      </w:pPr>
      <w:r w:rsidRPr="003B78C2">
        <w:t>Figure 5</w:t>
      </w:r>
      <w:r w:rsidRPr="006E6B08">
        <w:t>: Children with prior category A and B offences sentenced for category A and B offences in the Children’s Court (290 cases)</w:t>
      </w:r>
    </w:p>
    <w:tbl>
      <w:tblPr>
        <w:tblStyle w:val="Table"/>
        <w:tblW w:w="5000" w:type="pct"/>
        <w:tblLayout w:type="fixed"/>
        <w:tblLook w:val="04A0" w:firstRow="1" w:lastRow="0" w:firstColumn="1" w:lastColumn="0" w:noHBand="0" w:noVBand="1"/>
      </w:tblPr>
      <w:tblGrid>
        <w:gridCol w:w="3005"/>
        <w:gridCol w:w="3005"/>
        <w:gridCol w:w="3006"/>
      </w:tblGrid>
      <w:tr w:rsidR="00102BC7" w:rsidRPr="00667FFE" w14:paraId="323B7027" w14:textId="77777777" w:rsidTr="00586F19">
        <w:trPr>
          <w:trHeight w:val="312"/>
          <w:tblHeader/>
        </w:trPr>
        <w:tc>
          <w:tcPr>
            <w:tcW w:w="1666" w:type="pct"/>
            <w:noWrap/>
            <w:hideMark/>
          </w:tcPr>
          <w:p w14:paraId="2FC7B6E6" w14:textId="063FD9DA" w:rsidR="00102BC7" w:rsidRPr="00667FFE" w:rsidRDefault="00DD0177" w:rsidP="00667FFE">
            <w:pPr>
              <w:pStyle w:val="TableHeading"/>
            </w:pPr>
            <w:r w:rsidRPr="00667FFE">
              <w:t>Classification</w:t>
            </w:r>
          </w:p>
        </w:tc>
        <w:tc>
          <w:tcPr>
            <w:tcW w:w="1666" w:type="pct"/>
            <w:noWrap/>
            <w:hideMark/>
          </w:tcPr>
          <w:p w14:paraId="1BC06056" w14:textId="77777777" w:rsidR="00102BC7" w:rsidRPr="00667FFE" w:rsidRDefault="00102BC7" w:rsidP="00667FFE">
            <w:pPr>
              <w:pStyle w:val="TableHeading"/>
            </w:pPr>
            <w:r w:rsidRPr="00667FFE">
              <w:t>Prior category A or B offence</w:t>
            </w:r>
          </w:p>
        </w:tc>
        <w:tc>
          <w:tcPr>
            <w:tcW w:w="1667" w:type="pct"/>
            <w:noWrap/>
            <w:hideMark/>
          </w:tcPr>
          <w:p w14:paraId="3E3C815C" w14:textId="77777777" w:rsidR="00102BC7" w:rsidRPr="00667FFE" w:rsidRDefault="00102BC7" w:rsidP="00667FFE">
            <w:pPr>
              <w:pStyle w:val="TableHeading"/>
            </w:pPr>
            <w:r w:rsidRPr="00667FFE">
              <w:t>No prior category A or B offence</w:t>
            </w:r>
          </w:p>
        </w:tc>
      </w:tr>
      <w:tr w:rsidR="00102BC7" w:rsidRPr="00667FFE" w14:paraId="744E1A0F" w14:textId="77777777" w:rsidTr="00AA1FDB">
        <w:trPr>
          <w:trHeight w:val="312"/>
        </w:trPr>
        <w:tc>
          <w:tcPr>
            <w:tcW w:w="1666" w:type="pct"/>
            <w:noWrap/>
            <w:hideMark/>
          </w:tcPr>
          <w:p w14:paraId="2D4A57D1" w14:textId="27D02E07" w:rsidR="00102BC7" w:rsidRPr="00667FFE" w:rsidRDefault="00102BC7" w:rsidP="00667FFE">
            <w:pPr>
              <w:pStyle w:val="TableBody"/>
            </w:pPr>
            <w:r w:rsidRPr="00667FFE">
              <w:t>Category A offence</w:t>
            </w:r>
          </w:p>
        </w:tc>
        <w:tc>
          <w:tcPr>
            <w:tcW w:w="1666" w:type="pct"/>
            <w:noWrap/>
            <w:hideMark/>
          </w:tcPr>
          <w:p w14:paraId="1817C9FD" w14:textId="77777777" w:rsidR="00102BC7" w:rsidRPr="00667FFE" w:rsidRDefault="00102BC7" w:rsidP="00667FFE">
            <w:pPr>
              <w:pStyle w:val="TableBody"/>
            </w:pPr>
            <w:r w:rsidRPr="00667FFE">
              <w:t>12</w:t>
            </w:r>
          </w:p>
        </w:tc>
        <w:tc>
          <w:tcPr>
            <w:tcW w:w="1667" w:type="pct"/>
            <w:noWrap/>
            <w:hideMark/>
          </w:tcPr>
          <w:p w14:paraId="63ACB950" w14:textId="77777777" w:rsidR="00102BC7" w:rsidRPr="00667FFE" w:rsidRDefault="00102BC7" w:rsidP="00667FFE">
            <w:pPr>
              <w:pStyle w:val="TableBody"/>
            </w:pPr>
            <w:r w:rsidRPr="00667FFE">
              <w:t>107</w:t>
            </w:r>
          </w:p>
        </w:tc>
      </w:tr>
      <w:tr w:rsidR="00102BC7" w:rsidRPr="00667FFE" w14:paraId="663E41CA" w14:textId="77777777" w:rsidTr="00AA1FDB">
        <w:trPr>
          <w:trHeight w:val="312"/>
        </w:trPr>
        <w:tc>
          <w:tcPr>
            <w:tcW w:w="1666" w:type="pct"/>
            <w:noWrap/>
            <w:hideMark/>
          </w:tcPr>
          <w:p w14:paraId="734AB625" w14:textId="5C6D60B5" w:rsidR="00102BC7" w:rsidRPr="00667FFE" w:rsidRDefault="00102BC7" w:rsidP="00667FFE">
            <w:pPr>
              <w:pStyle w:val="TableBody"/>
            </w:pPr>
            <w:r w:rsidRPr="00667FFE">
              <w:t>Category B offence</w:t>
            </w:r>
          </w:p>
        </w:tc>
        <w:tc>
          <w:tcPr>
            <w:tcW w:w="1666" w:type="pct"/>
            <w:noWrap/>
            <w:hideMark/>
          </w:tcPr>
          <w:p w14:paraId="143A9DA8" w14:textId="77777777" w:rsidR="00102BC7" w:rsidRPr="00667FFE" w:rsidRDefault="00102BC7" w:rsidP="00667FFE">
            <w:pPr>
              <w:pStyle w:val="TableBody"/>
            </w:pPr>
            <w:r w:rsidRPr="00667FFE">
              <w:t>18</w:t>
            </w:r>
          </w:p>
        </w:tc>
        <w:tc>
          <w:tcPr>
            <w:tcW w:w="1667" w:type="pct"/>
            <w:noWrap/>
            <w:hideMark/>
          </w:tcPr>
          <w:p w14:paraId="27BF0562" w14:textId="77777777" w:rsidR="00102BC7" w:rsidRPr="00667FFE" w:rsidRDefault="00102BC7" w:rsidP="00667FFE">
            <w:pPr>
              <w:pStyle w:val="TableBody"/>
            </w:pPr>
            <w:r w:rsidRPr="00667FFE">
              <w:t>153</w:t>
            </w:r>
          </w:p>
        </w:tc>
      </w:tr>
    </w:tbl>
    <w:p w14:paraId="4FFF6974" w14:textId="77777777" w:rsidR="001B4B37" w:rsidRDefault="001B4B37" w:rsidP="00156186">
      <w:r>
        <w:lastRenderedPageBreak/>
        <w:t xml:space="preserve">In the higher courts, 91% of the 128 children and young people sentenced for a category A or B serious youth offence had never previously been sentenced for a category A or B offence (Figure 6), including 48 offenders who had committed a category B offence for the first time and 69 offenders who had committed a category A offence for the first time. Only 11 children and young people had at least one prior category A or B offence: 9 were sentenced for a category A offence and 2 were sentenced for a category B offence. This means that during the reference period, there were only 2 cases where an adult court was required, by virtue of section 32(2D) of the </w:t>
      </w:r>
      <w:r>
        <w:rPr>
          <w:rStyle w:val="Italic"/>
        </w:rPr>
        <w:t>Sentencing Act</w:t>
      </w:r>
      <w:r>
        <w:t>, to impose imprisonment unless there were exceptional circumstances not to do so. And imprisonment was imposed in both cases.</w:t>
      </w:r>
      <w:r>
        <w:rPr>
          <w:rStyle w:val="Superscript"/>
        </w:rPr>
        <w:footnoteReference w:id="35"/>
      </w:r>
    </w:p>
    <w:p w14:paraId="7911BB67" w14:textId="77777777" w:rsidR="00DF5FBF" w:rsidRPr="00731721" w:rsidRDefault="00DF5FBF" w:rsidP="00731721">
      <w:pPr>
        <w:pStyle w:val="Caption"/>
      </w:pPr>
      <w:r w:rsidRPr="00731721">
        <w:t>Figure 6: Children and young people with prior category A and B offences sentenced for category A and B offences in the higher courts (128 cases)</w:t>
      </w:r>
    </w:p>
    <w:tbl>
      <w:tblPr>
        <w:tblStyle w:val="Table"/>
        <w:tblW w:w="5000" w:type="pct"/>
        <w:tblLayout w:type="fixed"/>
        <w:tblLook w:val="04A0" w:firstRow="1" w:lastRow="0" w:firstColumn="1" w:lastColumn="0" w:noHBand="0" w:noVBand="1"/>
      </w:tblPr>
      <w:tblGrid>
        <w:gridCol w:w="3005"/>
        <w:gridCol w:w="3005"/>
        <w:gridCol w:w="3006"/>
      </w:tblGrid>
      <w:tr w:rsidR="00591544" w:rsidRPr="00591544" w14:paraId="72BC4479" w14:textId="77777777" w:rsidTr="000D402E">
        <w:trPr>
          <w:trHeight w:val="312"/>
          <w:tblHeader/>
        </w:trPr>
        <w:tc>
          <w:tcPr>
            <w:tcW w:w="1666" w:type="pct"/>
            <w:noWrap/>
            <w:hideMark/>
          </w:tcPr>
          <w:p w14:paraId="0A073854" w14:textId="6F2D63A4" w:rsidR="00591544" w:rsidRPr="00591544" w:rsidRDefault="00591544" w:rsidP="00591544">
            <w:pPr>
              <w:pStyle w:val="TableHeading"/>
            </w:pPr>
            <w:r>
              <w:t>Classification</w:t>
            </w:r>
          </w:p>
        </w:tc>
        <w:tc>
          <w:tcPr>
            <w:tcW w:w="1666" w:type="pct"/>
            <w:noWrap/>
            <w:hideMark/>
          </w:tcPr>
          <w:p w14:paraId="52089FD1" w14:textId="77777777" w:rsidR="00591544" w:rsidRPr="00591544" w:rsidRDefault="00591544" w:rsidP="00591544">
            <w:pPr>
              <w:pStyle w:val="TableHeading"/>
            </w:pPr>
            <w:r w:rsidRPr="00591544">
              <w:t>Prior category A or B offence</w:t>
            </w:r>
          </w:p>
        </w:tc>
        <w:tc>
          <w:tcPr>
            <w:tcW w:w="1667" w:type="pct"/>
            <w:noWrap/>
            <w:hideMark/>
          </w:tcPr>
          <w:p w14:paraId="2FE802B2" w14:textId="77777777" w:rsidR="00591544" w:rsidRPr="00591544" w:rsidRDefault="00591544" w:rsidP="00591544">
            <w:pPr>
              <w:pStyle w:val="TableHeading"/>
            </w:pPr>
            <w:r w:rsidRPr="00591544">
              <w:t>No prior category A or B offence</w:t>
            </w:r>
          </w:p>
        </w:tc>
      </w:tr>
      <w:tr w:rsidR="00591544" w:rsidRPr="00591544" w14:paraId="402BDF76" w14:textId="77777777" w:rsidTr="00591544">
        <w:trPr>
          <w:trHeight w:val="312"/>
        </w:trPr>
        <w:tc>
          <w:tcPr>
            <w:tcW w:w="1666" w:type="pct"/>
            <w:noWrap/>
            <w:hideMark/>
          </w:tcPr>
          <w:p w14:paraId="3B9BBFAE" w14:textId="4283BE44" w:rsidR="00591544" w:rsidRPr="00591544" w:rsidRDefault="00591544" w:rsidP="00591544">
            <w:pPr>
              <w:pStyle w:val="TableBody"/>
            </w:pPr>
            <w:r w:rsidRPr="00591544">
              <w:t xml:space="preserve">Category A </w:t>
            </w:r>
            <w:r>
              <w:t>offence</w:t>
            </w:r>
          </w:p>
        </w:tc>
        <w:tc>
          <w:tcPr>
            <w:tcW w:w="1666" w:type="pct"/>
            <w:noWrap/>
            <w:hideMark/>
          </w:tcPr>
          <w:p w14:paraId="61155B70" w14:textId="77777777" w:rsidR="00591544" w:rsidRPr="00591544" w:rsidRDefault="00591544" w:rsidP="00591544">
            <w:pPr>
              <w:pStyle w:val="TableBody"/>
            </w:pPr>
            <w:r w:rsidRPr="00591544">
              <w:t>9</w:t>
            </w:r>
          </w:p>
        </w:tc>
        <w:tc>
          <w:tcPr>
            <w:tcW w:w="1667" w:type="pct"/>
            <w:noWrap/>
            <w:hideMark/>
          </w:tcPr>
          <w:p w14:paraId="0B61C0BE" w14:textId="77777777" w:rsidR="00591544" w:rsidRPr="00591544" w:rsidRDefault="00591544" w:rsidP="00591544">
            <w:pPr>
              <w:pStyle w:val="TableBody"/>
            </w:pPr>
            <w:r w:rsidRPr="00591544">
              <w:t>69</w:t>
            </w:r>
          </w:p>
        </w:tc>
      </w:tr>
      <w:tr w:rsidR="00591544" w:rsidRPr="00591544" w14:paraId="7F0860DC" w14:textId="77777777" w:rsidTr="00591544">
        <w:trPr>
          <w:trHeight w:val="312"/>
        </w:trPr>
        <w:tc>
          <w:tcPr>
            <w:tcW w:w="1666" w:type="pct"/>
            <w:noWrap/>
            <w:hideMark/>
          </w:tcPr>
          <w:p w14:paraId="6E2892AC" w14:textId="3C9EEC83" w:rsidR="00591544" w:rsidRPr="00591544" w:rsidRDefault="00591544" w:rsidP="00591544">
            <w:pPr>
              <w:pStyle w:val="TableBody"/>
            </w:pPr>
            <w:r w:rsidRPr="00591544">
              <w:t xml:space="preserve">Category B </w:t>
            </w:r>
            <w:r>
              <w:t>offence</w:t>
            </w:r>
          </w:p>
        </w:tc>
        <w:tc>
          <w:tcPr>
            <w:tcW w:w="1666" w:type="pct"/>
            <w:noWrap/>
            <w:hideMark/>
          </w:tcPr>
          <w:p w14:paraId="258FC466" w14:textId="77777777" w:rsidR="00591544" w:rsidRPr="00591544" w:rsidRDefault="00591544" w:rsidP="00591544">
            <w:pPr>
              <w:pStyle w:val="TableBody"/>
            </w:pPr>
            <w:r w:rsidRPr="00591544">
              <w:t>2</w:t>
            </w:r>
          </w:p>
        </w:tc>
        <w:tc>
          <w:tcPr>
            <w:tcW w:w="1667" w:type="pct"/>
            <w:noWrap/>
            <w:hideMark/>
          </w:tcPr>
          <w:p w14:paraId="176E56E6" w14:textId="77777777" w:rsidR="00591544" w:rsidRPr="00591544" w:rsidRDefault="00591544" w:rsidP="00591544">
            <w:pPr>
              <w:pStyle w:val="TableBody"/>
            </w:pPr>
            <w:r w:rsidRPr="00591544">
              <w:t>48</w:t>
            </w:r>
          </w:p>
        </w:tc>
      </w:tr>
    </w:tbl>
    <w:p w14:paraId="147D63AE" w14:textId="77777777" w:rsidR="001B4B37" w:rsidRDefault="001B4B37" w:rsidP="00156186">
      <w:r>
        <w:t xml:space="preserve">In total, there were just 41 children and young people sentenced for a category A or B offence on more than one occasion in the 6.5-year reference period, or earlier before the relevant offences (carjackings, home invasions, and various homicide, sex and violent offences) attracted that classification. This is not an indication of their overall levels of prior offending, as it does not account for other offences that are </w:t>
      </w:r>
      <w:r>
        <w:rPr>
          <w:rStyle w:val="Italic"/>
        </w:rPr>
        <w:t xml:space="preserve">not </w:t>
      </w:r>
      <w:r>
        <w:t>category A or B offences, but it does suggest that very few children and young people repeatedly commit these same serious crimes after sentencing.</w:t>
      </w:r>
    </w:p>
    <w:p w14:paraId="2965CA34" w14:textId="77777777" w:rsidR="001B4B37" w:rsidRDefault="001B4B37" w:rsidP="001B4B37">
      <w:pPr>
        <w:pStyle w:val="Heading1"/>
      </w:pPr>
      <w:bookmarkStart w:id="11" w:name="_Toc233028402"/>
      <w:r>
        <w:t>Category A and B offences committed by children aged under 16</w:t>
      </w:r>
      <w:bookmarkEnd w:id="11"/>
    </w:p>
    <w:p w14:paraId="410AE503" w14:textId="77777777" w:rsidR="001B4B37" w:rsidRDefault="001B4B37" w:rsidP="00156186">
      <w:r>
        <w:t xml:space="preserve">As mentioned, the 2018 legislation was almost entirely directed at children and young people aged 16 or over, and the legislation functioned </w:t>
      </w:r>
      <w:r>
        <w:lastRenderedPageBreak/>
        <w:t xml:space="preserve">in a way that was consistent with that intent. The uplift and sentencing provisions only applied to children and young people aged 16 or over at the time of the offence. The statutory definitions of category A and B serious youth offences, however, have no age boundary. And there was one legislative provision that applied if the Children’s Court was sentencing a category A or B serious youth offence committed by a child aged under 16. To provide as exhaustive an account as possible, despite the limited practical effects of category A and B offence classification for younger children, Table 3 shows how many category A and B serious youth offences were committed by children </w:t>
      </w:r>
      <w:r>
        <w:rPr>
          <w:rStyle w:val="Italic"/>
        </w:rPr>
        <w:t>aged under 16</w:t>
      </w:r>
      <w:r>
        <w:t xml:space="preserve">. All these children were sentenced in the Children’s Court, and they were sentenced for 247 category A and B offences in 196 cases during the reference period. Table 3 lists those offences and the ages of the children who committed them. Exceptionally few of these offences were committed by children aged 12 and 13 (10 offences in total, 7 of which were home invasions). No children aged 14 were sentenced for either of the gross violence offences. Most of their offending involved home invasions and carjackings (aggravated and non-aggravated), and there were 8 rape offences. The same was mostly true for children aged 15, who committed most of these offences among those aged under 16, although they also committed 9 gross violence offences. </w:t>
      </w:r>
    </w:p>
    <w:p w14:paraId="5A007FCD" w14:textId="77777777" w:rsidR="001B4B37" w:rsidRPr="00372652" w:rsidRDefault="001B4B37" w:rsidP="00372652">
      <w:pPr>
        <w:pStyle w:val="Caption"/>
      </w:pPr>
      <w:r w:rsidRPr="003B78C2">
        <w:t>Table 3</w:t>
      </w:r>
      <w:r w:rsidRPr="00372652">
        <w:t>: Ages of younger children sentenced in the Children’s Court for category A and B serious youth offences</w:t>
      </w:r>
    </w:p>
    <w:tbl>
      <w:tblPr>
        <w:tblStyle w:val="Table"/>
        <w:tblW w:w="5000" w:type="pct"/>
        <w:tblLook w:val="0020" w:firstRow="1" w:lastRow="0" w:firstColumn="0" w:lastColumn="0" w:noHBand="0" w:noVBand="0"/>
      </w:tblPr>
      <w:tblGrid>
        <w:gridCol w:w="3607"/>
        <w:gridCol w:w="1353"/>
        <w:gridCol w:w="1352"/>
        <w:gridCol w:w="1352"/>
        <w:gridCol w:w="1352"/>
      </w:tblGrid>
      <w:tr w:rsidR="001B4B37" w14:paraId="75DD786C" w14:textId="77777777" w:rsidTr="00FB24C4">
        <w:trPr>
          <w:trHeight w:val="60"/>
        </w:trPr>
        <w:tc>
          <w:tcPr>
            <w:tcW w:w="2000" w:type="pct"/>
          </w:tcPr>
          <w:p w14:paraId="6033C1E6" w14:textId="77777777" w:rsidR="001B4B37" w:rsidRPr="00C53F01" w:rsidRDefault="001B4B37" w:rsidP="00C53F01">
            <w:pPr>
              <w:pStyle w:val="TableHeading"/>
            </w:pPr>
            <w:r w:rsidRPr="00C53F01">
              <w:t>Offence</w:t>
            </w:r>
          </w:p>
        </w:tc>
        <w:tc>
          <w:tcPr>
            <w:tcW w:w="750" w:type="pct"/>
          </w:tcPr>
          <w:p w14:paraId="3CA27A02" w14:textId="77777777" w:rsidR="001B4B37" w:rsidRPr="00C53F01" w:rsidRDefault="001B4B37" w:rsidP="00C53F01">
            <w:pPr>
              <w:pStyle w:val="TableHeading"/>
            </w:pPr>
            <w:r w:rsidRPr="00C53F01">
              <w:t>Aged 12</w:t>
            </w:r>
          </w:p>
        </w:tc>
        <w:tc>
          <w:tcPr>
            <w:tcW w:w="750" w:type="pct"/>
          </w:tcPr>
          <w:p w14:paraId="402F7651" w14:textId="77777777" w:rsidR="001B4B37" w:rsidRPr="00C53F01" w:rsidRDefault="001B4B37" w:rsidP="00C53F01">
            <w:pPr>
              <w:pStyle w:val="TableHeading"/>
            </w:pPr>
            <w:r w:rsidRPr="00C53F01">
              <w:t>Aged 13</w:t>
            </w:r>
          </w:p>
        </w:tc>
        <w:tc>
          <w:tcPr>
            <w:tcW w:w="750" w:type="pct"/>
          </w:tcPr>
          <w:p w14:paraId="77DAE839" w14:textId="77777777" w:rsidR="001B4B37" w:rsidRPr="00C53F01" w:rsidRDefault="001B4B37" w:rsidP="00C53F01">
            <w:pPr>
              <w:pStyle w:val="TableHeading"/>
            </w:pPr>
            <w:r w:rsidRPr="00C53F01">
              <w:t>Aged 14</w:t>
            </w:r>
          </w:p>
        </w:tc>
        <w:tc>
          <w:tcPr>
            <w:tcW w:w="750" w:type="pct"/>
          </w:tcPr>
          <w:p w14:paraId="240BDB01" w14:textId="77777777" w:rsidR="001B4B37" w:rsidRPr="00C53F01" w:rsidRDefault="001B4B37" w:rsidP="00C53F01">
            <w:pPr>
              <w:pStyle w:val="TableHeading"/>
            </w:pPr>
            <w:r w:rsidRPr="00C53F01">
              <w:t>Aged 15</w:t>
            </w:r>
          </w:p>
        </w:tc>
      </w:tr>
      <w:tr w:rsidR="001B4B37" w14:paraId="6D71C41B" w14:textId="77777777" w:rsidTr="00FB24C4">
        <w:trPr>
          <w:trHeight w:val="60"/>
        </w:trPr>
        <w:tc>
          <w:tcPr>
            <w:tcW w:w="2000" w:type="pct"/>
          </w:tcPr>
          <w:p w14:paraId="4C61B6E1" w14:textId="77777777" w:rsidR="001B4B37" w:rsidRPr="00C53F01" w:rsidRDefault="001B4B37" w:rsidP="00C53F01">
            <w:pPr>
              <w:pStyle w:val="TableBody"/>
            </w:pPr>
            <w:r w:rsidRPr="00C53F01">
              <w:t>Aggravated carjacking</w:t>
            </w:r>
          </w:p>
        </w:tc>
        <w:tc>
          <w:tcPr>
            <w:tcW w:w="750" w:type="pct"/>
          </w:tcPr>
          <w:p w14:paraId="5BB1A217" w14:textId="77777777" w:rsidR="001B4B37" w:rsidRPr="00C53F01" w:rsidRDefault="001B4B37" w:rsidP="00C53F01">
            <w:pPr>
              <w:pStyle w:val="TableBody"/>
            </w:pPr>
            <w:r w:rsidRPr="00C53F01">
              <w:t>0</w:t>
            </w:r>
          </w:p>
        </w:tc>
        <w:tc>
          <w:tcPr>
            <w:tcW w:w="750" w:type="pct"/>
          </w:tcPr>
          <w:p w14:paraId="48A429B7" w14:textId="77777777" w:rsidR="001B4B37" w:rsidRPr="00C53F01" w:rsidRDefault="001B4B37" w:rsidP="00C53F01">
            <w:pPr>
              <w:pStyle w:val="TableBody"/>
            </w:pPr>
            <w:r w:rsidRPr="00C53F01">
              <w:t>3</w:t>
            </w:r>
          </w:p>
        </w:tc>
        <w:tc>
          <w:tcPr>
            <w:tcW w:w="750" w:type="pct"/>
          </w:tcPr>
          <w:p w14:paraId="5CE137C2" w14:textId="77777777" w:rsidR="001B4B37" w:rsidRPr="00C53F01" w:rsidRDefault="001B4B37" w:rsidP="00C53F01">
            <w:pPr>
              <w:pStyle w:val="TableBody"/>
            </w:pPr>
            <w:r w:rsidRPr="00C53F01">
              <w:t>20</w:t>
            </w:r>
          </w:p>
        </w:tc>
        <w:tc>
          <w:tcPr>
            <w:tcW w:w="750" w:type="pct"/>
          </w:tcPr>
          <w:p w14:paraId="4724E4FE" w14:textId="77777777" w:rsidR="001B4B37" w:rsidRPr="00C53F01" w:rsidRDefault="001B4B37" w:rsidP="00C53F01">
            <w:pPr>
              <w:pStyle w:val="TableBody"/>
            </w:pPr>
            <w:r w:rsidRPr="00C53F01">
              <w:t>32</w:t>
            </w:r>
          </w:p>
        </w:tc>
      </w:tr>
      <w:tr w:rsidR="001B4B37" w14:paraId="2B37C40B" w14:textId="77777777" w:rsidTr="00FB24C4">
        <w:trPr>
          <w:trHeight w:val="60"/>
        </w:trPr>
        <w:tc>
          <w:tcPr>
            <w:tcW w:w="2000" w:type="pct"/>
          </w:tcPr>
          <w:p w14:paraId="407D25DC" w14:textId="77777777" w:rsidR="001B4B37" w:rsidRPr="00C53F01" w:rsidRDefault="001B4B37" w:rsidP="00C53F01">
            <w:pPr>
              <w:pStyle w:val="TableBody"/>
            </w:pPr>
            <w:r w:rsidRPr="00C53F01">
              <w:t xml:space="preserve">Aggravated home invasion </w:t>
            </w:r>
          </w:p>
        </w:tc>
        <w:tc>
          <w:tcPr>
            <w:tcW w:w="750" w:type="pct"/>
          </w:tcPr>
          <w:p w14:paraId="1C22520C" w14:textId="77777777" w:rsidR="001B4B37" w:rsidRPr="00C53F01" w:rsidRDefault="001B4B37" w:rsidP="00C53F01">
            <w:pPr>
              <w:pStyle w:val="TableBody"/>
            </w:pPr>
            <w:r w:rsidRPr="00C53F01">
              <w:t>0</w:t>
            </w:r>
          </w:p>
        </w:tc>
        <w:tc>
          <w:tcPr>
            <w:tcW w:w="750" w:type="pct"/>
          </w:tcPr>
          <w:p w14:paraId="6BB26A20" w14:textId="77777777" w:rsidR="001B4B37" w:rsidRPr="00C53F01" w:rsidRDefault="001B4B37" w:rsidP="00C53F01">
            <w:pPr>
              <w:pStyle w:val="TableBody"/>
            </w:pPr>
            <w:r w:rsidRPr="00C53F01">
              <w:t>0</w:t>
            </w:r>
          </w:p>
        </w:tc>
        <w:tc>
          <w:tcPr>
            <w:tcW w:w="750" w:type="pct"/>
          </w:tcPr>
          <w:p w14:paraId="369E50AD" w14:textId="77777777" w:rsidR="001B4B37" w:rsidRPr="00C53F01" w:rsidRDefault="001B4B37" w:rsidP="00C53F01">
            <w:pPr>
              <w:pStyle w:val="TableBody"/>
            </w:pPr>
            <w:r w:rsidRPr="00C53F01">
              <w:t>9</w:t>
            </w:r>
          </w:p>
        </w:tc>
        <w:tc>
          <w:tcPr>
            <w:tcW w:w="750" w:type="pct"/>
          </w:tcPr>
          <w:p w14:paraId="7289CAD8" w14:textId="77777777" w:rsidR="001B4B37" w:rsidRPr="00C53F01" w:rsidRDefault="001B4B37" w:rsidP="00C53F01">
            <w:pPr>
              <w:pStyle w:val="TableBody"/>
            </w:pPr>
            <w:r w:rsidRPr="00C53F01">
              <w:t>24</w:t>
            </w:r>
          </w:p>
        </w:tc>
      </w:tr>
      <w:tr w:rsidR="001B4B37" w14:paraId="6B18C9E2" w14:textId="77777777" w:rsidTr="00FB24C4">
        <w:trPr>
          <w:trHeight w:val="60"/>
        </w:trPr>
        <w:tc>
          <w:tcPr>
            <w:tcW w:w="2000" w:type="pct"/>
          </w:tcPr>
          <w:p w14:paraId="1568B257" w14:textId="77777777" w:rsidR="001B4B37" w:rsidRPr="00C53F01" w:rsidRDefault="001B4B37" w:rsidP="00C53F01">
            <w:pPr>
              <w:pStyle w:val="TableBody"/>
            </w:pPr>
            <w:r w:rsidRPr="00C53F01">
              <w:t>Carjacking</w:t>
            </w:r>
          </w:p>
        </w:tc>
        <w:tc>
          <w:tcPr>
            <w:tcW w:w="750" w:type="pct"/>
          </w:tcPr>
          <w:p w14:paraId="6C8E6D00" w14:textId="77777777" w:rsidR="001B4B37" w:rsidRPr="00C53F01" w:rsidRDefault="001B4B37" w:rsidP="00C53F01">
            <w:pPr>
              <w:pStyle w:val="TableBody"/>
            </w:pPr>
            <w:r w:rsidRPr="00C53F01">
              <w:t>0</w:t>
            </w:r>
          </w:p>
        </w:tc>
        <w:tc>
          <w:tcPr>
            <w:tcW w:w="750" w:type="pct"/>
          </w:tcPr>
          <w:p w14:paraId="2EF87816" w14:textId="77777777" w:rsidR="001B4B37" w:rsidRPr="00C53F01" w:rsidRDefault="001B4B37" w:rsidP="00C53F01">
            <w:pPr>
              <w:pStyle w:val="TableBody"/>
            </w:pPr>
            <w:r w:rsidRPr="00C53F01">
              <w:t>0</w:t>
            </w:r>
          </w:p>
        </w:tc>
        <w:tc>
          <w:tcPr>
            <w:tcW w:w="750" w:type="pct"/>
          </w:tcPr>
          <w:p w14:paraId="0D23AACE" w14:textId="77777777" w:rsidR="001B4B37" w:rsidRPr="00C53F01" w:rsidRDefault="001B4B37" w:rsidP="00C53F01">
            <w:pPr>
              <w:pStyle w:val="TableBody"/>
            </w:pPr>
            <w:r w:rsidRPr="00C53F01">
              <w:t>17</w:t>
            </w:r>
          </w:p>
        </w:tc>
        <w:tc>
          <w:tcPr>
            <w:tcW w:w="750" w:type="pct"/>
          </w:tcPr>
          <w:p w14:paraId="2C5C46E7" w14:textId="77777777" w:rsidR="001B4B37" w:rsidRPr="00C53F01" w:rsidRDefault="001B4B37" w:rsidP="00C53F01">
            <w:pPr>
              <w:pStyle w:val="TableBody"/>
            </w:pPr>
            <w:r w:rsidRPr="00C53F01">
              <w:t>26</w:t>
            </w:r>
          </w:p>
        </w:tc>
      </w:tr>
      <w:tr w:rsidR="001B4B37" w14:paraId="04D38D7A" w14:textId="77777777" w:rsidTr="00FB24C4">
        <w:trPr>
          <w:trHeight w:val="60"/>
        </w:trPr>
        <w:tc>
          <w:tcPr>
            <w:tcW w:w="2000" w:type="pct"/>
          </w:tcPr>
          <w:p w14:paraId="3105C542" w14:textId="77777777" w:rsidR="001B4B37" w:rsidRPr="00C53F01" w:rsidRDefault="001B4B37" w:rsidP="00C53F01">
            <w:pPr>
              <w:pStyle w:val="TableBody"/>
            </w:pPr>
            <w:r w:rsidRPr="00C53F01">
              <w:t>Home invasion</w:t>
            </w:r>
          </w:p>
        </w:tc>
        <w:tc>
          <w:tcPr>
            <w:tcW w:w="750" w:type="pct"/>
          </w:tcPr>
          <w:p w14:paraId="456D4D04" w14:textId="77777777" w:rsidR="001B4B37" w:rsidRPr="00C53F01" w:rsidRDefault="001B4B37" w:rsidP="00C53F01">
            <w:pPr>
              <w:pStyle w:val="TableBody"/>
            </w:pPr>
            <w:r w:rsidRPr="00C53F01">
              <w:t>1</w:t>
            </w:r>
          </w:p>
        </w:tc>
        <w:tc>
          <w:tcPr>
            <w:tcW w:w="750" w:type="pct"/>
          </w:tcPr>
          <w:p w14:paraId="0D307CB4" w14:textId="77777777" w:rsidR="001B4B37" w:rsidRPr="00C53F01" w:rsidRDefault="001B4B37" w:rsidP="00C53F01">
            <w:pPr>
              <w:pStyle w:val="TableBody"/>
            </w:pPr>
            <w:r w:rsidRPr="00C53F01">
              <w:t>6</w:t>
            </w:r>
          </w:p>
        </w:tc>
        <w:tc>
          <w:tcPr>
            <w:tcW w:w="750" w:type="pct"/>
          </w:tcPr>
          <w:p w14:paraId="182CCE99" w14:textId="77777777" w:rsidR="001B4B37" w:rsidRPr="00C53F01" w:rsidRDefault="001B4B37" w:rsidP="00C53F01">
            <w:pPr>
              <w:pStyle w:val="TableBody"/>
            </w:pPr>
            <w:r w:rsidRPr="00C53F01">
              <w:t>21</w:t>
            </w:r>
          </w:p>
        </w:tc>
        <w:tc>
          <w:tcPr>
            <w:tcW w:w="750" w:type="pct"/>
          </w:tcPr>
          <w:p w14:paraId="09FE88D2" w14:textId="77777777" w:rsidR="001B4B37" w:rsidRPr="00C53F01" w:rsidRDefault="001B4B37" w:rsidP="00C53F01">
            <w:pPr>
              <w:pStyle w:val="TableBody"/>
            </w:pPr>
            <w:r w:rsidRPr="00C53F01">
              <w:t>58</w:t>
            </w:r>
          </w:p>
        </w:tc>
      </w:tr>
      <w:tr w:rsidR="001B4B37" w14:paraId="1E90A96A" w14:textId="77777777" w:rsidTr="00FB24C4">
        <w:trPr>
          <w:trHeight w:val="283"/>
        </w:trPr>
        <w:tc>
          <w:tcPr>
            <w:tcW w:w="2000" w:type="pct"/>
          </w:tcPr>
          <w:p w14:paraId="42E722BD" w14:textId="77777777" w:rsidR="001B4B37" w:rsidRPr="00C53F01" w:rsidRDefault="001B4B37" w:rsidP="00C53F01">
            <w:pPr>
              <w:pStyle w:val="TableBody"/>
            </w:pPr>
            <w:r w:rsidRPr="00C53F01">
              <w:t>Rape</w:t>
            </w:r>
          </w:p>
        </w:tc>
        <w:tc>
          <w:tcPr>
            <w:tcW w:w="750" w:type="pct"/>
          </w:tcPr>
          <w:p w14:paraId="382C86F3" w14:textId="77777777" w:rsidR="001B4B37" w:rsidRPr="00C53F01" w:rsidRDefault="001B4B37" w:rsidP="00C53F01">
            <w:pPr>
              <w:pStyle w:val="TableBody"/>
            </w:pPr>
            <w:r w:rsidRPr="00C53F01">
              <w:t>0</w:t>
            </w:r>
          </w:p>
        </w:tc>
        <w:tc>
          <w:tcPr>
            <w:tcW w:w="750" w:type="pct"/>
          </w:tcPr>
          <w:p w14:paraId="1F41ED66" w14:textId="77777777" w:rsidR="001B4B37" w:rsidRPr="00C53F01" w:rsidRDefault="001B4B37" w:rsidP="00C53F01">
            <w:pPr>
              <w:pStyle w:val="TableBody"/>
            </w:pPr>
            <w:r w:rsidRPr="00C53F01">
              <w:t>0</w:t>
            </w:r>
          </w:p>
        </w:tc>
        <w:tc>
          <w:tcPr>
            <w:tcW w:w="750" w:type="pct"/>
          </w:tcPr>
          <w:p w14:paraId="3F3D22B8" w14:textId="77777777" w:rsidR="001B4B37" w:rsidRPr="00C53F01" w:rsidRDefault="001B4B37" w:rsidP="00C53F01">
            <w:pPr>
              <w:pStyle w:val="TableBody"/>
            </w:pPr>
            <w:r w:rsidRPr="00C53F01">
              <w:t>8</w:t>
            </w:r>
          </w:p>
        </w:tc>
        <w:tc>
          <w:tcPr>
            <w:tcW w:w="750" w:type="pct"/>
          </w:tcPr>
          <w:p w14:paraId="2769BD52" w14:textId="77777777" w:rsidR="001B4B37" w:rsidRPr="00C53F01" w:rsidRDefault="001B4B37" w:rsidP="00C53F01">
            <w:pPr>
              <w:pStyle w:val="TableBody"/>
            </w:pPr>
            <w:r w:rsidRPr="00C53F01">
              <w:t>13</w:t>
            </w:r>
          </w:p>
        </w:tc>
      </w:tr>
      <w:tr w:rsidR="001B4B37" w14:paraId="71C60B5F" w14:textId="77777777" w:rsidTr="00FB24C4">
        <w:trPr>
          <w:trHeight w:val="60"/>
        </w:trPr>
        <w:tc>
          <w:tcPr>
            <w:tcW w:w="2000" w:type="pct"/>
          </w:tcPr>
          <w:p w14:paraId="2EC00AF2" w14:textId="77777777" w:rsidR="001B4B37" w:rsidRPr="00C53F01" w:rsidRDefault="001B4B37" w:rsidP="00C53F01">
            <w:pPr>
              <w:pStyle w:val="TableBody"/>
            </w:pPr>
            <w:r w:rsidRPr="00C53F01">
              <w:t>Intentionally causing serious injury in circumstances of gross violence</w:t>
            </w:r>
          </w:p>
        </w:tc>
        <w:tc>
          <w:tcPr>
            <w:tcW w:w="750" w:type="pct"/>
          </w:tcPr>
          <w:p w14:paraId="1870ABAD" w14:textId="77777777" w:rsidR="001B4B37" w:rsidRPr="00C53F01" w:rsidRDefault="001B4B37" w:rsidP="00C53F01">
            <w:pPr>
              <w:pStyle w:val="TableBody"/>
            </w:pPr>
            <w:r w:rsidRPr="00C53F01">
              <w:t>0</w:t>
            </w:r>
          </w:p>
        </w:tc>
        <w:tc>
          <w:tcPr>
            <w:tcW w:w="750" w:type="pct"/>
          </w:tcPr>
          <w:p w14:paraId="3576C372" w14:textId="77777777" w:rsidR="001B4B37" w:rsidRPr="00C53F01" w:rsidRDefault="001B4B37" w:rsidP="00C53F01">
            <w:pPr>
              <w:pStyle w:val="TableBody"/>
            </w:pPr>
            <w:r w:rsidRPr="00C53F01">
              <w:t>0</w:t>
            </w:r>
          </w:p>
        </w:tc>
        <w:tc>
          <w:tcPr>
            <w:tcW w:w="750" w:type="pct"/>
          </w:tcPr>
          <w:p w14:paraId="2834BDB7" w14:textId="77777777" w:rsidR="001B4B37" w:rsidRPr="00C53F01" w:rsidRDefault="001B4B37" w:rsidP="00C53F01">
            <w:pPr>
              <w:pStyle w:val="TableBody"/>
            </w:pPr>
            <w:r w:rsidRPr="00C53F01">
              <w:t>0</w:t>
            </w:r>
          </w:p>
        </w:tc>
        <w:tc>
          <w:tcPr>
            <w:tcW w:w="750" w:type="pct"/>
          </w:tcPr>
          <w:p w14:paraId="0A5ECC08" w14:textId="77777777" w:rsidR="001B4B37" w:rsidRPr="00C53F01" w:rsidRDefault="001B4B37" w:rsidP="00C53F01">
            <w:pPr>
              <w:pStyle w:val="TableBody"/>
            </w:pPr>
            <w:r w:rsidRPr="00C53F01">
              <w:t>6</w:t>
            </w:r>
          </w:p>
        </w:tc>
      </w:tr>
      <w:tr w:rsidR="001B4B37" w14:paraId="3DFEA517" w14:textId="77777777" w:rsidTr="00FB24C4">
        <w:trPr>
          <w:trHeight w:val="60"/>
        </w:trPr>
        <w:tc>
          <w:tcPr>
            <w:tcW w:w="2000" w:type="pct"/>
          </w:tcPr>
          <w:p w14:paraId="55AF2BC1" w14:textId="77777777" w:rsidR="001B4B37" w:rsidRPr="00C53F01" w:rsidRDefault="001B4B37" w:rsidP="00C53F01">
            <w:pPr>
              <w:pStyle w:val="TableBody"/>
            </w:pPr>
            <w:r w:rsidRPr="00C53F01">
              <w:t>Recklessly causing serious injury in circumstances of gross violence</w:t>
            </w:r>
          </w:p>
        </w:tc>
        <w:tc>
          <w:tcPr>
            <w:tcW w:w="750" w:type="pct"/>
          </w:tcPr>
          <w:p w14:paraId="3C2E68D9" w14:textId="77777777" w:rsidR="001B4B37" w:rsidRPr="00C53F01" w:rsidRDefault="001B4B37" w:rsidP="00C53F01">
            <w:pPr>
              <w:pStyle w:val="TableBody"/>
            </w:pPr>
            <w:r w:rsidRPr="00C53F01">
              <w:t>0</w:t>
            </w:r>
          </w:p>
        </w:tc>
        <w:tc>
          <w:tcPr>
            <w:tcW w:w="750" w:type="pct"/>
          </w:tcPr>
          <w:p w14:paraId="5B792F96" w14:textId="77777777" w:rsidR="001B4B37" w:rsidRPr="00C53F01" w:rsidRDefault="001B4B37" w:rsidP="00C53F01">
            <w:pPr>
              <w:pStyle w:val="TableBody"/>
            </w:pPr>
            <w:r w:rsidRPr="00C53F01">
              <w:t>0</w:t>
            </w:r>
          </w:p>
        </w:tc>
        <w:tc>
          <w:tcPr>
            <w:tcW w:w="750" w:type="pct"/>
          </w:tcPr>
          <w:p w14:paraId="532376C4" w14:textId="77777777" w:rsidR="001B4B37" w:rsidRPr="00C53F01" w:rsidRDefault="001B4B37" w:rsidP="00C53F01">
            <w:pPr>
              <w:pStyle w:val="TableBody"/>
            </w:pPr>
            <w:r w:rsidRPr="00C53F01">
              <w:t>0</w:t>
            </w:r>
          </w:p>
        </w:tc>
        <w:tc>
          <w:tcPr>
            <w:tcW w:w="750" w:type="pct"/>
          </w:tcPr>
          <w:p w14:paraId="12901EEA" w14:textId="77777777" w:rsidR="001B4B37" w:rsidRPr="00C53F01" w:rsidRDefault="001B4B37" w:rsidP="00C53F01">
            <w:pPr>
              <w:pStyle w:val="TableBody"/>
            </w:pPr>
            <w:r w:rsidRPr="00C53F01">
              <w:t>3</w:t>
            </w:r>
          </w:p>
        </w:tc>
      </w:tr>
      <w:tr w:rsidR="001B4B37" w14:paraId="6C18B36F" w14:textId="77777777" w:rsidTr="00FB24C4">
        <w:trPr>
          <w:trHeight w:val="60"/>
        </w:trPr>
        <w:tc>
          <w:tcPr>
            <w:tcW w:w="2000" w:type="pct"/>
          </w:tcPr>
          <w:p w14:paraId="6D103207" w14:textId="77777777" w:rsidR="001B4B37" w:rsidRPr="00DA2489" w:rsidRDefault="001B4B37" w:rsidP="00C53F01">
            <w:pPr>
              <w:pStyle w:val="TableBody"/>
              <w:rPr>
                <w:b/>
                <w:bCs/>
              </w:rPr>
            </w:pPr>
            <w:r w:rsidRPr="00DA2489">
              <w:rPr>
                <w:b/>
                <w:bCs/>
              </w:rPr>
              <w:t>Total</w:t>
            </w:r>
          </w:p>
        </w:tc>
        <w:tc>
          <w:tcPr>
            <w:tcW w:w="750" w:type="pct"/>
          </w:tcPr>
          <w:p w14:paraId="215C2C1C" w14:textId="77777777" w:rsidR="001B4B37" w:rsidRPr="00DA2489" w:rsidRDefault="001B4B37" w:rsidP="00C53F01">
            <w:pPr>
              <w:pStyle w:val="TableBody"/>
              <w:rPr>
                <w:b/>
                <w:bCs/>
              </w:rPr>
            </w:pPr>
            <w:r w:rsidRPr="00DA2489">
              <w:rPr>
                <w:b/>
                <w:bCs/>
              </w:rPr>
              <w:t>1</w:t>
            </w:r>
          </w:p>
        </w:tc>
        <w:tc>
          <w:tcPr>
            <w:tcW w:w="750" w:type="pct"/>
          </w:tcPr>
          <w:p w14:paraId="6814E17F" w14:textId="77777777" w:rsidR="001B4B37" w:rsidRPr="00DA2489" w:rsidRDefault="001B4B37" w:rsidP="00C53F01">
            <w:pPr>
              <w:pStyle w:val="TableBody"/>
              <w:rPr>
                <w:b/>
                <w:bCs/>
              </w:rPr>
            </w:pPr>
            <w:r w:rsidRPr="00DA2489">
              <w:rPr>
                <w:b/>
                <w:bCs/>
              </w:rPr>
              <w:t>9</w:t>
            </w:r>
          </w:p>
        </w:tc>
        <w:tc>
          <w:tcPr>
            <w:tcW w:w="750" w:type="pct"/>
          </w:tcPr>
          <w:p w14:paraId="041BAF3D" w14:textId="77777777" w:rsidR="001B4B37" w:rsidRPr="00DA2489" w:rsidRDefault="001B4B37" w:rsidP="00C53F01">
            <w:pPr>
              <w:pStyle w:val="TableBody"/>
              <w:rPr>
                <w:b/>
                <w:bCs/>
              </w:rPr>
            </w:pPr>
            <w:r w:rsidRPr="00DA2489">
              <w:rPr>
                <w:b/>
                <w:bCs/>
              </w:rPr>
              <w:t>75</w:t>
            </w:r>
          </w:p>
        </w:tc>
        <w:tc>
          <w:tcPr>
            <w:tcW w:w="750" w:type="pct"/>
          </w:tcPr>
          <w:p w14:paraId="351E726E" w14:textId="77777777" w:rsidR="001B4B37" w:rsidRPr="00DA2489" w:rsidRDefault="001B4B37" w:rsidP="00C53F01">
            <w:pPr>
              <w:pStyle w:val="TableBody"/>
              <w:rPr>
                <w:b/>
                <w:bCs/>
              </w:rPr>
            </w:pPr>
            <w:r w:rsidRPr="00DA2489">
              <w:rPr>
                <w:b/>
                <w:bCs/>
              </w:rPr>
              <w:t>162</w:t>
            </w:r>
          </w:p>
        </w:tc>
      </w:tr>
    </w:tbl>
    <w:p w14:paraId="026E3DF3" w14:textId="77777777" w:rsidR="001B4B37" w:rsidRDefault="001B4B37" w:rsidP="001B4B37">
      <w:pPr>
        <w:pStyle w:val="Heading1"/>
      </w:pPr>
      <w:bookmarkStart w:id="12" w:name="_Toc233028403"/>
      <w:r>
        <w:lastRenderedPageBreak/>
        <w:t>Conclusion</w:t>
      </w:r>
      <w:bookmarkEnd w:id="12"/>
    </w:p>
    <w:p w14:paraId="5A4B5104" w14:textId="77777777" w:rsidR="001B4B37" w:rsidRDefault="001B4B37" w:rsidP="00156186">
      <w:r>
        <w:t xml:space="preserve">This report has examined the number of category A and B serious youth offences committed by children and young people aged 16 to 20 who were sentenced in Victoria since the introduction of category A and B offence classification. The report includes the courts in which children and young people were sentenced for category A and B offences, the gender of the offenders, their age at the time of the offence and the sentences imposed on offenders for category A and B offences. Key findings include the following: </w:t>
      </w:r>
    </w:p>
    <w:p w14:paraId="166FFA13" w14:textId="77777777" w:rsidR="001B4B37" w:rsidRDefault="001B4B37" w:rsidP="00156186">
      <w:pPr>
        <w:pStyle w:val="Bullets"/>
      </w:pPr>
      <w:r>
        <w:t>Relatively few category A and B serious youth offences were sentenced in the almost 6.5 years examined (489 charges in 418 cases) at an average of 66 cases per year.</w:t>
      </w:r>
    </w:p>
    <w:p w14:paraId="60D9596E" w14:textId="77777777" w:rsidR="001B4B37" w:rsidRDefault="001B4B37" w:rsidP="00156186">
      <w:pPr>
        <w:pStyle w:val="Bullets"/>
      </w:pPr>
      <w:r>
        <w:t>Very few children and young people were sentenced for category A and B serious youth offences on more than one occasion during the reference period. Of the 418 cases involving category A and B offences, just 41 involved a child or young person who had previously been sentenced for a category A or B serious youth offence, including offences that are now category A and B offences but weren’t at the time of the offence.</w:t>
      </w:r>
    </w:p>
    <w:p w14:paraId="0D48C973" w14:textId="77777777" w:rsidR="001B4B37" w:rsidRDefault="001B4B37" w:rsidP="00156186">
      <w:pPr>
        <w:pStyle w:val="Bullets"/>
      </w:pPr>
      <w:r>
        <w:t>70% of category A and B serious youth offences were sentenced in the Children’s Court, not the adult courts. Most of the category A and B offences that were sentenced in the higher courts involved young offenders aged 18 to 20, whose cases could not have been heard in the Children’s Court due to their age.</w:t>
      </w:r>
    </w:p>
    <w:p w14:paraId="3C64F740" w14:textId="77777777" w:rsidR="001B4B37" w:rsidRDefault="001B4B37" w:rsidP="00156186">
      <w:pPr>
        <w:pStyle w:val="Bullets"/>
      </w:pPr>
      <w:r>
        <w:t xml:space="preserve">Across all jurisdictions, more than half of sentenced category A and B serious youth offences were category B offences (55%); the rest were category A offences (45%). </w:t>
      </w:r>
    </w:p>
    <w:p w14:paraId="086E2E1E" w14:textId="77777777" w:rsidR="001B4B37" w:rsidRDefault="001B4B37" w:rsidP="00156186">
      <w:pPr>
        <w:pStyle w:val="Bullets"/>
      </w:pPr>
      <w:r>
        <w:lastRenderedPageBreak/>
        <w:t>The high rate of category B offences partly explains why so many category A and B offences were sentenced in the Children’s Court. During the reference period, there was a default presumption that category B offences would be sentenced in the Children’s Court unless exceptional circumstances required the case to be transferred to the adult jurisdiction. That said, most of the category A offences committed by offenders aged 16 and 17 (86%) were also sentenced in the Children’s Court, rather than being uplifted to the higher courts. This suggests that those cases all met the relatively high threshold that permitted the matter to be dealt with summarily in the Children’s Court.</w:t>
      </w:r>
    </w:p>
    <w:p w14:paraId="05EBDC8A" w14:textId="77777777" w:rsidR="001B4B37" w:rsidRDefault="001B4B37" w:rsidP="00156186">
      <w:pPr>
        <w:pStyle w:val="Bullets"/>
      </w:pPr>
      <w:r>
        <w:t>In the Children’s Court, one-third of category A and B serious youth offences resulted in a youth justice centre order (32%), while the other 68% resulted in non-custodial sentences, especially youth supervision and youth attendance orders. No mandatory or presumptive sentencing laws applied if these offences were dealt with in the Children’s Court.</w:t>
      </w:r>
    </w:p>
    <w:p w14:paraId="447850FB" w14:textId="77777777" w:rsidR="001B4B37" w:rsidRDefault="001B4B37" w:rsidP="002472CC">
      <w:pPr>
        <w:pStyle w:val="Bullets"/>
      </w:pPr>
      <w:r>
        <w:t xml:space="preserve">In the higher courts, 97% of category A and B serious youth offences resulted in a sentence involving detention: 58% imprisonment and 39% youth justice centre </w:t>
      </w:r>
      <w:r w:rsidRPr="00261201">
        <w:t xml:space="preserve">orders. In cases involving category A offences that resulted in youth justice centre </w:t>
      </w:r>
      <w:r>
        <w:t>orders, there were mitigating factors that combined for the sentencing court to find the circumstances exceptional enough to not require adult imprisonment.</w:t>
      </w:r>
    </w:p>
    <w:p w14:paraId="56C78586" w14:textId="77777777" w:rsidR="001B4B37" w:rsidRDefault="001B4B37" w:rsidP="00156186">
      <w:r>
        <w:t xml:space="preserve">At first glance, these findings may raise the question whether the introduction of category A and B classification achieved its legislative intent. Very few offenders aged 16 or 17 at the time of the offence were sentenced in the adult jurisdiction for category A or B serious youth offences (24 charges) in circumstances where there was some discretion to sentence the offender in the Children’s Court. Further, a relatively high </w:t>
      </w:r>
      <w:r>
        <w:lastRenderedPageBreak/>
        <w:t>rate of youth justice centre orders, as opposed to adult imprisonment, were imposed for category A offences in the higher courts. This means that, just as the Children’s Court often found that the circumstances met the threshold of ‘substantial and compelling’, so too did the higher courts often find that the circumstances met the (more stringent) threshold of ‘exceptional’.</w:t>
      </w:r>
    </w:p>
    <w:p w14:paraId="3F5A4570" w14:textId="77777777" w:rsidR="001B4B37" w:rsidRDefault="001B4B37" w:rsidP="00156186">
      <w:r>
        <w:t>These findings, however, simply reflect the nature of these cases. They are serious crimes, but they were committed by children. A review of sentencing remarks in those cases suggests an exceptionally high rate of childhood trauma, abuse, violence and neglect, and ongoing issues with mental illness and substance abuse. Category A offences could only be dealt with in the Children’s Court for substantial and compelling reasons and could only receive a youth justice centre order in the higher courts if there were exceptional circumstances; however, these are precisely the types of cases where a constellation of disadvantage tended to cluster and reach those high thresholds.</w:t>
      </w:r>
      <w:r>
        <w:rPr>
          <w:rStyle w:val="Superscript"/>
        </w:rPr>
        <w:footnoteReference w:id="36"/>
      </w:r>
    </w:p>
    <w:p w14:paraId="0526B8C7" w14:textId="388E442E" w:rsidR="001B4B37" w:rsidRDefault="001B4B37" w:rsidP="00156186">
      <w:r>
        <w:t xml:space="preserve">The data in this report aims to provide a useful baseline to examine the effects of the 2025 reforms. As can be seen in the summary of the reforms in Table 4, there is an expansion of offences that are subject to presumptive or mandatory uplift because of the offender’s age or the offence committed. These reforms will result in almost </w:t>
      </w:r>
      <w:proofErr w:type="gramStart"/>
      <w:r>
        <w:t>all of</w:t>
      </w:r>
      <w:proofErr w:type="gramEnd"/>
      <w:r>
        <w:t xml:space="preserve"> the category </w:t>
      </w:r>
      <w:r>
        <w:lastRenderedPageBreak/>
        <w:t xml:space="preserve">A and B offences previously sentenced in the Children’s Court being uplifted to the adult jurisdiction. </w:t>
      </w:r>
    </w:p>
    <w:p w14:paraId="398B4AAA" w14:textId="77777777" w:rsidR="001B4B37" w:rsidRPr="00B65EA5" w:rsidRDefault="001B4B37" w:rsidP="00B65EA5">
      <w:pPr>
        <w:pStyle w:val="Caption"/>
      </w:pPr>
      <w:r w:rsidRPr="003B78C2">
        <w:t>Table 4</w:t>
      </w:r>
      <w:r w:rsidRPr="00B65EA5">
        <w:t>: Designated and non-designated category A and B serious youth offences</w:t>
      </w:r>
    </w:p>
    <w:tbl>
      <w:tblPr>
        <w:tblStyle w:val="Table"/>
        <w:tblW w:w="5000" w:type="pct"/>
        <w:tblLook w:val="0020" w:firstRow="1" w:lastRow="0" w:firstColumn="0" w:lastColumn="0" w:noHBand="0" w:noVBand="0"/>
      </w:tblPr>
      <w:tblGrid>
        <w:gridCol w:w="1683"/>
        <w:gridCol w:w="3727"/>
        <w:gridCol w:w="3606"/>
      </w:tblGrid>
      <w:tr w:rsidR="001B4B37" w14:paraId="26BF9870" w14:textId="77777777" w:rsidTr="00FB24C4">
        <w:trPr>
          <w:trHeight w:val="60"/>
          <w:tblHeader/>
        </w:trPr>
        <w:tc>
          <w:tcPr>
            <w:tcW w:w="933" w:type="pct"/>
          </w:tcPr>
          <w:p w14:paraId="2FBC2138" w14:textId="77777777" w:rsidR="001B4B37" w:rsidRDefault="001B4B37" w:rsidP="00B65EA5">
            <w:pPr>
              <w:pStyle w:val="TableHeading"/>
            </w:pPr>
            <w:r>
              <w:t>Designation</w:t>
            </w:r>
          </w:p>
        </w:tc>
        <w:tc>
          <w:tcPr>
            <w:tcW w:w="2067" w:type="pct"/>
          </w:tcPr>
          <w:p w14:paraId="5F53236E" w14:textId="77777777" w:rsidR="001B4B37" w:rsidRDefault="001B4B37" w:rsidP="00B65EA5">
            <w:pPr>
              <w:pStyle w:val="TableHeading"/>
            </w:pPr>
            <w:r>
              <w:t>Category A</w:t>
            </w:r>
          </w:p>
        </w:tc>
        <w:tc>
          <w:tcPr>
            <w:tcW w:w="2000" w:type="pct"/>
          </w:tcPr>
          <w:p w14:paraId="138314BF" w14:textId="77777777" w:rsidR="001B4B37" w:rsidRDefault="001B4B37" w:rsidP="00B65EA5">
            <w:pPr>
              <w:pStyle w:val="TableHeading"/>
            </w:pPr>
            <w:r>
              <w:t>Category B</w:t>
            </w:r>
          </w:p>
        </w:tc>
      </w:tr>
      <w:tr w:rsidR="001B4B37" w14:paraId="03590255" w14:textId="77777777" w:rsidTr="00FB24C4">
        <w:trPr>
          <w:trHeight w:val="60"/>
        </w:trPr>
        <w:tc>
          <w:tcPr>
            <w:tcW w:w="933" w:type="pct"/>
          </w:tcPr>
          <w:p w14:paraId="1F47CB3E" w14:textId="77777777" w:rsidR="001B4B37" w:rsidRPr="00B65EA5" w:rsidRDefault="001B4B37" w:rsidP="00B65EA5">
            <w:pPr>
              <w:pStyle w:val="TableBody"/>
            </w:pPr>
            <w:r w:rsidRPr="00B65EA5">
              <w:t>Designated</w:t>
            </w:r>
          </w:p>
        </w:tc>
        <w:tc>
          <w:tcPr>
            <w:tcW w:w="2067" w:type="pct"/>
          </w:tcPr>
          <w:p w14:paraId="204CD919" w14:textId="77777777" w:rsidR="001B4B37" w:rsidRPr="003B78C2" w:rsidRDefault="001B4B37" w:rsidP="003B78C2">
            <w:pPr>
              <w:pStyle w:val="TableBody"/>
            </w:pPr>
            <w:r w:rsidRPr="003B78C2">
              <w:t>Intentionally causing serious injury in circumstances of gross violence</w:t>
            </w:r>
          </w:p>
          <w:p w14:paraId="3F316A2D" w14:textId="77777777" w:rsidR="001B4B37" w:rsidRDefault="001B4B37" w:rsidP="00B65EA5">
            <w:pPr>
              <w:pStyle w:val="TableBody"/>
            </w:pPr>
            <w:r>
              <w:t>Aggravated home invasion</w:t>
            </w:r>
          </w:p>
          <w:p w14:paraId="65C30EDF" w14:textId="77777777" w:rsidR="001B4B37" w:rsidRDefault="001B4B37" w:rsidP="00B65EA5">
            <w:pPr>
              <w:pStyle w:val="TableBody"/>
            </w:pPr>
            <w:r>
              <w:t>Aggravated carjacking</w:t>
            </w:r>
          </w:p>
          <w:p w14:paraId="071E68A4" w14:textId="77777777" w:rsidR="001B4B37" w:rsidRPr="003B78C2" w:rsidRDefault="001B4B37" w:rsidP="00B65EA5">
            <w:pPr>
              <w:pStyle w:val="TableBody"/>
              <w:rPr>
                <w:rStyle w:val="Bold"/>
              </w:rPr>
            </w:pPr>
            <w:r w:rsidRPr="003B78C2">
              <w:rPr>
                <w:rStyle w:val="Bold"/>
              </w:rPr>
              <w:t>Mandatory uplift for children aged 15 or over</w:t>
            </w:r>
          </w:p>
          <w:p w14:paraId="34A11712" w14:textId="77777777" w:rsidR="001B4B37" w:rsidRPr="003B78C2" w:rsidRDefault="001B4B37" w:rsidP="00B65EA5">
            <w:pPr>
              <w:pStyle w:val="TableBody"/>
              <w:rPr>
                <w:rStyle w:val="Bold"/>
              </w:rPr>
            </w:pPr>
            <w:r w:rsidRPr="003B78C2">
              <w:rPr>
                <w:rStyle w:val="Bold"/>
              </w:rPr>
              <w:t>Presumptive uplift for children aged 14</w:t>
            </w:r>
          </w:p>
          <w:p w14:paraId="22FEEFEC" w14:textId="77777777" w:rsidR="001B4B37" w:rsidRDefault="001B4B37" w:rsidP="00B65EA5">
            <w:pPr>
              <w:pStyle w:val="TableBody"/>
            </w:pPr>
            <w:r w:rsidRPr="003B78C2">
              <w:rPr>
                <w:rStyle w:val="Bold"/>
              </w:rPr>
              <w:t>Presumptive no uplift for children aged under 14</w:t>
            </w:r>
          </w:p>
        </w:tc>
        <w:tc>
          <w:tcPr>
            <w:tcW w:w="2000" w:type="pct"/>
          </w:tcPr>
          <w:p w14:paraId="2946F72B" w14:textId="77777777" w:rsidR="001B4B37" w:rsidRDefault="001B4B37" w:rsidP="00B65EA5">
            <w:pPr>
              <w:pStyle w:val="TableBody"/>
            </w:pPr>
            <w:r>
              <w:t>Recklessly causing serious injury in circumstances of gross violence</w:t>
            </w:r>
          </w:p>
          <w:p w14:paraId="2284FC92" w14:textId="77777777" w:rsidR="001B4B37" w:rsidRDefault="001B4B37" w:rsidP="00B65EA5">
            <w:pPr>
              <w:pStyle w:val="TableBody"/>
            </w:pPr>
            <w:r>
              <w:t>Home invasion</w:t>
            </w:r>
          </w:p>
          <w:p w14:paraId="62DA3F9C" w14:textId="77777777" w:rsidR="001B4B37" w:rsidRPr="003B78C2" w:rsidRDefault="001B4B37" w:rsidP="00B65EA5">
            <w:pPr>
              <w:pStyle w:val="TableBody"/>
              <w:rPr>
                <w:rStyle w:val="Bold"/>
              </w:rPr>
            </w:pPr>
            <w:r w:rsidRPr="003B78C2">
              <w:rPr>
                <w:rStyle w:val="Bold"/>
              </w:rPr>
              <w:t>Mandatory uplift for children aged 15 or over</w:t>
            </w:r>
          </w:p>
          <w:p w14:paraId="69C723F4" w14:textId="77777777" w:rsidR="001B4B37" w:rsidRPr="003B78C2" w:rsidRDefault="001B4B37" w:rsidP="00B65EA5">
            <w:pPr>
              <w:pStyle w:val="TableBody"/>
              <w:rPr>
                <w:rStyle w:val="Bold"/>
              </w:rPr>
            </w:pPr>
            <w:r w:rsidRPr="003B78C2">
              <w:rPr>
                <w:rStyle w:val="Bold"/>
              </w:rPr>
              <w:t>Presumptive uplift for children aged 14</w:t>
            </w:r>
          </w:p>
          <w:p w14:paraId="17BB3124" w14:textId="77777777" w:rsidR="001B4B37" w:rsidRDefault="001B4B37" w:rsidP="00B65EA5">
            <w:pPr>
              <w:pStyle w:val="TableBody"/>
            </w:pPr>
            <w:r w:rsidRPr="003B78C2">
              <w:rPr>
                <w:rStyle w:val="Bold"/>
              </w:rPr>
              <w:t>Presumptive no uplift for children aged under 14</w:t>
            </w:r>
          </w:p>
        </w:tc>
      </w:tr>
      <w:tr w:rsidR="001B4B37" w14:paraId="3D1FF8EF" w14:textId="77777777" w:rsidTr="00FB24C4">
        <w:trPr>
          <w:trHeight w:val="60"/>
        </w:trPr>
        <w:tc>
          <w:tcPr>
            <w:tcW w:w="933" w:type="pct"/>
          </w:tcPr>
          <w:p w14:paraId="08BB189A" w14:textId="77777777" w:rsidR="001B4B37" w:rsidRPr="00B65EA5" w:rsidRDefault="001B4B37" w:rsidP="00B65EA5">
            <w:pPr>
              <w:pStyle w:val="TableBody"/>
            </w:pPr>
            <w:r w:rsidRPr="00B65EA5">
              <w:t>Non-designated</w:t>
            </w:r>
          </w:p>
        </w:tc>
        <w:tc>
          <w:tcPr>
            <w:tcW w:w="2067" w:type="pct"/>
          </w:tcPr>
          <w:p w14:paraId="0CAB7562" w14:textId="77777777" w:rsidR="001B4B37" w:rsidRDefault="001B4B37" w:rsidP="00B65EA5">
            <w:pPr>
              <w:pStyle w:val="TableBody"/>
            </w:pPr>
            <w:r>
              <w:t>Murder</w:t>
            </w:r>
          </w:p>
          <w:p w14:paraId="28C2F53D" w14:textId="77777777" w:rsidR="001B4B37" w:rsidRDefault="001B4B37" w:rsidP="00B65EA5">
            <w:pPr>
              <w:pStyle w:val="TableBody"/>
            </w:pPr>
            <w:r>
              <w:t>Attempted murder</w:t>
            </w:r>
          </w:p>
          <w:p w14:paraId="5A46E752" w14:textId="77777777" w:rsidR="001B4B37" w:rsidRDefault="001B4B37" w:rsidP="00B65EA5">
            <w:pPr>
              <w:pStyle w:val="TableBody"/>
            </w:pPr>
            <w:r>
              <w:t>Manslaughter</w:t>
            </w:r>
          </w:p>
          <w:p w14:paraId="6D251D89" w14:textId="77777777" w:rsidR="001B4B37" w:rsidRDefault="001B4B37" w:rsidP="00B65EA5">
            <w:pPr>
              <w:pStyle w:val="TableBody"/>
            </w:pPr>
            <w:r>
              <w:t>Child homicide</w:t>
            </w:r>
          </w:p>
          <w:p w14:paraId="43EB0E6D" w14:textId="77777777" w:rsidR="001B4B37" w:rsidRDefault="001B4B37" w:rsidP="00B65EA5">
            <w:pPr>
              <w:pStyle w:val="TableBody"/>
            </w:pPr>
            <w:r>
              <w:t>Homicide by firearm</w:t>
            </w:r>
          </w:p>
          <w:p w14:paraId="2B95369A" w14:textId="77777777" w:rsidR="001B4B37" w:rsidRDefault="001B4B37" w:rsidP="00B65EA5">
            <w:pPr>
              <w:pStyle w:val="TableBody"/>
            </w:pPr>
            <w:r>
              <w:t>Arson causing death</w:t>
            </w:r>
          </w:p>
          <w:p w14:paraId="165C84F8" w14:textId="77777777" w:rsidR="001B4B37" w:rsidRDefault="001B4B37" w:rsidP="00B65EA5">
            <w:pPr>
              <w:pStyle w:val="TableBody"/>
            </w:pPr>
            <w:r>
              <w:t>Culpable driving causing death</w:t>
            </w:r>
          </w:p>
          <w:p w14:paraId="7665DB75" w14:textId="77777777" w:rsidR="001B4B37" w:rsidRPr="003B78C2" w:rsidRDefault="001B4B37" w:rsidP="00B65EA5">
            <w:pPr>
              <w:pStyle w:val="TableBody"/>
              <w:rPr>
                <w:rStyle w:val="Bold"/>
              </w:rPr>
            </w:pPr>
            <w:r w:rsidRPr="003B78C2">
              <w:rPr>
                <w:rStyle w:val="Bold"/>
              </w:rPr>
              <w:t>Mandatory uplift for children of all ages</w:t>
            </w:r>
          </w:p>
          <w:p w14:paraId="3CA10EA4" w14:textId="77777777" w:rsidR="001B4B37" w:rsidRDefault="001B4B37" w:rsidP="00B65EA5">
            <w:pPr>
              <w:pStyle w:val="TableBody"/>
            </w:pPr>
            <w:r>
              <w:t>Terrorism offences</w:t>
            </w:r>
          </w:p>
          <w:p w14:paraId="09BB7C3A" w14:textId="77777777" w:rsidR="001B4B37" w:rsidRPr="003B78C2" w:rsidRDefault="001B4B37" w:rsidP="00B65EA5">
            <w:pPr>
              <w:pStyle w:val="TableBody"/>
              <w:rPr>
                <w:rStyle w:val="Bold"/>
              </w:rPr>
            </w:pPr>
            <w:r w:rsidRPr="003B78C2">
              <w:rPr>
                <w:rStyle w:val="Bold"/>
              </w:rPr>
              <w:t>Uplift varies</w:t>
            </w:r>
          </w:p>
        </w:tc>
        <w:tc>
          <w:tcPr>
            <w:tcW w:w="2000" w:type="pct"/>
          </w:tcPr>
          <w:p w14:paraId="78997DF5" w14:textId="77777777" w:rsidR="001B4B37" w:rsidRDefault="001B4B37" w:rsidP="00B65EA5">
            <w:pPr>
              <w:pStyle w:val="TableBody"/>
            </w:pPr>
            <w:r>
              <w:t>Rape</w:t>
            </w:r>
          </w:p>
          <w:p w14:paraId="33820562" w14:textId="77777777" w:rsidR="001B4B37" w:rsidRDefault="001B4B37" w:rsidP="00B65EA5">
            <w:pPr>
              <w:pStyle w:val="TableBody"/>
            </w:pPr>
            <w:r>
              <w:t>Rape by compelling sexual penetration</w:t>
            </w:r>
          </w:p>
          <w:p w14:paraId="1E15514D" w14:textId="77777777" w:rsidR="001B4B37" w:rsidRPr="003B78C2" w:rsidRDefault="001B4B37" w:rsidP="00B65EA5">
            <w:pPr>
              <w:pStyle w:val="TableBody"/>
              <w:rPr>
                <w:rStyle w:val="Bold"/>
              </w:rPr>
            </w:pPr>
            <w:r w:rsidRPr="003B78C2">
              <w:rPr>
                <w:rStyle w:val="Bold"/>
              </w:rPr>
              <w:t>Consider uplift for children aged 16 or over</w:t>
            </w:r>
          </w:p>
          <w:p w14:paraId="32DCC280" w14:textId="77777777" w:rsidR="001B4B37" w:rsidRDefault="001B4B37" w:rsidP="00B65EA5">
            <w:pPr>
              <w:pStyle w:val="TableBody"/>
            </w:pPr>
            <w:r>
              <w:t>Carjacking</w:t>
            </w:r>
          </w:p>
          <w:p w14:paraId="5A1E85EF" w14:textId="77777777" w:rsidR="001B4B37" w:rsidRPr="003B78C2" w:rsidRDefault="001B4B37" w:rsidP="00B65EA5">
            <w:pPr>
              <w:pStyle w:val="TableBody"/>
              <w:rPr>
                <w:rStyle w:val="Bold"/>
              </w:rPr>
            </w:pPr>
            <w:r w:rsidRPr="003B78C2">
              <w:rPr>
                <w:rStyle w:val="Bold"/>
              </w:rPr>
              <w:t>Presumptive uplift for children aged 14 or over</w:t>
            </w:r>
          </w:p>
          <w:p w14:paraId="60050F11" w14:textId="77777777" w:rsidR="001B4B37" w:rsidRDefault="001B4B37" w:rsidP="00B65EA5">
            <w:pPr>
              <w:pStyle w:val="TableBody"/>
            </w:pPr>
            <w:r w:rsidRPr="003B78C2">
              <w:rPr>
                <w:rStyle w:val="Bold"/>
              </w:rPr>
              <w:t>Presumptive no uplift for children aged under 14</w:t>
            </w:r>
          </w:p>
        </w:tc>
      </w:tr>
    </w:tbl>
    <w:p w14:paraId="56361A70" w14:textId="77777777" w:rsidR="001B4B37" w:rsidRDefault="001B4B37" w:rsidP="00DC2418">
      <w:pPr>
        <w:pStyle w:val="Heading1"/>
        <w:pageBreakBefore/>
      </w:pPr>
      <w:bookmarkStart w:id="13" w:name="_Toc233028404"/>
      <w:r>
        <w:lastRenderedPageBreak/>
        <w:t>Appendix: Publicly available judgments involving category A and B serious youth offences (to 30 June 2024)</w:t>
      </w:r>
      <w:bookmarkEnd w:id="13"/>
    </w:p>
    <w:tbl>
      <w:tblPr>
        <w:tblStyle w:val="Table"/>
        <w:tblW w:w="5000" w:type="pct"/>
        <w:tblLook w:val="0020" w:firstRow="1" w:lastRow="0" w:firstColumn="0" w:lastColumn="0" w:noHBand="0" w:noVBand="0"/>
      </w:tblPr>
      <w:tblGrid>
        <w:gridCol w:w="1924"/>
        <w:gridCol w:w="1082"/>
        <w:gridCol w:w="1803"/>
        <w:gridCol w:w="4207"/>
      </w:tblGrid>
      <w:tr w:rsidR="001B4B37" w14:paraId="2DE161DE" w14:textId="77777777" w:rsidTr="008E7036">
        <w:trPr>
          <w:trHeight w:val="60"/>
          <w:tblHeader/>
        </w:trPr>
        <w:tc>
          <w:tcPr>
            <w:tcW w:w="1067" w:type="pct"/>
          </w:tcPr>
          <w:p w14:paraId="74A10F0E" w14:textId="77777777" w:rsidR="001B4B37" w:rsidRDefault="001B4B37" w:rsidP="00077D55">
            <w:pPr>
              <w:pStyle w:val="TableHeading"/>
            </w:pPr>
            <w:r>
              <w:t>Offence</w:t>
            </w:r>
          </w:p>
        </w:tc>
        <w:tc>
          <w:tcPr>
            <w:tcW w:w="600" w:type="pct"/>
          </w:tcPr>
          <w:p w14:paraId="61CB7A27" w14:textId="77777777" w:rsidR="001B4B37" w:rsidRDefault="001B4B37" w:rsidP="00077D55">
            <w:pPr>
              <w:pStyle w:val="TableHeading"/>
            </w:pPr>
            <w:r>
              <w:t>Age at offence</w:t>
            </w:r>
          </w:p>
        </w:tc>
        <w:tc>
          <w:tcPr>
            <w:tcW w:w="1000" w:type="pct"/>
          </w:tcPr>
          <w:p w14:paraId="561A23ED" w14:textId="77777777" w:rsidR="001B4B37" w:rsidRDefault="001B4B37" w:rsidP="00077D55">
            <w:pPr>
              <w:pStyle w:val="TableHeading"/>
            </w:pPr>
            <w:r>
              <w:t>Sentence type</w:t>
            </w:r>
          </w:p>
        </w:tc>
        <w:tc>
          <w:tcPr>
            <w:tcW w:w="2334" w:type="pct"/>
          </w:tcPr>
          <w:p w14:paraId="43E11B4E" w14:textId="77777777" w:rsidR="001B4B37" w:rsidRDefault="001B4B37" w:rsidP="00077D55">
            <w:pPr>
              <w:pStyle w:val="TableHeading"/>
            </w:pPr>
            <w:r>
              <w:t>Judgments</w:t>
            </w:r>
          </w:p>
        </w:tc>
      </w:tr>
      <w:tr w:rsidR="001B4B37" w14:paraId="2C64E0D0" w14:textId="77777777" w:rsidTr="008E7036">
        <w:trPr>
          <w:trHeight w:val="326"/>
        </w:trPr>
        <w:tc>
          <w:tcPr>
            <w:tcW w:w="1067" w:type="pct"/>
          </w:tcPr>
          <w:p w14:paraId="3A745605" w14:textId="77777777" w:rsidR="001B4B37" w:rsidRPr="003B78C2" w:rsidRDefault="001B4B37" w:rsidP="00D1249C">
            <w:pPr>
              <w:pStyle w:val="TableBody"/>
              <w:rPr>
                <w:rStyle w:val="Bold"/>
              </w:rPr>
            </w:pPr>
            <w:r w:rsidRPr="003B78C2">
              <w:rPr>
                <w:rStyle w:val="Bold"/>
              </w:rPr>
              <w:t>Aggravated carjacking</w:t>
            </w:r>
          </w:p>
        </w:tc>
        <w:tc>
          <w:tcPr>
            <w:tcW w:w="600" w:type="pct"/>
          </w:tcPr>
          <w:p w14:paraId="1C14C586" w14:textId="77777777" w:rsidR="001B4B37" w:rsidRDefault="001B4B37" w:rsidP="00D1249C">
            <w:pPr>
              <w:pStyle w:val="TableBody"/>
            </w:pPr>
            <w:r>
              <w:t>17</w:t>
            </w:r>
          </w:p>
        </w:tc>
        <w:tc>
          <w:tcPr>
            <w:tcW w:w="1000" w:type="pct"/>
          </w:tcPr>
          <w:p w14:paraId="63EA7900" w14:textId="77777777" w:rsidR="001B4B37" w:rsidRDefault="001B4B37" w:rsidP="00D1249C">
            <w:pPr>
              <w:pStyle w:val="TableBody"/>
            </w:pPr>
            <w:r>
              <w:t>Imprisonment</w:t>
            </w:r>
          </w:p>
        </w:tc>
        <w:tc>
          <w:tcPr>
            <w:tcW w:w="2334" w:type="pct"/>
          </w:tcPr>
          <w:p w14:paraId="3530CE3E" w14:textId="77777777" w:rsidR="001B4B37" w:rsidRDefault="001B4B37" w:rsidP="00D1249C">
            <w:pPr>
              <w:pStyle w:val="TableBody"/>
            </w:pPr>
            <w:r w:rsidRPr="00F56C6C">
              <w:rPr>
                <w:rStyle w:val="Italic"/>
              </w:rPr>
              <w:t xml:space="preserve">DPP v </w:t>
            </w:r>
            <w:proofErr w:type="spellStart"/>
            <w:r w:rsidRPr="00F56C6C">
              <w:rPr>
                <w:rStyle w:val="Italic"/>
              </w:rPr>
              <w:t>Paucek</w:t>
            </w:r>
            <w:proofErr w:type="spellEnd"/>
            <w:r w:rsidRPr="00F56C6C">
              <w:rPr>
                <w:rStyle w:val="Italic"/>
              </w:rPr>
              <w:t xml:space="preserve"> (a pseudonym) &amp; Ors </w:t>
            </w:r>
            <w:r>
              <w:t>[2020] VCC 1678</w:t>
            </w:r>
          </w:p>
        </w:tc>
      </w:tr>
      <w:tr w:rsidR="001B4B37" w14:paraId="76B5C9E0" w14:textId="77777777" w:rsidTr="008E7036">
        <w:trPr>
          <w:trHeight w:val="60"/>
        </w:trPr>
        <w:tc>
          <w:tcPr>
            <w:tcW w:w="1067" w:type="pct"/>
          </w:tcPr>
          <w:p w14:paraId="35115F8F"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768BBC2D" w14:textId="77777777" w:rsidR="001B4B37" w:rsidRDefault="001B4B37" w:rsidP="00D1249C">
            <w:pPr>
              <w:pStyle w:val="TableBody"/>
            </w:pPr>
            <w:r>
              <w:t>18</w:t>
            </w:r>
          </w:p>
        </w:tc>
        <w:tc>
          <w:tcPr>
            <w:tcW w:w="1000" w:type="pct"/>
          </w:tcPr>
          <w:p w14:paraId="69BEF245" w14:textId="77777777" w:rsidR="001B4B37" w:rsidRDefault="001B4B37" w:rsidP="00D1249C">
            <w:pPr>
              <w:pStyle w:val="TableBody"/>
            </w:pPr>
            <w:r>
              <w:t>Imprisonment</w:t>
            </w:r>
          </w:p>
        </w:tc>
        <w:tc>
          <w:tcPr>
            <w:tcW w:w="2334" w:type="pct"/>
          </w:tcPr>
          <w:p w14:paraId="5D613EDF" w14:textId="77777777" w:rsidR="001B4B37" w:rsidRDefault="001B4B37" w:rsidP="00D1249C">
            <w:pPr>
              <w:pStyle w:val="TableBody"/>
            </w:pPr>
            <w:r w:rsidRPr="00F56C6C">
              <w:rPr>
                <w:rStyle w:val="Italic"/>
              </w:rPr>
              <w:t xml:space="preserve">DPP v Cornish </w:t>
            </w:r>
            <w:r>
              <w:t>[2019] VCC 1194</w:t>
            </w:r>
          </w:p>
        </w:tc>
      </w:tr>
      <w:tr w:rsidR="001B4B37" w14:paraId="5A3CECD7" w14:textId="77777777" w:rsidTr="008E7036">
        <w:trPr>
          <w:trHeight w:val="60"/>
        </w:trPr>
        <w:tc>
          <w:tcPr>
            <w:tcW w:w="1067" w:type="pct"/>
          </w:tcPr>
          <w:p w14:paraId="370E808D"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42666389" w14:textId="77777777" w:rsidR="001B4B37" w:rsidRDefault="001B4B37" w:rsidP="00D1249C">
            <w:pPr>
              <w:pStyle w:val="TableBody"/>
            </w:pPr>
            <w:r>
              <w:t>18</w:t>
            </w:r>
          </w:p>
        </w:tc>
        <w:tc>
          <w:tcPr>
            <w:tcW w:w="1000" w:type="pct"/>
          </w:tcPr>
          <w:p w14:paraId="6D054F17" w14:textId="77777777" w:rsidR="001B4B37" w:rsidRDefault="001B4B37" w:rsidP="00D1249C">
            <w:pPr>
              <w:pStyle w:val="TableBody"/>
            </w:pPr>
            <w:r>
              <w:t>Imprisonment</w:t>
            </w:r>
          </w:p>
        </w:tc>
        <w:tc>
          <w:tcPr>
            <w:tcW w:w="2334" w:type="pct"/>
          </w:tcPr>
          <w:p w14:paraId="7FB81AC4" w14:textId="77777777" w:rsidR="001B4B37" w:rsidRDefault="001B4B37" w:rsidP="00D1249C">
            <w:pPr>
              <w:pStyle w:val="TableBody"/>
            </w:pPr>
            <w:r w:rsidRPr="00F56C6C">
              <w:rPr>
                <w:rStyle w:val="Italic"/>
              </w:rPr>
              <w:t xml:space="preserve">DPP v Buckley </w:t>
            </w:r>
            <w:r>
              <w:t>[2021] VCC 1186, upheld in</w:t>
            </w:r>
          </w:p>
          <w:p w14:paraId="54E7C351" w14:textId="77777777" w:rsidR="001B4B37" w:rsidRDefault="001B4B37" w:rsidP="00D1249C">
            <w:pPr>
              <w:pStyle w:val="TableBody"/>
            </w:pPr>
            <w:r w:rsidRPr="00F56C6C">
              <w:rPr>
                <w:rStyle w:val="Italic"/>
              </w:rPr>
              <w:t xml:space="preserve">Buckley v The Queen </w:t>
            </w:r>
            <w:r>
              <w:t>[2022] VSCA 138</w:t>
            </w:r>
          </w:p>
        </w:tc>
      </w:tr>
      <w:tr w:rsidR="001B4B37" w14:paraId="4F128B29" w14:textId="77777777" w:rsidTr="008E7036">
        <w:trPr>
          <w:trHeight w:val="60"/>
        </w:trPr>
        <w:tc>
          <w:tcPr>
            <w:tcW w:w="1067" w:type="pct"/>
          </w:tcPr>
          <w:p w14:paraId="6E56DBF4"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15411668" w14:textId="77777777" w:rsidR="001B4B37" w:rsidRDefault="001B4B37" w:rsidP="00D1249C">
            <w:pPr>
              <w:pStyle w:val="TableBody"/>
            </w:pPr>
            <w:r>
              <w:t>18</w:t>
            </w:r>
          </w:p>
        </w:tc>
        <w:tc>
          <w:tcPr>
            <w:tcW w:w="1000" w:type="pct"/>
          </w:tcPr>
          <w:p w14:paraId="7D054382" w14:textId="77777777" w:rsidR="001B4B37" w:rsidRDefault="001B4B37" w:rsidP="00D1249C">
            <w:pPr>
              <w:pStyle w:val="TableBody"/>
            </w:pPr>
            <w:r>
              <w:t>Imprisonment</w:t>
            </w:r>
          </w:p>
        </w:tc>
        <w:tc>
          <w:tcPr>
            <w:tcW w:w="2334" w:type="pct"/>
          </w:tcPr>
          <w:p w14:paraId="4DFBC71D" w14:textId="77777777" w:rsidR="001B4B37" w:rsidRDefault="001B4B37" w:rsidP="00D1249C">
            <w:pPr>
              <w:pStyle w:val="TableBody"/>
            </w:pPr>
            <w:r w:rsidRPr="00F56C6C">
              <w:rPr>
                <w:rStyle w:val="Italic"/>
              </w:rPr>
              <w:t xml:space="preserve">DPP v Patrice </w:t>
            </w:r>
            <w:r>
              <w:t>[2021] VCC 1313</w:t>
            </w:r>
          </w:p>
        </w:tc>
      </w:tr>
      <w:tr w:rsidR="001B4B37" w14:paraId="464C9DAA" w14:textId="77777777" w:rsidTr="008E7036">
        <w:trPr>
          <w:trHeight w:val="60"/>
        </w:trPr>
        <w:tc>
          <w:tcPr>
            <w:tcW w:w="1067" w:type="pct"/>
          </w:tcPr>
          <w:p w14:paraId="157185C1"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3F24F922" w14:textId="77777777" w:rsidR="001B4B37" w:rsidRDefault="001B4B37" w:rsidP="00D1249C">
            <w:pPr>
              <w:pStyle w:val="TableBody"/>
            </w:pPr>
            <w:r>
              <w:t>18</w:t>
            </w:r>
          </w:p>
        </w:tc>
        <w:tc>
          <w:tcPr>
            <w:tcW w:w="1000" w:type="pct"/>
          </w:tcPr>
          <w:p w14:paraId="087653CA" w14:textId="77777777" w:rsidR="001B4B37" w:rsidRDefault="001B4B37" w:rsidP="00D1249C">
            <w:pPr>
              <w:pStyle w:val="TableBody"/>
            </w:pPr>
            <w:r>
              <w:t>Imprisonment</w:t>
            </w:r>
          </w:p>
        </w:tc>
        <w:tc>
          <w:tcPr>
            <w:tcW w:w="2334" w:type="pct"/>
          </w:tcPr>
          <w:p w14:paraId="3E7915F8" w14:textId="77777777" w:rsidR="001B4B37" w:rsidRDefault="001B4B37" w:rsidP="00D1249C">
            <w:pPr>
              <w:pStyle w:val="TableBody"/>
            </w:pPr>
            <w:r w:rsidRPr="00F56C6C">
              <w:rPr>
                <w:rStyle w:val="Italic"/>
              </w:rPr>
              <w:t xml:space="preserve">DPP v </w:t>
            </w:r>
            <w:proofErr w:type="spellStart"/>
            <w:r w:rsidRPr="00F56C6C">
              <w:rPr>
                <w:rStyle w:val="Italic"/>
              </w:rPr>
              <w:t>Alabbaoudy</w:t>
            </w:r>
            <w:proofErr w:type="spellEnd"/>
            <w:r w:rsidRPr="00F56C6C">
              <w:rPr>
                <w:rStyle w:val="Italic"/>
              </w:rPr>
              <w:t xml:space="preserve"> </w:t>
            </w:r>
            <w:r>
              <w:t>[2023] VCC 2271</w:t>
            </w:r>
          </w:p>
        </w:tc>
      </w:tr>
      <w:tr w:rsidR="001B4B37" w14:paraId="1622D07F" w14:textId="77777777" w:rsidTr="008E7036">
        <w:trPr>
          <w:trHeight w:val="60"/>
        </w:trPr>
        <w:tc>
          <w:tcPr>
            <w:tcW w:w="1067" w:type="pct"/>
          </w:tcPr>
          <w:p w14:paraId="0449630B"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0E696023" w14:textId="77777777" w:rsidR="001B4B37" w:rsidRDefault="001B4B37" w:rsidP="00D1249C">
            <w:pPr>
              <w:pStyle w:val="TableBody"/>
            </w:pPr>
            <w:r>
              <w:t>18</w:t>
            </w:r>
          </w:p>
        </w:tc>
        <w:tc>
          <w:tcPr>
            <w:tcW w:w="1000" w:type="pct"/>
          </w:tcPr>
          <w:p w14:paraId="7B99C899" w14:textId="77777777" w:rsidR="001B4B37" w:rsidRDefault="001B4B37" w:rsidP="00D1249C">
            <w:pPr>
              <w:pStyle w:val="TableBody"/>
            </w:pPr>
            <w:r>
              <w:t>Imprisonment</w:t>
            </w:r>
          </w:p>
        </w:tc>
        <w:tc>
          <w:tcPr>
            <w:tcW w:w="2334" w:type="pct"/>
          </w:tcPr>
          <w:p w14:paraId="55B18406" w14:textId="77777777" w:rsidR="001B4B37" w:rsidRDefault="001B4B37" w:rsidP="00D1249C">
            <w:pPr>
              <w:pStyle w:val="TableBody"/>
            </w:pPr>
            <w:r w:rsidRPr="00F56C6C">
              <w:rPr>
                <w:rStyle w:val="Italic"/>
              </w:rPr>
              <w:t xml:space="preserve">DPP v </w:t>
            </w:r>
            <w:proofErr w:type="spellStart"/>
            <w:r w:rsidRPr="00F56C6C">
              <w:rPr>
                <w:rStyle w:val="Italic"/>
              </w:rPr>
              <w:t>Tarplah</w:t>
            </w:r>
            <w:proofErr w:type="spellEnd"/>
            <w:r w:rsidRPr="00F56C6C">
              <w:rPr>
                <w:rStyle w:val="Italic"/>
              </w:rPr>
              <w:t xml:space="preserve"> </w:t>
            </w:r>
            <w:r>
              <w:t>[2022] VCC 2193</w:t>
            </w:r>
          </w:p>
        </w:tc>
      </w:tr>
      <w:tr w:rsidR="001B4B37" w14:paraId="6FE19A14" w14:textId="77777777" w:rsidTr="008E7036">
        <w:trPr>
          <w:trHeight w:val="60"/>
        </w:trPr>
        <w:tc>
          <w:tcPr>
            <w:tcW w:w="1067" w:type="pct"/>
          </w:tcPr>
          <w:p w14:paraId="50A54458"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6F3BC440" w14:textId="77777777" w:rsidR="001B4B37" w:rsidRDefault="001B4B37" w:rsidP="00D1249C">
            <w:pPr>
              <w:pStyle w:val="TableBody"/>
            </w:pPr>
            <w:r>
              <w:t>18</w:t>
            </w:r>
          </w:p>
        </w:tc>
        <w:tc>
          <w:tcPr>
            <w:tcW w:w="1000" w:type="pct"/>
          </w:tcPr>
          <w:p w14:paraId="62E4B4BF" w14:textId="77777777" w:rsidR="001B4B37" w:rsidRDefault="001B4B37" w:rsidP="00D1249C">
            <w:pPr>
              <w:pStyle w:val="TableBody"/>
            </w:pPr>
            <w:r>
              <w:t>Imprisonment</w:t>
            </w:r>
          </w:p>
        </w:tc>
        <w:tc>
          <w:tcPr>
            <w:tcW w:w="2334" w:type="pct"/>
          </w:tcPr>
          <w:p w14:paraId="7AF6F9FF" w14:textId="77777777" w:rsidR="001B4B37" w:rsidRDefault="001B4B37" w:rsidP="00D1249C">
            <w:pPr>
              <w:pStyle w:val="TableBody"/>
            </w:pPr>
            <w:r w:rsidRPr="00F56C6C">
              <w:rPr>
                <w:rStyle w:val="Italic"/>
              </w:rPr>
              <w:t xml:space="preserve">DPP v Wastell </w:t>
            </w:r>
            <w:r>
              <w:t>[2023] VCC 1024</w:t>
            </w:r>
          </w:p>
        </w:tc>
      </w:tr>
      <w:tr w:rsidR="001B4B37" w14:paraId="187DFD2A" w14:textId="77777777" w:rsidTr="008E7036">
        <w:trPr>
          <w:trHeight w:val="60"/>
        </w:trPr>
        <w:tc>
          <w:tcPr>
            <w:tcW w:w="1067" w:type="pct"/>
          </w:tcPr>
          <w:p w14:paraId="3CE0E794"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1B20EB6A" w14:textId="77777777" w:rsidR="001B4B37" w:rsidRDefault="001B4B37" w:rsidP="00D1249C">
            <w:pPr>
              <w:pStyle w:val="TableBody"/>
            </w:pPr>
            <w:r>
              <w:t>18</w:t>
            </w:r>
          </w:p>
        </w:tc>
        <w:tc>
          <w:tcPr>
            <w:tcW w:w="1000" w:type="pct"/>
          </w:tcPr>
          <w:p w14:paraId="58F40265" w14:textId="77777777" w:rsidR="001B4B37" w:rsidRDefault="001B4B37" w:rsidP="00D1249C">
            <w:pPr>
              <w:pStyle w:val="TableBody"/>
            </w:pPr>
            <w:r>
              <w:t>Youth justice centre order</w:t>
            </w:r>
          </w:p>
        </w:tc>
        <w:tc>
          <w:tcPr>
            <w:tcW w:w="2334" w:type="pct"/>
          </w:tcPr>
          <w:p w14:paraId="240CC212" w14:textId="77777777" w:rsidR="001B4B37" w:rsidRDefault="001B4B37" w:rsidP="00D1249C">
            <w:pPr>
              <w:pStyle w:val="TableBody"/>
            </w:pPr>
            <w:r w:rsidRPr="00F56C6C">
              <w:rPr>
                <w:rStyle w:val="Italic"/>
              </w:rPr>
              <w:t xml:space="preserve">DPP v Edwards </w:t>
            </w:r>
            <w:r>
              <w:t>[2019] VCC 631</w:t>
            </w:r>
          </w:p>
        </w:tc>
      </w:tr>
      <w:tr w:rsidR="001B4B37" w14:paraId="4482F350" w14:textId="77777777" w:rsidTr="008E7036">
        <w:trPr>
          <w:trHeight w:val="60"/>
        </w:trPr>
        <w:tc>
          <w:tcPr>
            <w:tcW w:w="1067" w:type="pct"/>
          </w:tcPr>
          <w:p w14:paraId="3465F8D1"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47074B7B" w14:textId="77777777" w:rsidR="001B4B37" w:rsidRDefault="001B4B37" w:rsidP="00D1249C">
            <w:pPr>
              <w:pStyle w:val="TableBody"/>
            </w:pPr>
            <w:r>
              <w:t>18</w:t>
            </w:r>
          </w:p>
        </w:tc>
        <w:tc>
          <w:tcPr>
            <w:tcW w:w="1000" w:type="pct"/>
          </w:tcPr>
          <w:p w14:paraId="7DE79A8D" w14:textId="77777777" w:rsidR="001B4B37" w:rsidRDefault="001B4B37" w:rsidP="00D1249C">
            <w:pPr>
              <w:pStyle w:val="TableBody"/>
            </w:pPr>
            <w:r>
              <w:t>Youth justice centre order</w:t>
            </w:r>
          </w:p>
        </w:tc>
        <w:tc>
          <w:tcPr>
            <w:tcW w:w="2334" w:type="pct"/>
          </w:tcPr>
          <w:p w14:paraId="39211081" w14:textId="77777777" w:rsidR="001B4B37" w:rsidRDefault="001B4B37" w:rsidP="00D1249C">
            <w:pPr>
              <w:pStyle w:val="TableBody"/>
            </w:pPr>
            <w:r w:rsidRPr="00F56C6C">
              <w:rPr>
                <w:rStyle w:val="Italic"/>
              </w:rPr>
              <w:t xml:space="preserve">DPP v Dyer </w:t>
            </w:r>
            <w:r>
              <w:t>[2022] VCC 851</w:t>
            </w:r>
          </w:p>
        </w:tc>
      </w:tr>
      <w:tr w:rsidR="001B4B37" w14:paraId="4194A1C2" w14:textId="77777777" w:rsidTr="008E7036">
        <w:trPr>
          <w:trHeight w:val="60"/>
        </w:trPr>
        <w:tc>
          <w:tcPr>
            <w:tcW w:w="1067" w:type="pct"/>
          </w:tcPr>
          <w:p w14:paraId="6EBD24B8"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69368CD2" w14:textId="77777777" w:rsidR="001B4B37" w:rsidRDefault="001B4B37" w:rsidP="00D1249C">
            <w:pPr>
              <w:pStyle w:val="TableBody"/>
            </w:pPr>
            <w:r>
              <w:t>18</w:t>
            </w:r>
          </w:p>
        </w:tc>
        <w:tc>
          <w:tcPr>
            <w:tcW w:w="1000" w:type="pct"/>
          </w:tcPr>
          <w:p w14:paraId="6CC5365E" w14:textId="77777777" w:rsidR="001B4B37" w:rsidRDefault="001B4B37" w:rsidP="00D1249C">
            <w:pPr>
              <w:pStyle w:val="TableBody"/>
            </w:pPr>
            <w:r>
              <w:t>Youth justice centre order</w:t>
            </w:r>
          </w:p>
        </w:tc>
        <w:tc>
          <w:tcPr>
            <w:tcW w:w="2334" w:type="pct"/>
          </w:tcPr>
          <w:p w14:paraId="64C3AB6F" w14:textId="77777777" w:rsidR="001B4B37" w:rsidRDefault="001B4B37" w:rsidP="00D1249C">
            <w:pPr>
              <w:pStyle w:val="TableBody"/>
            </w:pPr>
            <w:r w:rsidRPr="00F56C6C">
              <w:rPr>
                <w:rStyle w:val="Italic"/>
              </w:rPr>
              <w:t xml:space="preserve">DPP v Outen-Lepoidevin </w:t>
            </w:r>
            <w:r>
              <w:t>[2024] VCC 779</w:t>
            </w:r>
          </w:p>
        </w:tc>
      </w:tr>
      <w:tr w:rsidR="001B4B37" w14:paraId="27DBDC8C" w14:textId="77777777" w:rsidTr="008E7036">
        <w:trPr>
          <w:trHeight w:val="60"/>
        </w:trPr>
        <w:tc>
          <w:tcPr>
            <w:tcW w:w="1067" w:type="pct"/>
          </w:tcPr>
          <w:p w14:paraId="7E0E608C"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089AC93C" w14:textId="77777777" w:rsidR="001B4B37" w:rsidRDefault="001B4B37" w:rsidP="00D1249C">
            <w:pPr>
              <w:pStyle w:val="TableBody"/>
            </w:pPr>
            <w:r>
              <w:t>19</w:t>
            </w:r>
          </w:p>
        </w:tc>
        <w:tc>
          <w:tcPr>
            <w:tcW w:w="1000" w:type="pct"/>
          </w:tcPr>
          <w:p w14:paraId="3526A557" w14:textId="77777777" w:rsidR="001B4B37" w:rsidRDefault="001B4B37" w:rsidP="00D1249C">
            <w:pPr>
              <w:pStyle w:val="TableBody"/>
            </w:pPr>
            <w:r>
              <w:t>Imprisonment</w:t>
            </w:r>
          </w:p>
        </w:tc>
        <w:tc>
          <w:tcPr>
            <w:tcW w:w="2334" w:type="pct"/>
          </w:tcPr>
          <w:p w14:paraId="26A1CA55" w14:textId="77777777" w:rsidR="001B4B37" w:rsidRDefault="001B4B37" w:rsidP="00D1249C">
            <w:pPr>
              <w:pStyle w:val="TableBody"/>
            </w:pPr>
            <w:r w:rsidRPr="00F56C6C">
              <w:rPr>
                <w:rStyle w:val="Italic"/>
              </w:rPr>
              <w:t xml:space="preserve">DPP v Hawkins </w:t>
            </w:r>
            <w:r>
              <w:t>[2019] VCC 147</w:t>
            </w:r>
          </w:p>
        </w:tc>
      </w:tr>
      <w:tr w:rsidR="001B4B37" w14:paraId="3D861287" w14:textId="77777777" w:rsidTr="008E7036">
        <w:trPr>
          <w:trHeight w:val="60"/>
        </w:trPr>
        <w:tc>
          <w:tcPr>
            <w:tcW w:w="1067" w:type="pct"/>
          </w:tcPr>
          <w:p w14:paraId="38A8AD25"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3A072674" w14:textId="77777777" w:rsidR="001B4B37" w:rsidRDefault="001B4B37" w:rsidP="00D1249C">
            <w:pPr>
              <w:pStyle w:val="TableBody"/>
            </w:pPr>
            <w:r>
              <w:t>19</w:t>
            </w:r>
          </w:p>
        </w:tc>
        <w:tc>
          <w:tcPr>
            <w:tcW w:w="1000" w:type="pct"/>
          </w:tcPr>
          <w:p w14:paraId="3F5B0AF4" w14:textId="77777777" w:rsidR="001B4B37" w:rsidRDefault="001B4B37" w:rsidP="00D1249C">
            <w:pPr>
              <w:pStyle w:val="TableBody"/>
            </w:pPr>
            <w:r>
              <w:t>Imprisonment</w:t>
            </w:r>
          </w:p>
        </w:tc>
        <w:tc>
          <w:tcPr>
            <w:tcW w:w="2334" w:type="pct"/>
          </w:tcPr>
          <w:p w14:paraId="22C0122D" w14:textId="77777777" w:rsidR="001B4B37" w:rsidRDefault="001B4B37" w:rsidP="00D1249C">
            <w:pPr>
              <w:pStyle w:val="TableBody"/>
            </w:pPr>
            <w:r w:rsidRPr="00F56C6C">
              <w:rPr>
                <w:rStyle w:val="Italic"/>
              </w:rPr>
              <w:t xml:space="preserve">DPP v Butler </w:t>
            </w:r>
            <w:r>
              <w:t>[2020] VCC 1370</w:t>
            </w:r>
          </w:p>
        </w:tc>
      </w:tr>
      <w:tr w:rsidR="001B4B37" w14:paraId="24C83BFF" w14:textId="77777777" w:rsidTr="008E7036">
        <w:trPr>
          <w:trHeight w:val="60"/>
        </w:trPr>
        <w:tc>
          <w:tcPr>
            <w:tcW w:w="1067" w:type="pct"/>
          </w:tcPr>
          <w:p w14:paraId="5B819823"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15B6616A" w14:textId="77777777" w:rsidR="001B4B37" w:rsidRDefault="001B4B37" w:rsidP="00D1249C">
            <w:pPr>
              <w:pStyle w:val="TableBody"/>
            </w:pPr>
            <w:r>
              <w:t>19</w:t>
            </w:r>
          </w:p>
        </w:tc>
        <w:tc>
          <w:tcPr>
            <w:tcW w:w="1000" w:type="pct"/>
          </w:tcPr>
          <w:p w14:paraId="10C3EC2A" w14:textId="77777777" w:rsidR="001B4B37" w:rsidRDefault="001B4B37" w:rsidP="00D1249C">
            <w:pPr>
              <w:pStyle w:val="TableBody"/>
            </w:pPr>
            <w:r>
              <w:t>Imprisonment</w:t>
            </w:r>
          </w:p>
        </w:tc>
        <w:tc>
          <w:tcPr>
            <w:tcW w:w="2334" w:type="pct"/>
          </w:tcPr>
          <w:p w14:paraId="4747B3C4" w14:textId="77777777" w:rsidR="001B4B37" w:rsidRDefault="001B4B37" w:rsidP="00D1249C">
            <w:pPr>
              <w:pStyle w:val="TableBody"/>
            </w:pPr>
            <w:r w:rsidRPr="00F56C6C">
              <w:rPr>
                <w:rStyle w:val="Italic"/>
              </w:rPr>
              <w:t xml:space="preserve">DPP v </w:t>
            </w:r>
            <w:proofErr w:type="spellStart"/>
            <w:r w:rsidRPr="00F56C6C">
              <w:rPr>
                <w:rStyle w:val="Italic"/>
              </w:rPr>
              <w:t>Zokhai</w:t>
            </w:r>
            <w:proofErr w:type="spellEnd"/>
            <w:r w:rsidRPr="00F56C6C">
              <w:rPr>
                <w:rStyle w:val="Italic"/>
              </w:rPr>
              <w:t xml:space="preserve"> </w:t>
            </w:r>
            <w:r>
              <w:t>[2022] VCC 108</w:t>
            </w:r>
          </w:p>
        </w:tc>
      </w:tr>
      <w:tr w:rsidR="001B4B37" w14:paraId="06AF363F" w14:textId="77777777" w:rsidTr="008E7036">
        <w:trPr>
          <w:trHeight w:val="60"/>
        </w:trPr>
        <w:tc>
          <w:tcPr>
            <w:tcW w:w="1067" w:type="pct"/>
          </w:tcPr>
          <w:p w14:paraId="30B27EA7"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4AB19E6A" w14:textId="77777777" w:rsidR="001B4B37" w:rsidRDefault="001B4B37" w:rsidP="00D1249C">
            <w:pPr>
              <w:pStyle w:val="TableBody"/>
            </w:pPr>
            <w:r>
              <w:t>19</w:t>
            </w:r>
          </w:p>
        </w:tc>
        <w:tc>
          <w:tcPr>
            <w:tcW w:w="1000" w:type="pct"/>
          </w:tcPr>
          <w:p w14:paraId="1B1728DE" w14:textId="77777777" w:rsidR="001B4B37" w:rsidRDefault="001B4B37" w:rsidP="00D1249C">
            <w:pPr>
              <w:pStyle w:val="TableBody"/>
            </w:pPr>
            <w:r>
              <w:t>Imprisonment</w:t>
            </w:r>
          </w:p>
        </w:tc>
        <w:tc>
          <w:tcPr>
            <w:tcW w:w="2334" w:type="pct"/>
          </w:tcPr>
          <w:p w14:paraId="628796C0" w14:textId="77777777" w:rsidR="001B4B37" w:rsidRDefault="001B4B37" w:rsidP="00D1249C">
            <w:pPr>
              <w:pStyle w:val="TableBody"/>
            </w:pPr>
            <w:r w:rsidRPr="00F56C6C">
              <w:rPr>
                <w:rStyle w:val="Italic"/>
              </w:rPr>
              <w:t xml:space="preserve">DPP v </w:t>
            </w:r>
            <w:proofErr w:type="spellStart"/>
            <w:r w:rsidRPr="00F56C6C">
              <w:rPr>
                <w:rStyle w:val="Italic"/>
              </w:rPr>
              <w:t>Sarpor</w:t>
            </w:r>
            <w:proofErr w:type="spellEnd"/>
            <w:r w:rsidRPr="00F56C6C">
              <w:rPr>
                <w:rStyle w:val="Italic"/>
              </w:rPr>
              <w:t xml:space="preserve"> </w:t>
            </w:r>
            <w:r>
              <w:t>[2022] VCC 773</w:t>
            </w:r>
          </w:p>
        </w:tc>
      </w:tr>
      <w:tr w:rsidR="001B4B37" w14:paraId="26433A05" w14:textId="77777777" w:rsidTr="008E7036">
        <w:trPr>
          <w:trHeight w:val="60"/>
        </w:trPr>
        <w:tc>
          <w:tcPr>
            <w:tcW w:w="1067" w:type="pct"/>
          </w:tcPr>
          <w:p w14:paraId="0AC0B0FC"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1D525977" w14:textId="77777777" w:rsidR="001B4B37" w:rsidRDefault="001B4B37" w:rsidP="00D1249C">
            <w:pPr>
              <w:pStyle w:val="TableBody"/>
            </w:pPr>
            <w:r>
              <w:t>19</w:t>
            </w:r>
          </w:p>
        </w:tc>
        <w:tc>
          <w:tcPr>
            <w:tcW w:w="1000" w:type="pct"/>
          </w:tcPr>
          <w:p w14:paraId="7B3EDA42" w14:textId="77777777" w:rsidR="001B4B37" w:rsidRDefault="001B4B37" w:rsidP="00D1249C">
            <w:pPr>
              <w:pStyle w:val="TableBody"/>
            </w:pPr>
            <w:r>
              <w:t>Imprisonment</w:t>
            </w:r>
          </w:p>
        </w:tc>
        <w:tc>
          <w:tcPr>
            <w:tcW w:w="2334" w:type="pct"/>
          </w:tcPr>
          <w:p w14:paraId="35480060" w14:textId="77777777" w:rsidR="001B4B37" w:rsidRDefault="001B4B37" w:rsidP="00D1249C">
            <w:pPr>
              <w:pStyle w:val="TableBody"/>
            </w:pPr>
            <w:r w:rsidRPr="00F56C6C">
              <w:rPr>
                <w:rStyle w:val="Italic"/>
              </w:rPr>
              <w:t xml:space="preserve">DPP v Gardiner </w:t>
            </w:r>
            <w:r>
              <w:t>[2023] VCC 1297</w:t>
            </w:r>
          </w:p>
        </w:tc>
      </w:tr>
      <w:tr w:rsidR="001B4B37" w14:paraId="25788FAF" w14:textId="77777777" w:rsidTr="008E7036">
        <w:trPr>
          <w:trHeight w:val="60"/>
        </w:trPr>
        <w:tc>
          <w:tcPr>
            <w:tcW w:w="1067" w:type="pct"/>
          </w:tcPr>
          <w:p w14:paraId="7C158ECE"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62146F7E" w14:textId="77777777" w:rsidR="001B4B37" w:rsidRDefault="001B4B37" w:rsidP="00D1249C">
            <w:pPr>
              <w:pStyle w:val="TableBody"/>
            </w:pPr>
            <w:r>
              <w:t>19</w:t>
            </w:r>
          </w:p>
        </w:tc>
        <w:tc>
          <w:tcPr>
            <w:tcW w:w="1000" w:type="pct"/>
          </w:tcPr>
          <w:p w14:paraId="45061BF3" w14:textId="77777777" w:rsidR="001B4B37" w:rsidRDefault="001B4B37" w:rsidP="00D1249C">
            <w:pPr>
              <w:pStyle w:val="TableBody"/>
            </w:pPr>
            <w:r>
              <w:t>Imprisonment</w:t>
            </w:r>
          </w:p>
        </w:tc>
        <w:tc>
          <w:tcPr>
            <w:tcW w:w="2334" w:type="pct"/>
          </w:tcPr>
          <w:p w14:paraId="166B17B1" w14:textId="77777777" w:rsidR="001B4B37" w:rsidRDefault="001B4B37" w:rsidP="00D1249C">
            <w:pPr>
              <w:pStyle w:val="TableBody"/>
            </w:pPr>
            <w:r w:rsidRPr="00F56C6C">
              <w:rPr>
                <w:rStyle w:val="Italic"/>
              </w:rPr>
              <w:t xml:space="preserve">DPP v </w:t>
            </w:r>
            <w:proofErr w:type="spellStart"/>
            <w:r w:rsidRPr="00F56C6C">
              <w:rPr>
                <w:rStyle w:val="Italic"/>
              </w:rPr>
              <w:t>Solofuti</w:t>
            </w:r>
            <w:proofErr w:type="spellEnd"/>
            <w:r w:rsidRPr="00F56C6C">
              <w:rPr>
                <w:rStyle w:val="Italic"/>
              </w:rPr>
              <w:t xml:space="preserve"> </w:t>
            </w:r>
            <w:r>
              <w:t>[2022] VCC 1681</w:t>
            </w:r>
          </w:p>
        </w:tc>
      </w:tr>
      <w:tr w:rsidR="001B4B37" w14:paraId="06580F9A" w14:textId="77777777" w:rsidTr="008E7036">
        <w:trPr>
          <w:trHeight w:val="60"/>
        </w:trPr>
        <w:tc>
          <w:tcPr>
            <w:tcW w:w="1067" w:type="pct"/>
          </w:tcPr>
          <w:p w14:paraId="1D2CF0C3"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601D278E" w14:textId="77777777" w:rsidR="001B4B37" w:rsidRDefault="001B4B37" w:rsidP="00D1249C">
            <w:pPr>
              <w:pStyle w:val="TableBody"/>
            </w:pPr>
            <w:r>
              <w:t>19</w:t>
            </w:r>
          </w:p>
        </w:tc>
        <w:tc>
          <w:tcPr>
            <w:tcW w:w="1000" w:type="pct"/>
          </w:tcPr>
          <w:p w14:paraId="59834DB3" w14:textId="77777777" w:rsidR="001B4B37" w:rsidRDefault="001B4B37" w:rsidP="00D1249C">
            <w:pPr>
              <w:pStyle w:val="TableBody"/>
            </w:pPr>
            <w:r>
              <w:t>Imprisonment</w:t>
            </w:r>
          </w:p>
        </w:tc>
        <w:tc>
          <w:tcPr>
            <w:tcW w:w="2334" w:type="pct"/>
          </w:tcPr>
          <w:p w14:paraId="1D48A113" w14:textId="77777777" w:rsidR="001B4B37" w:rsidRDefault="001B4B37" w:rsidP="00D1249C">
            <w:pPr>
              <w:pStyle w:val="TableBody"/>
            </w:pPr>
            <w:r w:rsidRPr="00F56C6C">
              <w:rPr>
                <w:rStyle w:val="Italic"/>
              </w:rPr>
              <w:t xml:space="preserve">DPP v Patrice &amp; Ors </w:t>
            </w:r>
            <w:r>
              <w:t>[2023] VCC 67</w:t>
            </w:r>
          </w:p>
        </w:tc>
      </w:tr>
      <w:tr w:rsidR="001B4B37" w14:paraId="5DD870E9" w14:textId="77777777" w:rsidTr="008E7036">
        <w:trPr>
          <w:trHeight w:val="60"/>
        </w:trPr>
        <w:tc>
          <w:tcPr>
            <w:tcW w:w="1067" w:type="pct"/>
          </w:tcPr>
          <w:p w14:paraId="7B5B352C"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7513DBF5" w14:textId="77777777" w:rsidR="001B4B37" w:rsidRDefault="001B4B37" w:rsidP="00D1249C">
            <w:pPr>
              <w:pStyle w:val="TableBody"/>
            </w:pPr>
            <w:r>
              <w:t>20</w:t>
            </w:r>
          </w:p>
        </w:tc>
        <w:tc>
          <w:tcPr>
            <w:tcW w:w="1000" w:type="pct"/>
          </w:tcPr>
          <w:p w14:paraId="15EA3354" w14:textId="77777777" w:rsidR="001B4B37" w:rsidRDefault="001B4B37" w:rsidP="00D1249C">
            <w:pPr>
              <w:pStyle w:val="TableBody"/>
            </w:pPr>
            <w:r>
              <w:t>Imprisonment</w:t>
            </w:r>
          </w:p>
        </w:tc>
        <w:tc>
          <w:tcPr>
            <w:tcW w:w="2334" w:type="pct"/>
          </w:tcPr>
          <w:p w14:paraId="54BFD197" w14:textId="77777777" w:rsidR="001B4B37" w:rsidRDefault="001B4B37" w:rsidP="00D1249C">
            <w:pPr>
              <w:pStyle w:val="TableBody"/>
            </w:pPr>
            <w:r w:rsidRPr="00F56C6C">
              <w:rPr>
                <w:rStyle w:val="Italic"/>
              </w:rPr>
              <w:t xml:space="preserve">DPP v Abel </w:t>
            </w:r>
            <w:r>
              <w:t>[2024] VCC 236</w:t>
            </w:r>
          </w:p>
        </w:tc>
      </w:tr>
      <w:tr w:rsidR="001B4B37" w14:paraId="20F8D24A" w14:textId="77777777" w:rsidTr="008E7036">
        <w:trPr>
          <w:trHeight w:val="60"/>
        </w:trPr>
        <w:tc>
          <w:tcPr>
            <w:tcW w:w="1067" w:type="pct"/>
          </w:tcPr>
          <w:p w14:paraId="5370796E" w14:textId="77777777" w:rsidR="001B4B37" w:rsidRPr="003B78C2" w:rsidRDefault="001B4B37" w:rsidP="00D1249C">
            <w:pPr>
              <w:pStyle w:val="TableBody"/>
              <w:rPr>
                <w:rStyle w:val="Bold"/>
              </w:rPr>
            </w:pPr>
            <w:r w:rsidRPr="003B78C2">
              <w:rPr>
                <w:rStyle w:val="Bold"/>
              </w:rPr>
              <w:t>Aggravated home invasion</w:t>
            </w:r>
          </w:p>
        </w:tc>
        <w:tc>
          <w:tcPr>
            <w:tcW w:w="600" w:type="pct"/>
          </w:tcPr>
          <w:p w14:paraId="1CEF4230" w14:textId="77777777" w:rsidR="001B4B37" w:rsidRDefault="001B4B37" w:rsidP="00D1249C">
            <w:pPr>
              <w:pStyle w:val="TableBody"/>
            </w:pPr>
            <w:r>
              <w:t>16</w:t>
            </w:r>
          </w:p>
        </w:tc>
        <w:tc>
          <w:tcPr>
            <w:tcW w:w="1000" w:type="pct"/>
          </w:tcPr>
          <w:p w14:paraId="21CADB05" w14:textId="77777777" w:rsidR="001B4B37" w:rsidRDefault="001B4B37" w:rsidP="00D1249C">
            <w:pPr>
              <w:pStyle w:val="TableBody"/>
            </w:pPr>
            <w:r>
              <w:t>Youth justice centre order</w:t>
            </w:r>
          </w:p>
        </w:tc>
        <w:tc>
          <w:tcPr>
            <w:tcW w:w="2334" w:type="pct"/>
          </w:tcPr>
          <w:p w14:paraId="7E410F67" w14:textId="77777777" w:rsidR="001B4B37" w:rsidRDefault="001B4B37" w:rsidP="00D1249C">
            <w:pPr>
              <w:pStyle w:val="TableBody"/>
            </w:pPr>
            <w:r w:rsidRPr="00F56C6C">
              <w:rPr>
                <w:rStyle w:val="Italic"/>
              </w:rPr>
              <w:t xml:space="preserve">DPP v MN (a pseudonym) </w:t>
            </w:r>
            <w:r>
              <w:t>[2019] VCC 1986</w:t>
            </w:r>
          </w:p>
        </w:tc>
      </w:tr>
      <w:tr w:rsidR="001B4B37" w14:paraId="70D063F7" w14:textId="77777777" w:rsidTr="008E7036">
        <w:trPr>
          <w:trHeight w:val="60"/>
        </w:trPr>
        <w:tc>
          <w:tcPr>
            <w:tcW w:w="1067" w:type="pct"/>
          </w:tcPr>
          <w:p w14:paraId="04A81BB5"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403B926C" w14:textId="77777777" w:rsidR="001B4B37" w:rsidRDefault="001B4B37" w:rsidP="00D1249C">
            <w:pPr>
              <w:pStyle w:val="TableBody"/>
            </w:pPr>
            <w:r>
              <w:t>16</w:t>
            </w:r>
          </w:p>
        </w:tc>
        <w:tc>
          <w:tcPr>
            <w:tcW w:w="1000" w:type="pct"/>
          </w:tcPr>
          <w:p w14:paraId="486CFE65" w14:textId="77777777" w:rsidR="001B4B37" w:rsidRDefault="001B4B37" w:rsidP="00D1249C">
            <w:pPr>
              <w:pStyle w:val="TableBody"/>
            </w:pPr>
            <w:r>
              <w:t>Youth justice centre order</w:t>
            </w:r>
          </w:p>
        </w:tc>
        <w:tc>
          <w:tcPr>
            <w:tcW w:w="2334" w:type="pct"/>
          </w:tcPr>
          <w:p w14:paraId="18683545" w14:textId="77777777" w:rsidR="001B4B37" w:rsidRDefault="001B4B37" w:rsidP="00D1249C">
            <w:pPr>
              <w:pStyle w:val="TableBody"/>
            </w:pPr>
            <w:r w:rsidRPr="00F56C6C">
              <w:rPr>
                <w:rStyle w:val="Italic"/>
              </w:rPr>
              <w:t xml:space="preserve">DPP v MM (a pseudonym) </w:t>
            </w:r>
            <w:r>
              <w:t>[2019] VCC 1993</w:t>
            </w:r>
          </w:p>
        </w:tc>
      </w:tr>
      <w:tr w:rsidR="001B4B37" w14:paraId="1B5F2C31" w14:textId="77777777" w:rsidTr="008E7036">
        <w:trPr>
          <w:trHeight w:val="60"/>
        </w:trPr>
        <w:tc>
          <w:tcPr>
            <w:tcW w:w="1067" w:type="pct"/>
          </w:tcPr>
          <w:p w14:paraId="0597FB03"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3285545E" w14:textId="77777777" w:rsidR="001B4B37" w:rsidRDefault="001B4B37" w:rsidP="00D1249C">
            <w:pPr>
              <w:pStyle w:val="TableBody"/>
            </w:pPr>
            <w:r>
              <w:t>17</w:t>
            </w:r>
          </w:p>
        </w:tc>
        <w:tc>
          <w:tcPr>
            <w:tcW w:w="1000" w:type="pct"/>
          </w:tcPr>
          <w:p w14:paraId="40026F6B" w14:textId="77777777" w:rsidR="001B4B37" w:rsidRDefault="001B4B37" w:rsidP="00D1249C">
            <w:pPr>
              <w:pStyle w:val="TableBody"/>
            </w:pPr>
            <w:r>
              <w:t>Imprisonment</w:t>
            </w:r>
          </w:p>
        </w:tc>
        <w:tc>
          <w:tcPr>
            <w:tcW w:w="2334" w:type="pct"/>
          </w:tcPr>
          <w:p w14:paraId="38792A79" w14:textId="77777777" w:rsidR="001B4B37" w:rsidRDefault="001B4B37" w:rsidP="00D1249C">
            <w:pPr>
              <w:pStyle w:val="TableBody"/>
            </w:pPr>
            <w:r w:rsidRPr="00F56C6C">
              <w:rPr>
                <w:rStyle w:val="Italic"/>
              </w:rPr>
              <w:t xml:space="preserve">DPP v TP (a pseudonym) </w:t>
            </w:r>
            <w:r>
              <w:t>[2019] VCC 1795</w:t>
            </w:r>
          </w:p>
        </w:tc>
      </w:tr>
      <w:tr w:rsidR="001B4B37" w14:paraId="7CB29B50" w14:textId="77777777" w:rsidTr="008E7036">
        <w:trPr>
          <w:trHeight w:val="60"/>
        </w:trPr>
        <w:tc>
          <w:tcPr>
            <w:tcW w:w="1067" w:type="pct"/>
          </w:tcPr>
          <w:p w14:paraId="2D2F0B2D"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00CC79BE" w14:textId="77777777" w:rsidR="001B4B37" w:rsidRDefault="001B4B37" w:rsidP="00D1249C">
            <w:pPr>
              <w:pStyle w:val="TableBody"/>
            </w:pPr>
            <w:r>
              <w:t>17</w:t>
            </w:r>
          </w:p>
        </w:tc>
        <w:tc>
          <w:tcPr>
            <w:tcW w:w="1000" w:type="pct"/>
          </w:tcPr>
          <w:p w14:paraId="3F6730EF" w14:textId="77777777" w:rsidR="001B4B37" w:rsidRDefault="001B4B37" w:rsidP="00D1249C">
            <w:pPr>
              <w:pStyle w:val="TableBody"/>
            </w:pPr>
            <w:r>
              <w:t>Imprisonment</w:t>
            </w:r>
          </w:p>
        </w:tc>
        <w:tc>
          <w:tcPr>
            <w:tcW w:w="2334" w:type="pct"/>
          </w:tcPr>
          <w:p w14:paraId="74CD2287" w14:textId="77777777" w:rsidR="001B4B37" w:rsidRDefault="001B4B37" w:rsidP="00D1249C">
            <w:pPr>
              <w:pStyle w:val="TableBody"/>
            </w:pPr>
            <w:r w:rsidRPr="00F56C6C">
              <w:rPr>
                <w:rStyle w:val="Italic"/>
              </w:rPr>
              <w:t xml:space="preserve">DPP v </w:t>
            </w:r>
            <w:proofErr w:type="spellStart"/>
            <w:r w:rsidRPr="00F56C6C">
              <w:rPr>
                <w:rStyle w:val="Italic"/>
              </w:rPr>
              <w:t>Paucek</w:t>
            </w:r>
            <w:proofErr w:type="spellEnd"/>
            <w:r w:rsidRPr="00F56C6C">
              <w:rPr>
                <w:rStyle w:val="Italic"/>
              </w:rPr>
              <w:t xml:space="preserve"> (a pseudonym) &amp; Ors </w:t>
            </w:r>
            <w:r>
              <w:t>[2020] VCC 1678</w:t>
            </w:r>
          </w:p>
        </w:tc>
      </w:tr>
      <w:tr w:rsidR="001B4B37" w14:paraId="3E0A49D8" w14:textId="77777777" w:rsidTr="008E7036">
        <w:trPr>
          <w:trHeight w:val="60"/>
        </w:trPr>
        <w:tc>
          <w:tcPr>
            <w:tcW w:w="1067" w:type="pct"/>
          </w:tcPr>
          <w:p w14:paraId="6AFD3915"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0F83BF90" w14:textId="77777777" w:rsidR="001B4B37" w:rsidRDefault="001B4B37" w:rsidP="00D1249C">
            <w:pPr>
              <w:pStyle w:val="TableBody"/>
            </w:pPr>
            <w:r>
              <w:t>17</w:t>
            </w:r>
          </w:p>
        </w:tc>
        <w:tc>
          <w:tcPr>
            <w:tcW w:w="1000" w:type="pct"/>
          </w:tcPr>
          <w:p w14:paraId="4C589E33" w14:textId="77777777" w:rsidR="001B4B37" w:rsidRDefault="001B4B37" w:rsidP="00D1249C">
            <w:pPr>
              <w:pStyle w:val="TableBody"/>
            </w:pPr>
            <w:r>
              <w:t>Youth justice centre order</w:t>
            </w:r>
          </w:p>
        </w:tc>
        <w:tc>
          <w:tcPr>
            <w:tcW w:w="2334" w:type="pct"/>
          </w:tcPr>
          <w:p w14:paraId="7EB9EEC7" w14:textId="77777777" w:rsidR="001B4B37" w:rsidRDefault="001B4B37" w:rsidP="00D1249C">
            <w:pPr>
              <w:pStyle w:val="TableBody"/>
            </w:pPr>
            <w:r w:rsidRPr="00F56C6C">
              <w:rPr>
                <w:rStyle w:val="Italic"/>
              </w:rPr>
              <w:t xml:space="preserve">DPP v LT (a pseudonym) </w:t>
            </w:r>
            <w:r>
              <w:t>[2020] VCC 592</w:t>
            </w:r>
          </w:p>
        </w:tc>
      </w:tr>
      <w:tr w:rsidR="001B4B37" w14:paraId="7D44C235" w14:textId="77777777" w:rsidTr="008E7036">
        <w:trPr>
          <w:trHeight w:val="60"/>
        </w:trPr>
        <w:tc>
          <w:tcPr>
            <w:tcW w:w="1067" w:type="pct"/>
          </w:tcPr>
          <w:p w14:paraId="2BBFBF8F"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76248D7D" w14:textId="77777777" w:rsidR="001B4B37" w:rsidRDefault="001B4B37" w:rsidP="00D1249C">
            <w:pPr>
              <w:pStyle w:val="TableBody"/>
            </w:pPr>
            <w:r>
              <w:t>18</w:t>
            </w:r>
          </w:p>
        </w:tc>
        <w:tc>
          <w:tcPr>
            <w:tcW w:w="1000" w:type="pct"/>
          </w:tcPr>
          <w:p w14:paraId="7354EB9E" w14:textId="77777777" w:rsidR="001B4B37" w:rsidRDefault="001B4B37" w:rsidP="00D1249C">
            <w:pPr>
              <w:pStyle w:val="TableBody"/>
            </w:pPr>
            <w:r>
              <w:t>Imprisonment</w:t>
            </w:r>
          </w:p>
        </w:tc>
        <w:tc>
          <w:tcPr>
            <w:tcW w:w="2334" w:type="pct"/>
          </w:tcPr>
          <w:p w14:paraId="1BE00C4E" w14:textId="77777777" w:rsidR="001B4B37" w:rsidRDefault="001B4B37" w:rsidP="00D1249C">
            <w:pPr>
              <w:pStyle w:val="TableBody"/>
            </w:pPr>
            <w:r w:rsidRPr="00A85B41">
              <w:rPr>
                <w:rStyle w:val="Italic"/>
              </w:rPr>
              <w:t xml:space="preserve">DPP v Clifton (a pseudonym) </w:t>
            </w:r>
            <w:r w:rsidRPr="003B78C2">
              <w:t>[2019] VCC 1555</w:t>
            </w:r>
          </w:p>
        </w:tc>
      </w:tr>
      <w:tr w:rsidR="001B4B37" w14:paraId="159F45FB" w14:textId="77777777" w:rsidTr="008E7036">
        <w:trPr>
          <w:trHeight w:val="60"/>
        </w:trPr>
        <w:tc>
          <w:tcPr>
            <w:tcW w:w="1067" w:type="pct"/>
          </w:tcPr>
          <w:p w14:paraId="51DB5C18"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6768F3D6" w14:textId="77777777" w:rsidR="001B4B37" w:rsidRDefault="001B4B37" w:rsidP="00D1249C">
            <w:pPr>
              <w:pStyle w:val="TableBody"/>
            </w:pPr>
            <w:r>
              <w:t>18</w:t>
            </w:r>
          </w:p>
        </w:tc>
        <w:tc>
          <w:tcPr>
            <w:tcW w:w="1000" w:type="pct"/>
          </w:tcPr>
          <w:p w14:paraId="405F40E5" w14:textId="77777777" w:rsidR="001B4B37" w:rsidRDefault="001B4B37" w:rsidP="00D1249C">
            <w:pPr>
              <w:pStyle w:val="TableBody"/>
            </w:pPr>
            <w:r>
              <w:t>Imprisonment</w:t>
            </w:r>
          </w:p>
        </w:tc>
        <w:tc>
          <w:tcPr>
            <w:tcW w:w="2334" w:type="pct"/>
          </w:tcPr>
          <w:p w14:paraId="2149571A" w14:textId="77777777" w:rsidR="001B4B37" w:rsidRDefault="001B4B37" w:rsidP="00D1249C">
            <w:pPr>
              <w:pStyle w:val="TableBody"/>
            </w:pPr>
            <w:r w:rsidRPr="00F56C6C">
              <w:rPr>
                <w:rStyle w:val="Italic"/>
              </w:rPr>
              <w:t xml:space="preserve">DPP v </w:t>
            </w:r>
            <w:proofErr w:type="spellStart"/>
            <w:r w:rsidRPr="00F56C6C">
              <w:rPr>
                <w:rStyle w:val="Italic"/>
              </w:rPr>
              <w:t>Dador</w:t>
            </w:r>
            <w:proofErr w:type="spellEnd"/>
            <w:r w:rsidRPr="00F56C6C">
              <w:rPr>
                <w:rStyle w:val="Italic"/>
              </w:rPr>
              <w:t xml:space="preserve"> </w:t>
            </w:r>
            <w:r>
              <w:t>[2019] VCC 649</w:t>
            </w:r>
          </w:p>
        </w:tc>
      </w:tr>
      <w:tr w:rsidR="001B4B37" w14:paraId="2A8D69F2" w14:textId="77777777" w:rsidTr="008E7036">
        <w:trPr>
          <w:trHeight w:val="60"/>
        </w:trPr>
        <w:tc>
          <w:tcPr>
            <w:tcW w:w="1067" w:type="pct"/>
          </w:tcPr>
          <w:p w14:paraId="1A4C773E"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02873CD3" w14:textId="77777777" w:rsidR="001B4B37" w:rsidRDefault="001B4B37" w:rsidP="00D1249C">
            <w:pPr>
              <w:pStyle w:val="TableBody"/>
            </w:pPr>
            <w:r>
              <w:t>18</w:t>
            </w:r>
          </w:p>
        </w:tc>
        <w:tc>
          <w:tcPr>
            <w:tcW w:w="1000" w:type="pct"/>
          </w:tcPr>
          <w:p w14:paraId="19352014" w14:textId="77777777" w:rsidR="001B4B37" w:rsidRDefault="001B4B37" w:rsidP="00D1249C">
            <w:pPr>
              <w:pStyle w:val="TableBody"/>
            </w:pPr>
            <w:r>
              <w:t>Imprisonment</w:t>
            </w:r>
          </w:p>
        </w:tc>
        <w:tc>
          <w:tcPr>
            <w:tcW w:w="2334" w:type="pct"/>
          </w:tcPr>
          <w:p w14:paraId="261C664D" w14:textId="77777777" w:rsidR="001B4B37" w:rsidRDefault="001B4B37" w:rsidP="00D1249C">
            <w:pPr>
              <w:pStyle w:val="TableBody"/>
            </w:pPr>
            <w:r w:rsidRPr="00F56C6C">
              <w:rPr>
                <w:rStyle w:val="Italic"/>
              </w:rPr>
              <w:t xml:space="preserve">DPP v Abela-Rogers &amp; Anor </w:t>
            </w:r>
            <w:r>
              <w:t>[2020] VCC 1412</w:t>
            </w:r>
          </w:p>
        </w:tc>
      </w:tr>
      <w:tr w:rsidR="001B4B37" w14:paraId="1B548144" w14:textId="77777777" w:rsidTr="008E7036">
        <w:trPr>
          <w:trHeight w:val="60"/>
        </w:trPr>
        <w:tc>
          <w:tcPr>
            <w:tcW w:w="1067" w:type="pct"/>
          </w:tcPr>
          <w:p w14:paraId="0E2637D1"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6B380AAA" w14:textId="77777777" w:rsidR="001B4B37" w:rsidRDefault="001B4B37" w:rsidP="00D1249C">
            <w:pPr>
              <w:pStyle w:val="TableBody"/>
            </w:pPr>
            <w:r>
              <w:t>18</w:t>
            </w:r>
          </w:p>
        </w:tc>
        <w:tc>
          <w:tcPr>
            <w:tcW w:w="1000" w:type="pct"/>
          </w:tcPr>
          <w:p w14:paraId="5FFE0F5F" w14:textId="77777777" w:rsidR="001B4B37" w:rsidRDefault="001B4B37" w:rsidP="00D1249C">
            <w:pPr>
              <w:pStyle w:val="TableBody"/>
            </w:pPr>
            <w:r>
              <w:t>Imprisonment</w:t>
            </w:r>
          </w:p>
        </w:tc>
        <w:tc>
          <w:tcPr>
            <w:tcW w:w="2334" w:type="pct"/>
          </w:tcPr>
          <w:p w14:paraId="30A093D8" w14:textId="77777777" w:rsidR="001B4B37" w:rsidRDefault="001B4B37" w:rsidP="00D1249C">
            <w:pPr>
              <w:pStyle w:val="TableBody"/>
            </w:pPr>
            <w:r w:rsidRPr="00F56C6C">
              <w:rPr>
                <w:rStyle w:val="Italic"/>
              </w:rPr>
              <w:t xml:space="preserve">DPP v Sari </w:t>
            </w:r>
            <w:r>
              <w:t>[2020] VCC 1803</w:t>
            </w:r>
          </w:p>
        </w:tc>
      </w:tr>
      <w:tr w:rsidR="001B4B37" w14:paraId="3E378788" w14:textId="77777777" w:rsidTr="008E7036">
        <w:trPr>
          <w:trHeight w:val="60"/>
        </w:trPr>
        <w:tc>
          <w:tcPr>
            <w:tcW w:w="1067" w:type="pct"/>
          </w:tcPr>
          <w:p w14:paraId="13EFBF3C"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6F8816BE" w14:textId="77777777" w:rsidR="001B4B37" w:rsidRDefault="001B4B37" w:rsidP="00D1249C">
            <w:pPr>
              <w:pStyle w:val="TableBody"/>
            </w:pPr>
            <w:r>
              <w:t>18</w:t>
            </w:r>
          </w:p>
        </w:tc>
        <w:tc>
          <w:tcPr>
            <w:tcW w:w="1000" w:type="pct"/>
          </w:tcPr>
          <w:p w14:paraId="52DD6ED5" w14:textId="77777777" w:rsidR="001B4B37" w:rsidRDefault="001B4B37" w:rsidP="00D1249C">
            <w:pPr>
              <w:pStyle w:val="TableBody"/>
            </w:pPr>
            <w:r>
              <w:t>Imprisonment</w:t>
            </w:r>
          </w:p>
        </w:tc>
        <w:tc>
          <w:tcPr>
            <w:tcW w:w="2334" w:type="pct"/>
          </w:tcPr>
          <w:p w14:paraId="13F1CC4E" w14:textId="77777777" w:rsidR="001B4B37" w:rsidRDefault="001B4B37" w:rsidP="00D1249C">
            <w:pPr>
              <w:pStyle w:val="TableBody"/>
            </w:pPr>
            <w:r w:rsidRPr="00F56C6C">
              <w:rPr>
                <w:rStyle w:val="Italic"/>
              </w:rPr>
              <w:t xml:space="preserve">DPP v Riek </w:t>
            </w:r>
            <w:r>
              <w:t>[2020] VCC 2054</w:t>
            </w:r>
          </w:p>
        </w:tc>
      </w:tr>
      <w:tr w:rsidR="001B4B37" w14:paraId="0921D3CE" w14:textId="77777777" w:rsidTr="008E7036">
        <w:trPr>
          <w:trHeight w:val="60"/>
        </w:trPr>
        <w:tc>
          <w:tcPr>
            <w:tcW w:w="1067" w:type="pct"/>
          </w:tcPr>
          <w:p w14:paraId="735732E9"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734911EC" w14:textId="77777777" w:rsidR="001B4B37" w:rsidRDefault="001B4B37" w:rsidP="00D1249C">
            <w:pPr>
              <w:pStyle w:val="TableBody"/>
            </w:pPr>
            <w:r>
              <w:t>18</w:t>
            </w:r>
          </w:p>
        </w:tc>
        <w:tc>
          <w:tcPr>
            <w:tcW w:w="1000" w:type="pct"/>
          </w:tcPr>
          <w:p w14:paraId="55417F8C" w14:textId="77777777" w:rsidR="001B4B37" w:rsidRDefault="001B4B37" w:rsidP="00D1249C">
            <w:pPr>
              <w:pStyle w:val="TableBody"/>
            </w:pPr>
            <w:r>
              <w:t>Imprisonment</w:t>
            </w:r>
          </w:p>
        </w:tc>
        <w:tc>
          <w:tcPr>
            <w:tcW w:w="2334" w:type="pct"/>
          </w:tcPr>
          <w:p w14:paraId="4CC6FE97" w14:textId="77777777" w:rsidR="001B4B37" w:rsidRDefault="001B4B37" w:rsidP="00D1249C">
            <w:pPr>
              <w:pStyle w:val="TableBody"/>
            </w:pPr>
            <w:r w:rsidRPr="00F56C6C">
              <w:rPr>
                <w:rStyle w:val="Italic"/>
              </w:rPr>
              <w:t xml:space="preserve">DPP v Winsor </w:t>
            </w:r>
            <w:r>
              <w:t>[2023] VCC 1884</w:t>
            </w:r>
          </w:p>
        </w:tc>
      </w:tr>
      <w:tr w:rsidR="001B4B37" w14:paraId="63F6B6EF" w14:textId="77777777" w:rsidTr="008E7036">
        <w:trPr>
          <w:trHeight w:val="60"/>
        </w:trPr>
        <w:tc>
          <w:tcPr>
            <w:tcW w:w="1067" w:type="pct"/>
          </w:tcPr>
          <w:p w14:paraId="71C73D5B"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0389BCC1" w14:textId="77777777" w:rsidR="001B4B37" w:rsidRDefault="001B4B37" w:rsidP="00D1249C">
            <w:pPr>
              <w:pStyle w:val="TableBody"/>
            </w:pPr>
            <w:r>
              <w:t>18</w:t>
            </w:r>
          </w:p>
        </w:tc>
        <w:tc>
          <w:tcPr>
            <w:tcW w:w="1000" w:type="pct"/>
          </w:tcPr>
          <w:p w14:paraId="561AF2C8" w14:textId="77777777" w:rsidR="001B4B37" w:rsidRDefault="001B4B37" w:rsidP="00D1249C">
            <w:pPr>
              <w:pStyle w:val="TableBody"/>
            </w:pPr>
            <w:r>
              <w:t>Imprisonment</w:t>
            </w:r>
          </w:p>
        </w:tc>
        <w:tc>
          <w:tcPr>
            <w:tcW w:w="2334" w:type="pct"/>
          </w:tcPr>
          <w:p w14:paraId="62E0C51C" w14:textId="77777777" w:rsidR="001B4B37" w:rsidRDefault="001B4B37" w:rsidP="00D1249C">
            <w:pPr>
              <w:pStyle w:val="TableBody"/>
            </w:pPr>
            <w:r w:rsidRPr="00F56C6C">
              <w:rPr>
                <w:rStyle w:val="Italic"/>
              </w:rPr>
              <w:t xml:space="preserve">DPP v Mensur </w:t>
            </w:r>
            <w:r>
              <w:t>[2023] VCC 989</w:t>
            </w:r>
          </w:p>
        </w:tc>
      </w:tr>
      <w:tr w:rsidR="001B4B37" w14:paraId="5939F27C" w14:textId="77777777" w:rsidTr="008E7036">
        <w:trPr>
          <w:trHeight w:val="60"/>
        </w:trPr>
        <w:tc>
          <w:tcPr>
            <w:tcW w:w="1067" w:type="pct"/>
          </w:tcPr>
          <w:p w14:paraId="0AD4E105"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23C92967" w14:textId="77777777" w:rsidR="001B4B37" w:rsidRDefault="001B4B37" w:rsidP="00D1249C">
            <w:pPr>
              <w:pStyle w:val="TableBody"/>
            </w:pPr>
            <w:r>
              <w:t>18</w:t>
            </w:r>
          </w:p>
        </w:tc>
        <w:tc>
          <w:tcPr>
            <w:tcW w:w="1000" w:type="pct"/>
          </w:tcPr>
          <w:p w14:paraId="77460AD0" w14:textId="77777777" w:rsidR="001B4B37" w:rsidRDefault="001B4B37" w:rsidP="00D1249C">
            <w:pPr>
              <w:pStyle w:val="TableBody"/>
            </w:pPr>
            <w:r>
              <w:t>Youth justice centre order</w:t>
            </w:r>
          </w:p>
        </w:tc>
        <w:tc>
          <w:tcPr>
            <w:tcW w:w="2334" w:type="pct"/>
          </w:tcPr>
          <w:p w14:paraId="5519C8D2" w14:textId="77777777" w:rsidR="001B4B37" w:rsidRDefault="001B4B37" w:rsidP="00D1249C">
            <w:pPr>
              <w:pStyle w:val="TableBody"/>
            </w:pPr>
            <w:r w:rsidRPr="00F56C6C">
              <w:rPr>
                <w:rStyle w:val="Italic"/>
              </w:rPr>
              <w:t xml:space="preserve">DPP v Webster </w:t>
            </w:r>
            <w:r>
              <w:t>[2019] VCC 2239</w:t>
            </w:r>
          </w:p>
        </w:tc>
      </w:tr>
      <w:tr w:rsidR="001B4B37" w14:paraId="1668191A" w14:textId="77777777" w:rsidTr="008E7036">
        <w:trPr>
          <w:trHeight w:val="60"/>
        </w:trPr>
        <w:tc>
          <w:tcPr>
            <w:tcW w:w="1067" w:type="pct"/>
          </w:tcPr>
          <w:p w14:paraId="1F1862DB"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05951CF1" w14:textId="77777777" w:rsidR="001B4B37" w:rsidRDefault="001B4B37" w:rsidP="00D1249C">
            <w:pPr>
              <w:pStyle w:val="TableBody"/>
            </w:pPr>
            <w:r>
              <w:t>18</w:t>
            </w:r>
          </w:p>
        </w:tc>
        <w:tc>
          <w:tcPr>
            <w:tcW w:w="1000" w:type="pct"/>
          </w:tcPr>
          <w:p w14:paraId="4483F190" w14:textId="77777777" w:rsidR="001B4B37" w:rsidRDefault="001B4B37" w:rsidP="00D1249C">
            <w:pPr>
              <w:pStyle w:val="TableBody"/>
            </w:pPr>
            <w:r>
              <w:t>Youth justice centre order</w:t>
            </w:r>
          </w:p>
        </w:tc>
        <w:tc>
          <w:tcPr>
            <w:tcW w:w="2334" w:type="pct"/>
          </w:tcPr>
          <w:p w14:paraId="14D6FB01" w14:textId="77777777" w:rsidR="001B4B37" w:rsidRDefault="001B4B37" w:rsidP="00D1249C">
            <w:pPr>
              <w:pStyle w:val="TableBody"/>
            </w:pPr>
            <w:r w:rsidRPr="00F56C6C">
              <w:rPr>
                <w:rStyle w:val="Italic"/>
              </w:rPr>
              <w:t xml:space="preserve">DPP v Young-Green &amp; Anor </w:t>
            </w:r>
            <w:r>
              <w:t>[2020] VCC 1793</w:t>
            </w:r>
          </w:p>
        </w:tc>
      </w:tr>
      <w:tr w:rsidR="001B4B37" w14:paraId="79FACA35" w14:textId="77777777" w:rsidTr="008E7036">
        <w:trPr>
          <w:trHeight w:val="60"/>
        </w:trPr>
        <w:tc>
          <w:tcPr>
            <w:tcW w:w="1067" w:type="pct"/>
          </w:tcPr>
          <w:p w14:paraId="3297B5B7"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0122FAF6" w14:textId="77777777" w:rsidR="001B4B37" w:rsidRDefault="001B4B37" w:rsidP="00D1249C">
            <w:pPr>
              <w:pStyle w:val="TableBody"/>
            </w:pPr>
            <w:r>
              <w:t>19</w:t>
            </w:r>
          </w:p>
        </w:tc>
        <w:tc>
          <w:tcPr>
            <w:tcW w:w="1000" w:type="pct"/>
          </w:tcPr>
          <w:p w14:paraId="36025BCD" w14:textId="77777777" w:rsidR="001B4B37" w:rsidRDefault="001B4B37" w:rsidP="00D1249C">
            <w:pPr>
              <w:pStyle w:val="TableBody"/>
            </w:pPr>
            <w:r>
              <w:t>Imprisonment</w:t>
            </w:r>
          </w:p>
        </w:tc>
        <w:tc>
          <w:tcPr>
            <w:tcW w:w="2334" w:type="pct"/>
          </w:tcPr>
          <w:p w14:paraId="1388964D" w14:textId="77777777" w:rsidR="001B4B37" w:rsidRDefault="001B4B37" w:rsidP="00D1249C">
            <w:pPr>
              <w:pStyle w:val="TableBody"/>
            </w:pPr>
            <w:r w:rsidRPr="00F56C6C">
              <w:rPr>
                <w:rStyle w:val="Italic"/>
              </w:rPr>
              <w:t xml:space="preserve">DPP v Bana </w:t>
            </w:r>
            <w:r>
              <w:t>[2020] VCC 1874</w:t>
            </w:r>
          </w:p>
        </w:tc>
      </w:tr>
      <w:tr w:rsidR="001B4B37" w14:paraId="414BBF3E" w14:textId="77777777" w:rsidTr="008E7036">
        <w:trPr>
          <w:trHeight w:val="60"/>
        </w:trPr>
        <w:tc>
          <w:tcPr>
            <w:tcW w:w="1067" w:type="pct"/>
          </w:tcPr>
          <w:p w14:paraId="252C42F9"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2E121DB4" w14:textId="77777777" w:rsidR="001B4B37" w:rsidRDefault="001B4B37" w:rsidP="00D1249C">
            <w:pPr>
              <w:pStyle w:val="TableBody"/>
            </w:pPr>
            <w:r>
              <w:t>19</w:t>
            </w:r>
          </w:p>
        </w:tc>
        <w:tc>
          <w:tcPr>
            <w:tcW w:w="1000" w:type="pct"/>
          </w:tcPr>
          <w:p w14:paraId="080A54AA" w14:textId="77777777" w:rsidR="001B4B37" w:rsidRDefault="001B4B37" w:rsidP="00D1249C">
            <w:pPr>
              <w:pStyle w:val="TableBody"/>
            </w:pPr>
            <w:r>
              <w:t>Imprisonment</w:t>
            </w:r>
          </w:p>
        </w:tc>
        <w:tc>
          <w:tcPr>
            <w:tcW w:w="2334" w:type="pct"/>
          </w:tcPr>
          <w:p w14:paraId="0F5EC22C" w14:textId="77777777" w:rsidR="001B4B37" w:rsidRDefault="001B4B37" w:rsidP="00D1249C">
            <w:pPr>
              <w:pStyle w:val="TableBody"/>
            </w:pPr>
            <w:r w:rsidRPr="00F56C6C">
              <w:rPr>
                <w:rStyle w:val="Italic"/>
              </w:rPr>
              <w:t xml:space="preserve">DPP v Williams </w:t>
            </w:r>
            <w:r>
              <w:t>[2022] VCC 266</w:t>
            </w:r>
          </w:p>
        </w:tc>
      </w:tr>
      <w:tr w:rsidR="001B4B37" w14:paraId="289399E2" w14:textId="77777777" w:rsidTr="008E7036">
        <w:trPr>
          <w:trHeight w:val="60"/>
        </w:trPr>
        <w:tc>
          <w:tcPr>
            <w:tcW w:w="1067" w:type="pct"/>
          </w:tcPr>
          <w:p w14:paraId="11F47C47"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6B505F98" w14:textId="77777777" w:rsidR="001B4B37" w:rsidRDefault="001B4B37" w:rsidP="00D1249C">
            <w:pPr>
              <w:pStyle w:val="TableBody"/>
            </w:pPr>
            <w:r>
              <w:t>20</w:t>
            </w:r>
          </w:p>
        </w:tc>
        <w:tc>
          <w:tcPr>
            <w:tcW w:w="1000" w:type="pct"/>
          </w:tcPr>
          <w:p w14:paraId="05704614" w14:textId="77777777" w:rsidR="001B4B37" w:rsidRDefault="001B4B37" w:rsidP="00D1249C">
            <w:pPr>
              <w:pStyle w:val="TableBody"/>
            </w:pPr>
            <w:r>
              <w:t>Imprisonment</w:t>
            </w:r>
          </w:p>
        </w:tc>
        <w:tc>
          <w:tcPr>
            <w:tcW w:w="2334" w:type="pct"/>
          </w:tcPr>
          <w:p w14:paraId="3F3D2A7B" w14:textId="77777777" w:rsidR="001B4B37" w:rsidRDefault="001B4B37" w:rsidP="00D1249C">
            <w:pPr>
              <w:pStyle w:val="TableBody"/>
            </w:pPr>
            <w:r w:rsidRPr="00F56C6C">
              <w:rPr>
                <w:rStyle w:val="Italic"/>
              </w:rPr>
              <w:t xml:space="preserve">DPP v Okot </w:t>
            </w:r>
            <w:r>
              <w:t>[2020] VCC 1404</w:t>
            </w:r>
          </w:p>
        </w:tc>
      </w:tr>
      <w:tr w:rsidR="001B4B37" w14:paraId="6EA52EE1" w14:textId="77777777" w:rsidTr="008E7036">
        <w:trPr>
          <w:trHeight w:val="60"/>
        </w:trPr>
        <w:tc>
          <w:tcPr>
            <w:tcW w:w="1067" w:type="pct"/>
          </w:tcPr>
          <w:p w14:paraId="41834DD7" w14:textId="77777777" w:rsidR="001B4B37" w:rsidRPr="003B78C2" w:rsidRDefault="001B4B37" w:rsidP="00D1249C">
            <w:pPr>
              <w:pStyle w:val="TableBody"/>
              <w:rPr>
                <w:rStyle w:val="Bold"/>
              </w:rPr>
            </w:pPr>
            <w:r w:rsidRPr="003B78C2">
              <w:rPr>
                <w:rStyle w:val="Bold"/>
              </w:rPr>
              <w:t>Culpable driving causing death</w:t>
            </w:r>
          </w:p>
        </w:tc>
        <w:tc>
          <w:tcPr>
            <w:tcW w:w="600" w:type="pct"/>
          </w:tcPr>
          <w:p w14:paraId="654E09AB" w14:textId="77777777" w:rsidR="001B4B37" w:rsidRDefault="001B4B37" w:rsidP="00D1249C">
            <w:pPr>
              <w:pStyle w:val="TableBody"/>
            </w:pPr>
            <w:r>
              <w:t>16</w:t>
            </w:r>
          </w:p>
        </w:tc>
        <w:tc>
          <w:tcPr>
            <w:tcW w:w="1000" w:type="pct"/>
          </w:tcPr>
          <w:p w14:paraId="7DD5D9C8" w14:textId="77777777" w:rsidR="001B4B37" w:rsidRDefault="001B4B37" w:rsidP="00D1249C">
            <w:pPr>
              <w:pStyle w:val="TableBody"/>
            </w:pPr>
            <w:r>
              <w:t>Youth justice centre order</w:t>
            </w:r>
          </w:p>
        </w:tc>
        <w:tc>
          <w:tcPr>
            <w:tcW w:w="2334" w:type="pct"/>
          </w:tcPr>
          <w:p w14:paraId="1010C6BE" w14:textId="77777777" w:rsidR="001B4B37" w:rsidRDefault="001B4B37" w:rsidP="00D1249C">
            <w:pPr>
              <w:pStyle w:val="TableBody"/>
            </w:pPr>
            <w:r w:rsidRPr="00F56C6C">
              <w:rPr>
                <w:rStyle w:val="Italic"/>
              </w:rPr>
              <w:t xml:space="preserve">DPP v Holt (a pseudonym) </w:t>
            </w:r>
            <w:r>
              <w:t>[2021] VCC 1655</w:t>
            </w:r>
          </w:p>
        </w:tc>
      </w:tr>
      <w:tr w:rsidR="001B4B37" w14:paraId="01EB3477" w14:textId="77777777" w:rsidTr="008E7036">
        <w:trPr>
          <w:trHeight w:val="60"/>
        </w:trPr>
        <w:tc>
          <w:tcPr>
            <w:tcW w:w="1067" w:type="pct"/>
          </w:tcPr>
          <w:p w14:paraId="52044EFF"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0A575DCA" w14:textId="77777777" w:rsidR="001B4B37" w:rsidRDefault="001B4B37" w:rsidP="00D1249C">
            <w:pPr>
              <w:pStyle w:val="TableBody"/>
            </w:pPr>
            <w:r>
              <w:t>17</w:t>
            </w:r>
          </w:p>
        </w:tc>
        <w:tc>
          <w:tcPr>
            <w:tcW w:w="1000" w:type="pct"/>
          </w:tcPr>
          <w:p w14:paraId="54B5B6FE" w14:textId="77777777" w:rsidR="001B4B37" w:rsidRDefault="001B4B37" w:rsidP="00D1249C">
            <w:pPr>
              <w:pStyle w:val="TableBody"/>
            </w:pPr>
            <w:r>
              <w:t>Imprisonment</w:t>
            </w:r>
          </w:p>
        </w:tc>
        <w:tc>
          <w:tcPr>
            <w:tcW w:w="2334" w:type="pct"/>
          </w:tcPr>
          <w:p w14:paraId="5A3A1958" w14:textId="77777777" w:rsidR="001B4B37" w:rsidRDefault="001B4B37" w:rsidP="00D1249C">
            <w:pPr>
              <w:pStyle w:val="TableBody"/>
            </w:pPr>
            <w:r w:rsidRPr="00F56C6C">
              <w:rPr>
                <w:rStyle w:val="Italic"/>
              </w:rPr>
              <w:t xml:space="preserve">DPP v Gallagher (a pseudonym) </w:t>
            </w:r>
            <w:r>
              <w:t>[2021] VCC 1528</w:t>
            </w:r>
          </w:p>
        </w:tc>
      </w:tr>
      <w:tr w:rsidR="001B4B37" w14:paraId="483C0309" w14:textId="77777777" w:rsidTr="008E7036">
        <w:trPr>
          <w:trHeight w:val="60"/>
        </w:trPr>
        <w:tc>
          <w:tcPr>
            <w:tcW w:w="1067" w:type="pct"/>
          </w:tcPr>
          <w:p w14:paraId="3748777F"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721D1ACD" w14:textId="77777777" w:rsidR="001B4B37" w:rsidRDefault="001B4B37" w:rsidP="00D1249C">
            <w:pPr>
              <w:pStyle w:val="TableBody"/>
            </w:pPr>
            <w:r>
              <w:t>18</w:t>
            </w:r>
          </w:p>
        </w:tc>
        <w:tc>
          <w:tcPr>
            <w:tcW w:w="1000" w:type="pct"/>
          </w:tcPr>
          <w:p w14:paraId="619A2F3E" w14:textId="77777777" w:rsidR="001B4B37" w:rsidRDefault="001B4B37" w:rsidP="00D1249C">
            <w:pPr>
              <w:pStyle w:val="TableBody"/>
            </w:pPr>
            <w:r>
              <w:t>Imprisonment</w:t>
            </w:r>
          </w:p>
        </w:tc>
        <w:tc>
          <w:tcPr>
            <w:tcW w:w="2334" w:type="pct"/>
          </w:tcPr>
          <w:p w14:paraId="731358A1" w14:textId="77777777" w:rsidR="001B4B37" w:rsidRDefault="001B4B37" w:rsidP="00D1249C">
            <w:pPr>
              <w:pStyle w:val="TableBody"/>
            </w:pPr>
            <w:r w:rsidRPr="00F56C6C">
              <w:rPr>
                <w:rStyle w:val="Italic"/>
              </w:rPr>
              <w:t xml:space="preserve">DPP v </w:t>
            </w:r>
            <w:proofErr w:type="spellStart"/>
            <w:r w:rsidRPr="00F56C6C">
              <w:rPr>
                <w:rStyle w:val="Italic"/>
              </w:rPr>
              <w:t>Werps</w:t>
            </w:r>
            <w:proofErr w:type="spellEnd"/>
            <w:r w:rsidRPr="00F56C6C">
              <w:rPr>
                <w:rStyle w:val="Italic"/>
              </w:rPr>
              <w:t xml:space="preserve"> </w:t>
            </w:r>
            <w:r>
              <w:t>[2021] VCC 2094</w:t>
            </w:r>
          </w:p>
        </w:tc>
      </w:tr>
      <w:tr w:rsidR="001B4B37" w14:paraId="6A3EF3A4" w14:textId="77777777" w:rsidTr="008E7036">
        <w:trPr>
          <w:trHeight w:val="60"/>
        </w:trPr>
        <w:tc>
          <w:tcPr>
            <w:tcW w:w="1067" w:type="pct"/>
          </w:tcPr>
          <w:p w14:paraId="414D557F"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4ED5D230" w14:textId="77777777" w:rsidR="001B4B37" w:rsidRDefault="001B4B37" w:rsidP="00D1249C">
            <w:pPr>
              <w:pStyle w:val="TableBody"/>
            </w:pPr>
            <w:r>
              <w:t>18</w:t>
            </w:r>
          </w:p>
        </w:tc>
        <w:tc>
          <w:tcPr>
            <w:tcW w:w="1000" w:type="pct"/>
          </w:tcPr>
          <w:p w14:paraId="7BED483C" w14:textId="77777777" w:rsidR="001B4B37" w:rsidRDefault="001B4B37" w:rsidP="00D1249C">
            <w:pPr>
              <w:pStyle w:val="TableBody"/>
            </w:pPr>
            <w:r>
              <w:t>Imprisonment</w:t>
            </w:r>
          </w:p>
        </w:tc>
        <w:tc>
          <w:tcPr>
            <w:tcW w:w="2334" w:type="pct"/>
          </w:tcPr>
          <w:p w14:paraId="58F92CF7" w14:textId="77777777" w:rsidR="001B4B37" w:rsidRDefault="001B4B37" w:rsidP="00D1249C">
            <w:pPr>
              <w:pStyle w:val="TableBody"/>
            </w:pPr>
            <w:r w:rsidRPr="00F56C6C">
              <w:rPr>
                <w:rStyle w:val="Italic"/>
              </w:rPr>
              <w:t xml:space="preserve">DPP v Handley </w:t>
            </w:r>
            <w:r>
              <w:t>[2024] VCC 566</w:t>
            </w:r>
          </w:p>
        </w:tc>
      </w:tr>
      <w:tr w:rsidR="001B4B37" w14:paraId="3F918C9C" w14:textId="77777777" w:rsidTr="008E7036">
        <w:trPr>
          <w:trHeight w:val="60"/>
        </w:trPr>
        <w:tc>
          <w:tcPr>
            <w:tcW w:w="1067" w:type="pct"/>
          </w:tcPr>
          <w:p w14:paraId="0C15DAB6"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3D741C75" w14:textId="77777777" w:rsidR="001B4B37" w:rsidRDefault="001B4B37" w:rsidP="00D1249C">
            <w:pPr>
              <w:pStyle w:val="TableBody"/>
            </w:pPr>
            <w:r>
              <w:t>19</w:t>
            </w:r>
          </w:p>
        </w:tc>
        <w:tc>
          <w:tcPr>
            <w:tcW w:w="1000" w:type="pct"/>
          </w:tcPr>
          <w:p w14:paraId="2A749204" w14:textId="77777777" w:rsidR="001B4B37" w:rsidRDefault="001B4B37" w:rsidP="00D1249C">
            <w:pPr>
              <w:pStyle w:val="TableBody"/>
            </w:pPr>
            <w:r>
              <w:t>Imprisonment</w:t>
            </w:r>
          </w:p>
        </w:tc>
        <w:tc>
          <w:tcPr>
            <w:tcW w:w="2334" w:type="pct"/>
          </w:tcPr>
          <w:p w14:paraId="5512714D" w14:textId="77777777" w:rsidR="001B4B37" w:rsidRDefault="001B4B37" w:rsidP="00D1249C">
            <w:pPr>
              <w:pStyle w:val="TableBody"/>
            </w:pPr>
            <w:r w:rsidRPr="00F56C6C">
              <w:rPr>
                <w:rStyle w:val="Italic"/>
              </w:rPr>
              <w:t xml:space="preserve">DPP v Currie </w:t>
            </w:r>
            <w:r>
              <w:t>[2020] VCC 1795</w:t>
            </w:r>
          </w:p>
        </w:tc>
      </w:tr>
      <w:tr w:rsidR="001B4B37" w14:paraId="6F6D1BDB" w14:textId="77777777" w:rsidTr="008E7036">
        <w:trPr>
          <w:trHeight w:val="60"/>
        </w:trPr>
        <w:tc>
          <w:tcPr>
            <w:tcW w:w="1067" w:type="pct"/>
          </w:tcPr>
          <w:p w14:paraId="4DCC1D41"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2A8B25A0" w14:textId="77777777" w:rsidR="001B4B37" w:rsidRDefault="001B4B37" w:rsidP="00D1249C">
            <w:pPr>
              <w:pStyle w:val="TableBody"/>
            </w:pPr>
            <w:r>
              <w:t>19</w:t>
            </w:r>
          </w:p>
        </w:tc>
        <w:tc>
          <w:tcPr>
            <w:tcW w:w="1000" w:type="pct"/>
          </w:tcPr>
          <w:p w14:paraId="372F2AE4" w14:textId="77777777" w:rsidR="001B4B37" w:rsidRDefault="001B4B37" w:rsidP="00D1249C">
            <w:pPr>
              <w:pStyle w:val="TableBody"/>
            </w:pPr>
            <w:r>
              <w:t>Imprisonment</w:t>
            </w:r>
          </w:p>
        </w:tc>
        <w:tc>
          <w:tcPr>
            <w:tcW w:w="2334" w:type="pct"/>
          </w:tcPr>
          <w:p w14:paraId="278D3669" w14:textId="77777777" w:rsidR="001B4B37" w:rsidRDefault="001B4B37" w:rsidP="00D1249C">
            <w:pPr>
              <w:pStyle w:val="TableBody"/>
            </w:pPr>
            <w:r w:rsidRPr="00F56C6C">
              <w:rPr>
                <w:rStyle w:val="Italic"/>
              </w:rPr>
              <w:t xml:space="preserve">DPP v Mitcham </w:t>
            </w:r>
            <w:r>
              <w:t>[2023] VCC 464</w:t>
            </w:r>
          </w:p>
        </w:tc>
      </w:tr>
      <w:tr w:rsidR="001B4B37" w14:paraId="784FBD2A" w14:textId="77777777" w:rsidTr="008E7036">
        <w:trPr>
          <w:trHeight w:val="60"/>
        </w:trPr>
        <w:tc>
          <w:tcPr>
            <w:tcW w:w="1067" w:type="pct"/>
            <w:vMerge w:val="restart"/>
          </w:tcPr>
          <w:p w14:paraId="47D285DD" w14:textId="77777777" w:rsidR="001B4B37" w:rsidRPr="003B78C2" w:rsidRDefault="001B4B37" w:rsidP="00D1249C">
            <w:pPr>
              <w:pStyle w:val="TableBody"/>
              <w:rPr>
                <w:rStyle w:val="Bold"/>
              </w:rPr>
            </w:pPr>
            <w:r w:rsidRPr="003B78C2">
              <w:rPr>
                <w:rStyle w:val="Bold"/>
              </w:rPr>
              <w:t>Intentionally causing serious injury in circumstances of gross violence</w:t>
            </w:r>
          </w:p>
        </w:tc>
        <w:tc>
          <w:tcPr>
            <w:tcW w:w="600" w:type="pct"/>
          </w:tcPr>
          <w:p w14:paraId="726638F0" w14:textId="77777777" w:rsidR="001B4B37" w:rsidRDefault="001B4B37" w:rsidP="00D1249C">
            <w:pPr>
              <w:pStyle w:val="TableBody"/>
            </w:pPr>
            <w:r>
              <w:t>16</w:t>
            </w:r>
          </w:p>
        </w:tc>
        <w:tc>
          <w:tcPr>
            <w:tcW w:w="1000" w:type="pct"/>
          </w:tcPr>
          <w:p w14:paraId="56A33E3B" w14:textId="77777777" w:rsidR="001B4B37" w:rsidRDefault="001B4B37" w:rsidP="00D1249C">
            <w:pPr>
              <w:pStyle w:val="TableBody"/>
            </w:pPr>
            <w:r>
              <w:t>Youth justice centre order</w:t>
            </w:r>
          </w:p>
        </w:tc>
        <w:tc>
          <w:tcPr>
            <w:tcW w:w="2334" w:type="pct"/>
          </w:tcPr>
          <w:p w14:paraId="4F973EC4" w14:textId="77777777" w:rsidR="001B4B37" w:rsidRDefault="001B4B37" w:rsidP="00D1249C">
            <w:pPr>
              <w:pStyle w:val="TableBody"/>
            </w:pPr>
            <w:r w:rsidRPr="00F56C6C">
              <w:rPr>
                <w:rStyle w:val="Italic"/>
              </w:rPr>
              <w:t xml:space="preserve">DPP v JA &amp; Ors </w:t>
            </w:r>
            <w:r>
              <w:t>[2023] VSC 531 (MM)</w:t>
            </w:r>
          </w:p>
        </w:tc>
      </w:tr>
      <w:tr w:rsidR="001B4B37" w14:paraId="6545ADBA" w14:textId="77777777" w:rsidTr="008E7036">
        <w:trPr>
          <w:trHeight w:val="60"/>
        </w:trPr>
        <w:tc>
          <w:tcPr>
            <w:tcW w:w="1067" w:type="pct"/>
            <w:vMerge/>
          </w:tcPr>
          <w:p w14:paraId="2618FDE7"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27D15452" w14:textId="77777777" w:rsidR="001B4B37" w:rsidRDefault="001B4B37" w:rsidP="00D1249C">
            <w:pPr>
              <w:pStyle w:val="TableBody"/>
            </w:pPr>
            <w:r>
              <w:t>17</w:t>
            </w:r>
          </w:p>
        </w:tc>
        <w:tc>
          <w:tcPr>
            <w:tcW w:w="1000" w:type="pct"/>
          </w:tcPr>
          <w:p w14:paraId="249C999E" w14:textId="77777777" w:rsidR="001B4B37" w:rsidRDefault="001B4B37" w:rsidP="00D1249C">
            <w:pPr>
              <w:pStyle w:val="TableBody"/>
            </w:pPr>
            <w:r>
              <w:t>Imprisonment</w:t>
            </w:r>
          </w:p>
        </w:tc>
        <w:tc>
          <w:tcPr>
            <w:tcW w:w="2334" w:type="pct"/>
          </w:tcPr>
          <w:p w14:paraId="26BE1559" w14:textId="77777777" w:rsidR="001B4B37" w:rsidRDefault="001B4B37" w:rsidP="00D1249C">
            <w:pPr>
              <w:pStyle w:val="TableBody"/>
            </w:pPr>
            <w:r w:rsidRPr="00A85B41">
              <w:rPr>
                <w:rStyle w:val="Italic"/>
              </w:rPr>
              <w:t xml:space="preserve">DPP v Castilo (a pseudonym) </w:t>
            </w:r>
            <w:r w:rsidRPr="003B78C2">
              <w:t>[2022] VCC 2180</w:t>
            </w:r>
          </w:p>
        </w:tc>
      </w:tr>
      <w:tr w:rsidR="001B4B37" w14:paraId="77914BFD" w14:textId="77777777" w:rsidTr="008E7036">
        <w:trPr>
          <w:trHeight w:val="60"/>
        </w:trPr>
        <w:tc>
          <w:tcPr>
            <w:tcW w:w="1067" w:type="pct"/>
            <w:vMerge/>
          </w:tcPr>
          <w:p w14:paraId="3D26B3D4"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10CD9E24" w14:textId="77777777" w:rsidR="001B4B37" w:rsidRDefault="001B4B37" w:rsidP="00D1249C">
            <w:pPr>
              <w:pStyle w:val="TableBody"/>
            </w:pPr>
            <w:r>
              <w:t>18</w:t>
            </w:r>
          </w:p>
        </w:tc>
        <w:tc>
          <w:tcPr>
            <w:tcW w:w="1000" w:type="pct"/>
          </w:tcPr>
          <w:p w14:paraId="3B38818D" w14:textId="77777777" w:rsidR="001B4B37" w:rsidRDefault="001B4B37" w:rsidP="00D1249C">
            <w:pPr>
              <w:pStyle w:val="TableBody"/>
            </w:pPr>
            <w:r>
              <w:t>Imprisonment</w:t>
            </w:r>
          </w:p>
        </w:tc>
        <w:tc>
          <w:tcPr>
            <w:tcW w:w="2334" w:type="pct"/>
          </w:tcPr>
          <w:p w14:paraId="01CEDA17" w14:textId="77777777" w:rsidR="001B4B37" w:rsidRDefault="001B4B37" w:rsidP="00D1249C">
            <w:pPr>
              <w:pStyle w:val="TableBody"/>
            </w:pPr>
            <w:r w:rsidRPr="00F56C6C">
              <w:rPr>
                <w:rStyle w:val="Italic"/>
              </w:rPr>
              <w:t xml:space="preserve">DPP v Amin &amp; Anor </w:t>
            </w:r>
            <w:r>
              <w:t>[2020] VCC 800 (Amin)</w:t>
            </w:r>
          </w:p>
        </w:tc>
      </w:tr>
      <w:tr w:rsidR="001B4B37" w14:paraId="5BE3E46E" w14:textId="77777777" w:rsidTr="008E7036">
        <w:trPr>
          <w:trHeight w:val="60"/>
        </w:trPr>
        <w:tc>
          <w:tcPr>
            <w:tcW w:w="1067" w:type="pct"/>
            <w:vMerge/>
          </w:tcPr>
          <w:p w14:paraId="1C1D2C7D"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26408078" w14:textId="77777777" w:rsidR="001B4B37" w:rsidRDefault="001B4B37" w:rsidP="00D1249C">
            <w:pPr>
              <w:pStyle w:val="TableBody"/>
            </w:pPr>
            <w:r>
              <w:t>19</w:t>
            </w:r>
          </w:p>
        </w:tc>
        <w:tc>
          <w:tcPr>
            <w:tcW w:w="1000" w:type="pct"/>
          </w:tcPr>
          <w:p w14:paraId="138D32E5" w14:textId="77777777" w:rsidR="001B4B37" w:rsidRDefault="001B4B37" w:rsidP="00D1249C">
            <w:pPr>
              <w:pStyle w:val="TableBody"/>
            </w:pPr>
            <w:r>
              <w:t>Imprisonment</w:t>
            </w:r>
          </w:p>
        </w:tc>
        <w:tc>
          <w:tcPr>
            <w:tcW w:w="2334" w:type="pct"/>
          </w:tcPr>
          <w:p w14:paraId="2AE6309E" w14:textId="77777777" w:rsidR="001B4B37" w:rsidRDefault="001B4B37" w:rsidP="00D1249C">
            <w:pPr>
              <w:pStyle w:val="TableBody"/>
            </w:pPr>
            <w:r w:rsidRPr="00F56C6C">
              <w:rPr>
                <w:rStyle w:val="Italic"/>
              </w:rPr>
              <w:t xml:space="preserve">DPP v Amin &amp; Anor </w:t>
            </w:r>
            <w:r>
              <w:t>[2020] VCC 800 (Said)</w:t>
            </w:r>
          </w:p>
        </w:tc>
      </w:tr>
      <w:tr w:rsidR="001B4B37" w14:paraId="652B0AF5" w14:textId="77777777" w:rsidTr="008E7036">
        <w:trPr>
          <w:trHeight w:val="60"/>
        </w:trPr>
        <w:tc>
          <w:tcPr>
            <w:tcW w:w="1067" w:type="pct"/>
          </w:tcPr>
          <w:p w14:paraId="50BF314B" w14:textId="77777777" w:rsidR="001B4B37" w:rsidRPr="003B78C2" w:rsidRDefault="001B4B37" w:rsidP="00D1249C">
            <w:pPr>
              <w:pStyle w:val="TableBody"/>
              <w:rPr>
                <w:rStyle w:val="Bold"/>
              </w:rPr>
            </w:pPr>
            <w:r w:rsidRPr="003B78C2">
              <w:rPr>
                <w:rStyle w:val="Bold"/>
              </w:rPr>
              <w:t>Manslaughter</w:t>
            </w:r>
          </w:p>
        </w:tc>
        <w:tc>
          <w:tcPr>
            <w:tcW w:w="600" w:type="pct"/>
          </w:tcPr>
          <w:p w14:paraId="51D2E236" w14:textId="77777777" w:rsidR="001B4B37" w:rsidRDefault="001B4B37" w:rsidP="00D1249C">
            <w:pPr>
              <w:pStyle w:val="TableBody"/>
            </w:pPr>
            <w:r>
              <w:t>16</w:t>
            </w:r>
          </w:p>
        </w:tc>
        <w:tc>
          <w:tcPr>
            <w:tcW w:w="1000" w:type="pct"/>
          </w:tcPr>
          <w:p w14:paraId="223D14E6" w14:textId="77777777" w:rsidR="001B4B37" w:rsidRDefault="001B4B37" w:rsidP="00D1249C">
            <w:pPr>
              <w:pStyle w:val="TableBody"/>
            </w:pPr>
            <w:r>
              <w:t>Youth justice centre order</w:t>
            </w:r>
          </w:p>
        </w:tc>
        <w:tc>
          <w:tcPr>
            <w:tcW w:w="2334" w:type="pct"/>
          </w:tcPr>
          <w:p w14:paraId="1C5788E2" w14:textId="77777777" w:rsidR="001B4B37" w:rsidRDefault="001B4B37" w:rsidP="00D1249C">
            <w:pPr>
              <w:pStyle w:val="TableBody"/>
            </w:pPr>
            <w:r w:rsidRPr="00F56C6C">
              <w:rPr>
                <w:rStyle w:val="Italic"/>
              </w:rPr>
              <w:t xml:space="preserve">DPP v JA &amp; Ors </w:t>
            </w:r>
            <w:r>
              <w:t>[2023] VSC 531 (JA)</w:t>
            </w:r>
          </w:p>
        </w:tc>
      </w:tr>
      <w:tr w:rsidR="001B4B37" w14:paraId="68B25550" w14:textId="77777777" w:rsidTr="008E7036">
        <w:trPr>
          <w:trHeight w:val="60"/>
        </w:trPr>
        <w:tc>
          <w:tcPr>
            <w:tcW w:w="1067" w:type="pct"/>
          </w:tcPr>
          <w:p w14:paraId="3F50566F"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0810BCB7" w14:textId="77777777" w:rsidR="001B4B37" w:rsidRDefault="001B4B37" w:rsidP="00D1249C">
            <w:pPr>
              <w:pStyle w:val="TableBody"/>
            </w:pPr>
            <w:r>
              <w:t>17</w:t>
            </w:r>
          </w:p>
        </w:tc>
        <w:tc>
          <w:tcPr>
            <w:tcW w:w="1000" w:type="pct"/>
          </w:tcPr>
          <w:p w14:paraId="05246A89" w14:textId="77777777" w:rsidR="001B4B37" w:rsidRDefault="001B4B37" w:rsidP="00D1249C">
            <w:pPr>
              <w:pStyle w:val="TableBody"/>
            </w:pPr>
            <w:r>
              <w:t>Imprisonment</w:t>
            </w:r>
          </w:p>
        </w:tc>
        <w:tc>
          <w:tcPr>
            <w:tcW w:w="2334" w:type="pct"/>
          </w:tcPr>
          <w:p w14:paraId="6117CA22" w14:textId="77777777" w:rsidR="001B4B37" w:rsidRDefault="001B4B37" w:rsidP="00D1249C">
            <w:pPr>
              <w:pStyle w:val="TableBody"/>
            </w:pPr>
            <w:r w:rsidRPr="00F56C6C">
              <w:rPr>
                <w:rStyle w:val="Italic"/>
              </w:rPr>
              <w:t xml:space="preserve">DPP v JN </w:t>
            </w:r>
            <w:r>
              <w:t>[2023] VSC 500</w:t>
            </w:r>
          </w:p>
        </w:tc>
      </w:tr>
      <w:tr w:rsidR="001B4B37" w14:paraId="2896ADD6" w14:textId="77777777" w:rsidTr="008E7036">
        <w:trPr>
          <w:trHeight w:val="60"/>
        </w:trPr>
        <w:tc>
          <w:tcPr>
            <w:tcW w:w="1067" w:type="pct"/>
          </w:tcPr>
          <w:p w14:paraId="1C7FCB89"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6DB008B4" w14:textId="77777777" w:rsidR="001B4B37" w:rsidRDefault="001B4B37" w:rsidP="00D1249C">
            <w:pPr>
              <w:pStyle w:val="TableBody"/>
            </w:pPr>
            <w:r>
              <w:t>17</w:t>
            </w:r>
          </w:p>
        </w:tc>
        <w:tc>
          <w:tcPr>
            <w:tcW w:w="1000" w:type="pct"/>
          </w:tcPr>
          <w:p w14:paraId="154ADB9A" w14:textId="77777777" w:rsidR="001B4B37" w:rsidRDefault="001B4B37" w:rsidP="00D1249C">
            <w:pPr>
              <w:pStyle w:val="TableBody"/>
            </w:pPr>
            <w:r>
              <w:t>Imprisonment</w:t>
            </w:r>
          </w:p>
        </w:tc>
        <w:tc>
          <w:tcPr>
            <w:tcW w:w="2334" w:type="pct"/>
          </w:tcPr>
          <w:p w14:paraId="73D7604F" w14:textId="77777777" w:rsidR="001B4B37" w:rsidRDefault="001B4B37" w:rsidP="00D1249C">
            <w:pPr>
              <w:pStyle w:val="TableBody"/>
            </w:pPr>
            <w:r w:rsidRPr="00F56C6C">
              <w:rPr>
                <w:rStyle w:val="Italic"/>
              </w:rPr>
              <w:t xml:space="preserve">DPP v MA </w:t>
            </w:r>
            <w:r>
              <w:t>[2023] VSC 613</w:t>
            </w:r>
          </w:p>
        </w:tc>
      </w:tr>
      <w:tr w:rsidR="001B4B37" w14:paraId="6C22FBEB" w14:textId="77777777" w:rsidTr="008E7036">
        <w:trPr>
          <w:trHeight w:val="60"/>
        </w:trPr>
        <w:tc>
          <w:tcPr>
            <w:tcW w:w="1067" w:type="pct"/>
          </w:tcPr>
          <w:p w14:paraId="3797BD64"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53496637" w14:textId="77777777" w:rsidR="001B4B37" w:rsidRDefault="001B4B37" w:rsidP="00D1249C">
            <w:pPr>
              <w:pStyle w:val="TableBody"/>
            </w:pPr>
            <w:r>
              <w:t>18</w:t>
            </w:r>
          </w:p>
        </w:tc>
        <w:tc>
          <w:tcPr>
            <w:tcW w:w="1000" w:type="pct"/>
          </w:tcPr>
          <w:p w14:paraId="41E3315C" w14:textId="77777777" w:rsidR="001B4B37" w:rsidRDefault="001B4B37" w:rsidP="00D1249C">
            <w:pPr>
              <w:pStyle w:val="TableBody"/>
            </w:pPr>
            <w:r>
              <w:t>Imprisonment</w:t>
            </w:r>
          </w:p>
        </w:tc>
        <w:tc>
          <w:tcPr>
            <w:tcW w:w="2334" w:type="pct"/>
          </w:tcPr>
          <w:p w14:paraId="43E9670B" w14:textId="77777777" w:rsidR="001B4B37" w:rsidRDefault="001B4B37" w:rsidP="00D1249C">
            <w:pPr>
              <w:pStyle w:val="TableBody"/>
            </w:pPr>
            <w:r w:rsidRPr="00F56C6C">
              <w:rPr>
                <w:rStyle w:val="Italic"/>
              </w:rPr>
              <w:t xml:space="preserve">DPP v Kilpatrick </w:t>
            </w:r>
            <w:r>
              <w:t>[2019] VSC 779</w:t>
            </w:r>
          </w:p>
        </w:tc>
      </w:tr>
      <w:tr w:rsidR="001B4B37" w14:paraId="1344BC33" w14:textId="77777777" w:rsidTr="008E7036">
        <w:trPr>
          <w:trHeight w:val="60"/>
        </w:trPr>
        <w:tc>
          <w:tcPr>
            <w:tcW w:w="1067" w:type="pct"/>
          </w:tcPr>
          <w:p w14:paraId="152747EE"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1EFF3C1F" w14:textId="77777777" w:rsidR="001B4B37" w:rsidRDefault="001B4B37" w:rsidP="00D1249C">
            <w:pPr>
              <w:pStyle w:val="TableBody"/>
            </w:pPr>
            <w:r>
              <w:t>18</w:t>
            </w:r>
          </w:p>
        </w:tc>
        <w:tc>
          <w:tcPr>
            <w:tcW w:w="1000" w:type="pct"/>
          </w:tcPr>
          <w:p w14:paraId="40B22FC1" w14:textId="77777777" w:rsidR="001B4B37" w:rsidRDefault="001B4B37" w:rsidP="00D1249C">
            <w:pPr>
              <w:pStyle w:val="TableBody"/>
            </w:pPr>
            <w:r>
              <w:t>Imprisonment</w:t>
            </w:r>
          </w:p>
        </w:tc>
        <w:tc>
          <w:tcPr>
            <w:tcW w:w="2334" w:type="pct"/>
          </w:tcPr>
          <w:p w14:paraId="0EDEC553" w14:textId="77777777" w:rsidR="001B4B37" w:rsidRDefault="001B4B37" w:rsidP="00D1249C">
            <w:pPr>
              <w:pStyle w:val="TableBody"/>
            </w:pPr>
            <w:r w:rsidRPr="00F56C6C">
              <w:rPr>
                <w:rStyle w:val="Italic"/>
              </w:rPr>
              <w:t xml:space="preserve">DPP v Horton </w:t>
            </w:r>
            <w:r>
              <w:t>[2021] VSC 396</w:t>
            </w:r>
          </w:p>
        </w:tc>
      </w:tr>
      <w:tr w:rsidR="001B4B37" w14:paraId="5F63CF9B" w14:textId="77777777" w:rsidTr="008E7036">
        <w:trPr>
          <w:trHeight w:val="60"/>
        </w:trPr>
        <w:tc>
          <w:tcPr>
            <w:tcW w:w="1067" w:type="pct"/>
          </w:tcPr>
          <w:p w14:paraId="4EF4A919"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1B08033E" w14:textId="77777777" w:rsidR="001B4B37" w:rsidRDefault="001B4B37" w:rsidP="00D1249C">
            <w:pPr>
              <w:pStyle w:val="TableBody"/>
            </w:pPr>
            <w:r>
              <w:t>18</w:t>
            </w:r>
          </w:p>
        </w:tc>
        <w:tc>
          <w:tcPr>
            <w:tcW w:w="1000" w:type="pct"/>
          </w:tcPr>
          <w:p w14:paraId="1D712F3A" w14:textId="77777777" w:rsidR="001B4B37" w:rsidRDefault="001B4B37" w:rsidP="00D1249C">
            <w:pPr>
              <w:pStyle w:val="TableBody"/>
            </w:pPr>
            <w:r>
              <w:t>Imprisonment</w:t>
            </w:r>
          </w:p>
        </w:tc>
        <w:tc>
          <w:tcPr>
            <w:tcW w:w="2334" w:type="pct"/>
          </w:tcPr>
          <w:p w14:paraId="1A2D8569" w14:textId="77777777" w:rsidR="001B4B37" w:rsidRDefault="001B4B37" w:rsidP="00D1249C">
            <w:pPr>
              <w:pStyle w:val="TableBody"/>
            </w:pPr>
            <w:r w:rsidRPr="00F56C6C">
              <w:rPr>
                <w:rStyle w:val="Italic"/>
              </w:rPr>
              <w:t xml:space="preserve">DPP v Aliti </w:t>
            </w:r>
            <w:r>
              <w:t>[2021] VSC 825</w:t>
            </w:r>
          </w:p>
        </w:tc>
      </w:tr>
      <w:tr w:rsidR="001B4B37" w14:paraId="49205191" w14:textId="77777777" w:rsidTr="008E7036">
        <w:trPr>
          <w:trHeight w:val="60"/>
        </w:trPr>
        <w:tc>
          <w:tcPr>
            <w:tcW w:w="1067" w:type="pct"/>
          </w:tcPr>
          <w:p w14:paraId="13204B92"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58FFE6D8" w14:textId="77777777" w:rsidR="001B4B37" w:rsidRDefault="001B4B37" w:rsidP="00D1249C">
            <w:pPr>
              <w:pStyle w:val="TableBody"/>
            </w:pPr>
            <w:r>
              <w:t>18</w:t>
            </w:r>
          </w:p>
        </w:tc>
        <w:tc>
          <w:tcPr>
            <w:tcW w:w="1000" w:type="pct"/>
          </w:tcPr>
          <w:p w14:paraId="6C47DF42" w14:textId="77777777" w:rsidR="001B4B37" w:rsidRDefault="001B4B37" w:rsidP="00D1249C">
            <w:pPr>
              <w:pStyle w:val="TableBody"/>
            </w:pPr>
            <w:r>
              <w:t>Youth justice centre order</w:t>
            </w:r>
          </w:p>
        </w:tc>
        <w:tc>
          <w:tcPr>
            <w:tcW w:w="2334" w:type="pct"/>
          </w:tcPr>
          <w:p w14:paraId="1C4CCB4F" w14:textId="77777777" w:rsidR="001B4B37" w:rsidRDefault="001B4B37" w:rsidP="00D1249C">
            <w:pPr>
              <w:pStyle w:val="TableBody"/>
            </w:pPr>
            <w:r w:rsidRPr="00F56C6C">
              <w:rPr>
                <w:rStyle w:val="Italic"/>
              </w:rPr>
              <w:t xml:space="preserve">DPP v Tupou </w:t>
            </w:r>
            <w:r>
              <w:t>[2020] VSC 377</w:t>
            </w:r>
          </w:p>
        </w:tc>
      </w:tr>
      <w:tr w:rsidR="001B4B37" w14:paraId="0A966F15" w14:textId="77777777" w:rsidTr="008E7036">
        <w:trPr>
          <w:trHeight w:val="60"/>
        </w:trPr>
        <w:tc>
          <w:tcPr>
            <w:tcW w:w="1067" w:type="pct"/>
          </w:tcPr>
          <w:p w14:paraId="77E60688"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4E958DF6" w14:textId="77777777" w:rsidR="001B4B37" w:rsidRDefault="001B4B37" w:rsidP="00D1249C">
            <w:pPr>
              <w:pStyle w:val="TableBody"/>
            </w:pPr>
            <w:r>
              <w:t>19</w:t>
            </w:r>
          </w:p>
        </w:tc>
        <w:tc>
          <w:tcPr>
            <w:tcW w:w="1000" w:type="pct"/>
          </w:tcPr>
          <w:p w14:paraId="5A73E843" w14:textId="77777777" w:rsidR="001B4B37" w:rsidRDefault="001B4B37" w:rsidP="00D1249C">
            <w:pPr>
              <w:pStyle w:val="TableBody"/>
            </w:pPr>
            <w:r>
              <w:t>Imprisonment</w:t>
            </w:r>
          </w:p>
        </w:tc>
        <w:tc>
          <w:tcPr>
            <w:tcW w:w="2334" w:type="pct"/>
          </w:tcPr>
          <w:p w14:paraId="2BA240A3" w14:textId="77777777" w:rsidR="001B4B37" w:rsidRDefault="001B4B37" w:rsidP="00D1249C">
            <w:pPr>
              <w:pStyle w:val="TableBody"/>
            </w:pPr>
            <w:r w:rsidRPr="00F56C6C">
              <w:rPr>
                <w:rStyle w:val="Italic"/>
              </w:rPr>
              <w:t xml:space="preserve">DPP v Atkinson </w:t>
            </w:r>
            <w:r>
              <w:t>[2024] VSC 286</w:t>
            </w:r>
          </w:p>
        </w:tc>
      </w:tr>
      <w:tr w:rsidR="001B4B37" w14:paraId="0F95A2FC" w14:textId="77777777" w:rsidTr="008E7036">
        <w:trPr>
          <w:trHeight w:val="60"/>
        </w:trPr>
        <w:tc>
          <w:tcPr>
            <w:tcW w:w="1067" w:type="pct"/>
          </w:tcPr>
          <w:p w14:paraId="48301F24" w14:textId="77777777" w:rsidR="001B4B37" w:rsidRPr="003B78C2" w:rsidRDefault="001B4B37" w:rsidP="00D1249C">
            <w:pPr>
              <w:pStyle w:val="TableBody"/>
              <w:rPr>
                <w:rStyle w:val="Bold"/>
              </w:rPr>
            </w:pPr>
            <w:r w:rsidRPr="003B78C2">
              <w:rPr>
                <w:rStyle w:val="Bold"/>
              </w:rPr>
              <w:t>Murder</w:t>
            </w:r>
          </w:p>
        </w:tc>
        <w:tc>
          <w:tcPr>
            <w:tcW w:w="600" w:type="pct"/>
          </w:tcPr>
          <w:p w14:paraId="79278FDA" w14:textId="77777777" w:rsidR="001B4B37" w:rsidRDefault="001B4B37" w:rsidP="00D1249C">
            <w:pPr>
              <w:pStyle w:val="TableBody"/>
            </w:pPr>
            <w:r>
              <w:t>16</w:t>
            </w:r>
          </w:p>
        </w:tc>
        <w:tc>
          <w:tcPr>
            <w:tcW w:w="1000" w:type="pct"/>
          </w:tcPr>
          <w:p w14:paraId="7DC68DFC" w14:textId="77777777" w:rsidR="001B4B37" w:rsidRDefault="001B4B37" w:rsidP="00D1249C">
            <w:pPr>
              <w:pStyle w:val="TableBody"/>
            </w:pPr>
            <w:r>
              <w:t>Imprisonment</w:t>
            </w:r>
          </w:p>
        </w:tc>
        <w:tc>
          <w:tcPr>
            <w:tcW w:w="2334" w:type="pct"/>
          </w:tcPr>
          <w:p w14:paraId="4541FD0D" w14:textId="77777777" w:rsidR="001B4B37" w:rsidRDefault="001B4B37" w:rsidP="00D1249C">
            <w:pPr>
              <w:pStyle w:val="TableBody"/>
            </w:pPr>
            <w:r w:rsidRPr="00F56C6C">
              <w:rPr>
                <w:rStyle w:val="Italic"/>
              </w:rPr>
              <w:t xml:space="preserve">DPP v Wentworth (a pseudonym) </w:t>
            </w:r>
            <w:r>
              <w:t>[2020] VSC 435</w:t>
            </w:r>
          </w:p>
        </w:tc>
      </w:tr>
      <w:tr w:rsidR="001B4B37" w14:paraId="7F606468" w14:textId="77777777" w:rsidTr="008E7036">
        <w:trPr>
          <w:trHeight w:val="60"/>
        </w:trPr>
        <w:tc>
          <w:tcPr>
            <w:tcW w:w="1067" w:type="pct"/>
          </w:tcPr>
          <w:p w14:paraId="7A9A470E"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0BA4D60E" w14:textId="77777777" w:rsidR="001B4B37" w:rsidRDefault="001B4B37" w:rsidP="00D1249C">
            <w:pPr>
              <w:pStyle w:val="TableBody"/>
            </w:pPr>
            <w:r>
              <w:t>17</w:t>
            </w:r>
          </w:p>
        </w:tc>
        <w:tc>
          <w:tcPr>
            <w:tcW w:w="1000" w:type="pct"/>
          </w:tcPr>
          <w:p w14:paraId="4DB49533" w14:textId="77777777" w:rsidR="001B4B37" w:rsidRDefault="001B4B37" w:rsidP="00D1249C">
            <w:pPr>
              <w:pStyle w:val="TableBody"/>
            </w:pPr>
            <w:r>
              <w:t>Imprisonment</w:t>
            </w:r>
          </w:p>
        </w:tc>
        <w:tc>
          <w:tcPr>
            <w:tcW w:w="2334" w:type="pct"/>
          </w:tcPr>
          <w:p w14:paraId="23CCB59F" w14:textId="77777777" w:rsidR="001B4B37" w:rsidRDefault="001B4B37" w:rsidP="00D1249C">
            <w:pPr>
              <w:pStyle w:val="TableBody"/>
            </w:pPr>
            <w:r w:rsidRPr="00F56C6C">
              <w:rPr>
                <w:rStyle w:val="Italic"/>
              </w:rPr>
              <w:t xml:space="preserve">DPP v AK </w:t>
            </w:r>
            <w:r>
              <w:t>[2019] VSC 852</w:t>
            </w:r>
          </w:p>
        </w:tc>
      </w:tr>
      <w:tr w:rsidR="001B4B37" w14:paraId="71D24671" w14:textId="77777777" w:rsidTr="008E7036">
        <w:trPr>
          <w:trHeight w:val="60"/>
        </w:trPr>
        <w:tc>
          <w:tcPr>
            <w:tcW w:w="1067" w:type="pct"/>
          </w:tcPr>
          <w:p w14:paraId="2FF8ED35"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7BB0D4CE" w14:textId="77777777" w:rsidR="001B4B37" w:rsidRDefault="001B4B37" w:rsidP="00D1249C">
            <w:pPr>
              <w:pStyle w:val="TableBody"/>
            </w:pPr>
            <w:r>
              <w:t>19</w:t>
            </w:r>
          </w:p>
        </w:tc>
        <w:tc>
          <w:tcPr>
            <w:tcW w:w="1000" w:type="pct"/>
          </w:tcPr>
          <w:p w14:paraId="49E0D8C6" w14:textId="77777777" w:rsidR="001B4B37" w:rsidRDefault="001B4B37" w:rsidP="00D1249C">
            <w:pPr>
              <w:pStyle w:val="TableBody"/>
            </w:pPr>
            <w:r>
              <w:t>Imprisonment</w:t>
            </w:r>
          </w:p>
        </w:tc>
        <w:tc>
          <w:tcPr>
            <w:tcW w:w="2334" w:type="pct"/>
          </w:tcPr>
          <w:p w14:paraId="51E8FA2C" w14:textId="77777777" w:rsidR="001B4B37" w:rsidRDefault="001B4B37" w:rsidP="00D1249C">
            <w:pPr>
              <w:pStyle w:val="TableBody"/>
            </w:pPr>
            <w:r w:rsidRPr="00F56C6C">
              <w:rPr>
                <w:rStyle w:val="Italic"/>
              </w:rPr>
              <w:t xml:space="preserve">DPP v Todd </w:t>
            </w:r>
            <w:r>
              <w:t>[2019] VSC 585</w:t>
            </w:r>
          </w:p>
        </w:tc>
      </w:tr>
      <w:tr w:rsidR="001B4B37" w14:paraId="3C852946" w14:textId="77777777" w:rsidTr="008E7036">
        <w:trPr>
          <w:trHeight w:val="60"/>
        </w:trPr>
        <w:tc>
          <w:tcPr>
            <w:tcW w:w="1067" w:type="pct"/>
          </w:tcPr>
          <w:p w14:paraId="2AE562CD" w14:textId="77777777" w:rsidR="001B4B37" w:rsidRPr="003B78C2" w:rsidRDefault="001B4B37" w:rsidP="00D1249C">
            <w:pPr>
              <w:pStyle w:val="TableBody"/>
              <w:rPr>
                <w:rStyle w:val="Bold"/>
              </w:rPr>
            </w:pPr>
            <w:r w:rsidRPr="003B78C2">
              <w:rPr>
                <w:rStyle w:val="Bold"/>
              </w:rPr>
              <w:t>Carjacking</w:t>
            </w:r>
          </w:p>
        </w:tc>
        <w:tc>
          <w:tcPr>
            <w:tcW w:w="600" w:type="pct"/>
          </w:tcPr>
          <w:p w14:paraId="3D0C0ECA" w14:textId="77777777" w:rsidR="001B4B37" w:rsidRDefault="001B4B37" w:rsidP="00D1249C">
            <w:pPr>
              <w:pStyle w:val="TableBody"/>
            </w:pPr>
            <w:r>
              <w:t>18</w:t>
            </w:r>
          </w:p>
        </w:tc>
        <w:tc>
          <w:tcPr>
            <w:tcW w:w="1000" w:type="pct"/>
          </w:tcPr>
          <w:p w14:paraId="12A03DB1" w14:textId="77777777" w:rsidR="001B4B37" w:rsidRDefault="001B4B37" w:rsidP="00D1249C">
            <w:pPr>
              <w:pStyle w:val="TableBody"/>
            </w:pPr>
            <w:r>
              <w:t>Youth justice centre order</w:t>
            </w:r>
          </w:p>
        </w:tc>
        <w:tc>
          <w:tcPr>
            <w:tcW w:w="2334" w:type="pct"/>
          </w:tcPr>
          <w:p w14:paraId="286B6EC4" w14:textId="77777777" w:rsidR="001B4B37" w:rsidRDefault="001B4B37" w:rsidP="00D1249C">
            <w:pPr>
              <w:pStyle w:val="TableBody"/>
            </w:pPr>
            <w:r w:rsidRPr="00F56C6C">
              <w:rPr>
                <w:rStyle w:val="Italic"/>
              </w:rPr>
              <w:t xml:space="preserve">DPP v </w:t>
            </w:r>
            <w:proofErr w:type="spellStart"/>
            <w:r w:rsidRPr="00F56C6C">
              <w:rPr>
                <w:rStyle w:val="Italic"/>
              </w:rPr>
              <w:t>Ceu</w:t>
            </w:r>
            <w:proofErr w:type="spellEnd"/>
            <w:r w:rsidRPr="00F56C6C">
              <w:rPr>
                <w:rStyle w:val="Italic"/>
              </w:rPr>
              <w:t xml:space="preserve"> </w:t>
            </w:r>
            <w:r>
              <w:t>[2021] VCC 1726</w:t>
            </w:r>
          </w:p>
        </w:tc>
      </w:tr>
      <w:tr w:rsidR="001B4B37" w14:paraId="30EC7665" w14:textId="77777777" w:rsidTr="008E7036">
        <w:trPr>
          <w:trHeight w:val="60"/>
        </w:trPr>
        <w:tc>
          <w:tcPr>
            <w:tcW w:w="1067" w:type="pct"/>
          </w:tcPr>
          <w:p w14:paraId="5B8D34A0"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5328C1EE" w14:textId="77777777" w:rsidR="001B4B37" w:rsidRDefault="001B4B37" w:rsidP="00D1249C">
            <w:pPr>
              <w:pStyle w:val="TableBody"/>
            </w:pPr>
            <w:r>
              <w:t>18</w:t>
            </w:r>
          </w:p>
        </w:tc>
        <w:tc>
          <w:tcPr>
            <w:tcW w:w="1000" w:type="pct"/>
          </w:tcPr>
          <w:p w14:paraId="5DA49F33" w14:textId="77777777" w:rsidR="001B4B37" w:rsidRDefault="001B4B37" w:rsidP="00D1249C">
            <w:pPr>
              <w:pStyle w:val="TableBody"/>
            </w:pPr>
            <w:r>
              <w:t>Youth justice centre order</w:t>
            </w:r>
          </w:p>
        </w:tc>
        <w:tc>
          <w:tcPr>
            <w:tcW w:w="2334" w:type="pct"/>
          </w:tcPr>
          <w:p w14:paraId="0F7C5C45" w14:textId="77777777" w:rsidR="001B4B37" w:rsidRDefault="001B4B37" w:rsidP="00D1249C">
            <w:pPr>
              <w:pStyle w:val="TableBody"/>
            </w:pPr>
            <w:r w:rsidRPr="00F56C6C">
              <w:rPr>
                <w:rStyle w:val="Italic"/>
              </w:rPr>
              <w:t xml:space="preserve">DPP v Outen-Lepoidevin </w:t>
            </w:r>
            <w:r>
              <w:t>[2024] VCC 779</w:t>
            </w:r>
          </w:p>
        </w:tc>
      </w:tr>
      <w:tr w:rsidR="001B4B37" w14:paraId="0A47ABC5" w14:textId="77777777" w:rsidTr="008E7036">
        <w:trPr>
          <w:trHeight w:val="60"/>
        </w:trPr>
        <w:tc>
          <w:tcPr>
            <w:tcW w:w="1067" w:type="pct"/>
          </w:tcPr>
          <w:p w14:paraId="7A86C46C"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1F2A6B3B" w14:textId="77777777" w:rsidR="001B4B37" w:rsidRDefault="001B4B37" w:rsidP="00D1249C">
            <w:pPr>
              <w:pStyle w:val="TableBody"/>
            </w:pPr>
            <w:r>
              <w:t>19</w:t>
            </w:r>
          </w:p>
        </w:tc>
        <w:tc>
          <w:tcPr>
            <w:tcW w:w="1000" w:type="pct"/>
          </w:tcPr>
          <w:p w14:paraId="396083FC" w14:textId="77777777" w:rsidR="001B4B37" w:rsidRDefault="001B4B37" w:rsidP="00D1249C">
            <w:pPr>
              <w:pStyle w:val="TableBody"/>
            </w:pPr>
            <w:r>
              <w:t>Imprisonment</w:t>
            </w:r>
          </w:p>
        </w:tc>
        <w:tc>
          <w:tcPr>
            <w:tcW w:w="2334" w:type="pct"/>
          </w:tcPr>
          <w:p w14:paraId="46B43450" w14:textId="77777777" w:rsidR="001B4B37" w:rsidRDefault="001B4B37" w:rsidP="00D1249C">
            <w:pPr>
              <w:pStyle w:val="TableBody"/>
            </w:pPr>
            <w:r w:rsidRPr="00F56C6C">
              <w:rPr>
                <w:rStyle w:val="Italic"/>
              </w:rPr>
              <w:t xml:space="preserve">DPP v </w:t>
            </w:r>
            <w:proofErr w:type="spellStart"/>
            <w:r w:rsidRPr="00F56C6C">
              <w:rPr>
                <w:rStyle w:val="Italic"/>
              </w:rPr>
              <w:t>Sarpor</w:t>
            </w:r>
            <w:proofErr w:type="spellEnd"/>
            <w:r w:rsidRPr="00F56C6C">
              <w:rPr>
                <w:rStyle w:val="Italic"/>
              </w:rPr>
              <w:t xml:space="preserve"> </w:t>
            </w:r>
            <w:r>
              <w:t>[2022] VCC 773</w:t>
            </w:r>
          </w:p>
        </w:tc>
      </w:tr>
      <w:tr w:rsidR="001B4B37" w14:paraId="0C9D3FA7" w14:textId="77777777" w:rsidTr="008E7036">
        <w:trPr>
          <w:trHeight w:val="60"/>
        </w:trPr>
        <w:tc>
          <w:tcPr>
            <w:tcW w:w="1067" w:type="pct"/>
          </w:tcPr>
          <w:p w14:paraId="7A955BB6"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4EEC4955" w14:textId="77777777" w:rsidR="001B4B37" w:rsidRDefault="001B4B37" w:rsidP="00D1249C">
            <w:pPr>
              <w:pStyle w:val="TableBody"/>
            </w:pPr>
            <w:r>
              <w:t>19</w:t>
            </w:r>
          </w:p>
        </w:tc>
        <w:tc>
          <w:tcPr>
            <w:tcW w:w="1000" w:type="pct"/>
          </w:tcPr>
          <w:p w14:paraId="59C6113A" w14:textId="77777777" w:rsidR="001B4B37" w:rsidRDefault="001B4B37" w:rsidP="00D1249C">
            <w:pPr>
              <w:pStyle w:val="TableBody"/>
            </w:pPr>
            <w:r>
              <w:t>Imprisonment</w:t>
            </w:r>
          </w:p>
        </w:tc>
        <w:tc>
          <w:tcPr>
            <w:tcW w:w="2334" w:type="pct"/>
          </w:tcPr>
          <w:p w14:paraId="1E8FC5A0" w14:textId="77777777" w:rsidR="001B4B37" w:rsidRDefault="001B4B37" w:rsidP="00D1249C">
            <w:pPr>
              <w:pStyle w:val="TableBody"/>
            </w:pPr>
            <w:r w:rsidRPr="00F56C6C">
              <w:rPr>
                <w:rStyle w:val="Italic"/>
              </w:rPr>
              <w:t xml:space="preserve">DPP v </w:t>
            </w:r>
            <w:proofErr w:type="spellStart"/>
            <w:r w:rsidRPr="00F56C6C">
              <w:rPr>
                <w:rStyle w:val="Italic"/>
              </w:rPr>
              <w:t>Solofuti</w:t>
            </w:r>
            <w:proofErr w:type="spellEnd"/>
            <w:r w:rsidRPr="00F56C6C">
              <w:rPr>
                <w:rStyle w:val="Italic"/>
              </w:rPr>
              <w:t xml:space="preserve"> </w:t>
            </w:r>
            <w:r>
              <w:t>[2022] VCC 1681</w:t>
            </w:r>
          </w:p>
        </w:tc>
      </w:tr>
      <w:tr w:rsidR="001B4B37" w14:paraId="212BAA58" w14:textId="77777777" w:rsidTr="008E7036">
        <w:trPr>
          <w:trHeight w:val="60"/>
        </w:trPr>
        <w:tc>
          <w:tcPr>
            <w:tcW w:w="1067" w:type="pct"/>
          </w:tcPr>
          <w:p w14:paraId="079FA9CF"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13423043" w14:textId="77777777" w:rsidR="001B4B37" w:rsidRDefault="001B4B37" w:rsidP="00D1249C">
            <w:pPr>
              <w:pStyle w:val="TableBody"/>
            </w:pPr>
            <w:r>
              <w:t>19</w:t>
            </w:r>
          </w:p>
        </w:tc>
        <w:tc>
          <w:tcPr>
            <w:tcW w:w="1000" w:type="pct"/>
          </w:tcPr>
          <w:p w14:paraId="6D422772" w14:textId="77777777" w:rsidR="001B4B37" w:rsidRDefault="001B4B37" w:rsidP="00D1249C">
            <w:pPr>
              <w:pStyle w:val="TableBody"/>
            </w:pPr>
            <w:r>
              <w:t>Community correction order</w:t>
            </w:r>
          </w:p>
        </w:tc>
        <w:tc>
          <w:tcPr>
            <w:tcW w:w="2334" w:type="pct"/>
          </w:tcPr>
          <w:p w14:paraId="1DF02798" w14:textId="77777777" w:rsidR="001B4B37" w:rsidRDefault="001B4B37" w:rsidP="00D1249C">
            <w:pPr>
              <w:pStyle w:val="TableBody"/>
            </w:pPr>
            <w:r w:rsidRPr="00F56C6C">
              <w:rPr>
                <w:rStyle w:val="Italic"/>
              </w:rPr>
              <w:t xml:space="preserve">DPP v Giuliano </w:t>
            </w:r>
            <w:r>
              <w:t>[2023] VCC 1646</w:t>
            </w:r>
          </w:p>
        </w:tc>
      </w:tr>
      <w:tr w:rsidR="001B4B37" w14:paraId="7A3346FD" w14:textId="77777777" w:rsidTr="008E7036">
        <w:trPr>
          <w:trHeight w:val="60"/>
        </w:trPr>
        <w:tc>
          <w:tcPr>
            <w:tcW w:w="1067" w:type="pct"/>
            <w:vMerge w:val="restart"/>
          </w:tcPr>
          <w:p w14:paraId="2332A752" w14:textId="77777777" w:rsidR="001B4B37" w:rsidRPr="003B78C2" w:rsidRDefault="001B4B37" w:rsidP="00D1249C">
            <w:pPr>
              <w:pStyle w:val="TableBody"/>
              <w:rPr>
                <w:rStyle w:val="Bold"/>
              </w:rPr>
            </w:pPr>
            <w:r w:rsidRPr="003B78C2">
              <w:rPr>
                <w:rStyle w:val="Bold"/>
              </w:rPr>
              <w:t>Recklessly causing serious injury in circumstances of gross violence</w:t>
            </w:r>
          </w:p>
        </w:tc>
        <w:tc>
          <w:tcPr>
            <w:tcW w:w="600" w:type="pct"/>
          </w:tcPr>
          <w:p w14:paraId="6949B4DA" w14:textId="77777777" w:rsidR="001B4B37" w:rsidRDefault="001B4B37" w:rsidP="00D1249C">
            <w:pPr>
              <w:pStyle w:val="TableBody"/>
            </w:pPr>
            <w:r>
              <w:t>18</w:t>
            </w:r>
          </w:p>
        </w:tc>
        <w:tc>
          <w:tcPr>
            <w:tcW w:w="1000" w:type="pct"/>
          </w:tcPr>
          <w:p w14:paraId="4BABF4A6" w14:textId="77777777" w:rsidR="001B4B37" w:rsidRDefault="001B4B37" w:rsidP="00D1249C">
            <w:pPr>
              <w:pStyle w:val="TableBody"/>
            </w:pPr>
            <w:r>
              <w:t>Youth justice centre order</w:t>
            </w:r>
          </w:p>
        </w:tc>
        <w:tc>
          <w:tcPr>
            <w:tcW w:w="2334" w:type="pct"/>
          </w:tcPr>
          <w:p w14:paraId="1ED55BE6" w14:textId="77777777" w:rsidR="001B4B37" w:rsidRDefault="001B4B37" w:rsidP="00D1249C">
            <w:pPr>
              <w:pStyle w:val="TableBody"/>
            </w:pPr>
            <w:r w:rsidRPr="00F56C6C">
              <w:rPr>
                <w:rStyle w:val="Italic"/>
              </w:rPr>
              <w:t xml:space="preserve">DPP v Aden </w:t>
            </w:r>
            <w:r>
              <w:t>[2023] VCC 392</w:t>
            </w:r>
          </w:p>
        </w:tc>
      </w:tr>
      <w:tr w:rsidR="001B4B37" w14:paraId="073E156F" w14:textId="77777777" w:rsidTr="008E7036">
        <w:trPr>
          <w:trHeight w:val="60"/>
        </w:trPr>
        <w:tc>
          <w:tcPr>
            <w:tcW w:w="1067" w:type="pct"/>
            <w:vMerge/>
          </w:tcPr>
          <w:p w14:paraId="1C376035"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13729451" w14:textId="77777777" w:rsidR="001B4B37" w:rsidRDefault="001B4B37" w:rsidP="00D1249C">
            <w:pPr>
              <w:pStyle w:val="TableBody"/>
            </w:pPr>
            <w:r>
              <w:t>19</w:t>
            </w:r>
          </w:p>
        </w:tc>
        <w:tc>
          <w:tcPr>
            <w:tcW w:w="1000" w:type="pct"/>
          </w:tcPr>
          <w:p w14:paraId="2DB0B0B5" w14:textId="77777777" w:rsidR="001B4B37" w:rsidRDefault="001B4B37" w:rsidP="00D1249C">
            <w:pPr>
              <w:pStyle w:val="TableBody"/>
            </w:pPr>
            <w:r>
              <w:t>Youth justice centre order</w:t>
            </w:r>
          </w:p>
        </w:tc>
        <w:tc>
          <w:tcPr>
            <w:tcW w:w="2334" w:type="pct"/>
          </w:tcPr>
          <w:p w14:paraId="6E77DBF4" w14:textId="77777777" w:rsidR="001B4B37" w:rsidRDefault="001B4B37" w:rsidP="00D1249C">
            <w:pPr>
              <w:pStyle w:val="TableBody"/>
            </w:pPr>
            <w:r w:rsidRPr="00F56C6C">
              <w:rPr>
                <w:rStyle w:val="Italic"/>
              </w:rPr>
              <w:t xml:space="preserve">DPP v Farquhar </w:t>
            </w:r>
            <w:r>
              <w:t>[2024] VCC 326</w:t>
            </w:r>
          </w:p>
        </w:tc>
      </w:tr>
      <w:tr w:rsidR="001B4B37" w14:paraId="3B1B6FA1" w14:textId="77777777" w:rsidTr="008E7036">
        <w:trPr>
          <w:trHeight w:val="60"/>
        </w:trPr>
        <w:tc>
          <w:tcPr>
            <w:tcW w:w="1067" w:type="pct"/>
            <w:vMerge/>
          </w:tcPr>
          <w:p w14:paraId="73C8E51D"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7D0A86A9" w14:textId="77777777" w:rsidR="001B4B37" w:rsidRDefault="001B4B37" w:rsidP="00D1249C">
            <w:pPr>
              <w:pStyle w:val="TableBody"/>
            </w:pPr>
            <w:r>
              <w:t>19</w:t>
            </w:r>
          </w:p>
        </w:tc>
        <w:tc>
          <w:tcPr>
            <w:tcW w:w="1000" w:type="pct"/>
          </w:tcPr>
          <w:p w14:paraId="17DD0EC9" w14:textId="77777777" w:rsidR="001B4B37" w:rsidRDefault="001B4B37" w:rsidP="00D1249C">
            <w:pPr>
              <w:pStyle w:val="TableBody"/>
            </w:pPr>
            <w:r>
              <w:t>Youth justice centre order</w:t>
            </w:r>
          </w:p>
        </w:tc>
        <w:tc>
          <w:tcPr>
            <w:tcW w:w="2334" w:type="pct"/>
          </w:tcPr>
          <w:p w14:paraId="168D0592" w14:textId="77777777" w:rsidR="001B4B37" w:rsidRDefault="001B4B37" w:rsidP="00D1249C">
            <w:pPr>
              <w:pStyle w:val="TableBody"/>
            </w:pPr>
            <w:r w:rsidRPr="00F56C6C">
              <w:rPr>
                <w:rStyle w:val="Italic"/>
              </w:rPr>
              <w:t xml:space="preserve">DPP v Overhoff </w:t>
            </w:r>
            <w:r>
              <w:t>[2024] VCC 388</w:t>
            </w:r>
          </w:p>
        </w:tc>
      </w:tr>
      <w:tr w:rsidR="001B4B37" w14:paraId="65EE0885" w14:textId="77777777" w:rsidTr="008E7036">
        <w:trPr>
          <w:trHeight w:val="60"/>
        </w:trPr>
        <w:tc>
          <w:tcPr>
            <w:tcW w:w="1067" w:type="pct"/>
          </w:tcPr>
          <w:p w14:paraId="2696592B" w14:textId="77777777" w:rsidR="001B4B37" w:rsidRPr="003B78C2" w:rsidRDefault="001B4B37" w:rsidP="00D1249C">
            <w:pPr>
              <w:pStyle w:val="TableBody"/>
              <w:rPr>
                <w:rStyle w:val="Bold"/>
              </w:rPr>
            </w:pPr>
            <w:r w:rsidRPr="003B78C2">
              <w:rPr>
                <w:rStyle w:val="Bold"/>
              </w:rPr>
              <w:t>Rape</w:t>
            </w:r>
          </w:p>
        </w:tc>
        <w:tc>
          <w:tcPr>
            <w:tcW w:w="600" w:type="pct"/>
          </w:tcPr>
          <w:p w14:paraId="70E78CC0" w14:textId="77777777" w:rsidR="001B4B37" w:rsidRDefault="001B4B37" w:rsidP="00D1249C">
            <w:pPr>
              <w:pStyle w:val="TableBody"/>
            </w:pPr>
            <w:r>
              <w:t>18</w:t>
            </w:r>
          </w:p>
        </w:tc>
        <w:tc>
          <w:tcPr>
            <w:tcW w:w="1000" w:type="pct"/>
          </w:tcPr>
          <w:p w14:paraId="7E0FA28C" w14:textId="77777777" w:rsidR="001B4B37" w:rsidRDefault="001B4B37" w:rsidP="00D1249C">
            <w:pPr>
              <w:pStyle w:val="TableBody"/>
            </w:pPr>
            <w:r>
              <w:t>Imprisonment</w:t>
            </w:r>
          </w:p>
        </w:tc>
        <w:tc>
          <w:tcPr>
            <w:tcW w:w="2334" w:type="pct"/>
          </w:tcPr>
          <w:p w14:paraId="38DBDE5B" w14:textId="77777777" w:rsidR="001B4B37" w:rsidRDefault="001B4B37" w:rsidP="00D1249C">
            <w:pPr>
              <w:pStyle w:val="TableBody"/>
            </w:pPr>
            <w:r w:rsidRPr="00F56C6C">
              <w:rPr>
                <w:rStyle w:val="Italic"/>
              </w:rPr>
              <w:t xml:space="preserve">DPP v Sherman (a pseudonym) </w:t>
            </w:r>
            <w:r>
              <w:t>[2024] VCC 299</w:t>
            </w:r>
          </w:p>
        </w:tc>
      </w:tr>
      <w:tr w:rsidR="001B4B37" w14:paraId="1C7196C3" w14:textId="77777777" w:rsidTr="008E7036">
        <w:trPr>
          <w:trHeight w:val="60"/>
        </w:trPr>
        <w:tc>
          <w:tcPr>
            <w:tcW w:w="1067" w:type="pct"/>
          </w:tcPr>
          <w:p w14:paraId="77C9D0BF"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145A27F3" w14:textId="77777777" w:rsidR="001B4B37" w:rsidRDefault="001B4B37" w:rsidP="00D1249C">
            <w:pPr>
              <w:pStyle w:val="TableBody"/>
            </w:pPr>
            <w:r>
              <w:t>18</w:t>
            </w:r>
          </w:p>
        </w:tc>
        <w:tc>
          <w:tcPr>
            <w:tcW w:w="1000" w:type="pct"/>
          </w:tcPr>
          <w:p w14:paraId="61BB52CB" w14:textId="77777777" w:rsidR="001B4B37" w:rsidRDefault="001B4B37" w:rsidP="00D1249C">
            <w:pPr>
              <w:pStyle w:val="TableBody"/>
            </w:pPr>
            <w:r>
              <w:t>Youth justice centre order</w:t>
            </w:r>
          </w:p>
        </w:tc>
        <w:tc>
          <w:tcPr>
            <w:tcW w:w="2334" w:type="pct"/>
          </w:tcPr>
          <w:p w14:paraId="6A641474" w14:textId="77777777" w:rsidR="001B4B37" w:rsidRDefault="001B4B37" w:rsidP="00D1249C">
            <w:pPr>
              <w:pStyle w:val="TableBody"/>
            </w:pPr>
            <w:r w:rsidRPr="00F56C6C">
              <w:rPr>
                <w:rStyle w:val="Italic"/>
              </w:rPr>
              <w:t xml:space="preserve">DPP v Mullins (a pseudonym) </w:t>
            </w:r>
            <w:r>
              <w:t>[2020] VCC 1257</w:t>
            </w:r>
          </w:p>
        </w:tc>
      </w:tr>
      <w:tr w:rsidR="001B4B37" w14:paraId="3D7537EF" w14:textId="77777777" w:rsidTr="008E7036">
        <w:trPr>
          <w:trHeight w:val="60"/>
        </w:trPr>
        <w:tc>
          <w:tcPr>
            <w:tcW w:w="1067" w:type="pct"/>
          </w:tcPr>
          <w:p w14:paraId="4CB16A8A"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4D5116B6" w14:textId="77777777" w:rsidR="001B4B37" w:rsidRDefault="001B4B37" w:rsidP="00D1249C">
            <w:pPr>
              <w:pStyle w:val="TableBody"/>
            </w:pPr>
            <w:r>
              <w:t>18</w:t>
            </w:r>
          </w:p>
        </w:tc>
        <w:tc>
          <w:tcPr>
            <w:tcW w:w="1000" w:type="pct"/>
          </w:tcPr>
          <w:p w14:paraId="3AE11125" w14:textId="77777777" w:rsidR="001B4B37" w:rsidRDefault="001B4B37" w:rsidP="00D1249C">
            <w:pPr>
              <w:pStyle w:val="TableBody"/>
            </w:pPr>
            <w:r>
              <w:t>Youth justice centre order</w:t>
            </w:r>
          </w:p>
        </w:tc>
        <w:tc>
          <w:tcPr>
            <w:tcW w:w="2334" w:type="pct"/>
          </w:tcPr>
          <w:p w14:paraId="675B87CA" w14:textId="77777777" w:rsidR="001B4B37" w:rsidRDefault="001B4B37" w:rsidP="00D1249C">
            <w:pPr>
              <w:pStyle w:val="TableBody"/>
            </w:pPr>
            <w:r w:rsidRPr="00F56C6C">
              <w:rPr>
                <w:rStyle w:val="Italic"/>
              </w:rPr>
              <w:t xml:space="preserve">DPP v Croft (a pseudonym) </w:t>
            </w:r>
            <w:r>
              <w:t>[2023] VCC 1243</w:t>
            </w:r>
          </w:p>
        </w:tc>
      </w:tr>
      <w:tr w:rsidR="001B4B37" w14:paraId="3AADBBA7" w14:textId="77777777" w:rsidTr="008E7036">
        <w:trPr>
          <w:trHeight w:val="60"/>
        </w:trPr>
        <w:tc>
          <w:tcPr>
            <w:tcW w:w="1067" w:type="pct"/>
          </w:tcPr>
          <w:p w14:paraId="54EFA6B6"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08DB7A9F" w14:textId="77777777" w:rsidR="001B4B37" w:rsidRDefault="001B4B37" w:rsidP="00D1249C">
            <w:pPr>
              <w:pStyle w:val="TableBody"/>
            </w:pPr>
            <w:r>
              <w:t>19</w:t>
            </w:r>
          </w:p>
        </w:tc>
        <w:tc>
          <w:tcPr>
            <w:tcW w:w="1000" w:type="pct"/>
          </w:tcPr>
          <w:p w14:paraId="66FBEBD1" w14:textId="77777777" w:rsidR="001B4B37" w:rsidRDefault="001B4B37" w:rsidP="00D1249C">
            <w:pPr>
              <w:pStyle w:val="TableBody"/>
            </w:pPr>
            <w:r>
              <w:t xml:space="preserve"> Imprisonment</w:t>
            </w:r>
          </w:p>
        </w:tc>
        <w:tc>
          <w:tcPr>
            <w:tcW w:w="2334" w:type="pct"/>
          </w:tcPr>
          <w:p w14:paraId="6992AAC2" w14:textId="77777777" w:rsidR="001B4B37" w:rsidRDefault="001B4B37" w:rsidP="00D1249C">
            <w:pPr>
              <w:pStyle w:val="TableBody"/>
            </w:pPr>
            <w:r w:rsidRPr="00F56C6C">
              <w:rPr>
                <w:rStyle w:val="Italic"/>
              </w:rPr>
              <w:t xml:space="preserve">DPP v Todd </w:t>
            </w:r>
            <w:r>
              <w:t>[2019] VSC 585</w:t>
            </w:r>
          </w:p>
        </w:tc>
      </w:tr>
      <w:tr w:rsidR="001B4B37" w14:paraId="1F581728" w14:textId="77777777" w:rsidTr="008E7036">
        <w:trPr>
          <w:trHeight w:val="60"/>
        </w:trPr>
        <w:tc>
          <w:tcPr>
            <w:tcW w:w="1067" w:type="pct"/>
          </w:tcPr>
          <w:p w14:paraId="3604D414"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7248D802" w14:textId="77777777" w:rsidR="001B4B37" w:rsidRDefault="001B4B37" w:rsidP="00D1249C">
            <w:pPr>
              <w:pStyle w:val="TableBody"/>
            </w:pPr>
            <w:r>
              <w:t>19</w:t>
            </w:r>
          </w:p>
        </w:tc>
        <w:tc>
          <w:tcPr>
            <w:tcW w:w="1000" w:type="pct"/>
          </w:tcPr>
          <w:p w14:paraId="6F93AF46" w14:textId="77777777" w:rsidR="001B4B37" w:rsidRDefault="001B4B37" w:rsidP="00D1249C">
            <w:pPr>
              <w:pStyle w:val="TableBody"/>
            </w:pPr>
            <w:r>
              <w:t>Youth justice centre order</w:t>
            </w:r>
          </w:p>
        </w:tc>
        <w:tc>
          <w:tcPr>
            <w:tcW w:w="2334" w:type="pct"/>
          </w:tcPr>
          <w:p w14:paraId="0FB7F5A9" w14:textId="77777777" w:rsidR="001B4B37" w:rsidRDefault="001B4B37" w:rsidP="00D1249C">
            <w:pPr>
              <w:pStyle w:val="TableBody"/>
            </w:pPr>
            <w:r w:rsidRPr="00F56C6C">
              <w:rPr>
                <w:rStyle w:val="Italic"/>
              </w:rPr>
              <w:t xml:space="preserve">DPP v Amin </w:t>
            </w:r>
            <w:r>
              <w:t>[2019] VCC 1756</w:t>
            </w:r>
          </w:p>
        </w:tc>
      </w:tr>
      <w:tr w:rsidR="001B4B37" w14:paraId="31B2535E" w14:textId="77777777" w:rsidTr="008E7036">
        <w:trPr>
          <w:trHeight w:val="60"/>
        </w:trPr>
        <w:tc>
          <w:tcPr>
            <w:tcW w:w="1067" w:type="pct"/>
          </w:tcPr>
          <w:p w14:paraId="117D2D4E"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0A3FBFAA" w14:textId="77777777" w:rsidR="001B4B37" w:rsidRDefault="001B4B37" w:rsidP="00D1249C">
            <w:pPr>
              <w:pStyle w:val="TableBody"/>
            </w:pPr>
            <w:r>
              <w:t>19</w:t>
            </w:r>
          </w:p>
        </w:tc>
        <w:tc>
          <w:tcPr>
            <w:tcW w:w="1000" w:type="pct"/>
          </w:tcPr>
          <w:p w14:paraId="4AA88452" w14:textId="77777777" w:rsidR="001B4B37" w:rsidRDefault="001B4B37" w:rsidP="00D1249C">
            <w:pPr>
              <w:pStyle w:val="TableBody"/>
            </w:pPr>
            <w:r>
              <w:t>Youth justice centre order</w:t>
            </w:r>
          </w:p>
        </w:tc>
        <w:tc>
          <w:tcPr>
            <w:tcW w:w="2334" w:type="pct"/>
          </w:tcPr>
          <w:p w14:paraId="3DE91408" w14:textId="77777777" w:rsidR="001B4B37" w:rsidRDefault="001B4B37" w:rsidP="00D1249C">
            <w:pPr>
              <w:pStyle w:val="TableBody"/>
            </w:pPr>
            <w:r w:rsidRPr="00F56C6C">
              <w:rPr>
                <w:rStyle w:val="Italic"/>
              </w:rPr>
              <w:t xml:space="preserve">DPP v Hyde </w:t>
            </w:r>
            <w:r>
              <w:t>[2019] VCC 712</w:t>
            </w:r>
          </w:p>
        </w:tc>
      </w:tr>
      <w:tr w:rsidR="001B4B37" w14:paraId="198A1F8F" w14:textId="77777777" w:rsidTr="008E7036">
        <w:trPr>
          <w:trHeight w:val="60"/>
        </w:trPr>
        <w:tc>
          <w:tcPr>
            <w:tcW w:w="1067" w:type="pct"/>
          </w:tcPr>
          <w:p w14:paraId="21351C89" w14:textId="77777777" w:rsidR="001B4B37" w:rsidRPr="003B78C2" w:rsidRDefault="001B4B37" w:rsidP="00D1249C">
            <w:pPr>
              <w:pStyle w:val="TableBody"/>
              <w:rPr>
                <w:rStyle w:val="Bold"/>
              </w:rPr>
            </w:pPr>
            <w:r w:rsidRPr="003B78C2">
              <w:rPr>
                <w:rStyle w:val="Bold"/>
              </w:rPr>
              <w:t>Home invasion</w:t>
            </w:r>
          </w:p>
        </w:tc>
        <w:tc>
          <w:tcPr>
            <w:tcW w:w="600" w:type="pct"/>
          </w:tcPr>
          <w:p w14:paraId="0D947004" w14:textId="77777777" w:rsidR="001B4B37" w:rsidRDefault="001B4B37" w:rsidP="00D1249C">
            <w:pPr>
              <w:pStyle w:val="TableBody"/>
            </w:pPr>
            <w:r>
              <w:t>17</w:t>
            </w:r>
          </w:p>
        </w:tc>
        <w:tc>
          <w:tcPr>
            <w:tcW w:w="1000" w:type="pct"/>
          </w:tcPr>
          <w:p w14:paraId="1299FE6E" w14:textId="77777777" w:rsidR="001B4B37" w:rsidRDefault="001B4B37" w:rsidP="00D1249C">
            <w:pPr>
              <w:pStyle w:val="TableBody"/>
            </w:pPr>
            <w:r>
              <w:t>Youth justice centre order</w:t>
            </w:r>
          </w:p>
        </w:tc>
        <w:tc>
          <w:tcPr>
            <w:tcW w:w="2334" w:type="pct"/>
          </w:tcPr>
          <w:p w14:paraId="38C2858C" w14:textId="77777777" w:rsidR="001B4B37" w:rsidRDefault="001B4B37" w:rsidP="00D1249C">
            <w:pPr>
              <w:pStyle w:val="TableBody"/>
            </w:pPr>
            <w:r w:rsidRPr="00F56C6C">
              <w:rPr>
                <w:rStyle w:val="Italic"/>
              </w:rPr>
              <w:t xml:space="preserve">DPP v JK </w:t>
            </w:r>
            <w:r>
              <w:t>[2020] VSC 510</w:t>
            </w:r>
          </w:p>
        </w:tc>
      </w:tr>
      <w:tr w:rsidR="001B4B37" w14:paraId="57D8E164" w14:textId="77777777" w:rsidTr="008E7036">
        <w:trPr>
          <w:trHeight w:val="60"/>
        </w:trPr>
        <w:tc>
          <w:tcPr>
            <w:tcW w:w="1067" w:type="pct"/>
          </w:tcPr>
          <w:p w14:paraId="62E9604D"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2E206262" w14:textId="77777777" w:rsidR="001B4B37" w:rsidRDefault="001B4B37" w:rsidP="00D1249C">
            <w:pPr>
              <w:pStyle w:val="TableBody"/>
            </w:pPr>
            <w:r>
              <w:t>18</w:t>
            </w:r>
          </w:p>
        </w:tc>
        <w:tc>
          <w:tcPr>
            <w:tcW w:w="1000" w:type="pct"/>
          </w:tcPr>
          <w:p w14:paraId="2B6B1F79" w14:textId="77777777" w:rsidR="001B4B37" w:rsidRDefault="001B4B37" w:rsidP="00D1249C">
            <w:pPr>
              <w:pStyle w:val="TableBody"/>
            </w:pPr>
            <w:r>
              <w:t>Imprisonment</w:t>
            </w:r>
          </w:p>
        </w:tc>
        <w:tc>
          <w:tcPr>
            <w:tcW w:w="2334" w:type="pct"/>
          </w:tcPr>
          <w:p w14:paraId="47A31E94" w14:textId="77777777" w:rsidR="001B4B37" w:rsidRDefault="001B4B37" w:rsidP="00D1249C">
            <w:pPr>
              <w:pStyle w:val="TableBody"/>
            </w:pPr>
            <w:r w:rsidRPr="00F56C6C">
              <w:rPr>
                <w:rStyle w:val="Italic"/>
              </w:rPr>
              <w:t xml:space="preserve">DPP v Ghanim </w:t>
            </w:r>
            <w:r>
              <w:t>[2019] VCC 1271</w:t>
            </w:r>
          </w:p>
        </w:tc>
      </w:tr>
      <w:tr w:rsidR="001B4B37" w14:paraId="40EB27C0" w14:textId="77777777" w:rsidTr="008E7036">
        <w:trPr>
          <w:trHeight w:val="60"/>
        </w:trPr>
        <w:tc>
          <w:tcPr>
            <w:tcW w:w="1067" w:type="pct"/>
          </w:tcPr>
          <w:p w14:paraId="364B9A10"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0D621E66" w14:textId="77777777" w:rsidR="001B4B37" w:rsidRDefault="001B4B37" w:rsidP="00D1249C">
            <w:pPr>
              <w:pStyle w:val="TableBody"/>
            </w:pPr>
            <w:r>
              <w:t>18</w:t>
            </w:r>
          </w:p>
        </w:tc>
        <w:tc>
          <w:tcPr>
            <w:tcW w:w="1000" w:type="pct"/>
          </w:tcPr>
          <w:p w14:paraId="0834E695" w14:textId="77777777" w:rsidR="001B4B37" w:rsidRDefault="001B4B37" w:rsidP="00D1249C">
            <w:pPr>
              <w:pStyle w:val="TableBody"/>
            </w:pPr>
            <w:r>
              <w:t>Imprisonment</w:t>
            </w:r>
          </w:p>
        </w:tc>
        <w:tc>
          <w:tcPr>
            <w:tcW w:w="2334" w:type="pct"/>
          </w:tcPr>
          <w:p w14:paraId="707E8618" w14:textId="77777777" w:rsidR="001B4B37" w:rsidRDefault="001B4B37" w:rsidP="00D1249C">
            <w:pPr>
              <w:pStyle w:val="TableBody"/>
            </w:pPr>
            <w:r w:rsidRPr="00F56C6C">
              <w:rPr>
                <w:rStyle w:val="Italic"/>
              </w:rPr>
              <w:t xml:space="preserve">DPP v Jal </w:t>
            </w:r>
            <w:r>
              <w:t>[2021] VCC 488</w:t>
            </w:r>
          </w:p>
        </w:tc>
      </w:tr>
      <w:tr w:rsidR="001B4B37" w14:paraId="401E0BC8" w14:textId="77777777" w:rsidTr="008E7036">
        <w:trPr>
          <w:trHeight w:val="60"/>
        </w:trPr>
        <w:tc>
          <w:tcPr>
            <w:tcW w:w="1067" w:type="pct"/>
          </w:tcPr>
          <w:p w14:paraId="1860D349"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55964586" w14:textId="77777777" w:rsidR="001B4B37" w:rsidRDefault="001B4B37" w:rsidP="00D1249C">
            <w:pPr>
              <w:pStyle w:val="TableBody"/>
            </w:pPr>
            <w:r>
              <w:t>18</w:t>
            </w:r>
          </w:p>
        </w:tc>
        <w:tc>
          <w:tcPr>
            <w:tcW w:w="1000" w:type="pct"/>
          </w:tcPr>
          <w:p w14:paraId="00F613C1" w14:textId="77777777" w:rsidR="001B4B37" w:rsidRDefault="001B4B37" w:rsidP="00D1249C">
            <w:pPr>
              <w:pStyle w:val="TableBody"/>
            </w:pPr>
            <w:r>
              <w:t>Imprisonment</w:t>
            </w:r>
          </w:p>
        </w:tc>
        <w:tc>
          <w:tcPr>
            <w:tcW w:w="2334" w:type="pct"/>
          </w:tcPr>
          <w:p w14:paraId="7B608011" w14:textId="77777777" w:rsidR="001B4B37" w:rsidRDefault="001B4B37" w:rsidP="00D1249C">
            <w:pPr>
              <w:pStyle w:val="TableBody"/>
            </w:pPr>
            <w:r w:rsidRPr="00F56C6C">
              <w:rPr>
                <w:rStyle w:val="Italic"/>
              </w:rPr>
              <w:t xml:space="preserve">DPP v </w:t>
            </w:r>
            <w:proofErr w:type="spellStart"/>
            <w:r w:rsidRPr="00F56C6C">
              <w:rPr>
                <w:rStyle w:val="Italic"/>
              </w:rPr>
              <w:t>Siisii</w:t>
            </w:r>
            <w:proofErr w:type="spellEnd"/>
            <w:r w:rsidRPr="00F56C6C">
              <w:rPr>
                <w:rStyle w:val="Italic"/>
              </w:rPr>
              <w:t xml:space="preserve"> &amp; Anor </w:t>
            </w:r>
            <w:r>
              <w:t>[2023] VCC 1190</w:t>
            </w:r>
          </w:p>
        </w:tc>
      </w:tr>
      <w:tr w:rsidR="001B4B37" w14:paraId="1562F5E7" w14:textId="77777777" w:rsidTr="008E7036">
        <w:trPr>
          <w:trHeight w:val="60"/>
        </w:trPr>
        <w:tc>
          <w:tcPr>
            <w:tcW w:w="1067" w:type="pct"/>
          </w:tcPr>
          <w:p w14:paraId="5BB6C38F"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0D791EDE" w14:textId="77777777" w:rsidR="001B4B37" w:rsidRDefault="001B4B37" w:rsidP="00D1249C">
            <w:pPr>
              <w:pStyle w:val="TableBody"/>
            </w:pPr>
            <w:r>
              <w:t>18</w:t>
            </w:r>
          </w:p>
        </w:tc>
        <w:tc>
          <w:tcPr>
            <w:tcW w:w="1000" w:type="pct"/>
          </w:tcPr>
          <w:p w14:paraId="7AA1DCEC" w14:textId="77777777" w:rsidR="001B4B37" w:rsidRDefault="001B4B37" w:rsidP="00D1249C">
            <w:pPr>
              <w:pStyle w:val="TableBody"/>
            </w:pPr>
            <w:r>
              <w:t>Imprisonment</w:t>
            </w:r>
          </w:p>
        </w:tc>
        <w:tc>
          <w:tcPr>
            <w:tcW w:w="2334" w:type="pct"/>
          </w:tcPr>
          <w:p w14:paraId="2EA5455E" w14:textId="77777777" w:rsidR="001B4B37" w:rsidRDefault="001B4B37" w:rsidP="00D1249C">
            <w:pPr>
              <w:pStyle w:val="TableBody"/>
            </w:pPr>
            <w:r w:rsidRPr="00F56C6C">
              <w:rPr>
                <w:rStyle w:val="Italic"/>
              </w:rPr>
              <w:t xml:space="preserve">DPP v Neill &amp; Anor </w:t>
            </w:r>
            <w:r>
              <w:t>[2023] VCC 1277</w:t>
            </w:r>
          </w:p>
        </w:tc>
      </w:tr>
      <w:tr w:rsidR="001B4B37" w14:paraId="6C94FD12" w14:textId="77777777" w:rsidTr="008E7036">
        <w:trPr>
          <w:trHeight w:val="60"/>
        </w:trPr>
        <w:tc>
          <w:tcPr>
            <w:tcW w:w="1067" w:type="pct"/>
          </w:tcPr>
          <w:p w14:paraId="10804EBA"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2558E4B4" w14:textId="77777777" w:rsidR="001B4B37" w:rsidRDefault="001B4B37" w:rsidP="00D1249C">
            <w:pPr>
              <w:pStyle w:val="TableBody"/>
            </w:pPr>
            <w:r>
              <w:t>18</w:t>
            </w:r>
          </w:p>
        </w:tc>
        <w:tc>
          <w:tcPr>
            <w:tcW w:w="1000" w:type="pct"/>
          </w:tcPr>
          <w:p w14:paraId="5E4A8A88" w14:textId="77777777" w:rsidR="001B4B37" w:rsidRDefault="001B4B37" w:rsidP="00D1249C">
            <w:pPr>
              <w:pStyle w:val="TableBody"/>
            </w:pPr>
            <w:r>
              <w:t>Imprisonment</w:t>
            </w:r>
          </w:p>
        </w:tc>
        <w:tc>
          <w:tcPr>
            <w:tcW w:w="2334" w:type="pct"/>
          </w:tcPr>
          <w:p w14:paraId="6CB165A3" w14:textId="77777777" w:rsidR="001B4B37" w:rsidRDefault="001B4B37" w:rsidP="00D1249C">
            <w:pPr>
              <w:pStyle w:val="TableBody"/>
            </w:pPr>
            <w:r w:rsidRPr="00F56C6C">
              <w:rPr>
                <w:rStyle w:val="Italic"/>
              </w:rPr>
              <w:t xml:space="preserve">DPP v </w:t>
            </w:r>
            <w:proofErr w:type="spellStart"/>
            <w:r w:rsidRPr="00F56C6C">
              <w:rPr>
                <w:rStyle w:val="Italic"/>
              </w:rPr>
              <w:t>Alessawi</w:t>
            </w:r>
            <w:proofErr w:type="spellEnd"/>
            <w:r w:rsidRPr="00F56C6C">
              <w:rPr>
                <w:rStyle w:val="Italic"/>
              </w:rPr>
              <w:t xml:space="preserve"> &amp; Ors </w:t>
            </w:r>
            <w:r>
              <w:t>[2023] VCC 1835</w:t>
            </w:r>
          </w:p>
        </w:tc>
      </w:tr>
      <w:tr w:rsidR="001B4B37" w14:paraId="744563A3" w14:textId="77777777" w:rsidTr="008E7036">
        <w:trPr>
          <w:trHeight w:val="60"/>
        </w:trPr>
        <w:tc>
          <w:tcPr>
            <w:tcW w:w="1067" w:type="pct"/>
          </w:tcPr>
          <w:p w14:paraId="2ABD9A3F"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46D31C5B" w14:textId="77777777" w:rsidR="001B4B37" w:rsidRDefault="001B4B37" w:rsidP="00D1249C">
            <w:pPr>
              <w:pStyle w:val="TableBody"/>
            </w:pPr>
            <w:r>
              <w:t>18</w:t>
            </w:r>
          </w:p>
        </w:tc>
        <w:tc>
          <w:tcPr>
            <w:tcW w:w="1000" w:type="pct"/>
          </w:tcPr>
          <w:p w14:paraId="2BF3B51D" w14:textId="77777777" w:rsidR="001B4B37" w:rsidRDefault="001B4B37" w:rsidP="00D1249C">
            <w:pPr>
              <w:pStyle w:val="TableBody"/>
            </w:pPr>
            <w:r>
              <w:t>Imprisonment</w:t>
            </w:r>
          </w:p>
        </w:tc>
        <w:tc>
          <w:tcPr>
            <w:tcW w:w="2334" w:type="pct"/>
          </w:tcPr>
          <w:p w14:paraId="3F77DC26" w14:textId="77777777" w:rsidR="001B4B37" w:rsidRDefault="001B4B37" w:rsidP="00D1249C">
            <w:pPr>
              <w:pStyle w:val="TableBody"/>
            </w:pPr>
            <w:r w:rsidRPr="00F56C6C">
              <w:rPr>
                <w:rStyle w:val="Italic"/>
              </w:rPr>
              <w:t xml:space="preserve">DPP v </w:t>
            </w:r>
            <w:proofErr w:type="spellStart"/>
            <w:r w:rsidRPr="00F56C6C">
              <w:rPr>
                <w:rStyle w:val="Italic"/>
              </w:rPr>
              <w:t>Muvunyi</w:t>
            </w:r>
            <w:proofErr w:type="spellEnd"/>
            <w:r w:rsidRPr="00F56C6C">
              <w:rPr>
                <w:rStyle w:val="Italic"/>
              </w:rPr>
              <w:t xml:space="preserve"> </w:t>
            </w:r>
            <w:r>
              <w:t>[2024] VCC 151</w:t>
            </w:r>
          </w:p>
        </w:tc>
      </w:tr>
      <w:tr w:rsidR="001B4B37" w14:paraId="3D536CF1" w14:textId="77777777" w:rsidTr="008E7036">
        <w:trPr>
          <w:trHeight w:val="60"/>
        </w:trPr>
        <w:tc>
          <w:tcPr>
            <w:tcW w:w="1067" w:type="pct"/>
          </w:tcPr>
          <w:p w14:paraId="250C4925"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635EDDB1" w14:textId="77777777" w:rsidR="001B4B37" w:rsidRDefault="001B4B37" w:rsidP="00D1249C">
            <w:pPr>
              <w:pStyle w:val="TableBody"/>
            </w:pPr>
            <w:r>
              <w:t>18</w:t>
            </w:r>
          </w:p>
        </w:tc>
        <w:tc>
          <w:tcPr>
            <w:tcW w:w="1000" w:type="pct"/>
          </w:tcPr>
          <w:p w14:paraId="496BB38E" w14:textId="77777777" w:rsidR="001B4B37" w:rsidRDefault="001B4B37" w:rsidP="00D1249C">
            <w:pPr>
              <w:pStyle w:val="TableBody"/>
            </w:pPr>
            <w:r>
              <w:t>Imprisonment</w:t>
            </w:r>
          </w:p>
        </w:tc>
        <w:tc>
          <w:tcPr>
            <w:tcW w:w="2334" w:type="pct"/>
          </w:tcPr>
          <w:p w14:paraId="43D429C6" w14:textId="77777777" w:rsidR="001B4B37" w:rsidRDefault="001B4B37" w:rsidP="00D1249C">
            <w:pPr>
              <w:pStyle w:val="TableBody"/>
            </w:pPr>
            <w:r w:rsidRPr="00F56C6C">
              <w:rPr>
                <w:rStyle w:val="Italic"/>
              </w:rPr>
              <w:t xml:space="preserve">DPP v Kuan </w:t>
            </w:r>
            <w:r>
              <w:t>[2024] VCC 160</w:t>
            </w:r>
          </w:p>
        </w:tc>
      </w:tr>
      <w:tr w:rsidR="001B4B37" w14:paraId="307A0DAC" w14:textId="77777777" w:rsidTr="008E7036">
        <w:trPr>
          <w:trHeight w:val="60"/>
        </w:trPr>
        <w:tc>
          <w:tcPr>
            <w:tcW w:w="1067" w:type="pct"/>
          </w:tcPr>
          <w:p w14:paraId="4487357D"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121BD162" w14:textId="77777777" w:rsidR="001B4B37" w:rsidRDefault="001B4B37" w:rsidP="00D1249C">
            <w:pPr>
              <w:pStyle w:val="TableBody"/>
            </w:pPr>
            <w:r>
              <w:t>18</w:t>
            </w:r>
          </w:p>
        </w:tc>
        <w:tc>
          <w:tcPr>
            <w:tcW w:w="1000" w:type="pct"/>
          </w:tcPr>
          <w:p w14:paraId="503C4F54" w14:textId="77777777" w:rsidR="001B4B37" w:rsidRDefault="001B4B37" w:rsidP="00D1249C">
            <w:pPr>
              <w:pStyle w:val="TableBody"/>
            </w:pPr>
            <w:r>
              <w:t>Youth justice centre order</w:t>
            </w:r>
          </w:p>
        </w:tc>
        <w:tc>
          <w:tcPr>
            <w:tcW w:w="2334" w:type="pct"/>
          </w:tcPr>
          <w:p w14:paraId="34BC223B" w14:textId="77777777" w:rsidR="001B4B37" w:rsidRDefault="001B4B37" w:rsidP="00D1249C">
            <w:pPr>
              <w:pStyle w:val="TableBody"/>
            </w:pPr>
            <w:r w:rsidRPr="00F56C6C">
              <w:rPr>
                <w:rStyle w:val="Italic"/>
              </w:rPr>
              <w:t xml:space="preserve">DPP v </w:t>
            </w:r>
            <w:proofErr w:type="spellStart"/>
            <w:r w:rsidRPr="00F56C6C">
              <w:rPr>
                <w:rStyle w:val="Italic"/>
              </w:rPr>
              <w:t>Hingano</w:t>
            </w:r>
            <w:proofErr w:type="spellEnd"/>
            <w:r w:rsidRPr="00F56C6C">
              <w:rPr>
                <w:rStyle w:val="Italic"/>
              </w:rPr>
              <w:t xml:space="preserve"> </w:t>
            </w:r>
            <w:r>
              <w:t>[2019] VCC 2068</w:t>
            </w:r>
          </w:p>
        </w:tc>
      </w:tr>
      <w:tr w:rsidR="001B4B37" w14:paraId="5AFC29D0" w14:textId="77777777" w:rsidTr="008E7036">
        <w:trPr>
          <w:trHeight w:val="60"/>
        </w:trPr>
        <w:tc>
          <w:tcPr>
            <w:tcW w:w="1067" w:type="pct"/>
          </w:tcPr>
          <w:p w14:paraId="556B49F6"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10015157" w14:textId="77777777" w:rsidR="001B4B37" w:rsidRDefault="001B4B37" w:rsidP="00D1249C">
            <w:pPr>
              <w:pStyle w:val="TableBody"/>
            </w:pPr>
            <w:r>
              <w:t>18</w:t>
            </w:r>
          </w:p>
        </w:tc>
        <w:tc>
          <w:tcPr>
            <w:tcW w:w="1000" w:type="pct"/>
          </w:tcPr>
          <w:p w14:paraId="1D9A2A75" w14:textId="77777777" w:rsidR="001B4B37" w:rsidRDefault="001B4B37" w:rsidP="00D1249C">
            <w:pPr>
              <w:pStyle w:val="TableBody"/>
            </w:pPr>
            <w:r>
              <w:t>Youth justice centre order</w:t>
            </w:r>
          </w:p>
        </w:tc>
        <w:tc>
          <w:tcPr>
            <w:tcW w:w="2334" w:type="pct"/>
          </w:tcPr>
          <w:p w14:paraId="3E5B98A8" w14:textId="77777777" w:rsidR="001B4B37" w:rsidRDefault="001B4B37" w:rsidP="00D1249C">
            <w:pPr>
              <w:pStyle w:val="TableBody"/>
            </w:pPr>
            <w:r w:rsidRPr="00F56C6C">
              <w:rPr>
                <w:rStyle w:val="Italic"/>
              </w:rPr>
              <w:t xml:space="preserve">DPP v Sidi </w:t>
            </w:r>
            <w:r>
              <w:t>[2019] VCC 2177</w:t>
            </w:r>
          </w:p>
        </w:tc>
      </w:tr>
      <w:tr w:rsidR="001B4B37" w14:paraId="39607CBF" w14:textId="77777777" w:rsidTr="008E7036">
        <w:trPr>
          <w:trHeight w:val="60"/>
        </w:trPr>
        <w:tc>
          <w:tcPr>
            <w:tcW w:w="1067" w:type="pct"/>
          </w:tcPr>
          <w:p w14:paraId="16DD0707"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386351B0" w14:textId="77777777" w:rsidR="001B4B37" w:rsidRDefault="001B4B37" w:rsidP="00D1249C">
            <w:pPr>
              <w:pStyle w:val="TableBody"/>
            </w:pPr>
            <w:r>
              <w:t>18</w:t>
            </w:r>
          </w:p>
        </w:tc>
        <w:tc>
          <w:tcPr>
            <w:tcW w:w="1000" w:type="pct"/>
          </w:tcPr>
          <w:p w14:paraId="5541A4FA" w14:textId="77777777" w:rsidR="001B4B37" w:rsidRDefault="001B4B37" w:rsidP="00D1249C">
            <w:pPr>
              <w:pStyle w:val="TableBody"/>
            </w:pPr>
            <w:r>
              <w:t>Youth justice centre order</w:t>
            </w:r>
          </w:p>
        </w:tc>
        <w:tc>
          <w:tcPr>
            <w:tcW w:w="2334" w:type="pct"/>
          </w:tcPr>
          <w:p w14:paraId="5262F511" w14:textId="77777777" w:rsidR="001B4B37" w:rsidRDefault="001B4B37" w:rsidP="00D1249C">
            <w:pPr>
              <w:pStyle w:val="TableBody"/>
            </w:pPr>
            <w:r w:rsidRPr="00F56C6C">
              <w:rPr>
                <w:rStyle w:val="Italic"/>
              </w:rPr>
              <w:t xml:space="preserve">DPP v </w:t>
            </w:r>
            <w:proofErr w:type="spellStart"/>
            <w:r w:rsidRPr="00F56C6C">
              <w:rPr>
                <w:rStyle w:val="Italic"/>
              </w:rPr>
              <w:t>Alqasim</w:t>
            </w:r>
            <w:proofErr w:type="spellEnd"/>
            <w:r w:rsidRPr="00F56C6C">
              <w:rPr>
                <w:rStyle w:val="Italic"/>
              </w:rPr>
              <w:t xml:space="preserve"> </w:t>
            </w:r>
            <w:r>
              <w:t>[2019] VCC 463</w:t>
            </w:r>
          </w:p>
        </w:tc>
      </w:tr>
      <w:tr w:rsidR="001B4B37" w14:paraId="53D20E93" w14:textId="77777777" w:rsidTr="008E7036">
        <w:trPr>
          <w:trHeight w:val="60"/>
        </w:trPr>
        <w:tc>
          <w:tcPr>
            <w:tcW w:w="1067" w:type="pct"/>
          </w:tcPr>
          <w:p w14:paraId="459E709F"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6A53574E" w14:textId="77777777" w:rsidR="001B4B37" w:rsidRDefault="001B4B37" w:rsidP="00D1249C">
            <w:pPr>
              <w:pStyle w:val="TableBody"/>
            </w:pPr>
            <w:r>
              <w:t>18</w:t>
            </w:r>
          </w:p>
        </w:tc>
        <w:tc>
          <w:tcPr>
            <w:tcW w:w="1000" w:type="pct"/>
          </w:tcPr>
          <w:p w14:paraId="1A49397C" w14:textId="77777777" w:rsidR="001B4B37" w:rsidRDefault="001B4B37" w:rsidP="00D1249C">
            <w:pPr>
              <w:pStyle w:val="TableBody"/>
            </w:pPr>
            <w:r>
              <w:t>Youth justice centre order</w:t>
            </w:r>
          </w:p>
        </w:tc>
        <w:tc>
          <w:tcPr>
            <w:tcW w:w="2334" w:type="pct"/>
          </w:tcPr>
          <w:p w14:paraId="062EFDFA" w14:textId="77777777" w:rsidR="001B4B37" w:rsidRDefault="001B4B37" w:rsidP="00D1249C">
            <w:pPr>
              <w:pStyle w:val="TableBody"/>
            </w:pPr>
            <w:r w:rsidRPr="00F56C6C">
              <w:rPr>
                <w:rStyle w:val="Italic"/>
              </w:rPr>
              <w:t xml:space="preserve">DPP v </w:t>
            </w:r>
            <w:proofErr w:type="spellStart"/>
            <w:r w:rsidRPr="00F56C6C">
              <w:rPr>
                <w:rStyle w:val="Italic"/>
              </w:rPr>
              <w:t>Paeara</w:t>
            </w:r>
            <w:proofErr w:type="spellEnd"/>
            <w:r w:rsidRPr="00F56C6C">
              <w:rPr>
                <w:rStyle w:val="Italic"/>
              </w:rPr>
              <w:t xml:space="preserve"> </w:t>
            </w:r>
            <w:r>
              <w:t>[2020] VCC 1889</w:t>
            </w:r>
          </w:p>
        </w:tc>
      </w:tr>
      <w:tr w:rsidR="001B4B37" w14:paraId="55840B21" w14:textId="77777777" w:rsidTr="008E7036">
        <w:trPr>
          <w:trHeight w:val="60"/>
        </w:trPr>
        <w:tc>
          <w:tcPr>
            <w:tcW w:w="1067" w:type="pct"/>
          </w:tcPr>
          <w:p w14:paraId="3C86046E"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7C64C06E" w14:textId="77777777" w:rsidR="001B4B37" w:rsidRDefault="001B4B37" w:rsidP="00D1249C">
            <w:pPr>
              <w:pStyle w:val="TableBody"/>
            </w:pPr>
            <w:r>
              <w:t>18</w:t>
            </w:r>
          </w:p>
        </w:tc>
        <w:tc>
          <w:tcPr>
            <w:tcW w:w="1000" w:type="pct"/>
          </w:tcPr>
          <w:p w14:paraId="40373F50" w14:textId="77777777" w:rsidR="001B4B37" w:rsidRDefault="001B4B37" w:rsidP="00D1249C">
            <w:pPr>
              <w:pStyle w:val="TableBody"/>
            </w:pPr>
            <w:r>
              <w:t>Youth justice centre order</w:t>
            </w:r>
          </w:p>
        </w:tc>
        <w:tc>
          <w:tcPr>
            <w:tcW w:w="2334" w:type="pct"/>
          </w:tcPr>
          <w:p w14:paraId="2284A393" w14:textId="77777777" w:rsidR="001B4B37" w:rsidRDefault="001B4B37" w:rsidP="00D1249C">
            <w:pPr>
              <w:pStyle w:val="TableBody"/>
            </w:pPr>
            <w:r w:rsidRPr="00F56C6C">
              <w:rPr>
                <w:rStyle w:val="Italic"/>
              </w:rPr>
              <w:t xml:space="preserve">DPP v </w:t>
            </w:r>
            <w:proofErr w:type="spellStart"/>
            <w:r w:rsidRPr="00F56C6C">
              <w:rPr>
                <w:rStyle w:val="Italic"/>
              </w:rPr>
              <w:t>Laula</w:t>
            </w:r>
            <w:proofErr w:type="spellEnd"/>
            <w:r w:rsidRPr="00F56C6C">
              <w:rPr>
                <w:rStyle w:val="Italic"/>
              </w:rPr>
              <w:t xml:space="preserve"> </w:t>
            </w:r>
            <w:r>
              <w:t>[2021] VCC 792</w:t>
            </w:r>
          </w:p>
        </w:tc>
      </w:tr>
      <w:tr w:rsidR="001B4B37" w14:paraId="44B031C7" w14:textId="77777777" w:rsidTr="008E7036">
        <w:trPr>
          <w:trHeight w:val="60"/>
        </w:trPr>
        <w:tc>
          <w:tcPr>
            <w:tcW w:w="1067" w:type="pct"/>
          </w:tcPr>
          <w:p w14:paraId="45ABCAD4"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6A90F8AF" w14:textId="77777777" w:rsidR="001B4B37" w:rsidRDefault="001B4B37" w:rsidP="00D1249C">
            <w:pPr>
              <w:pStyle w:val="TableBody"/>
            </w:pPr>
            <w:r>
              <w:t>18</w:t>
            </w:r>
          </w:p>
        </w:tc>
        <w:tc>
          <w:tcPr>
            <w:tcW w:w="1000" w:type="pct"/>
          </w:tcPr>
          <w:p w14:paraId="56A15153" w14:textId="77777777" w:rsidR="001B4B37" w:rsidRDefault="001B4B37" w:rsidP="00D1249C">
            <w:pPr>
              <w:pStyle w:val="TableBody"/>
            </w:pPr>
            <w:r>
              <w:t>Youth justice centre order</w:t>
            </w:r>
          </w:p>
        </w:tc>
        <w:tc>
          <w:tcPr>
            <w:tcW w:w="2334" w:type="pct"/>
          </w:tcPr>
          <w:p w14:paraId="05B9D1BF" w14:textId="77777777" w:rsidR="001B4B37" w:rsidRDefault="001B4B37" w:rsidP="00D1249C">
            <w:pPr>
              <w:pStyle w:val="TableBody"/>
            </w:pPr>
            <w:r w:rsidRPr="00F56C6C">
              <w:rPr>
                <w:rStyle w:val="Italic"/>
              </w:rPr>
              <w:t xml:space="preserve">DPP v McKinley </w:t>
            </w:r>
            <w:r>
              <w:t>[2024] VCC 1142</w:t>
            </w:r>
          </w:p>
        </w:tc>
      </w:tr>
      <w:tr w:rsidR="001B4B37" w14:paraId="3D8A3E44" w14:textId="77777777" w:rsidTr="008E7036">
        <w:trPr>
          <w:trHeight w:val="60"/>
        </w:trPr>
        <w:tc>
          <w:tcPr>
            <w:tcW w:w="1067" w:type="pct"/>
          </w:tcPr>
          <w:p w14:paraId="36726B45"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5E8A16F2" w14:textId="77777777" w:rsidR="001B4B37" w:rsidRDefault="001B4B37" w:rsidP="00D1249C">
            <w:pPr>
              <w:pStyle w:val="TableBody"/>
            </w:pPr>
            <w:r>
              <w:t>18</w:t>
            </w:r>
          </w:p>
        </w:tc>
        <w:tc>
          <w:tcPr>
            <w:tcW w:w="1000" w:type="pct"/>
          </w:tcPr>
          <w:p w14:paraId="729F3CCB" w14:textId="77777777" w:rsidR="001B4B37" w:rsidRDefault="001B4B37" w:rsidP="00D1249C">
            <w:pPr>
              <w:pStyle w:val="TableBody"/>
            </w:pPr>
            <w:r>
              <w:t>Community correction order</w:t>
            </w:r>
          </w:p>
        </w:tc>
        <w:tc>
          <w:tcPr>
            <w:tcW w:w="2334" w:type="pct"/>
          </w:tcPr>
          <w:p w14:paraId="61EC33C0" w14:textId="77777777" w:rsidR="001B4B37" w:rsidRDefault="001B4B37" w:rsidP="00D1249C">
            <w:pPr>
              <w:pStyle w:val="TableBody"/>
            </w:pPr>
            <w:r w:rsidRPr="00F56C6C">
              <w:rPr>
                <w:rStyle w:val="Italic"/>
              </w:rPr>
              <w:t xml:space="preserve">DPP v Atkinson </w:t>
            </w:r>
            <w:r>
              <w:t>[2019] VCC 1777</w:t>
            </w:r>
          </w:p>
        </w:tc>
      </w:tr>
      <w:tr w:rsidR="001B4B37" w14:paraId="28BBAA34" w14:textId="77777777" w:rsidTr="008E7036">
        <w:trPr>
          <w:trHeight w:val="60"/>
        </w:trPr>
        <w:tc>
          <w:tcPr>
            <w:tcW w:w="1067" w:type="pct"/>
          </w:tcPr>
          <w:p w14:paraId="7B8397A8"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025E09E3" w14:textId="77777777" w:rsidR="001B4B37" w:rsidRDefault="001B4B37" w:rsidP="00D1249C">
            <w:pPr>
              <w:pStyle w:val="TableBody"/>
            </w:pPr>
            <w:r>
              <w:t>18</w:t>
            </w:r>
          </w:p>
        </w:tc>
        <w:tc>
          <w:tcPr>
            <w:tcW w:w="1000" w:type="pct"/>
          </w:tcPr>
          <w:p w14:paraId="6CADF4B2" w14:textId="77777777" w:rsidR="001B4B37" w:rsidRDefault="001B4B37" w:rsidP="00D1249C">
            <w:pPr>
              <w:pStyle w:val="TableBody"/>
            </w:pPr>
            <w:r>
              <w:t>Community correction order</w:t>
            </w:r>
          </w:p>
        </w:tc>
        <w:tc>
          <w:tcPr>
            <w:tcW w:w="2334" w:type="pct"/>
          </w:tcPr>
          <w:p w14:paraId="68914973" w14:textId="77777777" w:rsidR="001B4B37" w:rsidRDefault="001B4B37" w:rsidP="00D1249C">
            <w:pPr>
              <w:pStyle w:val="TableBody"/>
            </w:pPr>
            <w:r w:rsidRPr="00F56C6C">
              <w:rPr>
                <w:rStyle w:val="Italic"/>
              </w:rPr>
              <w:t xml:space="preserve">DPP v Perry (a pseudonym) </w:t>
            </w:r>
            <w:r>
              <w:t>[2020] VCC 2015</w:t>
            </w:r>
          </w:p>
        </w:tc>
      </w:tr>
      <w:tr w:rsidR="001B4B37" w14:paraId="61107DD1" w14:textId="77777777" w:rsidTr="008E7036">
        <w:trPr>
          <w:trHeight w:val="60"/>
        </w:trPr>
        <w:tc>
          <w:tcPr>
            <w:tcW w:w="1067" w:type="pct"/>
          </w:tcPr>
          <w:p w14:paraId="427D562C"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5D5FA22F" w14:textId="77777777" w:rsidR="001B4B37" w:rsidRDefault="001B4B37" w:rsidP="00D1249C">
            <w:pPr>
              <w:pStyle w:val="TableBody"/>
            </w:pPr>
            <w:r>
              <w:t>19</w:t>
            </w:r>
          </w:p>
        </w:tc>
        <w:tc>
          <w:tcPr>
            <w:tcW w:w="1000" w:type="pct"/>
          </w:tcPr>
          <w:p w14:paraId="38DDDADD" w14:textId="77777777" w:rsidR="001B4B37" w:rsidRDefault="001B4B37" w:rsidP="00D1249C">
            <w:pPr>
              <w:pStyle w:val="TableBody"/>
            </w:pPr>
            <w:r>
              <w:t>Imprisonment</w:t>
            </w:r>
          </w:p>
        </w:tc>
        <w:tc>
          <w:tcPr>
            <w:tcW w:w="2334" w:type="pct"/>
          </w:tcPr>
          <w:p w14:paraId="32221871" w14:textId="77777777" w:rsidR="001B4B37" w:rsidRDefault="001B4B37" w:rsidP="00D1249C">
            <w:pPr>
              <w:pStyle w:val="TableBody"/>
            </w:pPr>
            <w:r w:rsidRPr="00F56C6C">
              <w:rPr>
                <w:rStyle w:val="Italic"/>
              </w:rPr>
              <w:t xml:space="preserve">DPP v Abel </w:t>
            </w:r>
            <w:r>
              <w:t>[2024] VCC 236</w:t>
            </w:r>
          </w:p>
        </w:tc>
      </w:tr>
      <w:tr w:rsidR="001B4B37" w14:paraId="3EE200EB" w14:textId="77777777" w:rsidTr="008E7036">
        <w:trPr>
          <w:trHeight w:val="60"/>
        </w:trPr>
        <w:tc>
          <w:tcPr>
            <w:tcW w:w="1067" w:type="pct"/>
          </w:tcPr>
          <w:p w14:paraId="50B7A1CD"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2FC71E60" w14:textId="77777777" w:rsidR="001B4B37" w:rsidRDefault="001B4B37" w:rsidP="00D1249C">
            <w:pPr>
              <w:pStyle w:val="TableBody"/>
            </w:pPr>
            <w:r>
              <w:t>19</w:t>
            </w:r>
          </w:p>
        </w:tc>
        <w:tc>
          <w:tcPr>
            <w:tcW w:w="1000" w:type="pct"/>
          </w:tcPr>
          <w:p w14:paraId="04E507BE" w14:textId="77777777" w:rsidR="001B4B37" w:rsidRDefault="001B4B37" w:rsidP="00D1249C">
            <w:pPr>
              <w:pStyle w:val="TableBody"/>
            </w:pPr>
            <w:r>
              <w:t>Imprisonment</w:t>
            </w:r>
          </w:p>
        </w:tc>
        <w:tc>
          <w:tcPr>
            <w:tcW w:w="2334" w:type="pct"/>
          </w:tcPr>
          <w:p w14:paraId="6166C6B5" w14:textId="77777777" w:rsidR="001B4B37" w:rsidRDefault="001B4B37" w:rsidP="00D1249C">
            <w:pPr>
              <w:pStyle w:val="TableBody"/>
            </w:pPr>
            <w:r w:rsidRPr="00F56C6C">
              <w:rPr>
                <w:rStyle w:val="Italic"/>
              </w:rPr>
              <w:t xml:space="preserve">DPP v </w:t>
            </w:r>
            <w:proofErr w:type="spellStart"/>
            <w:r w:rsidRPr="00F56C6C">
              <w:rPr>
                <w:rStyle w:val="Italic"/>
              </w:rPr>
              <w:t>Batsanes</w:t>
            </w:r>
            <w:proofErr w:type="spellEnd"/>
            <w:r w:rsidRPr="00F56C6C">
              <w:rPr>
                <w:rStyle w:val="Italic"/>
              </w:rPr>
              <w:t xml:space="preserve"> &amp; Smith </w:t>
            </w:r>
            <w:r>
              <w:t>[2023] VSC 693</w:t>
            </w:r>
          </w:p>
        </w:tc>
      </w:tr>
      <w:tr w:rsidR="001B4B37" w14:paraId="012DBCFF" w14:textId="77777777" w:rsidTr="008E7036">
        <w:trPr>
          <w:trHeight w:val="60"/>
        </w:trPr>
        <w:tc>
          <w:tcPr>
            <w:tcW w:w="1067" w:type="pct"/>
          </w:tcPr>
          <w:p w14:paraId="7F4A182D"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588E6A43" w14:textId="77777777" w:rsidR="001B4B37" w:rsidRDefault="001B4B37" w:rsidP="00D1249C">
            <w:pPr>
              <w:pStyle w:val="TableBody"/>
            </w:pPr>
            <w:r>
              <w:t>19</w:t>
            </w:r>
          </w:p>
        </w:tc>
        <w:tc>
          <w:tcPr>
            <w:tcW w:w="1000" w:type="pct"/>
          </w:tcPr>
          <w:p w14:paraId="6A8F662D" w14:textId="77777777" w:rsidR="001B4B37" w:rsidRDefault="001B4B37" w:rsidP="00D1249C">
            <w:pPr>
              <w:pStyle w:val="TableBody"/>
            </w:pPr>
            <w:r>
              <w:t>Youth justice centre order</w:t>
            </w:r>
          </w:p>
        </w:tc>
        <w:tc>
          <w:tcPr>
            <w:tcW w:w="2334" w:type="pct"/>
          </w:tcPr>
          <w:p w14:paraId="1A4FC463" w14:textId="77777777" w:rsidR="001B4B37" w:rsidRDefault="001B4B37" w:rsidP="00D1249C">
            <w:pPr>
              <w:pStyle w:val="TableBody"/>
            </w:pPr>
            <w:r w:rsidRPr="00F56C6C">
              <w:rPr>
                <w:rStyle w:val="Italic"/>
              </w:rPr>
              <w:t xml:space="preserve">DPP v </w:t>
            </w:r>
            <w:proofErr w:type="spellStart"/>
            <w:r w:rsidRPr="00F56C6C">
              <w:rPr>
                <w:rStyle w:val="Italic"/>
              </w:rPr>
              <w:t>Vicendese</w:t>
            </w:r>
            <w:proofErr w:type="spellEnd"/>
            <w:r w:rsidRPr="00F56C6C">
              <w:rPr>
                <w:rStyle w:val="Italic"/>
              </w:rPr>
              <w:t xml:space="preserve"> </w:t>
            </w:r>
            <w:r>
              <w:t>[2019] VCC 817</w:t>
            </w:r>
          </w:p>
        </w:tc>
      </w:tr>
      <w:tr w:rsidR="001B4B37" w14:paraId="3553EA66" w14:textId="77777777" w:rsidTr="008E7036">
        <w:trPr>
          <w:trHeight w:val="60"/>
        </w:trPr>
        <w:tc>
          <w:tcPr>
            <w:tcW w:w="1067" w:type="pct"/>
          </w:tcPr>
          <w:p w14:paraId="52B82A7F"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7E433C40" w14:textId="77777777" w:rsidR="001B4B37" w:rsidRDefault="001B4B37" w:rsidP="00D1249C">
            <w:pPr>
              <w:pStyle w:val="TableBody"/>
            </w:pPr>
            <w:r>
              <w:t>19</w:t>
            </w:r>
          </w:p>
        </w:tc>
        <w:tc>
          <w:tcPr>
            <w:tcW w:w="1000" w:type="pct"/>
          </w:tcPr>
          <w:p w14:paraId="746B610D" w14:textId="77777777" w:rsidR="001B4B37" w:rsidRDefault="001B4B37" w:rsidP="00D1249C">
            <w:pPr>
              <w:pStyle w:val="TableBody"/>
            </w:pPr>
            <w:r>
              <w:t>Community correction order</w:t>
            </w:r>
          </w:p>
        </w:tc>
        <w:tc>
          <w:tcPr>
            <w:tcW w:w="2334" w:type="pct"/>
          </w:tcPr>
          <w:p w14:paraId="56772F06" w14:textId="77777777" w:rsidR="001B4B37" w:rsidRDefault="001B4B37" w:rsidP="00D1249C">
            <w:pPr>
              <w:pStyle w:val="TableBody"/>
            </w:pPr>
            <w:r w:rsidRPr="00F56C6C">
              <w:rPr>
                <w:rStyle w:val="Italic"/>
              </w:rPr>
              <w:t xml:space="preserve">DPP v </w:t>
            </w:r>
            <w:proofErr w:type="spellStart"/>
            <w:r w:rsidRPr="00F56C6C">
              <w:rPr>
                <w:rStyle w:val="Italic"/>
              </w:rPr>
              <w:t>Pegorari</w:t>
            </w:r>
            <w:proofErr w:type="spellEnd"/>
            <w:r w:rsidRPr="00F56C6C">
              <w:rPr>
                <w:rStyle w:val="Italic"/>
              </w:rPr>
              <w:t xml:space="preserve"> </w:t>
            </w:r>
            <w:r>
              <w:t>[2019] VCC 2055</w:t>
            </w:r>
          </w:p>
        </w:tc>
      </w:tr>
      <w:tr w:rsidR="001B4B37" w14:paraId="283BF156" w14:textId="77777777" w:rsidTr="008E7036">
        <w:trPr>
          <w:trHeight w:val="60"/>
        </w:trPr>
        <w:tc>
          <w:tcPr>
            <w:tcW w:w="1067" w:type="pct"/>
          </w:tcPr>
          <w:p w14:paraId="6F541023" w14:textId="77777777" w:rsidR="001B4B37" w:rsidRDefault="001B4B37" w:rsidP="00D1249C">
            <w:pPr>
              <w:pStyle w:val="TableBody"/>
              <w:rPr>
                <w:rFonts w:ascii="ITC Franklin Gothic Std Book" w:hAnsi="ITC Franklin Gothic Std Book" w:cstheme="minorBidi"/>
                <w:color w:val="auto"/>
                <w:lang w:val="en-AU"/>
              </w:rPr>
            </w:pPr>
          </w:p>
        </w:tc>
        <w:tc>
          <w:tcPr>
            <w:tcW w:w="600" w:type="pct"/>
          </w:tcPr>
          <w:p w14:paraId="06FBFAB1" w14:textId="77777777" w:rsidR="001B4B37" w:rsidRDefault="001B4B37" w:rsidP="00D1249C">
            <w:pPr>
              <w:pStyle w:val="TableBody"/>
            </w:pPr>
            <w:r>
              <w:t>20</w:t>
            </w:r>
          </w:p>
        </w:tc>
        <w:tc>
          <w:tcPr>
            <w:tcW w:w="1000" w:type="pct"/>
          </w:tcPr>
          <w:p w14:paraId="0BCD020A" w14:textId="77777777" w:rsidR="001B4B37" w:rsidRDefault="001B4B37" w:rsidP="00D1249C">
            <w:pPr>
              <w:pStyle w:val="TableBody"/>
            </w:pPr>
            <w:r>
              <w:t>Community correction order</w:t>
            </w:r>
          </w:p>
        </w:tc>
        <w:tc>
          <w:tcPr>
            <w:tcW w:w="2334" w:type="pct"/>
          </w:tcPr>
          <w:p w14:paraId="52D3F3C7" w14:textId="77777777" w:rsidR="001B4B37" w:rsidRDefault="001B4B37" w:rsidP="00D1249C">
            <w:pPr>
              <w:pStyle w:val="TableBody"/>
            </w:pPr>
            <w:r w:rsidRPr="00F56C6C">
              <w:rPr>
                <w:rStyle w:val="Italic"/>
              </w:rPr>
              <w:t xml:space="preserve">DPP v </w:t>
            </w:r>
            <w:proofErr w:type="spellStart"/>
            <w:r w:rsidRPr="00F56C6C">
              <w:rPr>
                <w:rStyle w:val="Italic"/>
              </w:rPr>
              <w:t>Dzesa</w:t>
            </w:r>
            <w:proofErr w:type="spellEnd"/>
            <w:r w:rsidRPr="00F56C6C">
              <w:rPr>
                <w:rStyle w:val="Italic"/>
              </w:rPr>
              <w:t xml:space="preserve"> </w:t>
            </w:r>
            <w:r>
              <w:t>[2024] VCC 199</w:t>
            </w:r>
          </w:p>
        </w:tc>
      </w:tr>
    </w:tbl>
    <w:p w14:paraId="692A9F31" w14:textId="77777777" w:rsidR="001B4B37" w:rsidRDefault="001B4B37" w:rsidP="004A0373">
      <w:pPr>
        <w:pStyle w:val="Heading1"/>
        <w:pageBreakBefore/>
      </w:pPr>
      <w:bookmarkStart w:id="14" w:name="_Toc233028405"/>
      <w:r>
        <w:lastRenderedPageBreak/>
        <w:t>References</w:t>
      </w:r>
      <w:bookmarkEnd w:id="14"/>
    </w:p>
    <w:p w14:paraId="232A0666" w14:textId="77777777" w:rsidR="001B4B37" w:rsidRDefault="001B4B37" w:rsidP="001B4B37">
      <w:pPr>
        <w:pStyle w:val="Heading2"/>
      </w:pPr>
      <w:r>
        <w:t>Bibliography</w:t>
      </w:r>
    </w:p>
    <w:p w14:paraId="1E444A9A" w14:textId="77777777" w:rsidR="001B4B37" w:rsidRDefault="001B4B37" w:rsidP="001B4B37">
      <w:pPr>
        <w:pStyle w:val="Bibliography"/>
      </w:pPr>
      <w:r>
        <w:t xml:space="preserve">Australian Bureau of Statistics, </w:t>
      </w:r>
      <w:r>
        <w:rPr>
          <w:rStyle w:val="Italic"/>
        </w:rPr>
        <w:t>Snapshot of Victoria: High Level Summary Data for Victoria in 2021</w:t>
      </w:r>
      <w:r>
        <w:t xml:space="preserve"> (abs.gov.au, 2022).</w:t>
      </w:r>
    </w:p>
    <w:p w14:paraId="3CEEBDBA" w14:textId="77777777" w:rsidR="001B4B37" w:rsidRDefault="001B4B37" w:rsidP="001B4B37">
      <w:pPr>
        <w:pStyle w:val="Bibliography"/>
      </w:pPr>
      <w:r>
        <w:t xml:space="preserve">Bartels, Lorana, Karen Gelb, Sally Eales, Lydia Corcoran, Hayley Boxall and Valerie Cooms, </w:t>
      </w:r>
      <w:proofErr w:type="gramStart"/>
      <w:r>
        <w:rPr>
          <w:rStyle w:val="Italic"/>
        </w:rPr>
        <w:t>Responding</w:t>
      </w:r>
      <w:proofErr w:type="gramEnd"/>
      <w:r>
        <w:rPr>
          <w:rStyle w:val="Italic"/>
        </w:rPr>
        <w:t xml:space="preserve"> to the Needs of Women and Girls Involved with Court Services </w:t>
      </w:r>
      <w:r>
        <w:t>(Australian National University, 2024).</w:t>
      </w:r>
    </w:p>
    <w:p w14:paraId="2DF162DC" w14:textId="77777777" w:rsidR="001B4B37" w:rsidRDefault="001B4B37" w:rsidP="001B4B37">
      <w:pPr>
        <w:pStyle w:val="Bibliography"/>
      </w:pPr>
      <w:r>
        <w:t xml:space="preserve">Children’s Court of Victoria, </w:t>
      </w:r>
      <w:r>
        <w:rPr>
          <w:rStyle w:val="Italic"/>
        </w:rPr>
        <w:t>Practice Direction No. 2 of 2018:</w:t>
      </w:r>
      <w:r>
        <w:t xml:space="preserve"> </w:t>
      </w:r>
      <w:r>
        <w:rPr>
          <w:rStyle w:val="Italic"/>
        </w:rPr>
        <w:t>Procedure for Indictable Offences That May Be Heard and Determined Summarily</w:t>
      </w:r>
      <w:r>
        <w:t xml:space="preserve"> (2018).</w:t>
      </w:r>
    </w:p>
    <w:p w14:paraId="206A670B" w14:textId="77777777" w:rsidR="001B4B37" w:rsidRDefault="001B4B37" w:rsidP="001B4B37">
      <w:pPr>
        <w:pStyle w:val="Bibliography"/>
      </w:pPr>
      <w:r>
        <w:t xml:space="preserve">Children’s Court of Victoria, Submission 17 to Victorian Law Reform Commission, </w:t>
      </w:r>
      <w:r>
        <w:rPr>
          <w:rStyle w:val="Italic"/>
        </w:rPr>
        <w:t xml:space="preserve">Review of Committals </w:t>
      </w:r>
      <w:r>
        <w:t>(2019).</w:t>
      </w:r>
    </w:p>
    <w:p w14:paraId="2CFFD1A9" w14:textId="77777777" w:rsidR="001B4B37" w:rsidRDefault="001B4B37" w:rsidP="001B4B37">
      <w:pPr>
        <w:pStyle w:val="Bibliography"/>
      </w:pPr>
      <w:r>
        <w:t xml:space="preserve">Daly, Kathleen, ‘Women’s Pathways to Felony Court: Feminist Theories of Lawbreaking and Problems of Representation’ (1992) 2 </w:t>
      </w:r>
      <w:r>
        <w:rPr>
          <w:rStyle w:val="Italic"/>
        </w:rPr>
        <w:t xml:space="preserve">Southern California Review of Law and Women’s Studies </w:t>
      </w:r>
      <w:r>
        <w:t>11.</w:t>
      </w:r>
    </w:p>
    <w:p w14:paraId="6D1B10DD" w14:textId="77777777" w:rsidR="001B4B37" w:rsidRDefault="001B4B37" w:rsidP="001B4B37">
      <w:pPr>
        <w:pStyle w:val="Bibliography"/>
      </w:pPr>
      <w:r>
        <w:t xml:space="preserve">Sentencing Advisory Council, </w:t>
      </w:r>
      <w:r>
        <w:rPr>
          <w:rStyle w:val="Italic"/>
        </w:rPr>
        <w:t xml:space="preserve">Changes to Sentencing Law: An Overview of 2018 </w:t>
      </w:r>
      <w:r>
        <w:t>(Sentencing Advisory Council, 2018).</w:t>
      </w:r>
    </w:p>
    <w:p w14:paraId="4262F1A2" w14:textId="77777777" w:rsidR="001B4B37" w:rsidRDefault="001B4B37" w:rsidP="001B4B37">
      <w:pPr>
        <w:pStyle w:val="Bibliography"/>
      </w:pPr>
      <w:r>
        <w:t xml:space="preserve">Victorian Law Reform Commission, </w:t>
      </w:r>
      <w:r>
        <w:rPr>
          <w:rStyle w:val="Italic"/>
        </w:rPr>
        <w:t xml:space="preserve">Committals: Report </w:t>
      </w:r>
      <w:r>
        <w:t>(Victorian Law Reform Commission, 2020).</w:t>
      </w:r>
    </w:p>
    <w:p w14:paraId="68DCBDB9" w14:textId="77777777" w:rsidR="001B4B37" w:rsidRDefault="001B4B37" w:rsidP="001B4B37">
      <w:pPr>
        <w:pStyle w:val="Heading2"/>
      </w:pPr>
      <w:r>
        <w:t>Cases</w:t>
      </w:r>
    </w:p>
    <w:p w14:paraId="7767554B" w14:textId="77777777" w:rsidR="001B4B37" w:rsidRDefault="001B4B37" w:rsidP="001618CF">
      <w:r>
        <w:rPr>
          <w:rStyle w:val="Italic"/>
        </w:rPr>
        <w:t xml:space="preserve">DPP v Jal </w:t>
      </w:r>
      <w:r>
        <w:t>[2021] VCC 488</w:t>
      </w:r>
    </w:p>
    <w:p w14:paraId="52401E73" w14:textId="77777777" w:rsidR="001B4B37" w:rsidRDefault="001B4B37" w:rsidP="001618CF">
      <w:r>
        <w:rPr>
          <w:rStyle w:val="Italic"/>
        </w:rPr>
        <w:t xml:space="preserve">DPP v Kuan </w:t>
      </w:r>
      <w:r>
        <w:t>[2024] VCC 160</w:t>
      </w:r>
    </w:p>
    <w:p w14:paraId="00DCF387" w14:textId="77777777" w:rsidR="001B4B37" w:rsidRDefault="001B4B37" w:rsidP="001618CF">
      <w:r>
        <w:rPr>
          <w:rStyle w:val="Italic"/>
        </w:rPr>
        <w:t xml:space="preserve">DPP v Mitcham </w:t>
      </w:r>
      <w:r>
        <w:t>[2023] VCC 464</w:t>
      </w:r>
    </w:p>
    <w:p w14:paraId="37773C0A" w14:textId="77777777" w:rsidR="001B4B37" w:rsidRDefault="001B4B37" w:rsidP="001618CF">
      <w:r>
        <w:rPr>
          <w:rStyle w:val="Italic"/>
        </w:rPr>
        <w:t xml:space="preserve">DPP v Perry (a pseudonym) </w:t>
      </w:r>
      <w:r>
        <w:t>[2020] VCC 2015</w:t>
      </w:r>
    </w:p>
    <w:p w14:paraId="744715BC" w14:textId="77777777" w:rsidR="001B4B37" w:rsidRDefault="001B4B37" w:rsidP="001618CF">
      <w:r>
        <w:rPr>
          <w:rStyle w:val="Italic"/>
        </w:rPr>
        <w:t xml:space="preserve">DPP v </w:t>
      </w:r>
      <w:proofErr w:type="spellStart"/>
      <w:r>
        <w:rPr>
          <w:rStyle w:val="Italic"/>
        </w:rPr>
        <w:t>Solofuti</w:t>
      </w:r>
      <w:proofErr w:type="spellEnd"/>
      <w:r>
        <w:rPr>
          <w:rStyle w:val="Italic"/>
        </w:rPr>
        <w:t xml:space="preserve"> </w:t>
      </w:r>
      <w:r>
        <w:t>[2022] VCC 1681</w:t>
      </w:r>
    </w:p>
    <w:p w14:paraId="6619CB40" w14:textId="77777777" w:rsidR="001B4B37" w:rsidRDefault="001B4B37" w:rsidP="001618CF">
      <w:r>
        <w:rPr>
          <w:rStyle w:val="Italic"/>
        </w:rPr>
        <w:t xml:space="preserve">DPP v </w:t>
      </w:r>
      <w:proofErr w:type="spellStart"/>
      <w:r>
        <w:rPr>
          <w:rStyle w:val="Italic"/>
        </w:rPr>
        <w:t>Tarplah</w:t>
      </w:r>
      <w:proofErr w:type="spellEnd"/>
      <w:r>
        <w:rPr>
          <w:rStyle w:val="Italic"/>
        </w:rPr>
        <w:t xml:space="preserve"> </w:t>
      </w:r>
      <w:r>
        <w:t>[2022] VCC 2193</w:t>
      </w:r>
    </w:p>
    <w:p w14:paraId="06973D21" w14:textId="77777777" w:rsidR="001B4B37" w:rsidRDefault="001B4B37" w:rsidP="001618CF">
      <w:r>
        <w:rPr>
          <w:rStyle w:val="Italic"/>
        </w:rPr>
        <w:lastRenderedPageBreak/>
        <w:t xml:space="preserve">DPP v Webster </w:t>
      </w:r>
      <w:r>
        <w:t>[2019] VCC 2239</w:t>
      </w:r>
    </w:p>
    <w:p w14:paraId="7310DD86" w14:textId="77777777" w:rsidR="001B4B37" w:rsidRDefault="001B4B37" w:rsidP="001618CF">
      <w:r>
        <w:rPr>
          <w:rStyle w:val="Italic"/>
        </w:rPr>
        <w:t xml:space="preserve">PT v DPP </w:t>
      </w:r>
      <w:r>
        <w:t>[2019] VCC 836</w:t>
      </w:r>
    </w:p>
    <w:p w14:paraId="690F42E8" w14:textId="77777777" w:rsidR="001B4B37" w:rsidRDefault="001B4B37" w:rsidP="001618CF">
      <w:r>
        <w:rPr>
          <w:rStyle w:val="Italic"/>
        </w:rPr>
        <w:t xml:space="preserve">WB v DPP </w:t>
      </w:r>
      <w:r>
        <w:t xml:space="preserve">[2019] </w:t>
      </w:r>
      <w:proofErr w:type="spellStart"/>
      <w:r>
        <w:t>VChC</w:t>
      </w:r>
      <w:proofErr w:type="spellEnd"/>
      <w:r>
        <w:t xml:space="preserve"> 1</w:t>
      </w:r>
    </w:p>
    <w:p w14:paraId="0986A769" w14:textId="77777777" w:rsidR="001B4B37" w:rsidRDefault="001B4B37" w:rsidP="005D7939">
      <w:pPr>
        <w:pStyle w:val="Heading2"/>
      </w:pPr>
      <w:r>
        <w:t xml:space="preserve">Legislation </w:t>
      </w:r>
    </w:p>
    <w:p w14:paraId="0DD1148E" w14:textId="77777777" w:rsidR="001B4B37" w:rsidRDefault="001B4B37" w:rsidP="001618CF">
      <w:r>
        <w:rPr>
          <w:rStyle w:val="Italic"/>
        </w:rPr>
        <w:t xml:space="preserve">Children and Justice Legislation Amendment (Youth Justice Reform) Act 2017 </w:t>
      </w:r>
      <w:r>
        <w:t>(Vic)</w:t>
      </w:r>
    </w:p>
    <w:p w14:paraId="290E41E9" w14:textId="77777777" w:rsidR="001B4B37" w:rsidRDefault="001B4B37" w:rsidP="001618CF">
      <w:r>
        <w:rPr>
          <w:rStyle w:val="Italic"/>
        </w:rPr>
        <w:t xml:space="preserve">Children, Youth and Families Act 2005 </w:t>
      </w:r>
      <w:r>
        <w:t>(Vic)</w:t>
      </w:r>
    </w:p>
    <w:p w14:paraId="23035592" w14:textId="77777777" w:rsidR="001B4B37" w:rsidRDefault="001B4B37" w:rsidP="001618CF">
      <w:r>
        <w:rPr>
          <w:rStyle w:val="Italic"/>
        </w:rPr>
        <w:t>Crimes Act 1958</w:t>
      </w:r>
      <w:r>
        <w:t xml:space="preserve"> (Vic)</w:t>
      </w:r>
    </w:p>
    <w:p w14:paraId="51F69848" w14:textId="77777777" w:rsidR="001B4B37" w:rsidRDefault="001B4B37" w:rsidP="001618CF">
      <w:r>
        <w:rPr>
          <w:rStyle w:val="Italic"/>
        </w:rPr>
        <w:t xml:space="preserve">Crimes Amendment (Manslaughter and Related Offences) Act 2020 </w:t>
      </w:r>
      <w:r>
        <w:t>(Vic)</w:t>
      </w:r>
    </w:p>
    <w:p w14:paraId="7C3CDE9D" w14:textId="77777777" w:rsidR="001B4B37" w:rsidRDefault="001B4B37" w:rsidP="001618CF">
      <w:r>
        <w:rPr>
          <w:rStyle w:val="Italic"/>
        </w:rPr>
        <w:t xml:space="preserve">Justice Legislation Amendment (Community Safety) Act 2025 </w:t>
      </w:r>
      <w:r>
        <w:t>(Vic)</w:t>
      </w:r>
    </w:p>
    <w:p w14:paraId="463532C8" w14:textId="77777777" w:rsidR="001B4B37" w:rsidRDefault="001B4B37" w:rsidP="001618CF">
      <w:r>
        <w:rPr>
          <w:rStyle w:val="Italic"/>
        </w:rPr>
        <w:t xml:space="preserve">Sentencing Act 1991 </w:t>
      </w:r>
      <w:r>
        <w:t>(Vic)</w:t>
      </w:r>
    </w:p>
    <w:p w14:paraId="01EA0557" w14:textId="77777777" w:rsidR="001B4B37" w:rsidRDefault="001B4B37" w:rsidP="001618CF">
      <w:r>
        <w:rPr>
          <w:rStyle w:val="Italic"/>
        </w:rPr>
        <w:t xml:space="preserve">Youth Justice Act 2024 </w:t>
      </w:r>
      <w:r>
        <w:t>(Vic)</w:t>
      </w:r>
    </w:p>
    <w:p w14:paraId="09DB968D" w14:textId="77777777" w:rsidR="001B4B37" w:rsidRDefault="001B4B37" w:rsidP="001B4B37">
      <w:pPr>
        <w:pStyle w:val="Heading2"/>
      </w:pPr>
      <w:r>
        <w:t>Quasi-legislative materials</w:t>
      </w:r>
    </w:p>
    <w:p w14:paraId="482B5EB0" w14:textId="77777777" w:rsidR="001B4B37" w:rsidRDefault="001B4B37" w:rsidP="001618CF">
      <w:r>
        <w:t xml:space="preserve">Victoria, </w:t>
      </w:r>
      <w:r>
        <w:rPr>
          <w:rStyle w:val="Italic"/>
        </w:rPr>
        <w:t>Parliamentary Debates</w:t>
      </w:r>
      <w:r>
        <w:t>, Legislative Assembly, 25 May 2017 (Martin Pakula, Attorney-General).</w:t>
      </w:r>
    </w:p>
    <w:p w14:paraId="0F85B0B9" w14:textId="77777777" w:rsidR="00D91FEA" w:rsidRDefault="00D91FEA" w:rsidP="00D91FEA">
      <w:pPr>
        <w:pStyle w:val="Heading2"/>
        <w:pageBreakBefore/>
      </w:pPr>
      <w:bookmarkStart w:id="15" w:name="_Toc233028389"/>
      <w:r>
        <w:lastRenderedPageBreak/>
        <w:t>Acknowledgement of Country</w:t>
      </w:r>
      <w:bookmarkEnd w:id="15"/>
    </w:p>
    <w:p w14:paraId="16D96FDE" w14:textId="77777777" w:rsidR="00D91FEA" w:rsidRDefault="00D91FEA" w:rsidP="00D91FEA">
      <w:r>
        <w:t>The Sentencing Advisory Council acknowledges the Traditional Owners of the lands and waters on which we live and work, and we pay our respects to them, their culture and their Elders past and present.</w:t>
      </w:r>
    </w:p>
    <w:p w14:paraId="2EA55624" w14:textId="77777777" w:rsidR="00D91FEA" w:rsidRDefault="00D91FEA" w:rsidP="00D91FEA">
      <w:pPr>
        <w:pStyle w:val="Heading2"/>
      </w:pPr>
      <w:bookmarkStart w:id="16" w:name="_Toc233028390"/>
      <w:r>
        <w:t>Authors</w:t>
      </w:r>
      <w:bookmarkEnd w:id="16"/>
    </w:p>
    <w:p w14:paraId="17E6694A" w14:textId="77777777" w:rsidR="00D91FEA" w:rsidRDefault="00D91FEA" w:rsidP="00D91FEA">
      <w:r>
        <w:t>Dr Paul McGorrery, Paul Schollum, Zsombor Bathy</w:t>
      </w:r>
    </w:p>
    <w:p w14:paraId="7D61F6EC" w14:textId="77777777" w:rsidR="00D91FEA" w:rsidRDefault="00D91FEA" w:rsidP="00D91FEA">
      <w:pPr>
        <w:pStyle w:val="Heading2"/>
      </w:pPr>
      <w:bookmarkStart w:id="17" w:name="_Toc233028391"/>
      <w:r>
        <w:t>Sentencing Advisory Council</w:t>
      </w:r>
      <w:bookmarkEnd w:id="17"/>
    </w:p>
    <w:p w14:paraId="324AC108" w14:textId="77777777" w:rsidR="00D91FEA" w:rsidRPr="008064D2" w:rsidRDefault="00D91FEA" w:rsidP="00194697">
      <w:pPr>
        <w:spacing w:after="600"/>
      </w:pPr>
      <w:r>
        <w:t>Kate Bundrock, Fiona Dowsley, David Glynn, Dr Jana Katerinskaja, Wendy Steendam, Dr Danny Sullivan, Nathan Watt, Stan Winford</w:t>
      </w:r>
    </w:p>
    <w:p w14:paraId="7CF6641B" w14:textId="77777777" w:rsidR="009632D5" w:rsidRDefault="009632D5" w:rsidP="00D91FEA">
      <w:r>
        <w:t>Published by the Sentencing Advisory Council, Melbourne, Victoria, Australia</w:t>
      </w:r>
    </w:p>
    <w:p w14:paraId="136B633C" w14:textId="77777777" w:rsidR="009632D5" w:rsidRDefault="009632D5" w:rsidP="00861AE8">
      <w:r>
        <w:t>© Copyright State of Victoria, Sentencing Advisory Council, 2026</w:t>
      </w:r>
    </w:p>
    <w:p w14:paraId="19CABF5A" w14:textId="77777777" w:rsidR="009632D5" w:rsidRDefault="009632D5" w:rsidP="00861AE8">
      <w:r>
        <w:t xml:space="preserve">This publication is protected by the laws of copyright. No part may be reproduced by any process except in accordance with the provisions of the </w:t>
      </w:r>
      <w:r>
        <w:rPr>
          <w:rStyle w:val="Italic"/>
        </w:rPr>
        <w:t>Copyright Act 1968</w:t>
      </w:r>
      <w:r>
        <w:t xml:space="preserve"> (</w:t>
      </w:r>
      <w:proofErr w:type="spellStart"/>
      <w:r>
        <w:t>Cth</w:t>
      </w:r>
      <w:proofErr w:type="spellEnd"/>
      <w:r>
        <w:t>).</w:t>
      </w:r>
    </w:p>
    <w:p w14:paraId="121BAF46" w14:textId="77777777" w:rsidR="009632D5" w:rsidRDefault="009632D5" w:rsidP="00861AE8">
      <w:r>
        <w:t>ISBN 978-1-925071-91-7 (Online)</w:t>
      </w:r>
    </w:p>
    <w:p w14:paraId="4B1FC029" w14:textId="77777777" w:rsidR="009632D5" w:rsidRDefault="009632D5" w:rsidP="00861AE8">
      <w:r>
        <w:t>Authorised by the Sentencing Advisory Council,</w:t>
      </w:r>
      <w:r>
        <w:br/>
        <w:t>Level 3, 333 Queen Street, Melbourne VIC 3000</w:t>
      </w:r>
    </w:p>
    <w:p w14:paraId="1C1BB36C" w14:textId="77777777" w:rsidR="009632D5" w:rsidRDefault="009632D5" w:rsidP="00861AE8">
      <w:r>
        <w:t>Copyedited and typeset by Catherine Jeffreys AE</w:t>
      </w:r>
    </w:p>
    <w:sectPr w:rsidR="009632D5" w:rsidSect="00D6349A">
      <w:pgSz w:w="11906" w:h="16838"/>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8507" w14:textId="77777777" w:rsidR="008E739F" w:rsidRDefault="008E739F">
      <w:pPr>
        <w:spacing w:after="0" w:line="240" w:lineRule="auto"/>
      </w:pPr>
      <w:r>
        <w:separator/>
      </w:r>
    </w:p>
  </w:endnote>
  <w:endnote w:type="continuationSeparator" w:id="0">
    <w:p w14:paraId="6629D08B" w14:textId="77777777" w:rsidR="008E739F" w:rsidRDefault="008E7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Regular">
    <w:altName w:val="Arial"/>
    <w:panose1 w:val="00000000000000000000"/>
    <w:charset w:val="00"/>
    <w:family w:val="auto"/>
    <w:notTrueType/>
    <w:pitch w:val="default"/>
    <w:sig w:usb0="00000003" w:usb1="00000000" w:usb2="00000000" w:usb3="00000000" w:csb0="00000001" w:csb1="00000000"/>
  </w:font>
  <w:font w:name="ITC Franklin Gothic Book">
    <w:altName w:val="Calibri"/>
    <w:panose1 w:val="00000000000000000000"/>
    <w:charset w:val="00"/>
    <w:family w:val="swiss"/>
    <w:notTrueType/>
    <w:pitch w:val="variable"/>
    <w:sig w:usb0="00000003" w:usb1="00000000" w:usb2="00000000" w:usb3="00000000" w:csb0="00000001" w:csb1="00000000"/>
  </w:font>
  <w:font w:name="Gill Sans Std">
    <w:panose1 w:val="020B0502020104020203"/>
    <w:charset w:val="00"/>
    <w:family w:val="swiss"/>
    <w:notTrueType/>
    <w:pitch w:val="variable"/>
    <w:sig w:usb0="00000003" w:usb1="00000000" w:usb2="00000000" w:usb3="00000000" w:csb0="00000001" w:csb1="00000000"/>
  </w:font>
  <w:font w:name="Gill Sans Std Light">
    <w:panose1 w:val="020B0302020104020203"/>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 Franklin Gothic Demi">
    <w:altName w:val="Calibri"/>
    <w:panose1 w:val="00000000000000000000"/>
    <w:charset w:val="00"/>
    <w:family w:val="auto"/>
    <w:notTrueType/>
    <w:pitch w:val="default"/>
    <w:sig w:usb0="00000003" w:usb1="00000000" w:usb2="00000000" w:usb3="00000000" w:csb0="00000001" w:csb1="00000000"/>
  </w:font>
  <w:font w:name="ITC Franklin Gothic">
    <w:altName w:val="Calibri"/>
    <w:panose1 w:val="00000000000000000000"/>
    <w:charset w:val="00"/>
    <w:family w:val="auto"/>
    <w:notTrueType/>
    <w:pitch w:val="default"/>
    <w:sig w:usb0="00000003" w:usb1="00000000" w:usb2="00000000" w:usb3="00000000" w:csb0="00000001" w:csb1="00000000"/>
  </w:font>
  <w:font w:name="ITC Franklin Gothic Demi Italic">
    <w:altName w:val="Calibri"/>
    <w:panose1 w:val="00000000000000000000"/>
    <w:charset w:val="00"/>
    <w:family w:val="auto"/>
    <w:notTrueType/>
    <w:pitch w:val="default"/>
    <w:sig w:usb0="00000003" w:usb1="00000000" w:usb2="00000000" w:usb3="00000000" w:csb0="00000001" w:csb1="00000000"/>
  </w:font>
  <w:font w:name="ITC Franklin Gothic Std Book">
    <w:panose1 w:val="020B0504030503020204"/>
    <w:charset w:val="00"/>
    <w:family w:val="swiss"/>
    <w:notTrueType/>
    <w:pitch w:val="variable"/>
    <w:sig w:usb0="800000AF" w:usb1="4000204A" w:usb2="00000000" w:usb3="00000000" w:csb0="00000001" w:csb1="00000000"/>
  </w:font>
  <w:font w:name="Poppins-Regular">
    <w:altName w:val="Poppins"/>
    <w:panose1 w:val="00000000000000000000"/>
    <w:charset w:val="00"/>
    <w:family w:val="auto"/>
    <w:notTrueType/>
    <w:pitch w:val="default"/>
    <w:sig w:usb0="00000003" w:usb1="00000000" w:usb2="00000000" w:usb3="00000000" w:csb0="00000001" w:csb1="00000000"/>
  </w:font>
  <w:font w:name="Poppins-Bold">
    <w:altName w:val="Poppins"/>
    <w:panose1 w:val="00000000000000000000"/>
    <w:charset w:val="00"/>
    <w:family w:val="auto"/>
    <w:notTrueType/>
    <w:pitch w:val="default"/>
    <w:sig w:usb0="00000003" w:usb1="00000000" w:usb2="00000000" w:usb3="00000000" w:csb0="00000001" w:csb1="00000000"/>
  </w:font>
  <w:font w:name="Poppins-Medium">
    <w:altName w:val="Poppins"/>
    <w:panose1 w:val="00000000000000000000"/>
    <w:charset w:val="00"/>
    <w:family w:val="auto"/>
    <w:notTrueType/>
    <w:pitch w:val="default"/>
    <w:sig w:usb0="00000003" w:usb1="00000000" w:usb2="00000000" w:usb3="00000000" w:csb0="00000001" w:csb1="00000000"/>
  </w:font>
  <w:font w:name="Open Sans Light">
    <w:panose1 w:val="020B0306030504020204"/>
    <w:charset w:val="00"/>
    <w:family w:val="swiss"/>
    <w:pitch w:val="variable"/>
    <w:sig w:usb0="E00002EF" w:usb1="4000205B" w:usb2="00000028"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7DDA" w14:textId="77777777" w:rsidR="00553AA8" w:rsidRDefault="00553AA8" w:rsidP="006A24A4">
    <w:pPr>
      <w:pStyle w:val="Footer"/>
      <w:ind w:left="4513" w:hanging="4513"/>
      <w:jc w:val="center"/>
    </w:pPr>
    <w:r>
      <w:fldChar w:fldCharType="begin"/>
    </w:r>
    <w:r>
      <w:instrText xml:space="preserve"> PAGE   \* MERGEFORMAT </w:instrText>
    </w:r>
    <w:r>
      <w:fldChar w:fldCharType="separate"/>
    </w:r>
    <w:r>
      <w:rPr>
        <w:noProof/>
      </w:rPr>
      <w:t>115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704BD" w14:textId="77777777" w:rsidR="008E739F" w:rsidRDefault="008E739F">
      <w:pPr>
        <w:spacing w:after="0" w:line="240" w:lineRule="auto"/>
      </w:pPr>
      <w:r>
        <w:separator/>
      </w:r>
    </w:p>
  </w:footnote>
  <w:footnote w:type="continuationSeparator" w:id="0">
    <w:p w14:paraId="1C9B0758" w14:textId="77777777" w:rsidR="008E739F" w:rsidRDefault="008E739F">
      <w:pPr>
        <w:spacing w:after="0" w:line="240" w:lineRule="auto"/>
      </w:pPr>
      <w:r>
        <w:continuationSeparator/>
      </w:r>
    </w:p>
  </w:footnote>
  <w:footnote w:id="1">
    <w:p w14:paraId="1DE7ED36" w14:textId="0B12AEC3" w:rsidR="001B4B37" w:rsidRDefault="001B4B37" w:rsidP="004F582A">
      <w:pPr>
        <w:pStyle w:val="Footnote"/>
      </w:pPr>
      <w:r>
        <w:rPr>
          <w:vertAlign w:val="superscript"/>
        </w:rPr>
        <w:footnoteRef/>
      </w:r>
      <w:r>
        <w:t>.</w:t>
      </w:r>
      <w:r>
        <w:tab/>
      </w:r>
      <w:r>
        <w:rPr>
          <w:rStyle w:val="Italic"/>
        </w:rPr>
        <w:t xml:space="preserve">Children and Justice Legislation Amendment (Youth Justice Reform) Act 2017 </w:t>
      </w:r>
      <w:r>
        <w:t xml:space="preserve">(Vic). For an overview of the legislation, see Sentencing Advisory Council, </w:t>
      </w:r>
      <w:r>
        <w:rPr>
          <w:rStyle w:val="Italic"/>
        </w:rPr>
        <w:t xml:space="preserve">Changes to Sentencing Law: An Overview of 2018 </w:t>
      </w:r>
      <w:r>
        <w:t>(2018) 5–6.</w:t>
      </w:r>
    </w:p>
  </w:footnote>
  <w:footnote w:id="2">
    <w:p w14:paraId="111FAF64" w14:textId="6729FD61" w:rsidR="001B4B37" w:rsidRDefault="001B4B37" w:rsidP="00EB4514">
      <w:pPr>
        <w:pStyle w:val="Footnote"/>
      </w:pPr>
      <w:r>
        <w:rPr>
          <w:vertAlign w:val="superscript"/>
        </w:rPr>
        <w:footnoteRef/>
      </w:r>
      <w:r>
        <w:t>.</w:t>
      </w:r>
      <w:r>
        <w:tab/>
        <w:t xml:space="preserve">Victoria, </w:t>
      </w:r>
      <w:r>
        <w:rPr>
          <w:rStyle w:val="Italic"/>
        </w:rPr>
        <w:t>Parliamentary Debates</w:t>
      </w:r>
      <w:r>
        <w:t>, Legislative Assembly, 25 May 2017, 1502–1503 (Martin Pakula, Attorney-General).</w:t>
      </w:r>
    </w:p>
  </w:footnote>
  <w:footnote w:id="3">
    <w:p w14:paraId="7A4FC796" w14:textId="50EA6E9E" w:rsidR="001B4B37" w:rsidRDefault="001B4B37" w:rsidP="00EB4514">
      <w:pPr>
        <w:pStyle w:val="Footnote"/>
      </w:pPr>
      <w:r>
        <w:rPr>
          <w:vertAlign w:val="superscript"/>
        </w:rPr>
        <w:footnoteRef/>
      </w:r>
      <w:r>
        <w:t>.</w:t>
      </w:r>
      <w:r>
        <w:tab/>
      </w:r>
      <w:r>
        <w:rPr>
          <w:rStyle w:val="Italic"/>
        </w:rPr>
        <w:t xml:space="preserve">Justice Legislation Amendment (Community Safety) Act 2025 </w:t>
      </w:r>
      <w:r>
        <w:t>(Vic).</w:t>
      </w:r>
    </w:p>
  </w:footnote>
  <w:footnote w:id="4">
    <w:p w14:paraId="229E1073" w14:textId="4CA29151" w:rsidR="001B4B37" w:rsidRDefault="001B4B37" w:rsidP="00EB4514">
      <w:pPr>
        <w:pStyle w:val="Footnote"/>
      </w:pPr>
      <w:r>
        <w:rPr>
          <w:vertAlign w:val="superscript"/>
        </w:rPr>
        <w:footnoteRef/>
      </w:r>
      <w:r>
        <w:t>.</w:t>
      </w:r>
      <w:r>
        <w:tab/>
        <w:t xml:space="preserve">The five new ‘designated offences’ in section 516 of the </w:t>
      </w:r>
      <w:r>
        <w:rPr>
          <w:rStyle w:val="Italic"/>
        </w:rPr>
        <w:t xml:space="preserve">Children, Youth and Families Act 2005 </w:t>
      </w:r>
      <w:r>
        <w:t xml:space="preserve">(Vic) are intentionally causing serious injury in circumstances of gross violence, recklessly causing serious injury in circumstances of gross violence, aggravated carjacking, aggravated home invasion and home invasion: </w:t>
      </w:r>
      <w:r>
        <w:rPr>
          <w:rStyle w:val="Italic"/>
        </w:rPr>
        <w:t xml:space="preserve">Justice Legislation Amendment (Community Safety) Act 2025 </w:t>
      </w:r>
      <w:r>
        <w:t xml:space="preserve">(Vic) s 16(3). Of these, two – home invasion and recklessly causing serious injury in circumstances of gross violence – were category B serious youth offences that usually remained in the Children’s Court but will now be subject to mandatory or presumptive uplift. Further, carjacking is now subject to presumptive uplift to the adult jurisdiction if committed by children aged 14 or over: </w:t>
      </w:r>
      <w:r>
        <w:rPr>
          <w:rStyle w:val="Italic"/>
        </w:rPr>
        <w:t xml:space="preserve">Justice Legislation Amendment (Community Safety) Act 2025 </w:t>
      </w:r>
      <w:r>
        <w:t>(Vic) s 14(6).</w:t>
      </w:r>
    </w:p>
  </w:footnote>
  <w:footnote w:id="5">
    <w:p w14:paraId="36861059" w14:textId="13ADBC2D" w:rsidR="001B4B37" w:rsidRDefault="001B4B37" w:rsidP="00EB4514">
      <w:pPr>
        <w:pStyle w:val="Footnote"/>
      </w:pPr>
      <w:r>
        <w:rPr>
          <w:vertAlign w:val="superscript"/>
        </w:rPr>
        <w:footnoteRef/>
      </w:r>
      <w:r>
        <w:t>.</w:t>
      </w:r>
      <w:r>
        <w:tab/>
      </w:r>
      <w:r>
        <w:rPr>
          <w:rStyle w:val="Italic"/>
        </w:rPr>
        <w:t xml:space="preserve">Justice Legislation Amendment (Community Safety) Act 2025 </w:t>
      </w:r>
      <w:r>
        <w:t>(Vic) ss 14(1), 14(2)(a), 16(1), 16(3).</w:t>
      </w:r>
    </w:p>
  </w:footnote>
  <w:footnote w:id="6">
    <w:p w14:paraId="0C3472EA" w14:textId="0B18C578" w:rsidR="001B4B37" w:rsidRDefault="001B4B37" w:rsidP="00EB4514">
      <w:pPr>
        <w:pStyle w:val="Footnote"/>
      </w:pPr>
      <w:r>
        <w:rPr>
          <w:vertAlign w:val="superscript"/>
        </w:rPr>
        <w:footnoteRef/>
      </w:r>
      <w:r>
        <w:t>.</w:t>
      </w:r>
      <w:r>
        <w:tab/>
        <w:t>In particular, the mandatory uplift now applies to the five ‘designated offences’: see above n 4.</w:t>
      </w:r>
    </w:p>
  </w:footnote>
  <w:footnote w:id="7">
    <w:p w14:paraId="6F61ABC6" w14:textId="505C4C22" w:rsidR="001B4B37" w:rsidRDefault="001B4B37" w:rsidP="00EB4514">
      <w:pPr>
        <w:pStyle w:val="Footnote"/>
        <w:ind w:hanging="269"/>
      </w:pPr>
      <w:r>
        <w:rPr>
          <w:vertAlign w:val="superscript"/>
        </w:rPr>
        <w:footnoteRef/>
      </w:r>
      <w:r>
        <w:t>.</w:t>
      </w:r>
      <w:r>
        <w:tab/>
        <w:t xml:space="preserve">See the definitions of ‘category A serious youth offence’ and ‘category B serious youth offence’ in </w:t>
      </w:r>
      <w:r>
        <w:rPr>
          <w:rStyle w:val="Italic"/>
        </w:rPr>
        <w:t xml:space="preserve">Sentencing Act 1991 </w:t>
      </w:r>
      <w:r>
        <w:t xml:space="preserve">(Vic) s 3, </w:t>
      </w:r>
      <w:r>
        <w:rPr>
          <w:rStyle w:val="Italic"/>
        </w:rPr>
        <w:t xml:space="preserve">Children, Youth and Families Act 2005 </w:t>
      </w:r>
      <w:r>
        <w:t xml:space="preserve">(Vic) s 3 and </w:t>
      </w:r>
      <w:r>
        <w:rPr>
          <w:rStyle w:val="Italic"/>
        </w:rPr>
        <w:t xml:space="preserve">Youth Justice Act 2024 </w:t>
      </w:r>
      <w:r>
        <w:t>(Vic) s 3. The offence of homicide by firearm was introduced in 2020, and various terrorism offences were added in 2018.</w:t>
      </w:r>
    </w:p>
  </w:footnote>
  <w:footnote w:id="8">
    <w:p w14:paraId="728D0E95" w14:textId="7FE18F63" w:rsidR="001B4B37" w:rsidRDefault="001B4B37" w:rsidP="00EB4514">
      <w:pPr>
        <w:pStyle w:val="Footnote"/>
        <w:ind w:hanging="269"/>
      </w:pPr>
      <w:r>
        <w:rPr>
          <w:vertAlign w:val="superscript"/>
        </w:rPr>
        <w:footnoteRef/>
      </w:r>
      <w:r>
        <w:t>.</w:t>
      </w:r>
      <w:r>
        <w:tab/>
      </w:r>
      <w:r>
        <w:rPr>
          <w:rStyle w:val="Italic"/>
        </w:rPr>
        <w:t xml:space="preserve">Children, Youth and Families Act 2005 </w:t>
      </w:r>
      <w:r>
        <w:t xml:space="preserve">(Vic) ss 356(6), (8). </w:t>
      </w:r>
    </w:p>
  </w:footnote>
  <w:footnote w:id="9">
    <w:p w14:paraId="393B4AB2" w14:textId="0B46BD68" w:rsidR="001B4B37" w:rsidRDefault="001B4B37" w:rsidP="00EB4514">
      <w:pPr>
        <w:pStyle w:val="Footnote"/>
        <w:ind w:hanging="269"/>
      </w:pPr>
      <w:r>
        <w:rPr>
          <w:vertAlign w:val="superscript"/>
        </w:rPr>
        <w:footnoteRef/>
      </w:r>
      <w:r>
        <w:t>.</w:t>
      </w:r>
      <w:r>
        <w:tab/>
      </w:r>
      <w:r>
        <w:rPr>
          <w:rStyle w:val="Italic"/>
        </w:rPr>
        <w:t xml:space="preserve">Sentencing Act 1991 </w:t>
      </w:r>
      <w:r>
        <w:t xml:space="preserve">(Vic) s 3 (definition of </w:t>
      </w:r>
      <w:r>
        <w:rPr>
          <w:rStyle w:val="Italic"/>
        </w:rPr>
        <w:t>young offender</w:t>
      </w:r>
      <w:r>
        <w:t xml:space="preserve">). </w:t>
      </w:r>
    </w:p>
  </w:footnote>
  <w:footnote w:id="10">
    <w:p w14:paraId="413B9249" w14:textId="33DCFCBF" w:rsidR="001B4B37" w:rsidRDefault="001B4B37" w:rsidP="00EB4514">
      <w:pPr>
        <w:pStyle w:val="Footnote"/>
      </w:pPr>
      <w:r>
        <w:rPr>
          <w:vertAlign w:val="superscript"/>
        </w:rPr>
        <w:footnoteRef/>
      </w:r>
      <w:r>
        <w:t>.</w:t>
      </w:r>
      <w:r>
        <w:tab/>
        <w:t xml:space="preserve">For example, an offence will only be a category 1 offence if committed by someone aged 18 or over: </w:t>
      </w:r>
      <w:r>
        <w:rPr>
          <w:rStyle w:val="Italic"/>
        </w:rPr>
        <w:t xml:space="preserve">Sentencing Act 1991 </w:t>
      </w:r>
      <w:r>
        <w:t xml:space="preserve">(Vic) s 3 (definition of </w:t>
      </w:r>
      <w:r>
        <w:rPr>
          <w:rStyle w:val="Italic"/>
        </w:rPr>
        <w:t>category 1 offence</w:t>
      </w:r>
      <w:r>
        <w:t>).</w:t>
      </w:r>
    </w:p>
  </w:footnote>
  <w:footnote w:id="11">
    <w:p w14:paraId="1BE2F83E" w14:textId="3FD90D8B" w:rsidR="001B4B37" w:rsidRDefault="001B4B37" w:rsidP="00EB4514">
      <w:pPr>
        <w:pStyle w:val="Footnote"/>
      </w:pPr>
      <w:r>
        <w:rPr>
          <w:vertAlign w:val="superscript"/>
        </w:rPr>
        <w:footnoteRef/>
      </w:r>
      <w:r>
        <w:t>.</w:t>
      </w:r>
      <w:r>
        <w:tab/>
      </w:r>
      <w:r>
        <w:rPr>
          <w:rStyle w:val="Italic"/>
        </w:rPr>
        <w:t xml:space="preserve">Sentencing Act 1991 </w:t>
      </w:r>
      <w:r>
        <w:t xml:space="preserve">(Vic) s 3 (definition of </w:t>
      </w:r>
      <w:r>
        <w:rPr>
          <w:rStyle w:val="Italic"/>
        </w:rPr>
        <w:t>category A serious youth offence</w:t>
      </w:r>
      <w:r>
        <w:t>).</w:t>
      </w:r>
    </w:p>
  </w:footnote>
  <w:footnote w:id="12">
    <w:p w14:paraId="35BCDC25" w14:textId="04E96564" w:rsidR="001B4B37" w:rsidRDefault="001B4B37" w:rsidP="00EB4514">
      <w:pPr>
        <w:pStyle w:val="Footnote"/>
      </w:pPr>
      <w:r>
        <w:rPr>
          <w:vertAlign w:val="superscript"/>
        </w:rPr>
        <w:footnoteRef/>
      </w:r>
      <w:r>
        <w:t>.</w:t>
      </w:r>
      <w:r>
        <w:tab/>
      </w:r>
      <w:r>
        <w:rPr>
          <w:rStyle w:val="Italic"/>
        </w:rPr>
        <w:t xml:space="preserve">Sentencing Act 1991 </w:t>
      </w:r>
      <w:r>
        <w:t xml:space="preserve">(Vic) s 3 (definition of </w:t>
      </w:r>
      <w:r>
        <w:rPr>
          <w:rStyle w:val="Italic"/>
        </w:rPr>
        <w:t>young offender</w:t>
      </w:r>
      <w:r>
        <w:t>).</w:t>
      </w:r>
    </w:p>
  </w:footnote>
  <w:footnote w:id="13">
    <w:p w14:paraId="6E25D816" w14:textId="08E36348" w:rsidR="001B4B37" w:rsidRDefault="001B4B37" w:rsidP="00EB4514">
      <w:pPr>
        <w:pStyle w:val="Footnote"/>
      </w:pPr>
      <w:r>
        <w:rPr>
          <w:vertAlign w:val="superscript"/>
        </w:rPr>
        <w:footnoteRef/>
      </w:r>
      <w:r>
        <w:t>.</w:t>
      </w:r>
      <w:r>
        <w:tab/>
        <w:t xml:space="preserve">Given that this provision only applied in the Children’s Court, that court’s jurisdiction imports an age boundary of offences committed by a child aged under 18 where criminal proceedings commenced before the offender was aged 19: </w:t>
      </w:r>
      <w:r>
        <w:rPr>
          <w:rStyle w:val="Italic"/>
        </w:rPr>
        <w:t xml:space="preserve">Children, Youth and Families Act 2005 </w:t>
      </w:r>
      <w:r>
        <w:t>(Vic) s 516.</w:t>
      </w:r>
    </w:p>
  </w:footnote>
  <w:footnote w:id="14">
    <w:p w14:paraId="6D881A27" w14:textId="16646C3E" w:rsidR="001B4B37" w:rsidRDefault="001B4B37" w:rsidP="00EB4514">
      <w:pPr>
        <w:pStyle w:val="Footnote"/>
      </w:pPr>
      <w:r>
        <w:rPr>
          <w:vertAlign w:val="superscript"/>
        </w:rPr>
        <w:footnoteRef/>
      </w:r>
      <w:r>
        <w:t>.</w:t>
      </w:r>
      <w:r>
        <w:tab/>
        <w:t xml:space="preserve">Victoria, </w:t>
      </w:r>
      <w:r>
        <w:rPr>
          <w:rStyle w:val="Italic"/>
        </w:rPr>
        <w:t>Parliamentary Debates</w:t>
      </w:r>
      <w:r>
        <w:t>, Legislative Assembly, 25 May 2017, 1502–1503 (Martin Pakula).</w:t>
      </w:r>
    </w:p>
  </w:footnote>
  <w:footnote w:id="15">
    <w:p w14:paraId="1C09A7BE" w14:textId="3D782917" w:rsidR="001B4B37" w:rsidRDefault="001B4B37" w:rsidP="004104F1">
      <w:pPr>
        <w:pStyle w:val="Footnote"/>
      </w:pPr>
      <w:r>
        <w:rPr>
          <w:vertAlign w:val="superscript"/>
        </w:rPr>
        <w:footnoteRef/>
      </w:r>
      <w:r>
        <w:t>.</w:t>
      </w:r>
      <w:r>
        <w:tab/>
        <w:t xml:space="preserve">There were also certain consequences for youth parole: </w:t>
      </w:r>
      <w:r>
        <w:rPr>
          <w:rStyle w:val="Italic"/>
        </w:rPr>
        <w:t xml:space="preserve">Children, Youth and Families Act 2005 </w:t>
      </w:r>
      <w:r>
        <w:t>(Vic) s 458A(1)(b).</w:t>
      </w:r>
    </w:p>
  </w:footnote>
  <w:footnote w:id="16">
    <w:p w14:paraId="570E0689" w14:textId="586CBA82" w:rsidR="001B4B37" w:rsidRDefault="001B4B37" w:rsidP="00E23747">
      <w:pPr>
        <w:pStyle w:val="Footnote"/>
      </w:pPr>
      <w:r>
        <w:rPr>
          <w:vertAlign w:val="superscript"/>
        </w:rPr>
        <w:footnoteRef/>
      </w:r>
      <w:r>
        <w:t>.</w:t>
      </w:r>
      <w:r>
        <w:tab/>
        <w:t xml:space="preserve">Prior to February 2018, the Children’s Court was required to hear all indictable offences (other than homicide offences) summarily unless there were ‘exceptional circumstances’: </w:t>
      </w:r>
      <w:r>
        <w:rPr>
          <w:rStyle w:val="Italic"/>
        </w:rPr>
        <w:t xml:space="preserve">Children, Youth and Families Act 2005 </w:t>
      </w:r>
      <w:r>
        <w:t>(Vic) s 356(3).</w:t>
      </w:r>
    </w:p>
  </w:footnote>
  <w:footnote w:id="17">
    <w:p w14:paraId="1AA4F3A1" w14:textId="5E3C039D" w:rsidR="001B4B37" w:rsidRDefault="001B4B37" w:rsidP="00E23747">
      <w:pPr>
        <w:pStyle w:val="Footnote"/>
      </w:pPr>
      <w:r>
        <w:rPr>
          <w:vertAlign w:val="superscript"/>
        </w:rPr>
        <w:footnoteRef/>
      </w:r>
      <w:r>
        <w:t>.</w:t>
      </w:r>
      <w:r>
        <w:tab/>
        <w:t xml:space="preserve">As specified in the Children’s Court </w:t>
      </w:r>
      <w:r>
        <w:rPr>
          <w:rStyle w:val="Italic"/>
        </w:rPr>
        <w:t>Practice Direction 2 of 2018</w:t>
      </w:r>
      <w:r>
        <w:t xml:space="preserve">, the application for summary </w:t>
      </w:r>
      <w:r>
        <w:rPr>
          <w:spacing w:val="-2"/>
        </w:rPr>
        <w:t xml:space="preserve">jurisdiction needed to include the prosecution summary of the alleged offending, any prior criminal history of the child, any other material to be relied upon, and an outline of submissions addressing the relevant considerations set out in legislation: Children’s Court of Victoria, </w:t>
      </w:r>
      <w:r>
        <w:rPr>
          <w:rStyle w:val="Italic"/>
          <w:spacing w:val="-2"/>
        </w:rPr>
        <w:t xml:space="preserve">Practice Direction No. 2 </w:t>
      </w:r>
      <w:r>
        <w:rPr>
          <w:rStyle w:val="Italic"/>
        </w:rPr>
        <w:t>of 2018: Procedure for Indictable Offences That May Be Heard and Determined Summarily</w:t>
      </w:r>
      <w:r>
        <w:t xml:space="preserve"> (2018) 2. </w:t>
      </w:r>
    </w:p>
  </w:footnote>
  <w:footnote w:id="18">
    <w:p w14:paraId="705DD56C" w14:textId="3F637793" w:rsidR="001B4B37" w:rsidRDefault="001B4B37" w:rsidP="00E23747">
      <w:pPr>
        <w:pStyle w:val="Footnote"/>
      </w:pPr>
      <w:r>
        <w:rPr>
          <w:vertAlign w:val="superscript"/>
        </w:rPr>
        <w:footnoteRef/>
      </w:r>
      <w:r>
        <w:t>.</w:t>
      </w:r>
      <w:r>
        <w:tab/>
      </w:r>
      <w:r>
        <w:rPr>
          <w:rStyle w:val="Italic"/>
        </w:rPr>
        <w:t xml:space="preserve">Children, Youth and Families Act 2005 </w:t>
      </w:r>
      <w:r>
        <w:t>(Vic) s 356(6).</w:t>
      </w:r>
    </w:p>
  </w:footnote>
  <w:footnote w:id="19">
    <w:p w14:paraId="34F2469C" w14:textId="65EF1E90" w:rsidR="001B4B37" w:rsidRDefault="001B4B37" w:rsidP="00E23747">
      <w:pPr>
        <w:pStyle w:val="Footnote"/>
      </w:pPr>
      <w:r>
        <w:rPr>
          <w:vertAlign w:val="superscript"/>
        </w:rPr>
        <w:footnoteRef/>
      </w:r>
      <w:r>
        <w:t>.</w:t>
      </w:r>
      <w:r>
        <w:tab/>
      </w:r>
      <w:r>
        <w:rPr>
          <w:rStyle w:val="Italic"/>
        </w:rPr>
        <w:t xml:space="preserve">Children, Youth and Families Act 2005 </w:t>
      </w:r>
      <w:r>
        <w:t>(Vic) s 356(7).</w:t>
      </w:r>
    </w:p>
  </w:footnote>
  <w:footnote w:id="20">
    <w:p w14:paraId="0111A3AC" w14:textId="21746430" w:rsidR="001B4B37" w:rsidRDefault="001B4B37" w:rsidP="00E23747">
      <w:pPr>
        <w:pStyle w:val="Footnote"/>
      </w:pPr>
      <w:r>
        <w:rPr>
          <w:vertAlign w:val="superscript"/>
        </w:rPr>
        <w:footnoteRef/>
      </w:r>
      <w:r>
        <w:t>.</w:t>
      </w:r>
      <w:r>
        <w:tab/>
      </w:r>
      <w:r>
        <w:rPr>
          <w:rStyle w:val="Italic"/>
        </w:rPr>
        <w:t xml:space="preserve">Sentencing Act 1991 </w:t>
      </w:r>
      <w:r>
        <w:t xml:space="preserve">(Vic) s 32(2C). This is in part because most category A offences are also category 1 or category 2 offences, which mandate, or create a strong default presumption of, imprisonment: </w:t>
      </w:r>
      <w:r>
        <w:rPr>
          <w:rStyle w:val="Italic"/>
        </w:rPr>
        <w:t xml:space="preserve">Sentencing Act 1991 </w:t>
      </w:r>
      <w:r>
        <w:t>(Vic) ss 5(2G), (2H).</w:t>
      </w:r>
    </w:p>
  </w:footnote>
  <w:footnote w:id="21">
    <w:p w14:paraId="272680FB" w14:textId="4BC38D4D" w:rsidR="001B4B37" w:rsidRDefault="001B4B37" w:rsidP="0050547B">
      <w:pPr>
        <w:pStyle w:val="Footnote"/>
      </w:pPr>
      <w:r>
        <w:rPr>
          <w:vertAlign w:val="superscript"/>
        </w:rPr>
        <w:footnoteRef/>
      </w:r>
      <w:r>
        <w:t>.</w:t>
      </w:r>
      <w:r>
        <w:tab/>
      </w:r>
      <w:r>
        <w:rPr>
          <w:rStyle w:val="Italic"/>
        </w:rPr>
        <w:t xml:space="preserve">Children, Youth and Families Act 2005 </w:t>
      </w:r>
      <w:r>
        <w:t>(Vic) ss 356(3), (8).</w:t>
      </w:r>
    </w:p>
  </w:footnote>
  <w:footnote w:id="22">
    <w:p w14:paraId="23336984" w14:textId="281094A5" w:rsidR="001B4B37" w:rsidRDefault="001B4B37" w:rsidP="0050547B">
      <w:pPr>
        <w:pStyle w:val="Footnote"/>
      </w:pPr>
      <w:r>
        <w:rPr>
          <w:vertAlign w:val="superscript"/>
        </w:rPr>
        <w:footnoteRef/>
      </w:r>
      <w:r>
        <w:t>.</w:t>
      </w:r>
      <w:r>
        <w:tab/>
      </w:r>
      <w:r>
        <w:rPr>
          <w:rStyle w:val="Italic"/>
        </w:rPr>
        <w:t xml:space="preserve">Sentencing Act 1991 </w:t>
      </w:r>
      <w:r>
        <w:t>(Vic) s 32(2D).</w:t>
      </w:r>
    </w:p>
  </w:footnote>
  <w:footnote w:id="23">
    <w:p w14:paraId="372C9C47" w14:textId="1F235755" w:rsidR="001B4B37" w:rsidRDefault="001B4B37" w:rsidP="0050547B">
      <w:pPr>
        <w:pStyle w:val="Footnote"/>
      </w:pPr>
      <w:r>
        <w:rPr>
          <w:vertAlign w:val="superscript"/>
        </w:rPr>
        <w:footnoteRef/>
      </w:r>
      <w:r>
        <w:t>.</w:t>
      </w:r>
      <w:r>
        <w:tab/>
        <w:t xml:space="preserve">Roughly 83% of Victorians live in metropolitan Melbourne: Australian Bureau of Statistics, </w:t>
      </w:r>
      <w:r>
        <w:rPr>
          <w:rStyle w:val="Italic"/>
        </w:rPr>
        <w:t>Snapshot of Victoria: High Level Summary Data for Victoria in 2021</w:t>
      </w:r>
      <w:r>
        <w:t xml:space="preserve"> (abs.gov.au, 2022). And 81% of category A and B serious youth offences were sentenced in metropolitan Melbourne. </w:t>
      </w:r>
    </w:p>
  </w:footnote>
  <w:footnote w:id="24">
    <w:p w14:paraId="10C097D8" w14:textId="3747AF1D" w:rsidR="001B4B37" w:rsidRDefault="001B4B37" w:rsidP="0010478D">
      <w:pPr>
        <w:pStyle w:val="Footnote"/>
      </w:pPr>
      <w:r>
        <w:rPr>
          <w:vertAlign w:val="superscript"/>
        </w:rPr>
        <w:footnoteRef/>
      </w:r>
      <w:r>
        <w:t>.</w:t>
      </w:r>
      <w:r>
        <w:tab/>
        <w:t>As noted above, category A and B offences are not classified as such in this report if they were committed by children aged under 16 at the time of the offence. There were 247 charges of category A and B offences sentenced in 196 Children’s Court cases where the offender was aged under 16 at the time of the offence.</w:t>
      </w:r>
    </w:p>
  </w:footnote>
  <w:footnote w:id="25">
    <w:p w14:paraId="2B3ACC6A" w14:textId="3E252EA0" w:rsidR="001B4B37" w:rsidRDefault="001B4B37" w:rsidP="000D0920">
      <w:pPr>
        <w:pStyle w:val="Footnote"/>
      </w:pPr>
      <w:r>
        <w:rPr>
          <w:vertAlign w:val="superscript"/>
        </w:rPr>
        <w:footnoteRef/>
      </w:r>
      <w:r>
        <w:t>.</w:t>
      </w:r>
      <w:r>
        <w:tab/>
        <w:t xml:space="preserve">Offences committed by people aged 18 or over are excluded from the jurisdiction of the Children’s Court: </w:t>
      </w:r>
      <w:r>
        <w:rPr>
          <w:rStyle w:val="Italic"/>
        </w:rPr>
        <w:t xml:space="preserve">Children, Youth and Families Act 2005 </w:t>
      </w:r>
      <w:r>
        <w:t>(Vic) s 516.</w:t>
      </w:r>
    </w:p>
  </w:footnote>
  <w:footnote w:id="26">
    <w:p w14:paraId="44727470" w14:textId="337A8AF0" w:rsidR="001B4B37" w:rsidRDefault="001B4B37" w:rsidP="000D0920">
      <w:pPr>
        <w:pStyle w:val="Footnote"/>
      </w:pPr>
      <w:r>
        <w:rPr>
          <w:vertAlign w:val="superscript"/>
        </w:rPr>
        <w:footnoteRef/>
      </w:r>
      <w:r>
        <w:t>.</w:t>
      </w:r>
      <w:r>
        <w:tab/>
        <w:t xml:space="preserve">These 3 charges were in 2 cases, both of which involved a child aged 17 at the time of the offence. There were no category A serious youth offences in those 2 cases at the time of sentencing; it was not possible to determine whether the children were originally charged with category A serious youth </w:t>
      </w:r>
      <w:proofErr w:type="gramStart"/>
      <w:r>
        <w:t>offences</w:t>
      </w:r>
      <w:proofErr w:type="gramEnd"/>
      <w:r>
        <w:t xml:space="preserve"> but the matters resolved with less serious charges. </w:t>
      </w:r>
    </w:p>
  </w:footnote>
  <w:footnote w:id="27">
    <w:p w14:paraId="24387D4E" w14:textId="3A8D9689" w:rsidR="001B4B37" w:rsidRDefault="001B4B37" w:rsidP="001671A3">
      <w:pPr>
        <w:pStyle w:val="Footnote"/>
      </w:pPr>
      <w:r>
        <w:rPr>
          <w:vertAlign w:val="superscript"/>
        </w:rPr>
        <w:footnoteRef/>
      </w:r>
      <w:r>
        <w:t>.</w:t>
      </w:r>
      <w:r>
        <w:tab/>
      </w:r>
      <w:r>
        <w:rPr>
          <w:rStyle w:val="Italic"/>
        </w:rPr>
        <w:t xml:space="preserve">DPP v Perry (a pseudonym) </w:t>
      </w:r>
      <w:r>
        <w:t xml:space="preserve">[2020] VCC 2015; </w:t>
      </w:r>
      <w:r>
        <w:rPr>
          <w:rStyle w:val="Italic"/>
        </w:rPr>
        <w:t xml:space="preserve">DPP v </w:t>
      </w:r>
      <w:proofErr w:type="spellStart"/>
      <w:r>
        <w:rPr>
          <w:rStyle w:val="Italic"/>
        </w:rPr>
        <w:t>Solofuti</w:t>
      </w:r>
      <w:proofErr w:type="spellEnd"/>
      <w:r>
        <w:rPr>
          <w:rStyle w:val="Italic"/>
        </w:rPr>
        <w:t xml:space="preserve"> </w:t>
      </w:r>
      <w:r>
        <w:t xml:space="preserve">[2022] VCC 1681; </w:t>
      </w:r>
      <w:r>
        <w:rPr>
          <w:rStyle w:val="Italic"/>
        </w:rPr>
        <w:t xml:space="preserve">DPP v Mitcham </w:t>
      </w:r>
      <w:r>
        <w:t>[2023] VCC 464 (this last case of culpable driving causing death did not involve a male co-offender).</w:t>
      </w:r>
    </w:p>
  </w:footnote>
  <w:footnote w:id="28">
    <w:p w14:paraId="7A2C0FEB" w14:textId="64D4D0D9" w:rsidR="001B4B37" w:rsidRDefault="001B4B37" w:rsidP="001671A3">
      <w:pPr>
        <w:pStyle w:val="Footnote"/>
      </w:pPr>
      <w:r>
        <w:rPr>
          <w:vertAlign w:val="superscript"/>
        </w:rPr>
        <w:footnoteRef/>
      </w:r>
      <w:r>
        <w:t>.</w:t>
      </w:r>
      <w:r>
        <w:tab/>
      </w:r>
      <w:r>
        <w:rPr>
          <w:spacing w:val="-2"/>
        </w:rPr>
        <w:t xml:space="preserve">Kathleen Daly, ‘Women’s Pathways to Felony Court: Feminist Theories of Lawbreaking and Problems </w:t>
      </w:r>
      <w:r>
        <w:rPr>
          <w:spacing w:val="-1"/>
        </w:rPr>
        <w:t xml:space="preserve">of Representation’ (1992) 2 </w:t>
      </w:r>
      <w:r>
        <w:rPr>
          <w:rStyle w:val="Italic"/>
          <w:spacing w:val="-1"/>
        </w:rPr>
        <w:t xml:space="preserve">Southern California Review of Law and Women’s Studies </w:t>
      </w:r>
      <w:r>
        <w:rPr>
          <w:spacing w:val="-1"/>
        </w:rPr>
        <w:t xml:space="preserve">11, 23–45; Lorana </w:t>
      </w:r>
      <w:r>
        <w:t xml:space="preserve">Bartels et al., </w:t>
      </w:r>
      <w:proofErr w:type="gramStart"/>
      <w:r>
        <w:rPr>
          <w:rStyle w:val="Italic"/>
        </w:rPr>
        <w:t>Responding</w:t>
      </w:r>
      <w:proofErr w:type="gramEnd"/>
      <w:r>
        <w:rPr>
          <w:rStyle w:val="Italic"/>
        </w:rPr>
        <w:t xml:space="preserve"> to the Needs of Women and Girls Involved with Court Services </w:t>
      </w:r>
      <w:r>
        <w:t>(2024) 15–16.</w:t>
      </w:r>
    </w:p>
  </w:footnote>
  <w:footnote w:id="29">
    <w:p w14:paraId="49F14A56" w14:textId="54800DD4" w:rsidR="001B4B37" w:rsidRDefault="001B4B37" w:rsidP="00FF51B5">
      <w:pPr>
        <w:pStyle w:val="Footnote"/>
      </w:pPr>
      <w:r>
        <w:rPr>
          <w:vertAlign w:val="superscript"/>
        </w:rPr>
        <w:footnoteRef/>
      </w:r>
      <w:r>
        <w:t>.</w:t>
      </w:r>
      <w:r>
        <w:tab/>
        <w:t xml:space="preserve">Section 361 will soon be replaced by a similar provision: </w:t>
      </w:r>
      <w:r>
        <w:rPr>
          <w:rStyle w:val="Italic"/>
        </w:rPr>
        <w:t xml:space="preserve">Youth Justice Act 2024 </w:t>
      </w:r>
      <w:r>
        <w:t>(Vic) s 240.</w:t>
      </w:r>
    </w:p>
  </w:footnote>
  <w:footnote w:id="30">
    <w:p w14:paraId="2EBA8CB9" w14:textId="4F9F656B" w:rsidR="001B4B37" w:rsidRDefault="001B4B37" w:rsidP="00FF51B5">
      <w:pPr>
        <w:pStyle w:val="Footnote"/>
      </w:pPr>
      <w:r>
        <w:rPr>
          <w:vertAlign w:val="superscript"/>
        </w:rPr>
        <w:footnoteRef/>
      </w:r>
      <w:r>
        <w:t>.</w:t>
      </w:r>
      <w:r>
        <w:tab/>
      </w:r>
      <w:r>
        <w:rPr>
          <w:rStyle w:val="Italic"/>
        </w:rPr>
        <w:t xml:space="preserve">Children, Youth and Families Act 2005 </w:t>
      </w:r>
      <w:r>
        <w:t>(Vic) s 361.</w:t>
      </w:r>
    </w:p>
  </w:footnote>
  <w:footnote w:id="31">
    <w:p w14:paraId="5AC5A44D" w14:textId="0DA49461" w:rsidR="001B4B37" w:rsidRDefault="001B4B37" w:rsidP="003A4A11">
      <w:pPr>
        <w:pStyle w:val="Footnote"/>
      </w:pPr>
      <w:r>
        <w:rPr>
          <w:vertAlign w:val="superscript"/>
        </w:rPr>
        <w:footnoteRef/>
      </w:r>
      <w:r>
        <w:t>.</w:t>
      </w:r>
      <w:r>
        <w:tab/>
        <w:t>Youth attendance orders were imposed for 27 charges, and youth supervision orders were imposed for 87 charges.</w:t>
      </w:r>
    </w:p>
  </w:footnote>
  <w:footnote w:id="32">
    <w:p w14:paraId="1CF318A0" w14:textId="20663FA6" w:rsidR="001B4B37" w:rsidRDefault="001B4B37" w:rsidP="003A4A11">
      <w:pPr>
        <w:pStyle w:val="Footnote"/>
      </w:pPr>
      <w:r>
        <w:rPr>
          <w:vertAlign w:val="superscript"/>
        </w:rPr>
        <w:footnoteRef/>
      </w:r>
      <w:r>
        <w:t>.</w:t>
      </w:r>
      <w:r>
        <w:tab/>
        <w:t xml:space="preserve">While diversion is not a sentence </w:t>
      </w:r>
      <w:r>
        <w:rPr>
          <w:rStyle w:val="Italic"/>
        </w:rPr>
        <w:t>per se</w:t>
      </w:r>
      <w:r>
        <w:t xml:space="preserve">, it is an important disposition of criminal proceedings and does involve the child accepting responsibility for their behaviour: </w:t>
      </w:r>
      <w:r>
        <w:rPr>
          <w:rStyle w:val="Italic"/>
        </w:rPr>
        <w:t xml:space="preserve">Children, Youth and Families Act 2005 </w:t>
      </w:r>
      <w:r>
        <w:t>(Vic) ss 356D–356E.</w:t>
      </w:r>
    </w:p>
  </w:footnote>
  <w:footnote w:id="33">
    <w:p w14:paraId="068681EE" w14:textId="7ACC5992" w:rsidR="001B4B37" w:rsidRDefault="001B4B37" w:rsidP="006E6B08">
      <w:pPr>
        <w:pStyle w:val="Footnote"/>
      </w:pPr>
      <w:r>
        <w:rPr>
          <w:vertAlign w:val="superscript"/>
        </w:rPr>
        <w:footnoteRef/>
      </w:r>
      <w:r>
        <w:t>.</w:t>
      </w:r>
      <w:r>
        <w:tab/>
      </w:r>
      <w:r>
        <w:rPr>
          <w:rStyle w:val="Italic"/>
        </w:rPr>
        <w:t xml:space="preserve">Sentencing Act 1991 </w:t>
      </w:r>
      <w:r>
        <w:t>(Vic) s 32(2D).</w:t>
      </w:r>
    </w:p>
  </w:footnote>
  <w:footnote w:id="34">
    <w:p w14:paraId="5443A80D" w14:textId="50331B93" w:rsidR="001B4B37" w:rsidRDefault="001B4B37" w:rsidP="00CE0D81">
      <w:pPr>
        <w:pStyle w:val="Footnote"/>
      </w:pPr>
      <w:r>
        <w:rPr>
          <w:vertAlign w:val="superscript"/>
        </w:rPr>
        <w:footnoteRef/>
      </w:r>
      <w:r>
        <w:t>.</w:t>
      </w:r>
      <w:r>
        <w:tab/>
      </w:r>
      <w:r>
        <w:rPr>
          <w:rStyle w:val="Italic"/>
        </w:rPr>
        <w:t xml:space="preserve">Sentencing Act 1991 </w:t>
      </w:r>
      <w:r>
        <w:t xml:space="preserve">(Vic) s 32(3)(b). The court must, though, be of the view that ‘there are reasonable prospects for the rehabilitation of the young offender’ or ‘that the young offender is particularly impressionable, immature or likely to be subjected to undesirable influences in an adult prison’: </w:t>
      </w:r>
      <w:r>
        <w:rPr>
          <w:rStyle w:val="Italic"/>
        </w:rPr>
        <w:t xml:space="preserve">Sentencing Act 1991 </w:t>
      </w:r>
      <w:r>
        <w:t>(Vic) s 32(1).</w:t>
      </w:r>
    </w:p>
  </w:footnote>
  <w:footnote w:id="35">
    <w:p w14:paraId="15A0ED9C" w14:textId="4C824080" w:rsidR="001B4B37" w:rsidRDefault="001B4B37" w:rsidP="00372652">
      <w:pPr>
        <w:pStyle w:val="Footnote"/>
      </w:pPr>
      <w:r>
        <w:rPr>
          <w:vertAlign w:val="superscript"/>
        </w:rPr>
        <w:footnoteRef/>
      </w:r>
      <w:r>
        <w:t>.</w:t>
      </w:r>
      <w:r>
        <w:tab/>
      </w:r>
      <w:r>
        <w:rPr>
          <w:rStyle w:val="Italic"/>
        </w:rPr>
        <w:t xml:space="preserve">DPP v Jal </w:t>
      </w:r>
      <w:r>
        <w:t xml:space="preserve">[2021] VCC 488; </w:t>
      </w:r>
      <w:r>
        <w:rPr>
          <w:rStyle w:val="Italic"/>
        </w:rPr>
        <w:t xml:space="preserve">DPP v Kuan </w:t>
      </w:r>
      <w:r>
        <w:t>[2024] VCC 160.</w:t>
      </w:r>
    </w:p>
  </w:footnote>
  <w:footnote w:id="36">
    <w:p w14:paraId="59C82CFF" w14:textId="77777777" w:rsidR="001B4B37" w:rsidRDefault="001B4B37" w:rsidP="001B4B37">
      <w:pPr>
        <w:pStyle w:val="Footnote"/>
      </w:pPr>
      <w:r>
        <w:rPr>
          <w:vertAlign w:val="superscript"/>
        </w:rPr>
        <w:footnoteRef/>
      </w:r>
      <w:r>
        <w:t>.</w:t>
      </w:r>
      <w:r>
        <w:tab/>
        <w:t xml:space="preserve">See, for example, </w:t>
      </w:r>
      <w:r>
        <w:rPr>
          <w:rStyle w:val="Italic"/>
        </w:rPr>
        <w:t xml:space="preserve">WB v DPP </w:t>
      </w:r>
      <w:r>
        <w:t xml:space="preserve">[2019] </w:t>
      </w:r>
      <w:proofErr w:type="spellStart"/>
      <w:r>
        <w:t>VChC</w:t>
      </w:r>
      <w:proofErr w:type="spellEnd"/>
      <w:r>
        <w:t xml:space="preserve"> 1. For a case where an application for transfer back to the Children’s Court was unsuccessful and which interprets the phrase ‘substantial and compelling reason’, see </w:t>
      </w:r>
      <w:r>
        <w:rPr>
          <w:rStyle w:val="Italic"/>
        </w:rPr>
        <w:t xml:space="preserve">PT v DPP </w:t>
      </w:r>
      <w:r>
        <w:t xml:space="preserve">[2019] VCC 836. In 2019, the Children’s Court said that the introduction of category A and B offence classification had resulted in ‘an increase in applications … for summary jurisdiction’: Children’s Court of Victoria, Submission 17 to Victorian Law Reform Commission, </w:t>
      </w:r>
      <w:r>
        <w:rPr>
          <w:rStyle w:val="Italic"/>
        </w:rPr>
        <w:t xml:space="preserve">Review of Committals </w:t>
      </w:r>
      <w:r>
        <w:t xml:space="preserve">(2019) 10. The Children’s Court also said that the increase in applications for summary jurisdiction was creating delays: Victorian Law Reform Commission, </w:t>
      </w:r>
      <w:r>
        <w:rPr>
          <w:rStyle w:val="Italic"/>
        </w:rPr>
        <w:t xml:space="preserve">Committals: Report </w:t>
      </w:r>
      <w:r>
        <w:t>(2020) 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D3DA" w14:textId="1E8A8F5B" w:rsidR="00553AA8" w:rsidRPr="00DE2015" w:rsidRDefault="00C2025E" w:rsidP="00C2025E">
    <w:pPr>
      <w:pStyle w:val="HeaderRight"/>
    </w:pPr>
    <w:r w:rsidRPr="00F542DB">
      <w:rPr>
        <w:i/>
        <w:iCs/>
      </w:rPr>
      <w:t>Category A and B Serious Youth Offences Committed by Children and Young People</w:t>
    </w:r>
    <w:r>
      <w:t xml:space="preserve"> </w:t>
    </w:r>
    <w:r w:rsidR="00553AA8" w:rsidRPr="00DE2015">
      <w:rPr>
        <w:rFonts w:ascii="Arial" w:hAnsi="Arial" w:cs="Arial"/>
      </w:rPr>
      <w:t>●</w:t>
    </w:r>
    <w:r w:rsidR="00553AA8" w:rsidRPr="00DE2015">
      <w:t xml:space="preserve"> </w:t>
    </w:r>
    <w:r>
      <w:t xml:space="preserve">June </w:t>
    </w:r>
    <w:r w:rsidR="00512E6C">
      <w:t>202</w:t>
    </w:r>
    <w:r w:rsidR="006D7B60">
      <w:t>6</w:t>
    </w:r>
    <w:r w:rsidR="00553AA8" w:rsidRPr="00DE2015">
      <w:t xml:space="preserve"> </w:t>
    </w:r>
    <w:r w:rsidR="00553AA8" w:rsidRPr="00DE2015">
      <w:rPr>
        <w:rFonts w:ascii="Arial" w:hAnsi="Arial" w:cs="Arial"/>
      </w:rPr>
      <w:t>●</w:t>
    </w:r>
    <w:r w:rsidR="00553AA8" w:rsidRPr="00DE2015">
      <w:t xml:space="preserve"> Sentencing Advisory Council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97F"/>
    <w:multiLevelType w:val="hybridMultilevel"/>
    <w:tmpl w:val="28268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906CDB"/>
    <w:multiLevelType w:val="hybridMultilevel"/>
    <w:tmpl w:val="53624E0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460667"/>
    <w:multiLevelType w:val="hybridMultilevel"/>
    <w:tmpl w:val="70062B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D11449"/>
    <w:multiLevelType w:val="hybridMultilevel"/>
    <w:tmpl w:val="BFBE8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F6721C"/>
    <w:multiLevelType w:val="hybridMultilevel"/>
    <w:tmpl w:val="CCFECD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BC2350"/>
    <w:multiLevelType w:val="hybridMultilevel"/>
    <w:tmpl w:val="E11ED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EE10FE"/>
    <w:multiLevelType w:val="hybridMultilevel"/>
    <w:tmpl w:val="62D62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BD2207"/>
    <w:multiLevelType w:val="hybridMultilevel"/>
    <w:tmpl w:val="1F7E7B3A"/>
    <w:lvl w:ilvl="0" w:tplc="B6348BB6">
      <w:start w:val="1"/>
      <w:numFmt w:val="bullet"/>
      <w:pStyle w:val="Bullets"/>
      <w:lvlText w:val=""/>
      <w:lvlJc w:val="left"/>
      <w:pPr>
        <w:ind w:left="1296" w:hanging="360"/>
      </w:pPr>
      <w:rPr>
        <w:rFonts w:ascii="Symbol" w:hAnsi="Symbol" w:hint="default"/>
      </w:rPr>
    </w:lvl>
    <w:lvl w:ilvl="1" w:tplc="0C090003">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8" w15:restartNumberingAfterBreak="0">
    <w:nsid w:val="32FE6D65"/>
    <w:multiLevelType w:val="hybridMultilevel"/>
    <w:tmpl w:val="01DCA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724048"/>
    <w:multiLevelType w:val="multilevel"/>
    <w:tmpl w:val="16FABB18"/>
    <w:lvl w:ilvl="0">
      <w:start w:val="1"/>
      <w:numFmt w:val="decimal"/>
      <w:pStyle w:val="Heading1Numbered"/>
      <w:lvlText w:val="%1"/>
      <w:lvlJc w:val="left"/>
      <w:pPr>
        <w:ind w:left="432" w:hanging="432"/>
      </w:pPr>
      <w:rPr>
        <w:rFonts w:hint="default"/>
      </w:rPr>
    </w:lvl>
    <w:lvl w:ilvl="1">
      <w:start w:val="1"/>
      <w:numFmt w:val="decimal"/>
      <w:pStyle w:val="Numbered"/>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BE02FF7"/>
    <w:multiLevelType w:val="hybridMultilevel"/>
    <w:tmpl w:val="B1300D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9517581"/>
    <w:multiLevelType w:val="hybridMultilevel"/>
    <w:tmpl w:val="62D62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733366">
    <w:abstractNumId w:val="9"/>
  </w:num>
  <w:num w:numId="2" w16cid:durableId="1178808608">
    <w:abstractNumId w:val="7"/>
  </w:num>
  <w:num w:numId="3" w16cid:durableId="851182792">
    <w:abstractNumId w:val="1"/>
  </w:num>
  <w:num w:numId="4" w16cid:durableId="944730292">
    <w:abstractNumId w:val="11"/>
  </w:num>
  <w:num w:numId="5" w16cid:durableId="1689671258">
    <w:abstractNumId w:val="0"/>
  </w:num>
  <w:num w:numId="6" w16cid:durableId="2038191338">
    <w:abstractNumId w:val="3"/>
  </w:num>
  <w:num w:numId="7" w16cid:durableId="1814717269">
    <w:abstractNumId w:val="6"/>
  </w:num>
  <w:num w:numId="8" w16cid:durableId="1548833423">
    <w:abstractNumId w:val="2"/>
  </w:num>
  <w:num w:numId="9" w16cid:durableId="190804964">
    <w:abstractNumId w:val="5"/>
  </w:num>
  <w:num w:numId="10" w16cid:durableId="1725373192">
    <w:abstractNumId w:val="8"/>
  </w:num>
  <w:num w:numId="11" w16cid:durableId="119230041">
    <w:abstractNumId w:val="4"/>
  </w:num>
  <w:num w:numId="12" w16cid:durableId="65191398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992"/>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3D0"/>
    <w:rsid w:val="00005983"/>
    <w:rsid w:val="00005C26"/>
    <w:rsid w:val="00005EF5"/>
    <w:rsid w:val="00007C8C"/>
    <w:rsid w:val="00014E52"/>
    <w:rsid w:val="00014F2C"/>
    <w:rsid w:val="000171EF"/>
    <w:rsid w:val="00024B20"/>
    <w:rsid w:val="00025D6B"/>
    <w:rsid w:val="00026071"/>
    <w:rsid w:val="000319F4"/>
    <w:rsid w:val="00031D5F"/>
    <w:rsid w:val="00034AE6"/>
    <w:rsid w:val="00034CE9"/>
    <w:rsid w:val="00035413"/>
    <w:rsid w:val="000427AA"/>
    <w:rsid w:val="00050B03"/>
    <w:rsid w:val="00050B8A"/>
    <w:rsid w:val="00050BF8"/>
    <w:rsid w:val="00050EE9"/>
    <w:rsid w:val="00053A2E"/>
    <w:rsid w:val="00057C77"/>
    <w:rsid w:val="0006596C"/>
    <w:rsid w:val="00066093"/>
    <w:rsid w:val="00066A46"/>
    <w:rsid w:val="00067FA5"/>
    <w:rsid w:val="000706AC"/>
    <w:rsid w:val="00072BF5"/>
    <w:rsid w:val="0007307E"/>
    <w:rsid w:val="0007454B"/>
    <w:rsid w:val="00075ECD"/>
    <w:rsid w:val="00077D55"/>
    <w:rsid w:val="000802AD"/>
    <w:rsid w:val="00083BE5"/>
    <w:rsid w:val="000841B0"/>
    <w:rsid w:val="00084687"/>
    <w:rsid w:val="000853D4"/>
    <w:rsid w:val="00086F87"/>
    <w:rsid w:val="000872ED"/>
    <w:rsid w:val="00087791"/>
    <w:rsid w:val="00090773"/>
    <w:rsid w:val="00091E82"/>
    <w:rsid w:val="00094625"/>
    <w:rsid w:val="00094B2B"/>
    <w:rsid w:val="000A3913"/>
    <w:rsid w:val="000B028C"/>
    <w:rsid w:val="000B1B6C"/>
    <w:rsid w:val="000B45FD"/>
    <w:rsid w:val="000B4F53"/>
    <w:rsid w:val="000B5247"/>
    <w:rsid w:val="000B634A"/>
    <w:rsid w:val="000C1D67"/>
    <w:rsid w:val="000C2770"/>
    <w:rsid w:val="000C4075"/>
    <w:rsid w:val="000C5A4C"/>
    <w:rsid w:val="000C68BF"/>
    <w:rsid w:val="000D0266"/>
    <w:rsid w:val="000D0920"/>
    <w:rsid w:val="000D1F9C"/>
    <w:rsid w:val="000D3D73"/>
    <w:rsid w:val="000D402E"/>
    <w:rsid w:val="000D4AB1"/>
    <w:rsid w:val="000D4ACB"/>
    <w:rsid w:val="000E08CE"/>
    <w:rsid w:val="000E1D9C"/>
    <w:rsid w:val="000E2235"/>
    <w:rsid w:val="000E2800"/>
    <w:rsid w:val="000E5838"/>
    <w:rsid w:val="000F23AE"/>
    <w:rsid w:val="000F454E"/>
    <w:rsid w:val="000F73E4"/>
    <w:rsid w:val="00100EA6"/>
    <w:rsid w:val="00102BC7"/>
    <w:rsid w:val="0010478D"/>
    <w:rsid w:val="00105B94"/>
    <w:rsid w:val="00106679"/>
    <w:rsid w:val="00107BCD"/>
    <w:rsid w:val="00111982"/>
    <w:rsid w:val="001123B9"/>
    <w:rsid w:val="00112A73"/>
    <w:rsid w:val="00114896"/>
    <w:rsid w:val="00120452"/>
    <w:rsid w:val="00124D50"/>
    <w:rsid w:val="00125046"/>
    <w:rsid w:val="0012507A"/>
    <w:rsid w:val="001259F0"/>
    <w:rsid w:val="00125E7F"/>
    <w:rsid w:val="0012645E"/>
    <w:rsid w:val="00131244"/>
    <w:rsid w:val="00135356"/>
    <w:rsid w:val="00135C30"/>
    <w:rsid w:val="001405EA"/>
    <w:rsid w:val="0014068F"/>
    <w:rsid w:val="0014301C"/>
    <w:rsid w:val="001446F6"/>
    <w:rsid w:val="001459BF"/>
    <w:rsid w:val="001463DE"/>
    <w:rsid w:val="00150C14"/>
    <w:rsid w:val="00150DBB"/>
    <w:rsid w:val="00152192"/>
    <w:rsid w:val="00156186"/>
    <w:rsid w:val="00160502"/>
    <w:rsid w:val="001615C7"/>
    <w:rsid w:val="001618CF"/>
    <w:rsid w:val="00165B10"/>
    <w:rsid w:val="001671A3"/>
    <w:rsid w:val="00173049"/>
    <w:rsid w:val="00175A75"/>
    <w:rsid w:val="00175B23"/>
    <w:rsid w:val="00177475"/>
    <w:rsid w:val="00177B78"/>
    <w:rsid w:val="00181117"/>
    <w:rsid w:val="001833B4"/>
    <w:rsid w:val="0018415B"/>
    <w:rsid w:val="00190511"/>
    <w:rsid w:val="001917EB"/>
    <w:rsid w:val="00191E69"/>
    <w:rsid w:val="00193059"/>
    <w:rsid w:val="00193952"/>
    <w:rsid w:val="00194697"/>
    <w:rsid w:val="00196BD3"/>
    <w:rsid w:val="00196FF4"/>
    <w:rsid w:val="001970F5"/>
    <w:rsid w:val="001A0831"/>
    <w:rsid w:val="001A2E09"/>
    <w:rsid w:val="001A72C5"/>
    <w:rsid w:val="001B1486"/>
    <w:rsid w:val="001B2460"/>
    <w:rsid w:val="001B255C"/>
    <w:rsid w:val="001B4B37"/>
    <w:rsid w:val="001B6151"/>
    <w:rsid w:val="001B7F6F"/>
    <w:rsid w:val="001C5197"/>
    <w:rsid w:val="001D3B29"/>
    <w:rsid w:val="001D4674"/>
    <w:rsid w:val="001D54DB"/>
    <w:rsid w:val="001E0CC8"/>
    <w:rsid w:val="001E11EF"/>
    <w:rsid w:val="001E2A4C"/>
    <w:rsid w:val="001E3774"/>
    <w:rsid w:val="001E4E27"/>
    <w:rsid w:val="001E54C9"/>
    <w:rsid w:val="001E694E"/>
    <w:rsid w:val="001E6C0C"/>
    <w:rsid w:val="001F00B9"/>
    <w:rsid w:val="001F471E"/>
    <w:rsid w:val="001F7595"/>
    <w:rsid w:val="001F7BAD"/>
    <w:rsid w:val="002012C0"/>
    <w:rsid w:val="00202F0B"/>
    <w:rsid w:val="00203831"/>
    <w:rsid w:val="00206AF3"/>
    <w:rsid w:val="00207E1C"/>
    <w:rsid w:val="00212F61"/>
    <w:rsid w:val="00217FD7"/>
    <w:rsid w:val="002209C8"/>
    <w:rsid w:val="00220B05"/>
    <w:rsid w:val="002220B3"/>
    <w:rsid w:val="002225C5"/>
    <w:rsid w:val="00225FA5"/>
    <w:rsid w:val="002323A3"/>
    <w:rsid w:val="00236601"/>
    <w:rsid w:val="00237083"/>
    <w:rsid w:val="00237CDC"/>
    <w:rsid w:val="002410D8"/>
    <w:rsid w:val="002429C7"/>
    <w:rsid w:val="002472CC"/>
    <w:rsid w:val="0025199A"/>
    <w:rsid w:val="002546D0"/>
    <w:rsid w:val="00257443"/>
    <w:rsid w:val="00261201"/>
    <w:rsid w:val="00263161"/>
    <w:rsid w:val="00266234"/>
    <w:rsid w:val="00266788"/>
    <w:rsid w:val="00270C5B"/>
    <w:rsid w:val="00272FAB"/>
    <w:rsid w:val="00282BBF"/>
    <w:rsid w:val="00283226"/>
    <w:rsid w:val="00283254"/>
    <w:rsid w:val="00286947"/>
    <w:rsid w:val="00287374"/>
    <w:rsid w:val="0028752B"/>
    <w:rsid w:val="00292143"/>
    <w:rsid w:val="002940A2"/>
    <w:rsid w:val="00294202"/>
    <w:rsid w:val="002A0E65"/>
    <w:rsid w:val="002A2B29"/>
    <w:rsid w:val="002A32E7"/>
    <w:rsid w:val="002A466E"/>
    <w:rsid w:val="002B0695"/>
    <w:rsid w:val="002B1984"/>
    <w:rsid w:val="002B19E1"/>
    <w:rsid w:val="002B2B70"/>
    <w:rsid w:val="002B73A2"/>
    <w:rsid w:val="002C2130"/>
    <w:rsid w:val="002C24B1"/>
    <w:rsid w:val="002C2CA7"/>
    <w:rsid w:val="002C2F57"/>
    <w:rsid w:val="002C3862"/>
    <w:rsid w:val="002C4F89"/>
    <w:rsid w:val="002C7B59"/>
    <w:rsid w:val="002D0B8A"/>
    <w:rsid w:val="002D322E"/>
    <w:rsid w:val="002D32D6"/>
    <w:rsid w:val="002D3764"/>
    <w:rsid w:val="002D579F"/>
    <w:rsid w:val="002D6557"/>
    <w:rsid w:val="002E1559"/>
    <w:rsid w:val="002E273B"/>
    <w:rsid w:val="002E35E9"/>
    <w:rsid w:val="002E3907"/>
    <w:rsid w:val="002E564C"/>
    <w:rsid w:val="002E6A34"/>
    <w:rsid w:val="002E7B69"/>
    <w:rsid w:val="002F0CCB"/>
    <w:rsid w:val="002F2DB3"/>
    <w:rsid w:val="002F48E4"/>
    <w:rsid w:val="002F630E"/>
    <w:rsid w:val="002F7907"/>
    <w:rsid w:val="002F79C0"/>
    <w:rsid w:val="003037D0"/>
    <w:rsid w:val="0030606D"/>
    <w:rsid w:val="00306BA2"/>
    <w:rsid w:val="00307BF1"/>
    <w:rsid w:val="00307F8D"/>
    <w:rsid w:val="0031200C"/>
    <w:rsid w:val="00315385"/>
    <w:rsid w:val="00315675"/>
    <w:rsid w:val="00315FC2"/>
    <w:rsid w:val="003220B1"/>
    <w:rsid w:val="003245F2"/>
    <w:rsid w:val="0032633A"/>
    <w:rsid w:val="00330725"/>
    <w:rsid w:val="00331208"/>
    <w:rsid w:val="003316F3"/>
    <w:rsid w:val="00331878"/>
    <w:rsid w:val="003330BE"/>
    <w:rsid w:val="00334D30"/>
    <w:rsid w:val="00337A67"/>
    <w:rsid w:val="00342CAB"/>
    <w:rsid w:val="00346383"/>
    <w:rsid w:val="00347C2A"/>
    <w:rsid w:val="00350E89"/>
    <w:rsid w:val="00351472"/>
    <w:rsid w:val="00351B54"/>
    <w:rsid w:val="00352D71"/>
    <w:rsid w:val="00353A49"/>
    <w:rsid w:val="00354898"/>
    <w:rsid w:val="003564D1"/>
    <w:rsid w:val="003571B8"/>
    <w:rsid w:val="0036597D"/>
    <w:rsid w:val="00365FDF"/>
    <w:rsid w:val="003700BC"/>
    <w:rsid w:val="00370D1B"/>
    <w:rsid w:val="00371AAD"/>
    <w:rsid w:val="0037242E"/>
    <w:rsid w:val="003724FA"/>
    <w:rsid w:val="00372652"/>
    <w:rsid w:val="00372C51"/>
    <w:rsid w:val="00375ED2"/>
    <w:rsid w:val="00377D92"/>
    <w:rsid w:val="00381F52"/>
    <w:rsid w:val="00382F0D"/>
    <w:rsid w:val="00383796"/>
    <w:rsid w:val="003860CE"/>
    <w:rsid w:val="0038711E"/>
    <w:rsid w:val="0039033E"/>
    <w:rsid w:val="0039053D"/>
    <w:rsid w:val="00392E08"/>
    <w:rsid w:val="003948B9"/>
    <w:rsid w:val="00395F6D"/>
    <w:rsid w:val="00397C4D"/>
    <w:rsid w:val="003A4A11"/>
    <w:rsid w:val="003A5A87"/>
    <w:rsid w:val="003A76C8"/>
    <w:rsid w:val="003B1BD7"/>
    <w:rsid w:val="003B442C"/>
    <w:rsid w:val="003B4F5C"/>
    <w:rsid w:val="003B6E5E"/>
    <w:rsid w:val="003B78C2"/>
    <w:rsid w:val="003C1854"/>
    <w:rsid w:val="003C3218"/>
    <w:rsid w:val="003C3859"/>
    <w:rsid w:val="003C3B63"/>
    <w:rsid w:val="003C4A70"/>
    <w:rsid w:val="003C5193"/>
    <w:rsid w:val="003D5C43"/>
    <w:rsid w:val="003F33A3"/>
    <w:rsid w:val="003F4090"/>
    <w:rsid w:val="003F42B1"/>
    <w:rsid w:val="003F790A"/>
    <w:rsid w:val="003F7D3A"/>
    <w:rsid w:val="00400CEB"/>
    <w:rsid w:val="00401C3E"/>
    <w:rsid w:val="004055B5"/>
    <w:rsid w:val="00405F78"/>
    <w:rsid w:val="00407094"/>
    <w:rsid w:val="004104F1"/>
    <w:rsid w:val="004106B3"/>
    <w:rsid w:val="00411E3C"/>
    <w:rsid w:val="004137CE"/>
    <w:rsid w:val="00413E64"/>
    <w:rsid w:val="00415A0A"/>
    <w:rsid w:val="00415FFD"/>
    <w:rsid w:val="0042101E"/>
    <w:rsid w:val="00423332"/>
    <w:rsid w:val="004250D9"/>
    <w:rsid w:val="00426FD2"/>
    <w:rsid w:val="00433B52"/>
    <w:rsid w:val="00437797"/>
    <w:rsid w:val="00440A9C"/>
    <w:rsid w:val="004520D1"/>
    <w:rsid w:val="004536B6"/>
    <w:rsid w:val="0045578F"/>
    <w:rsid w:val="00457D97"/>
    <w:rsid w:val="00463CE9"/>
    <w:rsid w:val="004665B1"/>
    <w:rsid w:val="00470753"/>
    <w:rsid w:val="004718A9"/>
    <w:rsid w:val="0047306E"/>
    <w:rsid w:val="0047446E"/>
    <w:rsid w:val="0047521D"/>
    <w:rsid w:val="00475FBD"/>
    <w:rsid w:val="00480D98"/>
    <w:rsid w:val="00481FD8"/>
    <w:rsid w:val="0048437A"/>
    <w:rsid w:val="004848D8"/>
    <w:rsid w:val="0048637D"/>
    <w:rsid w:val="00486BB8"/>
    <w:rsid w:val="00487398"/>
    <w:rsid w:val="00487F5F"/>
    <w:rsid w:val="00490430"/>
    <w:rsid w:val="0049264A"/>
    <w:rsid w:val="004936FB"/>
    <w:rsid w:val="00495415"/>
    <w:rsid w:val="00496282"/>
    <w:rsid w:val="00497483"/>
    <w:rsid w:val="004A0373"/>
    <w:rsid w:val="004A0D39"/>
    <w:rsid w:val="004A2CF3"/>
    <w:rsid w:val="004A358D"/>
    <w:rsid w:val="004A4D79"/>
    <w:rsid w:val="004A62A0"/>
    <w:rsid w:val="004B068E"/>
    <w:rsid w:val="004B0C4E"/>
    <w:rsid w:val="004B0C75"/>
    <w:rsid w:val="004B12EE"/>
    <w:rsid w:val="004B3DC2"/>
    <w:rsid w:val="004B4B98"/>
    <w:rsid w:val="004B599A"/>
    <w:rsid w:val="004C1627"/>
    <w:rsid w:val="004C1909"/>
    <w:rsid w:val="004C4F65"/>
    <w:rsid w:val="004C52D3"/>
    <w:rsid w:val="004D0185"/>
    <w:rsid w:val="004D055D"/>
    <w:rsid w:val="004D05B8"/>
    <w:rsid w:val="004D2CCF"/>
    <w:rsid w:val="004D43CF"/>
    <w:rsid w:val="004D5939"/>
    <w:rsid w:val="004D5EE2"/>
    <w:rsid w:val="004D77B3"/>
    <w:rsid w:val="004D7804"/>
    <w:rsid w:val="004E0049"/>
    <w:rsid w:val="004E307B"/>
    <w:rsid w:val="004E42C7"/>
    <w:rsid w:val="004E5E37"/>
    <w:rsid w:val="004E6367"/>
    <w:rsid w:val="004F582A"/>
    <w:rsid w:val="004F6812"/>
    <w:rsid w:val="004F73C6"/>
    <w:rsid w:val="004F73F4"/>
    <w:rsid w:val="005016C9"/>
    <w:rsid w:val="00501A0E"/>
    <w:rsid w:val="005033AB"/>
    <w:rsid w:val="0050547B"/>
    <w:rsid w:val="005120E4"/>
    <w:rsid w:val="00512E6C"/>
    <w:rsid w:val="00513540"/>
    <w:rsid w:val="0052130D"/>
    <w:rsid w:val="00523664"/>
    <w:rsid w:val="00523CF1"/>
    <w:rsid w:val="00526D86"/>
    <w:rsid w:val="00527848"/>
    <w:rsid w:val="00527C8C"/>
    <w:rsid w:val="00533377"/>
    <w:rsid w:val="00533AD1"/>
    <w:rsid w:val="005348A5"/>
    <w:rsid w:val="005373CC"/>
    <w:rsid w:val="00540092"/>
    <w:rsid w:val="00542BCC"/>
    <w:rsid w:val="0054478E"/>
    <w:rsid w:val="00547947"/>
    <w:rsid w:val="00550862"/>
    <w:rsid w:val="00552ED1"/>
    <w:rsid w:val="00553AA8"/>
    <w:rsid w:val="00554B0F"/>
    <w:rsid w:val="0056002A"/>
    <w:rsid w:val="00561750"/>
    <w:rsid w:val="0056175F"/>
    <w:rsid w:val="005644A6"/>
    <w:rsid w:val="0056637C"/>
    <w:rsid w:val="0056748A"/>
    <w:rsid w:val="0056750D"/>
    <w:rsid w:val="0057222A"/>
    <w:rsid w:val="00574AE9"/>
    <w:rsid w:val="00576EFD"/>
    <w:rsid w:val="00580AF1"/>
    <w:rsid w:val="0058328D"/>
    <w:rsid w:val="00585094"/>
    <w:rsid w:val="00585E11"/>
    <w:rsid w:val="00586F19"/>
    <w:rsid w:val="00591544"/>
    <w:rsid w:val="0059183C"/>
    <w:rsid w:val="00597FC9"/>
    <w:rsid w:val="005A1A70"/>
    <w:rsid w:val="005A2DD8"/>
    <w:rsid w:val="005A3418"/>
    <w:rsid w:val="005A3FCE"/>
    <w:rsid w:val="005A4851"/>
    <w:rsid w:val="005A5FC3"/>
    <w:rsid w:val="005A69E7"/>
    <w:rsid w:val="005A6AD2"/>
    <w:rsid w:val="005B3F45"/>
    <w:rsid w:val="005B7138"/>
    <w:rsid w:val="005C16F8"/>
    <w:rsid w:val="005C7673"/>
    <w:rsid w:val="005D00F7"/>
    <w:rsid w:val="005D1C21"/>
    <w:rsid w:val="005D3C51"/>
    <w:rsid w:val="005D47B9"/>
    <w:rsid w:val="005D56D5"/>
    <w:rsid w:val="005D72E6"/>
    <w:rsid w:val="005D7580"/>
    <w:rsid w:val="005D7939"/>
    <w:rsid w:val="005D7FEE"/>
    <w:rsid w:val="005E03B9"/>
    <w:rsid w:val="005E08D5"/>
    <w:rsid w:val="005E12E2"/>
    <w:rsid w:val="005E1829"/>
    <w:rsid w:val="005E444F"/>
    <w:rsid w:val="005E70A1"/>
    <w:rsid w:val="005F13DF"/>
    <w:rsid w:val="005F2AE7"/>
    <w:rsid w:val="005F438A"/>
    <w:rsid w:val="005F6FA9"/>
    <w:rsid w:val="00600D96"/>
    <w:rsid w:val="00613286"/>
    <w:rsid w:val="00615D12"/>
    <w:rsid w:val="006171C6"/>
    <w:rsid w:val="00620DC8"/>
    <w:rsid w:val="00621735"/>
    <w:rsid w:val="0062388D"/>
    <w:rsid w:val="00623C6B"/>
    <w:rsid w:val="006267C3"/>
    <w:rsid w:val="00630CA8"/>
    <w:rsid w:val="0063162A"/>
    <w:rsid w:val="00632D14"/>
    <w:rsid w:val="00633044"/>
    <w:rsid w:val="0063308C"/>
    <w:rsid w:val="00633FF7"/>
    <w:rsid w:val="00634244"/>
    <w:rsid w:val="00635F73"/>
    <w:rsid w:val="00636B72"/>
    <w:rsid w:val="00637285"/>
    <w:rsid w:val="006405B6"/>
    <w:rsid w:val="0064076A"/>
    <w:rsid w:val="0064110C"/>
    <w:rsid w:val="00641DA6"/>
    <w:rsid w:val="006427FE"/>
    <w:rsid w:val="0064397B"/>
    <w:rsid w:val="00643AE3"/>
    <w:rsid w:val="0065042D"/>
    <w:rsid w:val="00652DBC"/>
    <w:rsid w:val="00654B4A"/>
    <w:rsid w:val="00655103"/>
    <w:rsid w:val="00657CB1"/>
    <w:rsid w:val="00664763"/>
    <w:rsid w:val="00665523"/>
    <w:rsid w:val="006666D0"/>
    <w:rsid w:val="00667FFE"/>
    <w:rsid w:val="00672D86"/>
    <w:rsid w:val="00672E9A"/>
    <w:rsid w:val="00675B85"/>
    <w:rsid w:val="00681EBA"/>
    <w:rsid w:val="00683D32"/>
    <w:rsid w:val="006848BC"/>
    <w:rsid w:val="00685547"/>
    <w:rsid w:val="00685BD2"/>
    <w:rsid w:val="006871CA"/>
    <w:rsid w:val="00690765"/>
    <w:rsid w:val="00690F6D"/>
    <w:rsid w:val="00690FCB"/>
    <w:rsid w:val="006956E1"/>
    <w:rsid w:val="00696D03"/>
    <w:rsid w:val="006A0EDE"/>
    <w:rsid w:val="006A24A4"/>
    <w:rsid w:val="006B291B"/>
    <w:rsid w:val="006B3A34"/>
    <w:rsid w:val="006B3BD9"/>
    <w:rsid w:val="006B72F4"/>
    <w:rsid w:val="006D1BC1"/>
    <w:rsid w:val="006D1D12"/>
    <w:rsid w:val="006D202C"/>
    <w:rsid w:val="006D5104"/>
    <w:rsid w:val="006D7B60"/>
    <w:rsid w:val="006E68EC"/>
    <w:rsid w:val="006E6B08"/>
    <w:rsid w:val="006E77B6"/>
    <w:rsid w:val="006F2C25"/>
    <w:rsid w:val="006F3F36"/>
    <w:rsid w:val="006F4619"/>
    <w:rsid w:val="006F6A5C"/>
    <w:rsid w:val="006F77A5"/>
    <w:rsid w:val="007010B5"/>
    <w:rsid w:val="0070203B"/>
    <w:rsid w:val="00703380"/>
    <w:rsid w:val="007044B7"/>
    <w:rsid w:val="0070601D"/>
    <w:rsid w:val="00707B92"/>
    <w:rsid w:val="0071116E"/>
    <w:rsid w:val="00711AFB"/>
    <w:rsid w:val="00712490"/>
    <w:rsid w:val="00714D14"/>
    <w:rsid w:val="00716DAB"/>
    <w:rsid w:val="00720224"/>
    <w:rsid w:val="00720D8A"/>
    <w:rsid w:val="00720DFC"/>
    <w:rsid w:val="00721534"/>
    <w:rsid w:val="00721731"/>
    <w:rsid w:val="007220B8"/>
    <w:rsid w:val="007238AB"/>
    <w:rsid w:val="00727C4C"/>
    <w:rsid w:val="00731721"/>
    <w:rsid w:val="007333B8"/>
    <w:rsid w:val="00733B0D"/>
    <w:rsid w:val="007355EA"/>
    <w:rsid w:val="00735DF1"/>
    <w:rsid w:val="00741722"/>
    <w:rsid w:val="00741AD3"/>
    <w:rsid w:val="00742CAD"/>
    <w:rsid w:val="00744633"/>
    <w:rsid w:val="007455E8"/>
    <w:rsid w:val="00750C7D"/>
    <w:rsid w:val="0075170E"/>
    <w:rsid w:val="0075182F"/>
    <w:rsid w:val="00751AE0"/>
    <w:rsid w:val="00763A7D"/>
    <w:rsid w:val="0076421D"/>
    <w:rsid w:val="00764EE8"/>
    <w:rsid w:val="00765AF7"/>
    <w:rsid w:val="00767052"/>
    <w:rsid w:val="007715AB"/>
    <w:rsid w:val="007716A5"/>
    <w:rsid w:val="00771A2E"/>
    <w:rsid w:val="00771DA7"/>
    <w:rsid w:val="00776366"/>
    <w:rsid w:val="00782856"/>
    <w:rsid w:val="00783F29"/>
    <w:rsid w:val="00785F1D"/>
    <w:rsid w:val="0078661E"/>
    <w:rsid w:val="00786CC9"/>
    <w:rsid w:val="007906A8"/>
    <w:rsid w:val="00790C4F"/>
    <w:rsid w:val="00791C21"/>
    <w:rsid w:val="00792D4E"/>
    <w:rsid w:val="00794DFA"/>
    <w:rsid w:val="0079520A"/>
    <w:rsid w:val="0079735B"/>
    <w:rsid w:val="00797752"/>
    <w:rsid w:val="007977A7"/>
    <w:rsid w:val="007B1693"/>
    <w:rsid w:val="007B298F"/>
    <w:rsid w:val="007B61C8"/>
    <w:rsid w:val="007B627D"/>
    <w:rsid w:val="007B6AFF"/>
    <w:rsid w:val="007B7B5A"/>
    <w:rsid w:val="007C1944"/>
    <w:rsid w:val="007C2B98"/>
    <w:rsid w:val="007C43A6"/>
    <w:rsid w:val="007C4F31"/>
    <w:rsid w:val="007C667F"/>
    <w:rsid w:val="007D1915"/>
    <w:rsid w:val="007D570A"/>
    <w:rsid w:val="007E07CD"/>
    <w:rsid w:val="007E1031"/>
    <w:rsid w:val="007E570C"/>
    <w:rsid w:val="007E5CA6"/>
    <w:rsid w:val="007E6020"/>
    <w:rsid w:val="007E7774"/>
    <w:rsid w:val="007F25B8"/>
    <w:rsid w:val="007F2D1D"/>
    <w:rsid w:val="007F3862"/>
    <w:rsid w:val="007F4552"/>
    <w:rsid w:val="007F486D"/>
    <w:rsid w:val="007F4973"/>
    <w:rsid w:val="007F4B2A"/>
    <w:rsid w:val="007F6F1F"/>
    <w:rsid w:val="007F788C"/>
    <w:rsid w:val="00801535"/>
    <w:rsid w:val="008018CA"/>
    <w:rsid w:val="0080436A"/>
    <w:rsid w:val="008051EC"/>
    <w:rsid w:val="008064D2"/>
    <w:rsid w:val="00807D88"/>
    <w:rsid w:val="00810254"/>
    <w:rsid w:val="0081315E"/>
    <w:rsid w:val="00814C4B"/>
    <w:rsid w:val="00816FA3"/>
    <w:rsid w:val="008179EA"/>
    <w:rsid w:val="0082178B"/>
    <w:rsid w:val="0082359A"/>
    <w:rsid w:val="00826EE0"/>
    <w:rsid w:val="00831580"/>
    <w:rsid w:val="00831665"/>
    <w:rsid w:val="00831DDA"/>
    <w:rsid w:val="00834BC4"/>
    <w:rsid w:val="00840142"/>
    <w:rsid w:val="00842583"/>
    <w:rsid w:val="00844898"/>
    <w:rsid w:val="008479CF"/>
    <w:rsid w:val="00851822"/>
    <w:rsid w:val="00851E0C"/>
    <w:rsid w:val="00854A59"/>
    <w:rsid w:val="0085620F"/>
    <w:rsid w:val="00856D9A"/>
    <w:rsid w:val="00860690"/>
    <w:rsid w:val="00861AE8"/>
    <w:rsid w:val="008631EF"/>
    <w:rsid w:val="00866DDA"/>
    <w:rsid w:val="0086723D"/>
    <w:rsid w:val="00870A4C"/>
    <w:rsid w:val="00872369"/>
    <w:rsid w:val="00875A2F"/>
    <w:rsid w:val="00880689"/>
    <w:rsid w:val="0088343B"/>
    <w:rsid w:val="00885021"/>
    <w:rsid w:val="0088705B"/>
    <w:rsid w:val="00894253"/>
    <w:rsid w:val="0089588C"/>
    <w:rsid w:val="00896433"/>
    <w:rsid w:val="0089673C"/>
    <w:rsid w:val="00896AE3"/>
    <w:rsid w:val="00896B8D"/>
    <w:rsid w:val="008A19D0"/>
    <w:rsid w:val="008A1C48"/>
    <w:rsid w:val="008A2083"/>
    <w:rsid w:val="008A365A"/>
    <w:rsid w:val="008B2CBA"/>
    <w:rsid w:val="008B2E75"/>
    <w:rsid w:val="008B5525"/>
    <w:rsid w:val="008B5A86"/>
    <w:rsid w:val="008B717A"/>
    <w:rsid w:val="008C0CC7"/>
    <w:rsid w:val="008C2429"/>
    <w:rsid w:val="008C52BC"/>
    <w:rsid w:val="008C5716"/>
    <w:rsid w:val="008C5B57"/>
    <w:rsid w:val="008D0DB8"/>
    <w:rsid w:val="008D152C"/>
    <w:rsid w:val="008D384B"/>
    <w:rsid w:val="008D4CA6"/>
    <w:rsid w:val="008D503F"/>
    <w:rsid w:val="008D512A"/>
    <w:rsid w:val="008D7DDD"/>
    <w:rsid w:val="008E0C9A"/>
    <w:rsid w:val="008E0CAB"/>
    <w:rsid w:val="008E23B0"/>
    <w:rsid w:val="008E470B"/>
    <w:rsid w:val="008E7036"/>
    <w:rsid w:val="008E739F"/>
    <w:rsid w:val="008F0875"/>
    <w:rsid w:val="008F2266"/>
    <w:rsid w:val="008F42B4"/>
    <w:rsid w:val="008F608B"/>
    <w:rsid w:val="008F60AD"/>
    <w:rsid w:val="008F7BBD"/>
    <w:rsid w:val="00900627"/>
    <w:rsid w:val="00903B30"/>
    <w:rsid w:val="0090462C"/>
    <w:rsid w:val="00904B39"/>
    <w:rsid w:val="009051A3"/>
    <w:rsid w:val="00907E89"/>
    <w:rsid w:val="0091246C"/>
    <w:rsid w:val="00913345"/>
    <w:rsid w:val="00914BC1"/>
    <w:rsid w:val="00915C56"/>
    <w:rsid w:val="00920EED"/>
    <w:rsid w:val="00921869"/>
    <w:rsid w:val="00925344"/>
    <w:rsid w:val="009253CB"/>
    <w:rsid w:val="00934533"/>
    <w:rsid w:val="00934E7C"/>
    <w:rsid w:val="00941267"/>
    <w:rsid w:val="00944548"/>
    <w:rsid w:val="0094526B"/>
    <w:rsid w:val="0094576D"/>
    <w:rsid w:val="00946381"/>
    <w:rsid w:val="009503C4"/>
    <w:rsid w:val="00950F6A"/>
    <w:rsid w:val="00951DEC"/>
    <w:rsid w:val="00952035"/>
    <w:rsid w:val="00957F3A"/>
    <w:rsid w:val="00960344"/>
    <w:rsid w:val="009603FA"/>
    <w:rsid w:val="00962272"/>
    <w:rsid w:val="00962ED1"/>
    <w:rsid w:val="009632D5"/>
    <w:rsid w:val="00963820"/>
    <w:rsid w:val="00964354"/>
    <w:rsid w:val="00964755"/>
    <w:rsid w:val="00967087"/>
    <w:rsid w:val="00971658"/>
    <w:rsid w:val="00973F7B"/>
    <w:rsid w:val="0097436A"/>
    <w:rsid w:val="0097443C"/>
    <w:rsid w:val="00980B55"/>
    <w:rsid w:val="00980D06"/>
    <w:rsid w:val="00980EEB"/>
    <w:rsid w:val="00981F27"/>
    <w:rsid w:val="0098349A"/>
    <w:rsid w:val="00983D8C"/>
    <w:rsid w:val="0098431B"/>
    <w:rsid w:val="00987F92"/>
    <w:rsid w:val="00992587"/>
    <w:rsid w:val="009939F2"/>
    <w:rsid w:val="00993C9B"/>
    <w:rsid w:val="009967EC"/>
    <w:rsid w:val="0099739A"/>
    <w:rsid w:val="009A0581"/>
    <w:rsid w:val="009A0D71"/>
    <w:rsid w:val="009A0E17"/>
    <w:rsid w:val="009A49FB"/>
    <w:rsid w:val="009A6C5D"/>
    <w:rsid w:val="009B167C"/>
    <w:rsid w:val="009B171E"/>
    <w:rsid w:val="009B1AE1"/>
    <w:rsid w:val="009B2C20"/>
    <w:rsid w:val="009B438E"/>
    <w:rsid w:val="009B4F1B"/>
    <w:rsid w:val="009B5DA7"/>
    <w:rsid w:val="009C01C5"/>
    <w:rsid w:val="009C07C4"/>
    <w:rsid w:val="009C21E2"/>
    <w:rsid w:val="009C2A37"/>
    <w:rsid w:val="009C2C77"/>
    <w:rsid w:val="009C32E2"/>
    <w:rsid w:val="009C630D"/>
    <w:rsid w:val="009C6CA9"/>
    <w:rsid w:val="009D0FD7"/>
    <w:rsid w:val="009D1FE4"/>
    <w:rsid w:val="009E25BC"/>
    <w:rsid w:val="009E504A"/>
    <w:rsid w:val="009E5334"/>
    <w:rsid w:val="009E59CC"/>
    <w:rsid w:val="009E6778"/>
    <w:rsid w:val="009F05B7"/>
    <w:rsid w:val="009F12CA"/>
    <w:rsid w:val="009F186F"/>
    <w:rsid w:val="009F489E"/>
    <w:rsid w:val="009F64B8"/>
    <w:rsid w:val="00A01189"/>
    <w:rsid w:val="00A022F7"/>
    <w:rsid w:val="00A03A42"/>
    <w:rsid w:val="00A03AF9"/>
    <w:rsid w:val="00A042E9"/>
    <w:rsid w:val="00A051EB"/>
    <w:rsid w:val="00A06F72"/>
    <w:rsid w:val="00A1142B"/>
    <w:rsid w:val="00A16780"/>
    <w:rsid w:val="00A21EA0"/>
    <w:rsid w:val="00A258AC"/>
    <w:rsid w:val="00A27F38"/>
    <w:rsid w:val="00A31AFB"/>
    <w:rsid w:val="00A42389"/>
    <w:rsid w:val="00A43237"/>
    <w:rsid w:val="00A46CFB"/>
    <w:rsid w:val="00A5049B"/>
    <w:rsid w:val="00A51A6D"/>
    <w:rsid w:val="00A52977"/>
    <w:rsid w:val="00A53215"/>
    <w:rsid w:val="00A5383E"/>
    <w:rsid w:val="00A5437F"/>
    <w:rsid w:val="00A55318"/>
    <w:rsid w:val="00A55A15"/>
    <w:rsid w:val="00A55C00"/>
    <w:rsid w:val="00A55E95"/>
    <w:rsid w:val="00A562D5"/>
    <w:rsid w:val="00A57141"/>
    <w:rsid w:val="00A57DF2"/>
    <w:rsid w:val="00A607D3"/>
    <w:rsid w:val="00A615CD"/>
    <w:rsid w:val="00A63AA7"/>
    <w:rsid w:val="00A64327"/>
    <w:rsid w:val="00A679FC"/>
    <w:rsid w:val="00A67FE8"/>
    <w:rsid w:val="00A72EC7"/>
    <w:rsid w:val="00A73E41"/>
    <w:rsid w:val="00A77C3A"/>
    <w:rsid w:val="00A813A8"/>
    <w:rsid w:val="00A82835"/>
    <w:rsid w:val="00A83355"/>
    <w:rsid w:val="00A83BE4"/>
    <w:rsid w:val="00A8473C"/>
    <w:rsid w:val="00A85B41"/>
    <w:rsid w:val="00A901DA"/>
    <w:rsid w:val="00A92113"/>
    <w:rsid w:val="00A94AEB"/>
    <w:rsid w:val="00A96DDD"/>
    <w:rsid w:val="00AA1BAC"/>
    <w:rsid w:val="00AA1CB0"/>
    <w:rsid w:val="00AA1FDB"/>
    <w:rsid w:val="00AA4752"/>
    <w:rsid w:val="00AA4AB9"/>
    <w:rsid w:val="00AA507D"/>
    <w:rsid w:val="00AB01E6"/>
    <w:rsid w:val="00AB18C4"/>
    <w:rsid w:val="00AB44EA"/>
    <w:rsid w:val="00AC09D3"/>
    <w:rsid w:val="00AC268D"/>
    <w:rsid w:val="00AC411F"/>
    <w:rsid w:val="00AC439C"/>
    <w:rsid w:val="00AC54F2"/>
    <w:rsid w:val="00AC562F"/>
    <w:rsid w:val="00AD157C"/>
    <w:rsid w:val="00AD21D4"/>
    <w:rsid w:val="00AD52D1"/>
    <w:rsid w:val="00AE0DB0"/>
    <w:rsid w:val="00AE163C"/>
    <w:rsid w:val="00AE239B"/>
    <w:rsid w:val="00AE29F6"/>
    <w:rsid w:val="00AE3961"/>
    <w:rsid w:val="00AE45CF"/>
    <w:rsid w:val="00AE4821"/>
    <w:rsid w:val="00AE6277"/>
    <w:rsid w:val="00AE62CA"/>
    <w:rsid w:val="00AE709F"/>
    <w:rsid w:val="00AE75F2"/>
    <w:rsid w:val="00AF0E38"/>
    <w:rsid w:val="00AF1625"/>
    <w:rsid w:val="00AF3D37"/>
    <w:rsid w:val="00B01E33"/>
    <w:rsid w:val="00B052EE"/>
    <w:rsid w:val="00B05780"/>
    <w:rsid w:val="00B060F0"/>
    <w:rsid w:val="00B07B3F"/>
    <w:rsid w:val="00B125D2"/>
    <w:rsid w:val="00B17325"/>
    <w:rsid w:val="00B211B2"/>
    <w:rsid w:val="00B22E22"/>
    <w:rsid w:val="00B263DE"/>
    <w:rsid w:val="00B27213"/>
    <w:rsid w:val="00B31474"/>
    <w:rsid w:val="00B32A86"/>
    <w:rsid w:val="00B32B20"/>
    <w:rsid w:val="00B33911"/>
    <w:rsid w:val="00B411B4"/>
    <w:rsid w:val="00B41AC0"/>
    <w:rsid w:val="00B42032"/>
    <w:rsid w:val="00B42639"/>
    <w:rsid w:val="00B453F8"/>
    <w:rsid w:val="00B45EF1"/>
    <w:rsid w:val="00B46C7E"/>
    <w:rsid w:val="00B535F9"/>
    <w:rsid w:val="00B5475A"/>
    <w:rsid w:val="00B54A0D"/>
    <w:rsid w:val="00B54E7C"/>
    <w:rsid w:val="00B57D3D"/>
    <w:rsid w:val="00B610B2"/>
    <w:rsid w:val="00B6312C"/>
    <w:rsid w:val="00B6486F"/>
    <w:rsid w:val="00B64EB6"/>
    <w:rsid w:val="00B65462"/>
    <w:rsid w:val="00B65EA5"/>
    <w:rsid w:val="00B76C60"/>
    <w:rsid w:val="00B8008B"/>
    <w:rsid w:val="00B80B6D"/>
    <w:rsid w:val="00B81652"/>
    <w:rsid w:val="00B816DB"/>
    <w:rsid w:val="00B81D74"/>
    <w:rsid w:val="00B83458"/>
    <w:rsid w:val="00B83708"/>
    <w:rsid w:val="00B83836"/>
    <w:rsid w:val="00B84113"/>
    <w:rsid w:val="00B85A6F"/>
    <w:rsid w:val="00B86FA5"/>
    <w:rsid w:val="00B908EC"/>
    <w:rsid w:val="00B9104E"/>
    <w:rsid w:val="00B916C0"/>
    <w:rsid w:val="00B96A98"/>
    <w:rsid w:val="00BA1423"/>
    <w:rsid w:val="00BA1D48"/>
    <w:rsid w:val="00BA2CFA"/>
    <w:rsid w:val="00BA3ED9"/>
    <w:rsid w:val="00BA67A0"/>
    <w:rsid w:val="00BA78E0"/>
    <w:rsid w:val="00BB2009"/>
    <w:rsid w:val="00BB426A"/>
    <w:rsid w:val="00BB4AB9"/>
    <w:rsid w:val="00BB6E59"/>
    <w:rsid w:val="00BB74B5"/>
    <w:rsid w:val="00BC2F03"/>
    <w:rsid w:val="00BC75DB"/>
    <w:rsid w:val="00BD5932"/>
    <w:rsid w:val="00BD6763"/>
    <w:rsid w:val="00BD6F15"/>
    <w:rsid w:val="00BD77D4"/>
    <w:rsid w:val="00BE7636"/>
    <w:rsid w:val="00BF1330"/>
    <w:rsid w:val="00BF40A7"/>
    <w:rsid w:val="00BF776D"/>
    <w:rsid w:val="00BF7C3B"/>
    <w:rsid w:val="00C0128D"/>
    <w:rsid w:val="00C02165"/>
    <w:rsid w:val="00C027AD"/>
    <w:rsid w:val="00C03334"/>
    <w:rsid w:val="00C045F1"/>
    <w:rsid w:val="00C04FA5"/>
    <w:rsid w:val="00C05CC1"/>
    <w:rsid w:val="00C0646D"/>
    <w:rsid w:val="00C107C1"/>
    <w:rsid w:val="00C11D78"/>
    <w:rsid w:val="00C14D08"/>
    <w:rsid w:val="00C1793F"/>
    <w:rsid w:val="00C2025E"/>
    <w:rsid w:val="00C21D92"/>
    <w:rsid w:val="00C21DDF"/>
    <w:rsid w:val="00C22333"/>
    <w:rsid w:val="00C2337E"/>
    <w:rsid w:val="00C26E23"/>
    <w:rsid w:val="00C279BA"/>
    <w:rsid w:val="00C30CC5"/>
    <w:rsid w:val="00C33A79"/>
    <w:rsid w:val="00C33D37"/>
    <w:rsid w:val="00C41513"/>
    <w:rsid w:val="00C41B41"/>
    <w:rsid w:val="00C4698B"/>
    <w:rsid w:val="00C53469"/>
    <w:rsid w:val="00C53F01"/>
    <w:rsid w:val="00C54DC6"/>
    <w:rsid w:val="00C63F33"/>
    <w:rsid w:val="00C643FA"/>
    <w:rsid w:val="00C718DD"/>
    <w:rsid w:val="00C71FD8"/>
    <w:rsid w:val="00C7257B"/>
    <w:rsid w:val="00C75B09"/>
    <w:rsid w:val="00C75F41"/>
    <w:rsid w:val="00C76C10"/>
    <w:rsid w:val="00C821A8"/>
    <w:rsid w:val="00C83123"/>
    <w:rsid w:val="00C85A76"/>
    <w:rsid w:val="00C8645E"/>
    <w:rsid w:val="00C90739"/>
    <w:rsid w:val="00C9259E"/>
    <w:rsid w:val="00C9412E"/>
    <w:rsid w:val="00C9506C"/>
    <w:rsid w:val="00C9725F"/>
    <w:rsid w:val="00CA128D"/>
    <w:rsid w:val="00CA202C"/>
    <w:rsid w:val="00CA24A7"/>
    <w:rsid w:val="00CA4604"/>
    <w:rsid w:val="00CA4B44"/>
    <w:rsid w:val="00CA6965"/>
    <w:rsid w:val="00CA741A"/>
    <w:rsid w:val="00CB1778"/>
    <w:rsid w:val="00CB30E6"/>
    <w:rsid w:val="00CB5789"/>
    <w:rsid w:val="00CC349F"/>
    <w:rsid w:val="00CC48DF"/>
    <w:rsid w:val="00CD0B7F"/>
    <w:rsid w:val="00CD484B"/>
    <w:rsid w:val="00CD7B7B"/>
    <w:rsid w:val="00CE02E1"/>
    <w:rsid w:val="00CE0D81"/>
    <w:rsid w:val="00CE1920"/>
    <w:rsid w:val="00CE1A93"/>
    <w:rsid w:val="00CE2625"/>
    <w:rsid w:val="00CE2DDE"/>
    <w:rsid w:val="00CE666D"/>
    <w:rsid w:val="00CE750F"/>
    <w:rsid w:val="00CF0E8D"/>
    <w:rsid w:val="00CF2128"/>
    <w:rsid w:val="00CF2BE9"/>
    <w:rsid w:val="00CF4843"/>
    <w:rsid w:val="00CF601C"/>
    <w:rsid w:val="00CF6E79"/>
    <w:rsid w:val="00CF6FA9"/>
    <w:rsid w:val="00D0164B"/>
    <w:rsid w:val="00D01F24"/>
    <w:rsid w:val="00D02489"/>
    <w:rsid w:val="00D044F2"/>
    <w:rsid w:val="00D055AC"/>
    <w:rsid w:val="00D05B7A"/>
    <w:rsid w:val="00D10620"/>
    <w:rsid w:val="00D1249C"/>
    <w:rsid w:val="00D17D3A"/>
    <w:rsid w:val="00D20260"/>
    <w:rsid w:val="00D20ED6"/>
    <w:rsid w:val="00D22FF4"/>
    <w:rsid w:val="00D267FD"/>
    <w:rsid w:val="00D27704"/>
    <w:rsid w:val="00D307AF"/>
    <w:rsid w:val="00D30D0B"/>
    <w:rsid w:val="00D31660"/>
    <w:rsid w:val="00D31CFD"/>
    <w:rsid w:val="00D31FD8"/>
    <w:rsid w:val="00D3245A"/>
    <w:rsid w:val="00D347C8"/>
    <w:rsid w:val="00D36673"/>
    <w:rsid w:val="00D41632"/>
    <w:rsid w:val="00D435FE"/>
    <w:rsid w:val="00D446E8"/>
    <w:rsid w:val="00D44EDE"/>
    <w:rsid w:val="00D53537"/>
    <w:rsid w:val="00D54F40"/>
    <w:rsid w:val="00D55049"/>
    <w:rsid w:val="00D5582E"/>
    <w:rsid w:val="00D603F8"/>
    <w:rsid w:val="00D60F99"/>
    <w:rsid w:val="00D614A0"/>
    <w:rsid w:val="00D6349A"/>
    <w:rsid w:val="00D64E5E"/>
    <w:rsid w:val="00D65AAE"/>
    <w:rsid w:val="00D6669E"/>
    <w:rsid w:val="00D72302"/>
    <w:rsid w:val="00D7328F"/>
    <w:rsid w:val="00D75BAA"/>
    <w:rsid w:val="00D8020D"/>
    <w:rsid w:val="00D8626C"/>
    <w:rsid w:val="00D919BC"/>
    <w:rsid w:val="00D91FEA"/>
    <w:rsid w:val="00D9381D"/>
    <w:rsid w:val="00D93830"/>
    <w:rsid w:val="00D95E1D"/>
    <w:rsid w:val="00D97576"/>
    <w:rsid w:val="00DA0C0B"/>
    <w:rsid w:val="00DA2423"/>
    <w:rsid w:val="00DA2489"/>
    <w:rsid w:val="00DA32EE"/>
    <w:rsid w:val="00DA6CEB"/>
    <w:rsid w:val="00DB0247"/>
    <w:rsid w:val="00DB30FB"/>
    <w:rsid w:val="00DB3F3E"/>
    <w:rsid w:val="00DB57AC"/>
    <w:rsid w:val="00DB7446"/>
    <w:rsid w:val="00DC0AE0"/>
    <w:rsid w:val="00DC1814"/>
    <w:rsid w:val="00DC2418"/>
    <w:rsid w:val="00DC4EB8"/>
    <w:rsid w:val="00DD0177"/>
    <w:rsid w:val="00DD7C58"/>
    <w:rsid w:val="00DE0768"/>
    <w:rsid w:val="00DE2015"/>
    <w:rsid w:val="00DE33D6"/>
    <w:rsid w:val="00DF104E"/>
    <w:rsid w:val="00DF16B5"/>
    <w:rsid w:val="00DF2480"/>
    <w:rsid w:val="00DF49DB"/>
    <w:rsid w:val="00DF5A63"/>
    <w:rsid w:val="00DF5EED"/>
    <w:rsid w:val="00DF5FBF"/>
    <w:rsid w:val="00E032FC"/>
    <w:rsid w:val="00E04BA5"/>
    <w:rsid w:val="00E074D3"/>
    <w:rsid w:val="00E079F4"/>
    <w:rsid w:val="00E07D44"/>
    <w:rsid w:val="00E07D69"/>
    <w:rsid w:val="00E156C7"/>
    <w:rsid w:val="00E1644E"/>
    <w:rsid w:val="00E23747"/>
    <w:rsid w:val="00E27776"/>
    <w:rsid w:val="00E3033C"/>
    <w:rsid w:val="00E30677"/>
    <w:rsid w:val="00E341AD"/>
    <w:rsid w:val="00E3517D"/>
    <w:rsid w:val="00E364D1"/>
    <w:rsid w:val="00E3672A"/>
    <w:rsid w:val="00E36735"/>
    <w:rsid w:val="00E41A37"/>
    <w:rsid w:val="00E442FB"/>
    <w:rsid w:val="00E458E1"/>
    <w:rsid w:val="00E52CBB"/>
    <w:rsid w:val="00E536D1"/>
    <w:rsid w:val="00E53ABC"/>
    <w:rsid w:val="00E54D22"/>
    <w:rsid w:val="00E556D9"/>
    <w:rsid w:val="00E55EDC"/>
    <w:rsid w:val="00E562BF"/>
    <w:rsid w:val="00E577FA"/>
    <w:rsid w:val="00E6020B"/>
    <w:rsid w:val="00E61DBF"/>
    <w:rsid w:val="00E64525"/>
    <w:rsid w:val="00E64682"/>
    <w:rsid w:val="00E64819"/>
    <w:rsid w:val="00E66128"/>
    <w:rsid w:val="00E705AE"/>
    <w:rsid w:val="00E712DD"/>
    <w:rsid w:val="00E715F0"/>
    <w:rsid w:val="00E736B3"/>
    <w:rsid w:val="00E73E8F"/>
    <w:rsid w:val="00E742E5"/>
    <w:rsid w:val="00E747A9"/>
    <w:rsid w:val="00E758B7"/>
    <w:rsid w:val="00E760E7"/>
    <w:rsid w:val="00E7685F"/>
    <w:rsid w:val="00E81091"/>
    <w:rsid w:val="00E848FE"/>
    <w:rsid w:val="00E90DBD"/>
    <w:rsid w:val="00E9183C"/>
    <w:rsid w:val="00E936D4"/>
    <w:rsid w:val="00E9593E"/>
    <w:rsid w:val="00E96286"/>
    <w:rsid w:val="00E972FA"/>
    <w:rsid w:val="00EA0A29"/>
    <w:rsid w:val="00EA2313"/>
    <w:rsid w:val="00EA4146"/>
    <w:rsid w:val="00EA5225"/>
    <w:rsid w:val="00EA52C4"/>
    <w:rsid w:val="00EA7259"/>
    <w:rsid w:val="00EB06EB"/>
    <w:rsid w:val="00EB239C"/>
    <w:rsid w:val="00EB2AC3"/>
    <w:rsid w:val="00EB4514"/>
    <w:rsid w:val="00EB7BCC"/>
    <w:rsid w:val="00EC1C1B"/>
    <w:rsid w:val="00EC1E20"/>
    <w:rsid w:val="00EC3507"/>
    <w:rsid w:val="00EC6912"/>
    <w:rsid w:val="00ED27C5"/>
    <w:rsid w:val="00ED45A5"/>
    <w:rsid w:val="00ED7DF3"/>
    <w:rsid w:val="00EE2658"/>
    <w:rsid w:val="00EE3EB0"/>
    <w:rsid w:val="00EE6FFE"/>
    <w:rsid w:val="00EF2BB6"/>
    <w:rsid w:val="00EF40CA"/>
    <w:rsid w:val="00EF6DA6"/>
    <w:rsid w:val="00EF7419"/>
    <w:rsid w:val="00EF7CE8"/>
    <w:rsid w:val="00F00867"/>
    <w:rsid w:val="00F06801"/>
    <w:rsid w:val="00F112F5"/>
    <w:rsid w:val="00F12314"/>
    <w:rsid w:val="00F12469"/>
    <w:rsid w:val="00F15302"/>
    <w:rsid w:val="00F15385"/>
    <w:rsid w:val="00F22BF4"/>
    <w:rsid w:val="00F237E6"/>
    <w:rsid w:val="00F24F16"/>
    <w:rsid w:val="00F270D1"/>
    <w:rsid w:val="00F27342"/>
    <w:rsid w:val="00F349F2"/>
    <w:rsid w:val="00F37A8D"/>
    <w:rsid w:val="00F40136"/>
    <w:rsid w:val="00F401BE"/>
    <w:rsid w:val="00F42F27"/>
    <w:rsid w:val="00F4395F"/>
    <w:rsid w:val="00F542DB"/>
    <w:rsid w:val="00F54D6A"/>
    <w:rsid w:val="00F56893"/>
    <w:rsid w:val="00F56A1A"/>
    <w:rsid w:val="00F56C6C"/>
    <w:rsid w:val="00F57142"/>
    <w:rsid w:val="00F619E6"/>
    <w:rsid w:val="00F62D45"/>
    <w:rsid w:val="00F67BC8"/>
    <w:rsid w:val="00F71B9C"/>
    <w:rsid w:val="00F72229"/>
    <w:rsid w:val="00F733BF"/>
    <w:rsid w:val="00F74DDF"/>
    <w:rsid w:val="00F77CB3"/>
    <w:rsid w:val="00F80959"/>
    <w:rsid w:val="00F874E4"/>
    <w:rsid w:val="00F91EE7"/>
    <w:rsid w:val="00F91FF2"/>
    <w:rsid w:val="00F93D7F"/>
    <w:rsid w:val="00F9594C"/>
    <w:rsid w:val="00F962AE"/>
    <w:rsid w:val="00FA4825"/>
    <w:rsid w:val="00FA491F"/>
    <w:rsid w:val="00FA702B"/>
    <w:rsid w:val="00FA7A0D"/>
    <w:rsid w:val="00FB24C4"/>
    <w:rsid w:val="00FB3AFF"/>
    <w:rsid w:val="00FB43D0"/>
    <w:rsid w:val="00FB500B"/>
    <w:rsid w:val="00FC1272"/>
    <w:rsid w:val="00FC15FB"/>
    <w:rsid w:val="00FC23CF"/>
    <w:rsid w:val="00FC6B69"/>
    <w:rsid w:val="00FD0F1C"/>
    <w:rsid w:val="00FD75DA"/>
    <w:rsid w:val="00FE0D28"/>
    <w:rsid w:val="00FE132B"/>
    <w:rsid w:val="00FE3F4F"/>
    <w:rsid w:val="00FE74B5"/>
    <w:rsid w:val="00FF1890"/>
    <w:rsid w:val="00FF1F2F"/>
    <w:rsid w:val="00FF51B5"/>
    <w:rsid w:val="00FF6596"/>
    <w:rsid w:val="00FF76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9C2FF"/>
  <w14:defaultImageDpi w14:val="96"/>
  <w15:docId w15:val="{ABA1ABEF-7455-4097-8EF8-DEA66B80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6A"/>
    <w:pPr>
      <w:suppressAutoHyphens/>
      <w:spacing w:before="160" w:after="160" w:line="360" w:lineRule="auto"/>
    </w:pPr>
  </w:style>
  <w:style w:type="paragraph" w:styleId="Heading1">
    <w:name w:val="heading 1"/>
    <w:basedOn w:val="Normal"/>
    <w:next w:val="Normal"/>
    <w:link w:val="Heading1Char"/>
    <w:uiPriority w:val="99"/>
    <w:qFormat/>
    <w:rsid w:val="00A83355"/>
    <w:pPr>
      <w:keepNext/>
      <w:spacing w:before="240" w:after="60" w:line="240" w:lineRule="auto"/>
      <w:outlineLvl w:val="0"/>
    </w:pPr>
    <w:rPr>
      <w:b/>
      <w:bCs/>
      <w:kern w:val="32"/>
      <w:sz w:val="40"/>
      <w:szCs w:val="32"/>
    </w:rPr>
  </w:style>
  <w:style w:type="paragraph" w:styleId="Heading2">
    <w:name w:val="heading 2"/>
    <w:basedOn w:val="Normal"/>
    <w:next w:val="Normal"/>
    <w:link w:val="Heading2Char"/>
    <w:uiPriority w:val="99"/>
    <w:unhideWhenUsed/>
    <w:qFormat/>
    <w:rsid w:val="00173049"/>
    <w:pPr>
      <w:keepNext/>
      <w:spacing w:before="240" w:after="120" w:line="240" w:lineRule="auto"/>
      <w:outlineLvl w:val="1"/>
    </w:pPr>
    <w:rPr>
      <w:b/>
      <w:bCs/>
      <w:iCs/>
      <w:sz w:val="32"/>
      <w:szCs w:val="28"/>
    </w:rPr>
  </w:style>
  <w:style w:type="paragraph" w:styleId="Heading3">
    <w:name w:val="heading 3"/>
    <w:basedOn w:val="Normal"/>
    <w:next w:val="Normal"/>
    <w:link w:val="Heading3Char"/>
    <w:uiPriority w:val="9"/>
    <w:unhideWhenUsed/>
    <w:qFormat/>
    <w:rsid w:val="00C0128D"/>
    <w:pPr>
      <w:keepNext/>
      <w:spacing w:before="240" w:after="60" w:line="240" w:lineRule="auto"/>
      <w:outlineLvl w:val="2"/>
    </w:pPr>
    <w:rPr>
      <w:b/>
      <w:bCs/>
      <w:sz w:val="26"/>
      <w:szCs w:val="26"/>
    </w:rPr>
  </w:style>
  <w:style w:type="paragraph" w:styleId="Heading4">
    <w:name w:val="heading 4"/>
    <w:basedOn w:val="Normal"/>
    <w:next w:val="Normal"/>
    <w:link w:val="Heading4Char"/>
    <w:uiPriority w:val="9"/>
    <w:unhideWhenUsed/>
    <w:qFormat/>
    <w:rsid w:val="008A1C48"/>
    <w:pPr>
      <w:keepNext/>
      <w:spacing w:before="240" w:after="60"/>
      <w:outlineLvl w:val="3"/>
    </w:pPr>
    <w:rPr>
      <w:b/>
      <w:bCs/>
      <w:i/>
      <w:szCs w:val="28"/>
    </w:rPr>
  </w:style>
  <w:style w:type="paragraph" w:styleId="Heading5">
    <w:name w:val="heading 5"/>
    <w:basedOn w:val="Normal"/>
    <w:next w:val="Normal"/>
    <w:link w:val="Heading5Char"/>
    <w:uiPriority w:val="9"/>
    <w:semiHidden/>
    <w:unhideWhenUsed/>
    <w:qFormat/>
    <w:rsid w:val="0070338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703380"/>
    <w:pPr>
      <w:numPr>
        <w:ilvl w:val="5"/>
        <w:numId w:val="1"/>
      </w:numPr>
      <w:spacing w:before="240" w:after="60"/>
      <w:outlineLvl w:val="5"/>
    </w:pPr>
    <w:rPr>
      <w:rFonts w:ascii="Calibri" w:hAnsi="Calibri"/>
      <w:b/>
      <w:bCs/>
    </w:rPr>
  </w:style>
  <w:style w:type="paragraph" w:styleId="Heading7">
    <w:name w:val="heading 7"/>
    <w:basedOn w:val="Normal"/>
    <w:next w:val="Normal"/>
    <w:link w:val="Heading7Char"/>
    <w:uiPriority w:val="9"/>
    <w:semiHidden/>
    <w:unhideWhenUsed/>
    <w:qFormat/>
    <w:rsid w:val="00703380"/>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703380"/>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703380"/>
    <w:pPr>
      <w:numPr>
        <w:ilvl w:val="8"/>
        <w:numId w:val="1"/>
      </w:num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Helvetica Regular" w:hAnsi="Helvetica Regular" w:cs="Helvetica Regular"/>
      <w:color w:val="000000"/>
      <w:lang w:val="en-GB"/>
    </w:rPr>
  </w:style>
  <w:style w:type="paragraph" w:customStyle="1" w:styleId="SectionTitleTitlePage">
    <w:name w:val="Section Title (Title Page)"/>
    <w:basedOn w:val="NoParagraphStyle"/>
    <w:uiPriority w:val="99"/>
    <w:pPr>
      <w:pageBreakBefore/>
      <w:suppressAutoHyphens/>
      <w:spacing w:after="520" w:line="680" w:lineRule="atLeast"/>
    </w:pPr>
    <w:rPr>
      <w:rFonts w:ascii="ITC Franklin Gothic Book" w:hAnsi="ITC Franklin Gothic Book" w:cs="ITC Franklin Gothic Book"/>
      <w:color w:val="246754"/>
      <w:sz w:val="60"/>
      <w:szCs w:val="60"/>
      <w:lang w:val="en-US"/>
    </w:rPr>
  </w:style>
  <w:style w:type="paragraph" w:customStyle="1" w:styleId="AnchorGeneralStyles">
    <w:name w:val="Anchor (General Styles)"/>
    <w:basedOn w:val="NoParagraphStyle"/>
    <w:uiPriority w:val="99"/>
    <w:pPr>
      <w:suppressAutoHyphens/>
      <w:spacing w:line="130" w:lineRule="atLeast"/>
    </w:pPr>
    <w:rPr>
      <w:rFonts w:ascii="Gill Sans Std" w:hAnsi="Gill Sans Std" w:cs="Gill Sans Std"/>
      <w:sz w:val="13"/>
      <w:szCs w:val="13"/>
    </w:rPr>
  </w:style>
  <w:style w:type="paragraph" w:customStyle="1" w:styleId="BodynumberedGeneralStyles">
    <w:name w:val="Body numbered (General Styles)"/>
    <w:basedOn w:val="NoParagraphStyle"/>
    <w:uiPriority w:val="99"/>
    <w:pPr>
      <w:tabs>
        <w:tab w:val="left" w:pos="907"/>
      </w:tabs>
      <w:suppressAutoHyphens/>
      <w:spacing w:after="113" w:line="260" w:lineRule="atLeast"/>
      <w:ind w:left="737" w:hanging="737"/>
    </w:pPr>
    <w:rPr>
      <w:rFonts w:ascii="Gill Sans Std Light" w:hAnsi="Gill Sans Std Light" w:cs="Gill Sans Std Light"/>
      <w:sz w:val="21"/>
      <w:szCs w:val="21"/>
      <w:lang w:val="en-US"/>
    </w:rPr>
  </w:style>
  <w:style w:type="paragraph" w:customStyle="1" w:styleId="Body11Pre-bulletBodyParas">
    <w:name w:val="Body 1.1 Pre-bullet (Body Paras)"/>
    <w:basedOn w:val="BodynumberedGeneralStyles"/>
    <w:uiPriority w:val="99"/>
    <w:pPr>
      <w:spacing w:after="57" w:line="270" w:lineRule="atLeast"/>
      <w:ind w:left="454" w:hanging="454"/>
    </w:pPr>
  </w:style>
  <w:style w:type="paragraph" w:customStyle="1" w:styleId="BodyGeneralStyles">
    <w:name w:val="Body (General Styles)"/>
    <w:basedOn w:val="NoParagraphStyle"/>
    <w:uiPriority w:val="99"/>
    <w:pPr>
      <w:suppressAutoHyphens/>
      <w:spacing w:after="135" w:line="270" w:lineRule="atLeast"/>
    </w:pPr>
    <w:rPr>
      <w:rFonts w:ascii="Gill Sans Std Light" w:hAnsi="Gill Sans Std Light" w:cs="Gill Sans Std Light"/>
      <w:sz w:val="21"/>
      <w:szCs w:val="21"/>
      <w:lang w:val="en-US"/>
    </w:rPr>
  </w:style>
  <w:style w:type="paragraph" w:customStyle="1" w:styleId="BulletindentGeneralStyles">
    <w:name w:val="Bullet indent (General Styles)"/>
    <w:basedOn w:val="BodyGeneralStyles"/>
    <w:uiPriority w:val="99"/>
    <w:pPr>
      <w:tabs>
        <w:tab w:val="left" w:pos="907"/>
      </w:tabs>
      <w:spacing w:after="57"/>
      <w:ind w:left="850" w:hanging="227"/>
    </w:pPr>
  </w:style>
  <w:style w:type="paragraph" w:customStyle="1" w:styleId="BulletindentlastGeneralStyles">
    <w:name w:val="Bullet indent last (General Styles)"/>
    <w:basedOn w:val="BulletindentGeneralStyles"/>
    <w:uiPriority w:val="99"/>
    <w:pPr>
      <w:spacing w:after="135"/>
    </w:pPr>
  </w:style>
  <w:style w:type="paragraph" w:customStyle="1" w:styleId="Body11BodyParas">
    <w:name w:val="Body 1.1 (Body Paras)"/>
    <w:basedOn w:val="BodynumberedGeneralStyles"/>
    <w:uiPriority w:val="99"/>
    <w:pPr>
      <w:spacing w:after="130" w:line="270" w:lineRule="atLeast"/>
      <w:ind w:left="510" w:hanging="510"/>
    </w:pPr>
  </w:style>
  <w:style w:type="paragraph" w:customStyle="1" w:styleId="Heading1GeneralStyles">
    <w:name w:val="Heading 1 (General Styles)"/>
    <w:basedOn w:val="NoParagraphStyle"/>
    <w:uiPriority w:val="99"/>
    <w:pPr>
      <w:suppressAutoHyphens/>
      <w:spacing w:before="270" w:after="135" w:line="400" w:lineRule="atLeast"/>
    </w:pPr>
    <w:rPr>
      <w:rFonts w:ascii="ITC Franklin Gothic Book" w:hAnsi="ITC Franklin Gothic Book" w:cs="ITC Franklin Gothic Book"/>
      <w:color w:val="55565A"/>
      <w:sz w:val="36"/>
      <w:szCs w:val="36"/>
      <w:lang w:val="en-US"/>
    </w:rPr>
  </w:style>
  <w:style w:type="paragraph" w:customStyle="1" w:styleId="Body21Pre-bulletBodyParas">
    <w:name w:val="Body 2.1 Pre-bullet (Body Paras)"/>
    <w:basedOn w:val="Body11BodyParas"/>
    <w:uiPriority w:val="99"/>
    <w:pPr>
      <w:spacing w:after="57"/>
    </w:pPr>
  </w:style>
  <w:style w:type="paragraph" w:customStyle="1" w:styleId="Body21BodyParas">
    <w:name w:val="Body 2.1 (Body Paras)"/>
    <w:basedOn w:val="Body11BodyParas"/>
    <w:uiPriority w:val="99"/>
  </w:style>
  <w:style w:type="paragraph" w:customStyle="1" w:styleId="Heading2GeneralStyles">
    <w:name w:val="Heading 2 (General Styles)"/>
    <w:basedOn w:val="NoParagraphStyle"/>
    <w:uiPriority w:val="99"/>
    <w:pPr>
      <w:suppressAutoHyphens/>
      <w:spacing w:before="260" w:after="130" w:line="320" w:lineRule="atLeast"/>
    </w:pPr>
    <w:rPr>
      <w:rFonts w:ascii="ITC Franklin Gothic Book" w:hAnsi="ITC Franklin Gothic Book" w:cs="ITC Franklin Gothic Book"/>
      <w:color w:val="246754"/>
      <w:sz w:val="28"/>
      <w:szCs w:val="28"/>
      <w:lang w:val="en-US"/>
    </w:rPr>
  </w:style>
  <w:style w:type="paragraph" w:customStyle="1" w:styleId="QuoteGeneralStyles">
    <w:name w:val="Quote (General Styles)"/>
    <w:basedOn w:val="BodyGeneralStyles"/>
    <w:uiPriority w:val="99"/>
    <w:pPr>
      <w:ind w:left="794" w:right="57"/>
    </w:pPr>
    <w:rPr>
      <w:sz w:val="19"/>
      <w:szCs w:val="19"/>
    </w:rPr>
  </w:style>
  <w:style w:type="paragraph" w:customStyle="1" w:styleId="Heading3GeneralStyles">
    <w:name w:val="Heading 3 (General Styles)"/>
    <w:basedOn w:val="NoParagraphStyle"/>
    <w:uiPriority w:val="99"/>
    <w:pPr>
      <w:suppressAutoHyphens/>
      <w:spacing w:before="170" w:after="57" w:line="290" w:lineRule="atLeast"/>
    </w:pPr>
    <w:rPr>
      <w:rFonts w:ascii="ITC Franklin Gothic Book" w:hAnsi="ITC Franklin Gothic Book" w:cs="ITC Franklin Gothic Book"/>
      <w:color w:val="55565A"/>
      <w:sz w:val="25"/>
      <w:szCs w:val="25"/>
      <w:lang w:val="en-US"/>
    </w:rPr>
  </w:style>
  <w:style w:type="paragraph" w:customStyle="1" w:styleId="FigureTableTitleFiguresTable">
    <w:name w:val="Figure / Table Title (Figures / Table)"/>
    <w:basedOn w:val="BodyGeneralStyles"/>
    <w:uiPriority w:val="99"/>
    <w:pPr>
      <w:tabs>
        <w:tab w:val="left" w:pos="907"/>
      </w:tabs>
      <w:spacing w:before="113" w:line="200" w:lineRule="atLeast"/>
    </w:pPr>
    <w:rPr>
      <w:rFonts w:ascii="Franklin Gothic Medium" w:hAnsi="Franklin Gothic Medium" w:cs="Franklin Gothic Medium"/>
      <w:sz w:val="16"/>
      <w:szCs w:val="16"/>
    </w:rPr>
  </w:style>
  <w:style w:type="paragraph" w:customStyle="1" w:styleId="Body31BodyParas">
    <w:name w:val="Body 3.1 (Body Paras)"/>
    <w:basedOn w:val="Body11BodyParas"/>
    <w:uiPriority w:val="99"/>
  </w:style>
  <w:style w:type="paragraph" w:customStyle="1" w:styleId="Footnote1-99Footnote">
    <w:name w:val="Footnote 1-99 (Footnote)"/>
    <w:basedOn w:val="NoParagraphStyle"/>
    <w:uiPriority w:val="99"/>
    <w:pPr>
      <w:tabs>
        <w:tab w:val="left" w:pos="255"/>
      </w:tabs>
      <w:suppressAutoHyphens/>
      <w:spacing w:after="113" w:line="180" w:lineRule="atLeast"/>
      <w:ind w:left="255" w:hanging="255"/>
    </w:pPr>
    <w:rPr>
      <w:rFonts w:ascii="Gill Sans Std Light" w:hAnsi="Gill Sans Std Light" w:cs="Gill Sans Std Light"/>
      <w:sz w:val="15"/>
      <w:szCs w:val="15"/>
      <w:lang w:val="en-US"/>
    </w:rPr>
  </w:style>
  <w:style w:type="paragraph" w:customStyle="1" w:styleId="Body31Pre-bulletBodyParas">
    <w:name w:val="Body 3.1 Pre-bullet (Body Paras)"/>
    <w:basedOn w:val="Body11BodyParas"/>
    <w:uiPriority w:val="99"/>
    <w:pPr>
      <w:spacing w:after="58"/>
    </w:pPr>
  </w:style>
  <w:style w:type="paragraph" w:customStyle="1" w:styleId="BodyindentGeneralStyles">
    <w:name w:val="Body indent (General Styles)"/>
    <w:basedOn w:val="BodyGeneralStyles"/>
    <w:uiPriority w:val="99"/>
    <w:pPr>
      <w:ind w:left="510"/>
    </w:pPr>
  </w:style>
  <w:style w:type="paragraph" w:customStyle="1" w:styleId="Body41Pre-BulletBodyParas">
    <w:name w:val="Body 4.1 Pre-Bullet (Body Paras)"/>
    <w:basedOn w:val="Body11BodyParas"/>
    <w:uiPriority w:val="99"/>
    <w:pPr>
      <w:spacing w:after="58"/>
    </w:pPr>
  </w:style>
  <w:style w:type="paragraph" w:customStyle="1" w:styleId="Body41BodyParas">
    <w:name w:val="Body 4.1 (Body Paras)"/>
    <w:basedOn w:val="Body11BodyParas"/>
    <w:uiPriority w:val="99"/>
  </w:style>
  <w:style w:type="paragraph" w:customStyle="1" w:styleId="Body51Pre-bulletBodyParas">
    <w:name w:val="Body 5.1 Pre-bullet (Body Paras)"/>
    <w:basedOn w:val="Body11BodyParas"/>
    <w:uiPriority w:val="99"/>
    <w:pPr>
      <w:spacing w:after="58"/>
    </w:pPr>
  </w:style>
  <w:style w:type="paragraph" w:customStyle="1" w:styleId="Body51BodyParas">
    <w:name w:val="Body 5.1 (Body Paras)"/>
    <w:basedOn w:val="Body11BodyParas"/>
    <w:uiPriority w:val="99"/>
  </w:style>
  <w:style w:type="paragraph" w:customStyle="1" w:styleId="Body61Pre-bulletBodyParas">
    <w:name w:val="Body 6.1 Pre-bullet (Body Paras)"/>
    <w:basedOn w:val="Body11BodyParas"/>
    <w:uiPriority w:val="99"/>
    <w:pPr>
      <w:spacing w:after="58"/>
    </w:pPr>
  </w:style>
  <w:style w:type="paragraph" w:customStyle="1" w:styleId="Body61BodyParas">
    <w:name w:val="Body 6.1 (Body Paras)"/>
    <w:basedOn w:val="Body11BodyParas"/>
    <w:uiPriority w:val="99"/>
  </w:style>
  <w:style w:type="paragraph" w:customStyle="1" w:styleId="Body71BodyParas">
    <w:name w:val="Body 7.1 (Body Paras)"/>
    <w:basedOn w:val="Body11BodyParas"/>
    <w:uiPriority w:val="99"/>
  </w:style>
  <w:style w:type="paragraph" w:customStyle="1" w:styleId="Body71Pre-bulletBodyParas">
    <w:name w:val="Body 7.1 Pre-bullet (Body Paras)"/>
    <w:basedOn w:val="Body11BodyParas"/>
    <w:uiPriority w:val="99"/>
    <w:pPr>
      <w:spacing w:after="58"/>
    </w:pPr>
  </w:style>
  <w:style w:type="paragraph" w:customStyle="1" w:styleId="GlossaryEntryGeneralStyles">
    <w:name w:val="Glossary Entry (General Styles)"/>
    <w:basedOn w:val="NoParagraphStyle"/>
    <w:uiPriority w:val="99"/>
    <w:pPr>
      <w:suppressAutoHyphens/>
      <w:spacing w:line="230" w:lineRule="atLeast"/>
    </w:pPr>
    <w:rPr>
      <w:rFonts w:ascii="ITC Franklin Gothic Book" w:hAnsi="ITC Franklin Gothic Book" w:cs="ITC Franklin Gothic Book"/>
      <w:color w:val="246754"/>
      <w:sz w:val="20"/>
      <w:szCs w:val="20"/>
      <w:lang w:val="en-US"/>
    </w:rPr>
  </w:style>
  <w:style w:type="paragraph" w:customStyle="1" w:styleId="BodyPre-bulletGeneralStyles">
    <w:name w:val="Body Pre-bullet (General Styles)"/>
    <w:basedOn w:val="NoParagraphStyle"/>
    <w:uiPriority w:val="99"/>
    <w:pPr>
      <w:suppressAutoHyphens/>
      <w:spacing w:after="57" w:line="270" w:lineRule="atLeast"/>
    </w:pPr>
    <w:rPr>
      <w:rFonts w:ascii="Gill Sans Std Light" w:hAnsi="Gill Sans Std Light" w:cs="Gill Sans Std Light"/>
      <w:sz w:val="21"/>
      <w:szCs w:val="21"/>
      <w:lang w:val="en-US"/>
    </w:rPr>
  </w:style>
  <w:style w:type="paragraph" w:customStyle="1" w:styleId="BulletGeneralStyles">
    <w:name w:val="Bullet (General Styles)"/>
    <w:basedOn w:val="BodyGeneralStyles"/>
    <w:uiPriority w:val="99"/>
    <w:pPr>
      <w:tabs>
        <w:tab w:val="left" w:pos="907"/>
      </w:tabs>
      <w:spacing w:after="57"/>
      <w:ind w:left="360" w:hanging="170"/>
    </w:pPr>
  </w:style>
  <w:style w:type="paragraph" w:customStyle="1" w:styleId="TableHeadingLeftFiguresTable">
    <w:name w:val="Table Heading Left (Figures / Table)"/>
    <w:basedOn w:val="BodyGeneralStyles"/>
    <w:uiPriority w:val="99"/>
    <w:pPr>
      <w:spacing w:line="240" w:lineRule="atLeast"/>
    </w:pPr>
    <w:rPr>
      <w:rFonts w:ascii="ITC Franklin Gothic Book" w:hAnsi="ITC Franklin Gothic Book" w:cs="ITC Franklin Gothic Book"/>
      <w:color w:val="246754"/>
      <w:sz w:val="18"/>
      <w:szCs w:val="18"/>
    </w:rPr>
  </w:style>
  <w:style w:type="paragraph" w:customStyle="1" w:styleId="TableBodyLeftFiguresTable">
    <w:name w:val="Table Body Left (Figures / Table)"/>
    <w:basedOn w:val="NoParagraphStyle"/>
    <w:uiPriority w:val="99"/>
    <w:pPr>
      <w:suppressAutoHyphens/>
      <w:spacing w:after="135" w:line="240" w:lineRule="atLeast"/>
    </w:pPr>
    <w:rPr>
      <w:rFonts w:ascii="ITC Franklin Gothic Book" w:hAnsi="ITC Franklin Gothic Book" w:cs="ITC Franklin Gothic Book"/>
      <w:sz w:val="18"/>
      <w:szCs w:val="18"/>
      <w:lang w:val="en-US"/>
    </w:rPr>
  </w:style>
  <w:style w:type="paragraph" w:customStyle="1" w:styleId="TableBodyRightFiguresTable">
    <w:name w:val="Table Body Right (Figures / Table)"/>
    <w:basedOn w:val="BodyGeneralStyles"/>
    <w:uiPriority w:val="99"/>
    <w:pPr>
      <w:spacing w:line="240" w:lineRule="atLeast"/>
      <w:jc w:val="right"/>
    </w:pPr>
    <w:rPr>
      <w:rFonts w:ascii="ITC Franklin Gothic Book" w:hAnsi="ITC Franklin Gothic Book" w:cs="ITC Franklin Gothic Book"/>
      <w:sz w:val="18"/>
      <w:szCs w:val="18"/>
    </w:rPr>
  </w:style>
  <w:style w:type="paragraph" w:customStyle="1" w:styleId="TableBodyPre-bulletFiguresTable">
    <w:name w:val="Table Body Pre-bullet (Figures / Table)"/>
    <w:basedOn w:val="NoParagraphStyle"/>
    <w:uiPriority w:val="99"/>
    <w:pPr>
      <w:suppressAutoHyphens/>
      <w:spacing w:after="60" w:line="240" w:lineRule="atLeast"/>
    </w:pPr>
    <w:rPr>
      <w:rFonts w:ascii="ITC Franklin Gothic Book" w:hAnsi="ITC Franklin Gothic Book" w:cs="ITC Franklin Gothic Book"/>
      <w:sz w:val="18"/>
      <w:szCs w:val="18"/>
      <w:lang w:val="en-US"/>
    </w:rPr>
  </w:style>
  <w:style w:type="paragraph" w:customStyle="1" w:styleId="TableBulletFiguresTable">
    <w:name w:val="Table Bullet (Figures / Table)"/>
    <w:basedOn w:val="NoParagraphStyle"/>
    <w:uiPriority w:val="99"/>
    <w:pPr>
      <w:suppressAutoHyphens/>
      <w:spacing w:after="40" w:line="240" w:lineRule="atLeast"/>
      <w:ind w:left="198" w:hanging="198"/>
    </w:pPr>
    <w:rPr>
      <w:rFonts w:ascii="ITC Franklin Gothic Book" w:hAnsi="ITC Franklin Gothic Book" w:cs="ITC Franklin Gothic Book"/>
      <w:sz w:val="18"/>
      <w:szCs w:val="18"/>
      <w:lang w:val="en-US"/>
    </w:rPr>
  </w:style>
  <w:style w:type="paragraph" w:customStyle="1" w:styleId="TableHeadingRightFiguresTable">
    <w:name w:val="Table Heading Right (Figures / Table)"/>
    <w:basedOn w:val="BodyGeneralStyles"/>
    <w:uiPriority w:val="99"/>
    <w:pPr>
      <w:spacing w:line="240" w:lineRule="atLeast"/>
      <w:jc w:val="right"/>
    </w:pPr>
    <w:rPr>
      <w:rFonts w:ascii="ITC Franklin Gothic Book" w:hAnsi="ITC Franklin Gothic Book" w:cs="ITC Franklin Gothic Book"/>
      <w:color w:val="246754"/>
      <w:sz w:val="18"/>
      <w:szCs w:val="18"/>
    </w:rPr>
  </w:style>
  <w:style w:type="paragraph" w:customStyle="1" w:styleId="Footnote100-999Footnote">
    <w:name w:val="Footnote 100-999 (Footnote)"/>
    <w:basedOn w:val="NoParagraphStyle"/>
    <w:uiPriority w:val="99"/>
    <w:pPr>
      <w:tabs>
        <w:tab w:val="left" w:pos="369"/>
      </w:tabs>
      <w:suppressAutoHyphens/>
      <w:spacing w:after="113" w:line="180" w:lineRule="atLeast"/>
      <w:ind w:left="369" w:hanging="369"/>
    </w:pPr>
    <w:rPr>
      <w:rFonts w:ascii="Gill Sans Std Light" w:hAnsi="Gill Sans Std Light" w:cs="Gill Sans Std Light"/>
      <w:sz w:val="15"/>
      <w:szCs w:val="15"/>
      <w:lang w:val="en-US"/>
    </w:rPr>
  </w:style>
  <w:style w:type="character" w:customStyle="1" w:styleId="LightItalic">
    <w:name w:val="Light Italic"/>
    <w:uiPriority w:val="99"/>
    <w:rPr>
      <w:rFonts w:ascii="Gill Sans Std Light" w:hAnsi="Gill Sans Std Light" w:cs="Gill Sans Std Light"/>
      <w:i/>
      <w:iCs/>
      <w:lang w:val="en-AU"/>
    </w:rPr>
  </w:style>
  <w:style w:type="character" w:customStyle="1" w:styleId="Superscript">
    <w:name w:val="Superscript"/>
    <w:uiPriority w:val="99"/>
    <w:rPr>
      <w:vertAlign w:val="superscript"/>
    </w:rPr>
  </w:style>
  <w:style w:type="paragraph" w:styleId="TOC1">
    <w:name w:val="toc 1"/>
    <w:basedOn w:val="Normal"/>
    <w:next w:val="Normal"/>
    <w:autoRedefine/>
    <w:uiPriority w:val="39"/>
    <w:unhideWhenUsed/>
    <w:rsid w:val="00CE666D"/>
    <w:pPr>
      <w:spacing w:before="120" w:after="120"/>
    </w:pPr>
  </w:style>
  <w:style w:type="paragraph" w:customStyle="1" w:styleId="TitleTitlePage">
    <w:name w:val="Title (Title Page)"/>
    <w:basedOn w:val="Normal"/>
    <w:uiPriority w:val="99"/>
    <w:rsid w:val="00AE75F2"/>
    <w:pPr>
      <w:widowControl w:val="0"/>
      <w:autoSpaceDE w:val="0"/>
      <w:autoSpaceDN w:val="0"/>
      <w:adjustRightInd w:val="0"/>
      <w:spacing w:before="120" w:after="0" w:line="680" w:lineRule="atLeast"/>
      <w:textAlignment w:val="center"/>
    </w:pPr>
    <w:rPr>
      <w:rFonts w:ascii="ITC Franklin Gothic Book" w:hAnsi="ITC Franklin Gothic Book" w:cs="ITC Franklin Gothic Book"/>
      <w:color w:val="55565A"/>
      <w:sz w:val="60"/>
      <w:szCs w:val="60"/>
      <w:lang w:val="en-US"/>
    </w:rPr>
  </w:style>
  <w:style w:type="paragraph" w:customStyle="1" w:styleId="SubtitleTitlePage">
    <w:name w:val="Subtitle (Title Page)"/>
    <w:basedOn w:val="TitleTitlePage"/>
    <w:uiPriority w:val="99"/>
    <w:rsid w:val="00AE75F2"/>
    <w:pPr>
      <w:spacing w:after="540"/>
    </w:pPr>
    <w:rPr>
      <w:color w:val="246754"/>
    </w:rPr>
  </w:style>
  <w:style w:type="paragraph" w:customStyle="1" w:styleId="ContributorsheaderImprintandContributors">
    <w:name w:val="Contributors header (Imprint and Contributors)"/>
    <w:basedOn w:val="Normal"/>
    <w:uiPriority w:val="99"/>
    <w:rsid w:val="00AE75F2"/>
    <w:pPr>
      <w:widowControl w:val="0"/>
      <w:autoSpaceDE w:val="0"/>
      <w:autoSpaceDN w:val="0"/>
      <w:adjustRightInd w:val="0"/>
      <w:spacing w:before="270" w:after="0" w:line="270" w:lineRule="atLeast"/>
    </w:pPr>
    <w:rPr>
      <w:rFonts w:ascii="ITC Franklin Gothic Book" w:hAnsi="ITC Franklin Gothic Book" w:cs="ITC Franklin Gothic Book"/>
      <w:color w:val="246754"/>
      <w:sz w:val="21"/>
      <w:szCs w:val="21"/>
      <w:lang w:val="en-US"/>
    </w:rPr>
  </w:style>
  <w:style w:type="paragraph" w:customStyle="1" w:styleId="ContributorslistImprintandContributors">
    <w:name w:val="Contributors list (Imprint and Contributors)"/>
    <w:basedOn w:val="Normal"/>
    <w:uiPriority w:val="99"/>
    <w:rsid w:val="00AE75F2"/>
    <w:pPr>
      <w:widowControl w:val="0"/>
      <w:autoSpaceDE w:val="0"/>
      <w:autoSpaceDN w:val="0"/>
      <w:adjustRightInd w:val="0"/>
      <w:spacing w:before="120" w:after="0" w:line="270" w:lineRule="atLeast"/>
    </w:pPr>
    <w:rPr>
      <w:rFonts w:ascii="Gill Sans Std Light" w:hAnsi="Gill Sans Std Light" w:cs="Gill Sans Std Light"/>
      <w:color w:val="000000"/>
      <w:sz w:val="21"/>
      <w:szCs w:val="21"/>
      <w:lang w:val="en-US"/>
    </w:rPr>
  </w:style>
  <w:style w:type="paragraph" w:styleId="Header">
    <w:name w:val="header"/>
    <w:basedOn w:val="Normal"/>
    <w:link w:val="HeaderChar"/>
    <w:uiPriority w:val="99"/>
    <w:unhideWhenUsed/>
    <w:rsid w:val="00632D14"/>
    <w:pPr>
      <w:tabs>
        <w:tab w:val="center" w:pos="4513"/>
        <w:tab w:val="right" w:pos="9026"/>
      </w:tabs>
      <w:spacing w:before="120" w:after="120"/>
    </w:pPr>
  </w:style>
  <w:style w:type="character" w:customStyle="1" w:styleId="HeaderChar">
    <w:name w:val="Header Char"/>
    <w:basedOn w:val="DefaultParagraphFont"/>
    <w:link w:val="Header"/>
    <w:uiPriority w:val="99"/>
    <w:rsid w:val="00632D14"/>
  </w:style>
  <w:style w:type="paragraph" w:styleId="Footer">
    <w:name w:val="footer"/>
    <w:basedOn w:val="Normal"/>
    <w:link w:val="FooterChar"/>
    <w:uiPriority w:val="99"/>
    <w:unhideWhenUsed/>
    <w:rsid w:val="00632D14"/>
    <w:pPr>
      <w:tabs>
        <w:tab w:val="center" w:pos="4513"/>
        <w:tab w:val="right" w:pos="9026"/>
      </w:tabs>
      <w:spacing w:before="120" w:after="120"/>
    </w:pPr>
  </w:style>
  <w:style w:type="character" w:customStyle="1" w:styleId="FooterChar">
    <w:name w:val="Footer Char"/>
    <w:basedOn w:val="DefaultParagraphFont"/>
    <w:link w:val="Footer"/>
    <w:uiPriority w:val="99"/>
    <w:rsid w:val="00632D14"/>
  </w:style>
  <w:style w:type="character" w:styleId="Hyperlink">
    <w:name w:val="Hyperlink"/>
    <w:uiPriority w:val="99"/>
    <w:unhideWhenUsed/>
    <w:rsid w:val="00CE666D"/>
    <w:rPr>
      <w:color w:val="0563C1"/>
      <w:u w:val="single"/>
    </w:rPr>
  </w:style>
  <w:style w:type="paragraph" w:customStyle="1" w:styleId="ImprintImprintandContributors">
    <w:name w:val="Imprint (Imprint and Contributors)"/>
    <w:basedOn w:val="Normal"/>
    <w:uiPriority w:val="99"/>
    <w:rsid w:val="00B83836"/>
    <w:pPr>
      <w:widowControl w:val="0"/>
      <w:autoSpaceDE w:val="0"/>
      <w:autoSpaceDN w:val="0"/>
      <w:adjustRightInd w:val="0"/>
      <w:spacing w:before="120" w:after="120" w:line="240" w:lineRule="atLeast"/>
    </w:pPr>
    <w:rPr>
      <w:rFonts w:ascii="Gill Sans Std Light" w:hAnsi="Gill Sans Std Light" w:cs="Gill Sans Std Light"/>
      <w:color w:val="000000"/>
      <w:sz w:val="18"/>
      <w:szCs w:val="18"/>
      <w:lang w:val="en-US"/>
    </w:rPr>
  </w:style>
  <w:style w:type="paragraph" w:customStyle="1" w:styleId="Subtitle2TitlePage">
    <w:name w:val="Subtitle 2 (Title Page)"/>
    <w:basedOn w:val="NoParagraphStyle"/>
    <w:uiPriority w:val="99"/>
    <w:rsid w:val="005B7138"/>
    <w:pPr>
      <w:suppressAutoHyphens/>
      <w:spacing w:line="400" w:lineRule="atLeast"/>
    </w:pPr>
    <w:rPr>
      <w:rFonts w:ascii="ITC Franklin Gothic Book" w:hAnsi="ITC Franklin Gothic Book" w:cs="ITC Franklin Gothic Book"/>
      <w:color w:val="55565A"/>
      <w:sz w:val="36"/>
      <w:szCs w:val="36"/>
      <w:lang w:val="en-US"/>
    </w:rPr>
  </w:style>
  <w:style w:type="character" w:customStyle="1" w:styleId="Heading1Char">
    <w:name w:val="Heading 1 Char"/>
    <w:link w:val="Heading1"/>
    <w:uiPriority w:val="9"/>
    <w:rsid w:val="00A83355"/>
    <w:rPr>
      <w:b/>
      <w:bCs/>
      <w:kern w:val="32"/>
      <w:sz w:val="40"/>
      <w:szCs w:val="32"/>
    </w:rPr>
  </w:style>
  <w:style w:type="paragraph" w:styleId="Title">
    <w:name w:val="Title"/>
    <w:basedOn w:val="Normal"/>
    <w:next w:val="Normal"/>
    <w:link w:val="TitleChar"/>
    <w:uiPriority w:val="99"/>
    <w:qFormat/>
    <w:rsid w:val="009F186F"/>
    <w:pPr>
      <w:spacing w:before="120" w:after="240" w:line="240" w:lineRule="auto"/>
      <w:outlineLvl w:val="0"/>
    </w:pPr>
    <w:rPr>
      <w:b/>
      <w:bCs/>
      <w:kern w:val="28"/>
      <w:sz w:val="48"/>
      <w:szCs w:val="32"/>
    </w:rPr>
  </w:style>
  <w:style w:type="character" w:customStyle="1" w:styleId="TitleChar">
    <w:name w:val="Title Char"/>
    <w:link w:val="Title"/>
    <w:uiPriority w:val="10"/>
    <w:rsid w:val="009F186F"/>
    <w:rPr>
      <w:b/>
      <w:bCs/>
      <w:kern w:val="28"/>
      <w:sz w:val="48"/>
      <w:szCs w:val="32"/>
    </w:rPr>
  </w:style>
  <w:style w:type="character" w:styleId="Strong">
    <w:name w:val="Strong"/>
    <w:uiPriority w:val="22"/>
    <w:qFormat/>
    <w:rsid w:val="002B1984"/>
    <w:rPr>
      <w:b/>
      <w:bCs/>
    </w:rPr>
  </w:style>
  <w:style w:type="character" w:customStyle="1" w:styleId="Heading2Char">
    <w:name w:val="Heading 2 Char"/>
    <w:link w:val="Heading2"/>
    <w:uiPriority w:val="9"/>
    <w:rsid w:val="00173049"/>
    <w:rPr>
      <w:b/>
      <w:bCs/>
      <w:iCs/>
      <w:sz w:val="32"/>
      <w:szCs w:val="28"/>
    </w:rPr>
  </w:style>
  <w:style w:type="character" w:styleId="Emphasis">
    <w:name w:val="Emphasis"/>
    <w:uiPriority w:val="20"/>
    <w:qFormat/>
    <w:rsid w:val="009E5334"/>
    <w:rPr>
      <w:i/>
      <w:iCs/>
    </w:rPr>
  </w:style>
  <w:style w:type="paragraph" w:customStyle="1" w:styleId="Numbered">
    <w:name w:val="Numbered"/>
    <w:basedOn w:val="NormalIndent"/>
    <w:link w:val="NumberedChar"/>
    <w:qFormat/>
    <w:rsid w:val="00872369"/>
    <w:pPr>
      <w:numPr>
        <w:ilvl w:val="1"/>
        <w:numId w:val="1"/>
      </w:numPr>
      <w:tabs>
        <w:tab w:val="left" w:pos="851"/>
      </w:tabs>
      <w:ind w:left="851" w:hanging="851"/>
    </w:pPr>
  </w:style>
  <w:style w:type="character" w:customStyle="1" w:styleId="Heading3Char">
    <w:name w:val="Heading 3 Char"/>
    <w:link w:val="Heading3"/>
    <w:uiPriority w:val="9"/>
    <w:rsid w:val="00C0128D"/>
    <w:rPr>
      <w:rFonts w:ascii="Verdana" w:eastAsia="Times New Roman" w:hAnsi="Verdana" w:cs="Times New Roman"/>
      <w:b/>
      <w:bCs/>
      <w:sz w:val="26"/>
      <w:szCs w:val="26"/>
    </w:rPr>
  </w:style>
  <w:style w:type="paragraph" w:styleId="NormalIndent">
    <w:name w:val="Normal Indent"/>
    <w:basedOn w:val="Normal"/>
    <w:link w:val="NormalIndentChar"/>
    <w:uiPriority w:val="99"/>
    <w:semiHidden/>
    <w:unhideWhenUsed/>
    <w:rsid w:val="005E444F"/>
    <w:pPr>
      <w:spacing w:before="120" w:after="120"/>
      <w:ind w:left="720"/>
    </w:pPr>
  </w:style>
  <w:style w:type="character" w:customStyle="1" w:styleId="NormalIndentChar">
    <w:name w:val="Normal Indent Char"/>
    <w:link w:val="NormalIndent"/>
    <w:uiPriority w:val="99"/>
    <w:semiHidden/>
    <w:rsid w:val="005E444F"/>
    <w:rPr>
      <w:rFonts w:ascii="Verdana" w:hAnsi="Verdana"/>
      <w:sz w:val="24"/>
      <w:szCs w:val="22"/>
    </w:rPr>
  </w:style>
  <w:style w:type="character" w:customStyle="1" w:styleId="NumberedChar">
    <w:name w:val="Numbered Char"/>
    <w:link w:val="Numbered"/>
    <w:rsid w:val="00872369"/>
  </w:style>
  <w:style w:type="character" w:customStyle="1" w:styleId="Heading4Char">
    <w:name w:val="Heading 4 Char"/>
    <w:link w:val="Heading4"/>
    <w:uiPriority w:val="9"/>
    <w:rsid w:val="008A1C48"/>
    <w:rPr>
      <w:b/>
      <w:bCs/>
      <w:i/>
      <w:szCs w:val="28"/>
    </w:rPr>
  </w:style>
  <w:style w:type="character" w:customStyle="1" w:styleId="Heading5Char">
    <w:name w:val="Heading 5 Char"/>
    <w:link w:val="Heading5"/>
    <w:uiPriority w:val="9"/>
    <w:semiHidden/>
    <w:rsid w:val="00703380"/>
    <w:rPr>
      <w:rFonts w:ascii="Calibri" w:hAnsi="Calibri"/>
      <w:b/>
      <w:bCs/>
      <w:i/>
      <w:iCs/>
      <w:sz w:val="26"/>
      <w:szCs w:val="26"/>
    </w:rPr>
  </w:style>
  <w:style w:type="character" w:customStyle="1" w:styleId="Heading6Char">
    <w:name w:val="Heading 6 Char"/>
    <w:link w:val="Heading6"/>
    <w:uiPriority w:val="9"/>
    <w:semiHidden/>
    <w:rsid w:val="00703380"/>
    <w:rPr>
      <w:rFonts w:ascii="Calibri" w:hAnsi="Calibri"/>
      <w:b/>
      <w:bCs/>
    </w:rPr>
  </w:style>
  <w:style w:type="character" w:customStyle="1" w:styleId="Heading7Char">
    <w:name w:val="Heading 7 Char"/>
    <w:link w:val="Heading7"/>
    <w:uiPriority w:val="9"/>
    <w:semiHidden/>
    <w:rsid w:val="00703380"/>
    <w:rPr>
      <w:rFonts w:ascii="Calibri" w:hAnsi="Calibri"/>
    </w:rPr>
  </w:style>
  <w:style w:type="character" w:customStyle="1" w:styleId="Heading8Char">
    <w:name w:val="Heading 8 Char"/>
    <w:link w:val="Heading8"/>
    <w:uiPriority w:val="9"/>
    <w:semiHidden/>
    <w:rsid w:val="00703380"/>
    <w:rPr>
      <w:rFonts w:ascii="Calibri" w:hAnsi="Calibri"/>
      <w:i/>
      <w:iCs/>
    </w:rPr>
  </w:style>
  <w:style w:type="character" w:customStyle="1" w:styleId="Heading9Char">
    <w:name w:val="Heading 9 Char"/>
    <w:link w:val="Heading9"/>
    <w:uiPriority w:val="9"/>
    <w:semiHidden/>
    <w:rsid w:val="00703380"/>
    <w:rPr>
      <w:rFonts w:ascii="Calibri Light" w:hAnsi="Calibri Light"/>
    </w:rPr>
  </w:style>
  <w:style w:type="paragraph" w:customStyle="1" w:styleId="Heading1Numbered">
    <w:name w:val="Heading 1 Numbered"/>
    <w:next w:val="Numbered"/>
    <w:link w:val="Heading1NumberedChar"/>
    <w:qFormat/>
    <w:rsid w:val="00C9725F"/>
    <w:pPr>
      <w:pageBreakBefore/>
      <w:numPr>
        <w:numId w:val="1"/>
      </w:numPr>
      <w:tabs>
        <w:tab w:val="left" w:pos="992"/>
      </w:tabs>
      <w:suppressAutoHyphens/>
      <w:spacing w:after="240"/>
      <w:ind w:left="992" w:hanging="992"/>
    </w:pPr>
    <w:rPr>
      <w:b/>
      <w:bCs/>
      <w:kern w:val="32"/>
      <w:sz w:val="48"/>
      <w:szCs w:val="32"/>
    </w:rPr>
  </w:style>
  <w:style w:type="paragraph" w:customStyle="1" w:styleId="Bullets">
    <w:name w:val="Bullets"/>
    <w:basedOn w:val="Normal"/>
    <w:qFormat/>
    <w:rsid w:val="00B64EB6"/>
    <w:pPr>
      <w:numPr>
        <w:numId w:val="2"/>
      </w:numPr>
      <w:spacing w:before="60" w:after="60"/>
    </w:pPr>
  </w:style>
  <w:style w:type="character" w:customStyle="1" w:styleId="Heading1NumberedChar">
    <w:name w:val="Heading 1 Numbered Char"/>
    <w:link w:val="Heading1Numbered"/>
    <w:rsid w:val="00C9725F"/>
    <w:rPr>
      <w:b/>
      <w:bCs/>
      <w:kern w:val="32"/>
      <w:sz w:val="48"/>
      <w:szCs w:val="32"/>
    </w:rPr>
  </w:style>
  <w:style w:type="paragraph" w:styleId="NoSpacing">
    <w:name w:val="No Spacing"/>
    <w:uiPriority w:val="1"/>
    <w:qFormat/>
    <w:rsid w:val="00951DEC"/>
  </w:style>
  <w:style w:type="paragraph" w:styleId="Quote">
    <w:name w:val="Quote"/>
    <w:basedOn w:val="Normal"/>
    <w:next w:val="Normal"/>
    <w:link w:val="QuoteChar"/>
    <w:uiPriority w:val="29"/>
    <w:qFormat/>
    <w:rsid w:val="00415FFD"/>
    <w:pPr>
      <w:spacing w:before="200" w:after="120"/>
      <w:ind w:left="1134"/>
    </w:pPr>
    <w:rPr>
      <w:iCs/>
    </w:rPr>
  </w:style>
  <w:style w:type="character" w:customStyle="1" w:styleId="QuoteChar">
    <w:name w:val="Quote Char"/>
    <w:link w:val="Quote"/>
    <w:uiPriority w:val="29"/>
    <w:rsid w:val="00415FFD"/>
    <w:rPr>
      <w:rFonts w:ascii="Verdana" w:hAnsi="Verdana"/>
      <w:iCs/>
      <w:sz w:val="22"/>
      <w:szCs w:val="22"/>
    </w:rPr>
  </w:style>
  <w:style w:type="paragraph" w:customStyle="1" w:styleId="Footnote">
    <w:name w:val="Footnote"/>
    <w:uiPriority w:val="99"/>
    <w:qFormat/>
    <w:rsid w:val="00261201"/>
    <w:pPr>
      <w:tabs>
        <w:tab w:val="left" w:pos="454"/>
      </w:tabs>
      <w:suppressAutoHyphens/>
      <w:spacing w:line="360" w:lineRule="auto"/>
      <w:ind w:left="454" w:hanging="454"/>
    </w:pPr>
    <w:rPr>
      <w:rFonts w:cs="Gill Sans Std Light"/>
      <w:color w:val="000000"/>
      <w:sz w:val="20"/>
      <w:szCs w:val="15"/>
      <w:lang w:val="en-US"/>
    </w:rPr>
  </w:style>
  <w:style w:type="paragraph" w:styleId="Caption">
    <w:name w:val="caption"/>
    <w:basedOn w:val="Normal"/>
    <w:next w:val="Normal"/>
    <w:uiPriority w:val="35"/>
    <w:unhideWhenUsed/>
    <w:qFormat/>
    <w:rsid w:val="00D10620"/>
    <w:pPr>
      <w:keepNext/>
      <w:spacing w:before="120" w:after="120" w:line="240" w:lineRule="auto"/>
    </w:pPr>
    <w:rPr>
      <w:b/>
      <w:bCs/>
      <w:sz w:val="20"/>
      <w:szCs w:val="20"/>
    </w:rPr>
  </w:style>
  <w:style w:type="paragraph" w:customStyle="1" w:styleId="TableHeading">
    <w:name w:val="Table Heading"/>
    <w:qFormat/>
    <w:rsid w:val="00F56A1A"/>
    <w:pPr>
      <w:suppressAutoHyphens/>
    </w:pPr>
    <w:rPr>
      <w:rFonts w:cs="ITC Franklin Gothic Book"/>
      <w:b/>
      <w:sz w:val="20"/>
      <w:szCs w:val="18"/>
      <w:lang w:val="en-US"/>
    </w:rPr>
  </w:style>
  <w:style w:type="paragraph" w:customStyle="1" w:styleId="TableBody">
    <w:name w:val="Table Body"/>
    <w:uiPriority w:val="99"/>
    <w:qFormat/>
    <w:rsid w:val="00F56A1A"/>
    <w:pPr>
      <w:suppressAutoHyphens/>
    </w:pPr>
    <w:rPr>
      <w:rFonts w:cs="ITC Franklin Gothic Book"/>
      <w:color w:val="000000"/>
      <w:sz w:val="20"/>
      <w:szCs w:val="18"/>
      <w:lang w:val="en-US"/>
    </w:rPr>
  </w:style>
  <w:style w:type="paragraph" w:customStyle="1" w:styleId="Grid">
    <w:name w:val="Grid"/>
    <w:basedOn w:val="BodyGeneralStyles"/>
    <w:rsid w:val="00B052EE"/>
    <w:pPr>
      <w:spacing w:after="0" w:line="240" w:lineRule="auto"/>
    </w:pPr>
    <w:rPr>
      <w:sz w:val="16"/>
      <w:szCs w:val="16"/>
    </w:rPr>
  </w:style>
  <w:style w:type="table" w:styleId="TableGrid1">
    <w:name w:val="Table Grid 1"/>
    <w:uiPriority w:val="99"/>
    <w:semiHidden/>
    <w:unhideWhenUsed/>
    <w:rsid w:val="00263161"/>
    <w:pPr>
      <w:suppressAutoHyphens/>
      <w:spacing w:before="120" w:after="120"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rPr>
      <w:cantSplit/>
    </w:trPr>
    <w:tcPr>
      <w:shd w:val="clear" w:color="auto" w:fill="auto"/>
      <w:tcMar>
        <w:top w:w="57" w:type="dxa"/>
        <w:left w:w="57" w:type="dxa"/>
        <w:bottom w:w="57" w:type="dxa"/>
        <w:right w:w="57" w:type="dxa"/>
      </w:tcMar>
    </w:tcPr>
  </w:style>
  <w:style w:type="table" w:styleId="TableGrid">
    <w:name w:val="Table Grid"/>
    <w:basedOn w:val="TableNormal"/>
    <w:uiPriority w:val="39"/>
    <w:rsid w:val="00EF7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EF741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ntributorssubheaderImprintandContributors">
    <w:name w:val="Contributors subheader (Imprint and Contributors)"/>
    <w:basedOn w:val="NoParagraphStyle"/>
    <w:uiPriority w:val="99"/>
    <w:rsid w:val="005C16F8"/>
    <w:pPr>
      <w:suppressAutoHyphens/>
      <w:spacing w:before="270" w:line="270" w:lineRule="atLeast"/>
    </w:pPr>
    <w:rPr>
      <w:rFonts w:ascii="ITC Franklin Gothic Book" w:hAnsi="ITC Franklin Gothic Book" w:cs="ITC Franklin Gothic Book"/>
      <w:color w:val="55565A"/>
      <w:sz w:val="21"/>
      <w:szCs w:val="21"/>
      <w:lang w:val="en-US"/>
    </w:rPr>
  </w:style>
  <w:style w:type="paragraph" w:customStyle="1" w:styleId="Body11PrebulletBodyParas">
    <w:name w:val="Body 1.1 Prebullet (Body Paras)"/>
    <w:basedOn w:val="BodynumberedGeneralStyles"/>
    <w:uiPriority w:val="99"/>
    <w:rsid w:val="005C16F8"/>
    <w:pPr>
      <w:spacing w:after="57" w:line="270" w:lineRule="atLeast"/>
      <w:ind w:left="510" w:hanging="510"/>
    </w:pPr>
  </w:style>
  <w:style w:type="paragraph" w:customStyle="1" w:styleId="Body21BodyParas0">
    <w:name w:val="Body 2.1+ (Body Paras)"/>
    <w:basedOn w:val="BodynumberedGeneralStyles"/>
    <w:uiPriority w:val="99"/>
    <w:rsid w:val="005C16F8"/>
    <w:pPr>
      <w:spacing w:after="130" w:line="270" w:lineRule="atLeast"/>
      <w:ind w:left="510" w:hanging="510"/>
    </w:pPr>
  </w:style>
  <w:style w:type="paragraph" w:customStyle="1" w:styleId="Body21PrebulletBodyParas">
    <w:name w:val="Body 2.1 Prebullet (Body Paras)"/>
    <w:basedOn w:val="BodynumberedGeneralStyles"/>
    <w:uiPriority w:val="99"/>
    <w:rsid w:val="005C16F8"/>
    <w:pPr>
      <w:spacing w:after="57" w:line="270" w:lineRule="atLeast"/>
      <w:ind w:left="510" w:hanging="510"/>
    </w:pPr>
  </w:style>
  <w:style w:type="paragraph" w:customStyle="1" w:styleId="Body31BodyParas0">
    <w:name w:val="Body 3.1+ (Body Paras)"/>
    <w:basedOn w:val="BodynumberedGeneralStyles"/>
    <w:uiPriority w:val="99"/>
    <w:rsid w:val="005C16F8"/>
    <w:pPr>
      <w:spacing w:after="130" w:line="270" w:lineRule="atLeast"/>
      <w:ind w:left="510" w:hanging="510"/>
    </w:pPr>
  </w:style>
  <w:style w:type="paragraph" w:customStyle="1" w:styleId="Body31PrebulletBodyParas">
    <w:name w:val="Body 3.1 Prebullet (Body Paras)"/>
    <w:basedOn w:val="BodynumberedGeneralStyles"/>
    <w:uiPriority w:val="99"/>
    <w:rsid w:val="005C16F8"/>
    <w:pPr>
      <w:spacing w:after="57" w:line="270" w:lineRule="atLeast"/>
      <w:ind w:left="510" w:hanging="510"/>
    </w:pPr>
  </w:style>
  <w:style w:type="paragraph" w:customStyle="1" w:styleId="Body41PrebulletBodyParas">
    <w:name w:val="Body 4.1 Prebullet (Body Paras)"/>
    <w:basedOn w:val="BodynumberedGeneralStyles"/>
    <w:uiPriority w:val="99"/>
    <w:rsid w:val="005C16F8"/>
    <w:pPr>
      <w:spacing w:after="57" w:line="270" w:lineRule="atLeast"/>
      <w:ind w:left="510" w:hanging="510"/>
    </w:pPr>
  </w:style>
  <w:style w:type="paragraph" w:customStyle="1" w:styleId="SubbulletindentGeneralStyles">
    <w:name w:val="Subbullet indent (General Styles)"/>
    <w:basedOn w:val="BodyGeneralStyles"/>
    <w:uiPriority w:val="99"/>
    <w:rsid w:val="005C16F8"/>
    <w:pPr>
      <w:tabs>
        <w:tab w:val="left" w:pos="907"/>
      </w:tabs>
      <w:spacing w:after="57"/>
      <w:ind w:left="1191" w:hanging="198"/>
    </w:pPr>
  </w:style>
  <w:style w:type="paragraph" w:customStyle="1" w:styleId="SubbulletindentlastGeneralStyles">
    <w:name w:val="Subbullet indent last (General Styles)"/>
    <w:basedOn w:val="BodyGeneralStyles"/>
    <w:uiPriority w:val="99"/>
    <w:rsid w:val="005C16F8"/>
    <w:pPr>
      <w:tabs>
        <w:tab w:val="left" w:pos="907"/>
      </w:tabs>
      <w:ind w:left="1191" w:hanging="198"/>
    </w:pPr>
  </w:style>
  <w:style w:type="paragraph" w:customStyle="1" w:styleId="Body41BodyParas0">
    <w:name w:val="Body 4.1+ (Body Paras)"/>
    <w:basedOn w:val="BodynumberedGeneralStyles"/>
    <w:uiPriority w:val="99"/>
    <w:rsid w:val="005C16F8"/>
    <w:pPr>
      <w:spacing w:after="130" w:line="270" w:lineRule="atLeast"/>
      <w:ind w:left="510" w:hanging="510"/>
    </w:pPr>
  </w:style>
  <w:style w:type="character" w:customStyle="1" w:styleId="Coloured">
    <w:name w:val="Coloured"/>
    <w:uiPriority w:val="99"/>
    <w:rsid w:val="005C16F8"/>
    <w:rPr>
      <w:color w:val="80B0E5"/>
    </w:rPr>
  </w:style>
  <w:style w:type="character" w:customStyle="1" w:styleId="Figure">
    <w:name w:val="Figure"/>
    <w:uiPriority w:val="99"/>
    <w:rsid w:val="005C16F8"/>
    <w:rPr>
      <w:rFonts w:ascii="ITC Franklin Gothic Book" w:hAnsi="ITC Franklin Gothic Book" w:cs="ITC Franklin Gothic Book"/>
      <w:color w:val="80B0E5"/>
    </w:rPr>
  </w:style>
  <w:style w:type="character" w:customStyle="1" w:styleId="DemiItalic">
    <w:name w:val="Demi Italic"/>
    <w:uiPriority w:val="99"/>
    <w:rsid w:val="005C16F8"/>
    <w:rPr>
      <w:i/>
      <w:iCs/>
      <w:lang w:val="en-AU"/>
    </w:rPr>
  </w:style>
  <w:style w:type="paragraph" w:styleId="TOCHeading">
    <w:name w:val="TOC Heading"/>
    <w:basedOn w:val="Heading1"/>
    <w:next w:val="Normal"/>
    <w:uiPriority w:val="39"/>
    <w:unhideWhenUsed/>
    <w:qFormat/>
    <w:rsid w:val="00AE709F"/>
    <w:pPr>
      <w:keepLines/>
      <w:spacing w:after="0" w:line="259" w:lineRule="auto"/>
      <w:outlineLvl w:val="9"/>
    </w:pPr>
    <w:rPr>
      <w:rFonts w:ascii="Calibri Light" w:hAnsi="Calibri Light"/>
      <w:b w:val="0"/>
      <w:bCs w:val="0"/>
      <w:color w:val="2E74B5"/>
      <w:kern w:val="0"/>
      <w:sz w:val="32"/>
      <w:lang w:val="en-US" w:eastAsia="en-US"/>
    </w:rPr>
  </w:style>
  <w:style w:type="paragraph" w:styleId="TOC2">
    <w:name w:val="toc 2"/>
    <w:basedOn w:val="Normal"/>
    <w:next w:val="Normal"/>
    <w:autoRedefine/>
    <w:uiPriority w:val="39"/>
    <w:unhideWhenUsed/>
    <w:rsid w:val="00AE709F"/>
    <w:pPr>
      <w:spacing w:before="120" w:after="100"/>
      <w:ind w:left="220"/>
    </w:pPr>
    <w:rPr>
      <w:rFonts w:ascii="Calibri" w:hAnsi="Calibri"/>
      <w:lang w:val="en-US" w:eastAsia="en-US"/>
    </w:rPr>
  </w:style>
  <w:style w:type="paragraph" w:styleId="TOC3">
    <w:name w:val="toc 3"/>
    <w:basedOn w:val="Normal"/>
    <w:next w:val="Normal"/>
    <w:autoRedefine/>
    <w:uiPriority w:val="39"/>
    <w:unhideWhenUsed/>
    <w:rsid w:val="00AE709F"/>
    <w:pPr>
      <w:spacing w:before="120" w:after="100"/>
      <w:ind w:left="440"/>
    </w:pPr>
    <w:rPr>
      <w:rFonts w:ascii="Calibri" w:hAnsi="Calibri"/>
      <w:lang w:val="en-US" w:eastAsia="en-US"/>
    </w:rPr>
  </w:style>
  <w:style w:type="paragraph" w:customStyle="1" w:styleId="Contributorsheader2ImprintandContributors">
    <w:name w:val="Contributors header 2 (Imprint and Contributors)"/>
    <w:basedOn w:val="NoParagraphStyle"/>
    <w:uiPriority w:val="99"/>
    <w:rsid w:val="00C107C1"/>
    <w:pPr>
      <w:suppressAutoHyphens/>
      <w:spacing w:before="130" w:line="270" w:lineRule="atLeast"/>
    </w:pPr>
    <w:rPr>
      <w:rFonts w:ascii="ITC Franklin Gothic Book" w:eastAsiaTheme="minorEastAsia" w:hAnsi="ITC Franklin Gothic Book" w:cs="ITC Franklin Gothic Book"/>
      <w:color w:val="555559"/>
      <w:sz w:val="21"/>
      <w:szCs w:val="21"/>
      <w:lang w:val="en-US"/>
    </w:rPr>
  </w:style>
  <w:style w:type="paragraph" w:customStyle="1" w:styleId="ABCGeneralStyles">
    <w:name w:val="ABC (General Styles)"/>
    <w:basedOn w:val="BodyGeneralStyles"/>
    <w:uiPriority w:val="99"/>
    <w:rsid w:val="00C107C1"/>
    <w:pPr>
      <w:spacing w:after="57"/>
      <w:ind w:left="600" w:hanging="360"/>
    </w:pPr>
    <w:rPr>
      <w:rFonts w:eastAsiaTheme="minorEastAsia"/>
    </w:rPr>
  </w:style>
  <w:style w:type="paragraph" w:customStyle="1" w:styleId="NumberedGeneralStyles">
    <w:name w:val="Numbered (General Styles)"/>
    <w:basedOn w:val="ABCGeneralStyles"/>
    <w:uiPriority w:val="99"/>
    <w:rsid w:val="00C107C1"/>
    <w:pPr>
      <w:ind w:left="720"/>
    </w:pPr>
  </w:style>
  <w:style w:type="paragraph" w:customStyle="1" w:styleId="BodyPrebulletGeneralStyles">
    <w:name w:val="Body Prebullet (General Styles)"/>
    <w:basedOn w:val="BodyGeneralStyles"/>
    <w:uiPriority w:val="99"/>
    <w:rsid w:val="00C107C1"/>
    <w:pPr>
      <w:spacing w:after="57"/>
    </w:pPr>
    <w:rPr>
      <w:rFonts w:eastAsiaTheme="minorEastAsia"/>
    </w:rPr>
  </w:style>
  <w:style w:type="paragraph" w:customStyle="1" w:styleId="BulletlastGeneralStyles">
    <w:name w:val="Bullet last (General Styles)"/>
    <w:basedOn w:val="BulletGeneralStyles"/>
    <w:uiPriority w:val="99"/>
    <w:rsid w:val="00C107C1"/>
    <w:pPr>
      <w:spacing w:after="130"/>
    </w:pPr>
    <w:rPr>
      <w:rFonts w:eastAsiaTheme="minorEastAsia"/>
    </w:rPr>
  </w:style>
  <w:style w:type="paragraph" w:customStyle="1" w:styleId="QuoteindentGeneralStyles">
    <w:name w:val="Quote indent (General Styles)"/>
    <w:basedOn w:val="BodyGeneralStyles"/>
    <w:uiPriority w:val="99"/>
    <w:rsid w:val="00C107C1"/>
    <w:pPr>
      <w:ind w:left="1304" w:right="57"/>
    </w:pPr>
    <w:rPr>
      <w:rFonts w:eastAsiaTheme="minorEastAsia"/>
      <w:sz w:val="19"/>
      <w:szCs w:val="19"/>
    </w:rPr>
  </w:style>
  <w:style w:type="paragraph" w:customStyle="1" w:styleId="RecommendationHeadingAGeneralStyles">
    <w:name w:val="Recommendation Heading A (General Styles)"/>
    <w:basedOn w:val="NoParagraphStyle"/>
    <w:uiPriority w:val="99"/>
    <w:rsid w:val="00C107C1"/>
    <w:pPr>
      <w:keepNext/>
      <w:keepLines/>
      <w:pBdr>
        <w:top w:val="single" w:sz="96" w:space="0" w:color="7594CC"/>
      </w:pBdr>
      <w:suppressAutoHyphens/>
      <w:spacing w:before="240" w:after="260" w:line="320" w:lineRule="atLeast"/>
      <w:ind w:left="120"/>
    </w:pPr>
    <w:rPr>
      <w:rFonts w:ascii="Franklin Gothic Medium" w:eastAsiaTheme="minorEastAsia" w:hAnsi="Franklin Gothic Medium" w:cs="Franklin Gothic Medium"/>
      <w:color w:val="FFFFFF"/>
      <w:sz w:val="28"/>
      <w:szCs w:val="28"/>
      <w:lang w:val="en-US"/>
    </w:rPr>
  </w:style>
  <w:style w:type="paragraph" w:customStyle="1" w:styleId="RecommendationBodyGeneralStyles">
    <w:name w:val="Recommendation Body (General Styles)"/>
    <w:basedOn w:val="BodyGeneralStyles"/>
    <w:uiPriority w:val="99"/>
    <w:rsid w:val="00C107C1"/>
    <w:pPr>
      <w:spacing w:after="130"/>
      <w:ind w:left="120"/>
    </w:pPr>
    <w:rPr>
      <w:rFonts w:eastAsiaTheme="minorEastAsia"/>
    </w:rPr>
  </w:style>
  <w:style w:type="paragraph" w:customStyle="1" w:styleId="RecommendationABCGeneralStyles">
    <w:name w:val="Recommendation ABC (General Styles)"/>
    <w:basedOn w:val="BodyGeneralStyles"/>
    <w:uiPriority w:val="99"/>
    <w:rsid w:val="00C107C1"/>
    <w:pPr>
      <w:tabs>
        <w:tab w:val="left" w:pos="907"/>
      </w:tabs>
      <w:spacing w:after="57"/>
      <w:ind w:left="600" w:hanging="320"/>
    </w:pPr>
    <w:rPr>
      <w:rFonts w:eastAsiaTheme="minorEastAsia"/>
    </w:rPr>
  </w:style>
  <w:style w:type="paragraph" w:customStyle="1" w:styleId="RecommendationHeadingGeneralStyles">
    <w:name w:val="Recommendation Heading (General Styles)"/>
    <w:basedOn w:val="NoParagraphStyle"/>
    <w:uiPriority w:val="99"/>
    <w:rsid w:val="00C107C1"/>
    <w:pPr>
      <w:keepNext/>
      <w:keepLines/>
      <w:pBdr>
        <w:top w:val="single" w:sz="96" w:space="0" w:color="7594CC"/>
      </w:pBdr>
      <w:suppressAutoHyphens/>
      <w:spacing w:before="240" w:after="260" w:line="320" w:lineRule="atLeast"/>
      <w:ind w:left="120"/>
    </w:pPr>
    <w:rPr>
      <w:rFonts w:ascii="Franklin Gothic Medium" w:eastAsiaTheme="minorEastAsia" w:hAnsi="Franklin Gothic Medium" w:cs="Franklin Gothic Medium"/>
      <w:color w:val="FFFFFF"/>
      <w:sz w:val="28"/>
      <w:szCs w:val="28"/>
      <w:lang w:val="en-US"/>
    </w:rPr>
  </w:style>
  <w:style w:type="paragraph" w:customStyle="1" w:styleId="RecommendationLastGeneralStyles">
    <w:name w:val="Recommendation Last (General Styles)"/>
    <w:basedOn w:val="RecommendationABCGeneralStyles"/>
    <w:uiPriority w:val="99"/>
    <w:rsid w:val="00C107C1"/>
    <w:pPr>
      <w:pBdr>
        <w:bottom w:val="single" w:sz="16" w:space="13" w:color="7594CC"/>
      </w:pBdr>
      <w:ind w:left="120" w:firstLine="0"/>
    </w:pPr>
  </w:style>
  <w:style w:type="paragraph" w:customStyle="1" w:styleId="QuotebulletGeneralStyles">
    <w:name w:val="Quote bullet (General Styles)"/>
    <w:basedOn w:val="NoParagraphStyle"/>
    <w:uiPriority w:val="99"/>
    <w:rsid w:val="00C107C1"/>
    <w:pPr>
      <w:tabs>
        <w:tab w:val="left" w:pos="1440"/>
      </w:tabs>
      <w:suppressAutoHyphens/>
      <w:spacing w:after="40" w:line="270" w:lineRule="atLeast"/>
      <w:ind w:left="1134" w:right="357" w:hanging="198"/>
      <w:jc w:val="both"/>
    </w:pPr>
    <w:rPr>
      <w:rFonts w:ascii="Gill Sans Std Light" w:eastAsiaTheme="minorEastAsia" w:hAnsi="Gill Sans Std Light" w:cs="Gill Sans Std Light"/>
      <w:sz w:val="19"/>
      <w:szCs w:val="19"/>
      <w:lang w:val="en-AU"/>
    </w:rPr>
  </w:style>
  <w:style w:type="paragraph" w:customStyle="1" w:styleId="QuotebulletlastGeneralStyles">
    <w:name w:val="Quote bullet last (General Styles)"/>
    <w:basedOn w:val="NoParagraphStyle"/>
    <w:uiPriority w:val="99"/>
    <w:rsid w:val="00C107C1"/>
    <w:pPr>
      <w:tabs>
        <w:tab w:val="left" w:pos="1440"/>
      </w:tabs>
      <w:suppressAutoHyphens/>
      <w:spacing w:after="135" w:line="270" w:lineRule="atLeast"/>
      <w:ind w:left="1134" w:right="357" w:hanging="198"/>
      <w:jc w:val="both"/>
    </w:pPr>
    <w:rPr>
      <w:rFonts w:ascii="Gill Sans Std Light" w:eastAsiaTheme="minorEastAsia" w:hAnsi="Gill Sans Std Light" w:cs="Gill Sans Std Light"/>
      <w:sz w:val="19"/>
      <w:szCs w:val="19"/>
      <w:lang w:val="en-AU"/>
    </w:rPr>
  </w:style>
  <w:style w:type="paragraph" w:customStyle="1" w:styleId="ABCindentGeneralStyles">
    <w:name w:val="ABC indent (General Styles)"/>
    <w:basedOn w:val="BodyGeneralStyles"/>
    <w:uiPriority w:val="99"/>
    <w:rsid w:val="00C107C1"/>
    <w:pPr>
      <w:spacing w:after="57"/>
      <w:ind w:left="1260" w:hanging="400"/>
    </w:pPr>
    <w:rPr>
      <w:rFonts w:eastAsiaTheme="minorEastAsia"/>
    </w:rPr>
  </w:style>
  <w:style w:type="paragraph" w:customStyle="1" w:styleId="ABCindentlastGeneralStyles">
    <w:name w:val="ABC indent last (General Styles)"/>
    <w:basedOn w:val="BodyGeneralStyles"/>
    <w:uiPriority w:val="99"/>
    <w:rsid w:val="00C107C1"/>
    <w:pPr>
      <w:spacing w:after="130"/>
      <w:ind w:left="1260" w:hanging="400"/>
    </w:pPr>
    <w:rPr>
      <w:rFonts w:eastAsiaTheme="minorEastAsia"/>
    </w:rPr>
  </w:style>
  <w:style w:type="paragraph" w:customStyle="1" w:styleId="NumberedIndentGeneralStyles">
    <w:name w:val="Numbered Indent (General Styles)"/>
    <w:basedOn w:val="BodyGeneralStyles"/>
    <w:uiPriority w:val="99"/>
    <w:rsid w:val="00C107C1"/>
    <w:pPr>
      <w:tabs>
        <w:tab w:val="left" w:pos="907"/>
      </w:tabs>
      <w:spacing w:after="57"/>
      <w:ind w:left="1077" w:hanging="227"/>
    </w:pPr>
    <w:rPr>
      <w:rFonts w:eastAsiaTheme="minorEastAsia"/>
    </w:rPr>
  </w:style>
  <w:style w:type="paragraph" w:customStyle="1" w:styleId="NumberedIndentLastGeneralStyles">
    <w:name w:val="Numbered Indent Last (General Styles)"/>
    <w:basedOn w:val="BodyGeneralStyles"/>
    <w:uiPriority w:val="99"/>
    <w:rsid w:val="00C107C1"/>
    <w:pPr>
      <w:tabs>
        <w:tab w:val="left" w:pos="907"/>
      </w:tabs>
      <w:spacing w:after="130"/>
      <w:ind w:left="1077" w:hanging="227"/>
    </w:pPr>
    <w:rPr>
      <w:rFonts w:eastAsiaTheme="minorEastAsia"/>
    </w:rPr>
  </w:style>
  <w:style w:type="paragraph" w:customStyle="1" w:styleId="SubSubbulletindentGeneralStyles">
    <w:name w:val="Sub Subbullet indent (General Styles)"/>
    <w:basedOn w:val="BodyGeneralStyles"/>
    <w:uiPriority w:val="99"/>
    <w:rsid w:val="00C107C1"/>
    <w:pPr>
      <w:tabs>
        <w:tab w:val="left" w:pos="907"/>
      </w:tabs>
      <w:spacing w:after="57"/>
      <w:ind w:left="1701" w:hanging="198"/>
    </w:pPr>
    <w:rPr>
      <w:rFonts w:eastAsiaTheme="minorEastAsia"/>
    </w:rPr>
  </w:style>
  <w:style w:type="paragraph" w:customStyle="1" w:styleId="TableNoteGeneralStyles">
    <w:name w:val="Table Note (General Styles)"/>
    <w:basedOn w:val="NoParagraphStyle"/>
    <w:uiPriority w:val="99"/>
    <w:rsid w:val="00C107C1"/>
    <w:pPr>
      <w:tabs>
        <w:tab w:val="left" w:pos="255"/>
      </w:tabs>
      <w:suppressAutoHyphens/>
      <w:spacing w:after="113" w:line="190" w:lineRule="atLeast"/>
      <w:ind w:left="227" w:hanging="227"/>
    </w:pPr>
    <w:rPr>
      <w:rFonts w:ascii="Gill Sans Std Light" w:eastAsiaTheme="minorEastAsia" w:hAnsi="Gill Sans Std Light" w:cs="Gill Sans Std Light"/>
      <w:sz w:val="16"/>
      <w:szCs w:val="16"/>
      <w:lang w:val="en-US"/>
    </w:rPr>
  </w:style>
  <w:style w:type="paragraph" w:customStyle="1" w:styleId="RecommendationBodyPrebulletGeneralStyles">
    <w:name w:val="Recommendation Body Prebullet (General Styles)"/>
    <w:basedOn w:val="BodyGeneralStyles"/>
    <w:uiPriority w:val="99"/>
    <w:rsid w:val="00C107C1"/>
    <w:pPr>
      <w:spacing w:after="57"/>
      <w:ind w:left="120"/>
    </w:pPr>
    <w:rPr>
      <w:rFonts w:eastAsiaTheme="minorEastAsia"/>
    </w:rPr>
  </w:style>
  <w:style w:type="paragraph" w:customStyle="1" w:styleId="Body51PrebulletBodyParas">
    <w:name w:val="Body 5.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51BodyParas0">
    <w:name w:val="Body 5.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61BodyParas0">
    <w:name w:val="Body 6.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61PrebulletBodyParas">
    <w:name w:val="Body 6.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71BodyParas0">
    <w:name w:val="Body 7.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71PrebulletBodyParas">
    <w:name w:val="Body 7.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81BodyParas">
    <w:name w:val="Body 8.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81BodyParas0">
    <w:name w:val="Body 8.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81PrebulletBodyParas">
    <w:name w:val="Body 8.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character" w:customStyle="1" w:styleId="Bold">
    <w:name w:val="Bold"/>
    <w:uiPriority w:val="99"/>
    <w:rsid w:val="00C107C1"/>
    <w:rPr>
      <w:b/>
      <w:bCs/>
    </w:rPr>
  </w:style>
  <w:style w:type="character" w:customStyle="1" w:styleId="Italic">
    <w:name w:val="Italic"/>
    <w:uiPriority w:val="99"/>
    <w:rsid w:val="00C107C1"/>
    <w:rPr>
      <w:i/>
      <w:iCs/>
      <w:lang w:val="en-AU"/>
    </w:rPr>
  </w:style>
  <w:style w:type="character" w:customStyle="1" w:styleId="WhiteFootnote">
    <w:name w:val="White Footnote"/>
    <w:basedOn w:val="Superscript"/>
    <w:uiPriority w:val="99"/>
    <w:rsid w:val="00C107C1"/>
    <w:rPr>
      <w:b/>
      <w:bCs/>
      <w:outline/>
      <w:vertAlign w:val="superscript"/>
      <w:lang w:val="en-AU"/>
    </w:rPr>
  </w:style>
  <w:style w:type="character" w:customStyle="1" w:styleId="TableBold">
    <w:name w:val="Table Bold"/>
    <w:uiPriority w:val="99"/>
    <w:rsid w:val="00C107C1"/>
  </w:style>
  <w:style w:type="paragraph" w:styleId="FootnoteText">
    <w:name w:val="footnote text"/>
    <w:basedOn w:val="Normal"/>
    <w:link w:val="FootnoteTextChar"/>
    <w:uiPriority w:val="99"/>
    <w:unhideWhenUsed/>
    <w:rsid w:val="00050B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BF8"/>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050BF8"/>
    <w:rPr>
      <w:vertAlign w:val="superscript"/>
    </w:rPr>
  </w:style>
  <w:style w:type="paragraph" w:customStyle="1" w:styleId="BodyFranklinGothicFranklinGothicSection">
    <w:name w:val="Body Franklin Gothic (Franklin Gothic Section)"/>
    <w:basedOn w:val="BodyGeneralStyles"/>
    <w:uiPriority w:val="99"/>
    <w:rsid w:val="000D1F9C"/>
    <w:pPr>
      <w:widowControl/>
      <w:spacing w:line="280" w:lineRule="atLeast"/>
    </w:pPr>
    <w:rPr>
      <w:rFonts w:ascii="ITC Franklin Gothic Book" w:hAnsi="ITC Franklin Gothic Book" w:cs="ITC Franklin Gothic Book"/>
      <w:sz w:val="20"/>
      <w:szCs w:val="20"/>
    </w:rPr>
  </w:style>
  <w:style w:type="character" w:customStyle="1" w:styleId="Demi">
    <w:name w:val="Demi"/>
    <w:uiPriority w:val="99"/>
    <w:rsid w:val="000D1F9C"/>
  </w:style>
  <w:style w:type="paragraph" w:customStyle="1" w:styleId="Heading1FranklinGothicFranklinGothicSection">
    <w:name w:val="Heading 1 Franklin Gothic (Franklin Gothic Section)"/>
    <w:basedOn w:val="NoParagraphStyle"/>
    <w:uiPriority w:val="99"/>
    <w:rsid w:val="007C1944"/>
    <w:pPr>
      <w:widowControl/>
      <w:suppressAutoHyphens/>
      <w:spacing w:before="270" w:after="135" w:line="280" w:lineRule="atLeast"/>
    </w:pPr>
    <w:rPr>
      <w:rFonts w:ascii="Franklin Gothic Medium" w:hAnsi="Franklin Gothic Medium" w:cs="Franklin Gothic Medium"/>
      <w:lang w:val="en-US"/>
    </w:rPr>
  </w:style>
  <w:style w:type="paragraph" w:customStyle="1" w:styleId="GothicBulletFranklinGothicSection">
    <w:name w:val="Gothic Bullet (Franklin Gothic Section)"/>
    <w:basedOn w:val="BodyFranklinGothicFranklinGothicSection"/>
    <w:uiPriority w:val="99"/>
    <w:rsid w:val="007C1944"/>
    <w:pPr>
      <w:spacing w:after="60"/>
      <w:ind w:left="360" w:hanging="240"/>
    </w:pPr>
  </w:style>
  <w:style w:type="paragraph" w:customStyle="1" w:styleId="GothicSubbulletFranklinGothicSection">
    <w:name w:val="Gothic Subbullet (Franklin Gothic Section)"/>
    <w:basedOn w:val="GothicBulletFranklinGothicSection"/>
    <w:uiPriority w:val="99"/>
    <w:rsid w:val="007C1944"/>
    <w:pPr>
      <w:ind w:left="720"/>
    </w:pPr>
  </w:style>
  <w:style w:type="paragraph" w:customStyle="1" w:styleId="SourceFranklinGothicSection">
    <w:name w:val="Source (Franklin Gothic Section)"/>
    <w:basedOn w:val="BodyFranklinGothicFranklinGothicSection"/>
    <w:uiPriority w:val="99"/>
    <w:rsid w:val="007C1944"/>
    <w:pPr>
      <w:spacing w:line="220" w:lineRule="atLeast"/>
    </w:pPr>
    <w:rPr>
      <w:sz w:val="18"/>
      <w:szCs w:val="18"/>
    </w:rPr>
  </w:style>
  <w:style w:type="paragraph" w:customStyle="1" w:styleId="GothicABCFranklinGothicSection">
    <w:name w:val="Gothic ABC (Franklin Gothic Section)"/>
    <w:basedOn w:val="GothicBulletFranklinGothicSection"/>
    <w:uiPriority w:val="99"/>
    <w:rsid w:val="003B6E5E"/>
    <w:pPr>
      <w:ind w:left="567" w:hanging="397"/>
    </w:pPr>
  </w:style>
  <w:style w:type="character" w:customStyle="1" w:styleId="BookItalic">
    <w:name w:val="Book Italic"/>
    <w:uiPriority w:val="99"/>
    <w:rsid w:val="00B57D3D"/>
    <w:rPr>
      <w:i/>
      <w:iCs/>
      <w:lang w:val="en-AU"/>
    </w:rPr>
  </w:style>
  <w:style w:type="paragraph" w:styleId="ListParagraph">
    <w:name w:val="List Paragraph"/>
    <w:basedOn w:val="Normal"/>
    <w:uiPriority w:val="34"/>
    <w:qFormat/>
    <w:rsid w:val="007238AB"/>
    <w:pPr>
      <w:ind w:left="720"/>
      <w:contextualSpacing/>
    </w:pPr>
  </w:style>
  <w:style w:type="paragraph" w:customStyle="1" w:styleId="BodyRun-inHeadGeneralStyles">
    <w:name w:val="Body Run-in Head (General Styles)"/>
    <w:basedOn w:val="NoParagraphStyle"/>
    <w:uiPriority w:val="99"/>
    <w:rsid w:val="00613286"/>
    <w:pPr>
      <w:keepLines/>
      <w:suppressAutoHyphens/>
      <w:spacing w:before="270" w:after="135" w:line="270" w:lineRule="atLeast"/>
    </w:pPr>
    <w:rPr>
      <w:rFonts w:ascii="Gill Sans Std Light" w:eastAsiaTheme="minorEastAsia" w:hAnsi="Gill Sans Std Light" w:cs="Gill Sans Std Light"/>
      <w:sz w:val="21"/>
      <w:szCs w:val="21"/>
      <w:lang w:val="en-US"/>
    </w:rPr>
  </w:style>
  <w:style w:type="paragraph" w:customStyle="1" w:styleId="BodyindentprebulletGeneralStyles">
    <w:name w:val="Body indent prebullet (General Styles)"/>
    <w:basedOn w:val="BodyGeneralStyles"/>
    <w:uiPriority w:val="99"/>
    <w:rsid w:val="00613286"/>
    <w:pPr>
      <w:spacing w:after="57"/>
      <w:ind w:left="600"/>
    </w:pPr>
    <w:rPr>
      <w:rFonts w:eastAsiaTheme="minorEastAsia"/>
    </w:rPr>
  </w:style>
  <w:style w:type="paragraph" w:customStyle="1" w:styleId="TableHeadingLeft2FiguresTable">
    <w:name w:val="Table Heading Left 2 (Figures / Table)"/>
    <w:basedOn w:val="BodyGeneralStyles"/>
    <w:uiPriority w:val="99"/>
    <w:rsid w:val="00613286"/>
    <w:pPr>
      <w:spacing w:line="240" w:lineRule="atLeast"/>
    </w:pPr>
    <w:rPr>
      <w:rFonts w:ascii="ITC Franklin Gothic Demi" w:eastAsiaTheme="minorEastAsia" w:hAnsi="ITC Franklin Gothic Demi" w:cs="ITC Franklin Gothic Demi"/>
      <w:color w:val="53555A"/>
      <w:sz w:val="18"/>
      <w:szCs w:val="18"/>
    </w:rPr>
  </w:style>
  <w:style w:type="paragraph" w:customStyle="1" w:styleId="TableHeadingRight2FiguresTable">
    <w:name w:val="Table Heading Right 2 (Figures / Table)"/>
    <w:basedOn w:val="BodyGeneralStyles"/>
    <w:uiPriority w:val="99"/>
    <w:rsid w:val="00613286"/>
    <w:pPr>
      <w:spacing w:line="240" w:lineRule="atLeast"/>
      <w:jc w:val="right"/>
    </w:pPr>
    <w:rPr>
      <w:rFonts w:ascii="ITC Franklin Gothic Demi" w:eastAsiaTheme="minorEastAsia" w:hAnsi="ITC Franklin Gothic Demi" w:cs="ITC Franklin Gothic Demi"/>
      <w:color w:val="53555A"/>
      <w:sz w:val="18"/>
      <w:szCs w:val="18"/>
    </w:rPr>
  </w:style>
  <w:style w:type="character" w:customStyle="1" w:styleId="DemiColour">
    <w:name w:val="Demi Colour"/>
    <w:uiPriority w:val="99"/>
    <w:rsid w:val="00613286"/>
    <w:rPr>
      <w:rFonts w:ascii="ITC Franklin Gothic Demi" w:hAnsi="ITC Franklin Gothic Demi" w:cs="ITC Franklin Gothic Demi"/>
      <w:color w:val="7594CC"/>
    </w:rPr>
  </w:style>
  <w:style w:type="character" w:customStyle="1" w:styleId="White">
    <w:name w:val="White"/>
    <w:uiPriority w:val="99"/>
    <w:rsid w:val="00613286"/>
    <w:rPr>
      <w:rFonts w:ascii="ITC Franklin Gothic" w:hAnsi="ITC Franklin Gothic" w:cs="ITC Franklin Gothic"/>
      <w:outline/>
    </w:rPr>
  </w:style>
  <w:style w:type="paragraph" w:customStyle="1" w:styleId="TOCMainTOC">
    <w:name w:val="TOC Main (TOC)"/>
    <w:basedOn w:val="NoParagraphStyle"/>
    <w:uiPriority w:val="99"/>
    <w:rsid w:val="006D1D12"/>
    <w:pPr>
      <w:suppressAutoHyphens/>
      <w:spacing w:before="165" w:after="20" w:line="240" w:lineRule="atLeast"/>
    </w:pPr>
    <w:rPr>
      <w:rFonts w:ascii="ITC Franklin Gothic Demi" w:eastAsiaTheme="minorEastAsia" w:hAnsi="ITC Franklin Gothic Demi" w:cs="ITC Franklin Gothic Demi"/>
      <w:color w:val="7594CC"/>
      <w:sz w:val="18"/>
      <w:szCs w:val="18"/>
      <w:lang w:val="en-US"/>
    </w:rPr>
  </w:style>
  <w:style w:type="paragraph" w:customStyle="1" w:styleId="TOCH1TOC">
    <w:name w:val="TOC H1 (TOC)"/>
    <w:basedOn w:val="NoParagraphStyle"/>
    <w:uiPriority w:val="99"/>
    <w:rsid w:val="006D1D12"/>
    <w:pPr>
      <w:tabs>
        <w:tab w:val="left" w:pos="473"/>
      </w:tabs>
      <w:suppressAutoHyphens/>
      <w:spacing w:after="20" w:line="240" w:lineRule="atLeast"/>
    </w:pPr>
    <w:rPr>
      <w:rFonts w:ascii="ITC Franklin Gothic Book" w:eastAsiaTheme="minorEastAsia" w:hAnsi="ITC Franklin Gothic Book" w:cs="ITC Franklin Gothic Book"/>
      <w:sz w:val="18"/>
      <w:szCs w:val="18"/>
      <w:lang w:val="en-US"/>
    </w:rPr>
  </w:style>
  <w:style w:type="paragraph" w:customStyle="1" w:styleId="TOCH2TOC">
    <w:name w:val="TOC H2 (TOC)"/>
    <w:basedOn w:val="NoParagraphStyle"/>
    <w:uiPriority w:val="99"/>
    <w:rsid w:val="006D1D12"/>
    <w:pPr>
      <w:suppressAutoHyphens/>
      <w:spacing w:after="20" w:line="240" w:lineRule="atLeast"/>
      <w:ind w:left="360"/>
    </w:pPr>
    <w:rPr>
      <w:rFonts w:ascii="ITC Franklin Gothic" w:eastAsiaTheme="minorEastAsia" w:hAnsi="ITC Franklin Gothic" w:cs="ITC Franklin Gothic"/>
      <w:sz w:val="18"/>
      <w:szCs w:val="18"/>
      <w:lang w:val="en-US"/>
    </w:rPr>
  </w:style>
  <w:style w:type="character" w:styleId="PageNumber">
    <w:name w:val="page number"/>
    <w:basedOn w:val="DefaultParagraphFont"/>
    <w:uiPriority w:val="99"/>
    <w:rsid w:val="006D1D12"/>
    <w:rPr>
      <w:rFonts w:ascii="ITC Franklin Gothic Book" w:hAnsi="ITC Franklin Gothic Book" w:cs="ITC Franklin Gothic Book"/>
      <w:color w:val="000000"/>
    </w:rPr>
  </w:style>
  <w:style w:type="paragraph" w:customStyle="1" w:styleId="BodyFranklinGothicNumberedFranklinGothicSection">
    <w:name w:val="Body Franklin Gothic Numbered (Franklin Gothic Section)"/>
    <w:basedOn w:val="BodyGeneralStyles"/>
    <w:uiPriority w:val="99"/>
    <w:rsid w:val="006D1D12"/>
    <w:pPr>
      <w:pageBreakBefore/>
      <w:tabs>
        <w:tab w:val="left" w:pos="360"/>
      </w:tabs>
      <w:spacing w:after="0" w:line="210" w:lineRule="atLeast"/>
      <w:ind w:left="360" w:hanging="360"/>
    </w:pPr>
    <w:rPr>
      <w:rFonts w:ascii="ITC Franklin Gothic Book" w:eastAsiaTheme="minorEastAsia" w:hAnsi="ITC Franklin Gothic Book" w:cs="ITC Franklin Gothic Book"/>
      <w:sz w:val="18"/>
      <w:szCs w:val="18"/>
    </w:rPr>
  </w:style>
  <w:style w:type="paragraph" w:customStyle="1" w:styleId="BodyFranklinGothicNumberedWhiteFranklinGothicSection">
    <w:name w:val="Body Franklin Gothic Numbered White (Franklin Gothic Section)"/>
    <w:basedOn w:val="BodyGeneralStyles"/>
    <w:uiPriority w:val="99"/>
    <w:rsid w:val="006D1D12"/>
    <w:pPr>
      <w:pageBreakBefore/>
      <w:tabs>
        <w:tab w:val="left" w:pos="360"/>
      </w:tabs>
      <w:spacing w:after="0" w:line="210" w:lineRule="atLeast"/>
      <w:ind w:left="360" w:hanging="360"/>
    </w:pPr>
    <w:rPr>
      <w:rFonts w:ascii="ITC Franklin Gothic Demi" w:eastAsiaTheme="minorEastAsia" w:hAnsi="ITC Franklin Gothic Demi" w:cs="ITC Franklin Gothic Demi"/>
      <w:color w:val="FFFFFF"/>
      <w:sz w:val="18"/>
      <w:szCs w:val="18"/>
    </w:rPr>
  </w:style>
  <w:style w:type="paragraph" w:customStyle="1" w:styleId="TableNumber">
    <w:name w:val="Table Number"/>
    <w:basedOn w:val="TableBody"/>
    <w:qFormat/>
    <w:rsid w:val="002A32E7"/>
    <w:pPr>
      <w:spacing w:after="60"/>
    </w:pPr>
  </w:style>
  <w:style w:type="paragraph" w:customStyle="1" w:styleId="FranklinGothicBulletFranklinGothicSection">
    <w:name w:val="Franklin Gothic Bullet (Franklin Gothic Section)"/>
    <w:basedOn w:val="Normal"/>
    <w:uiPriority w:val="99"/>
    <w:rsid w:val="00CA4B44"/>
    <w:pPr>
      <w:widowControl w:val="0"/>
      <w:tabs>
        <w:tab w:val="left" w:pos="907"/>
      </w:tabs>
      <w:autoSpaceDE w:val="0"/>
      <w:autoSpaceDN w:val="0"/>
      <w:adjustRightInd w:val="0"/>
      <w:spacing w:before="0" w:after="57" w:line="260" w:lineRule="atLeast"/>
      <w:ind w:left="360" w:hanging="170"/>
      <w:textAlignment w:val="center"/>
    </w:pPr>
    <w:rPr>
      <w:rFonts w:ascii="ITC Franklin Gothic Book" w:eastAsiaTheme="minorEastAsia" w:hAnsi="ITC Franklin Gothic Book" w:cs="ITC Franklin Gothic Book"/>
      <w:color w:val="000000"/>
      <w:sz w:val="18"/>
      <w:szCs w:val="18"/>
      <w:lang w:val="en-US"/>
    </w:rPr>
  </w:style>
  <w:style w:type="paragraph" w:customStyle="1" w:styleId="Pa63">
    <w:name w:val="Pa63"/>
    <w:basedOn w:val="Normal"/>
    <w:next w:val="Normal"/>
    <w:uiPriority w:val="99"/>
    <w:rsid w:val="00066093"/>
    <w:pPr>
      <w:suppressAutoHyphens w:val="0"/>
      <w:autoSpaceDE w:val="0"/>
      <w:autoSpaceDN w:val="0"/>
      <w:adjustRightInd w:val="0"/>
      <w:spacing w:before="0" w:after="0" w:line="181" w:lineRule="atLeast"/>
    </w:pPr>
    <w:rPr>
      <w:rFonts w:ascii="ITC Franklin Gothic Book" w:hAnsi="ITC Franklin Gothic Book"/>
    </w:rPr>
  </w:style>
  <w:style w:type="paragraph" w:customStyle="1" w:styleId="Pa64">
    <w:name w:val="Pa64"/>
    <w:basedOn w:val="Normal"/>
    <w:next w:val="Normal"/>
    <w:uiPriority w:val="99"/>
    <w:rsid w:val="00066093"/>
    <w:pPr>
      <w:suppressAutoHyphens w:val="0"/>
      <w:autoSpaceDE w:val="0"/>
      <w:autoSpaceDN w:val="0"/>
      <w:adjustRightInd w:val="0"/>
      <w:spacing w:before="0" w:after="0" w:line="181" w:lineRule="atLeast"/>
    </w:pPr>
    <w:rPr>
      <w:rFonts w:ascii="ITC Franklin Gothic Book" w:hAnsi="ITC Franklin Gothic Book"/>
    </w:rPr>
  </w:style>
  <w:style w:type="paragraph" w:customStyle="1" w:styleId="Pa12">
    <w:name w:val="Pa12"/>
    <w:basedOn w:val="Normal"/>
    <w:next w:val="Normal"/>
    <w:uiPriority w:val="99"/>
    <w:rsid w:val="00066093"/>
    <w:pPr>
      <w:suppressAutoHyphens w:val="0"/>
      <w:autoSpaceDE w:val="0"/>
      <w:autoSpaceDN w:val="0"/>
      <w:adjustRightInd w:val="0"/>
      <w:spacing w:before="0" w:after="0" w:line="181" w:lineRule="atLeast"/>
    </w:pPr>
    <w:rPr>
      <w:rFonts w:ascii="ITC Franklin Gothic Book" w:hAnsi="ITC Franklin Gothic Book"/>
    </w:rPr>
  </w:style>
  <w:style w:type="paragraph" w:customStyle="1" w:styleId="FranklinGothlicLargeTextFranklinGothicSection">
    <w:name w:val="Franklin Gothlic Large Text (Franklin Gothic Section)"/>
    <w:basedOn w:val="Normal"/>
    <w:uiPriority w:val="99"/>
    <w:rsid w:val="00F80959"/>
    <w:pPr>
      <w:widowControl w:val="0"/>
      <w:autoSpaceDE w:val="0"/>
      <w:autoSpaceDN w:val="0"/>
      <w:adjustRightInd w:val="0"/>
      <w:spacing w:before="0" w:after="135" w:line="360" w:lineRule="atLeast"/>
      <w:textAlignment w:val="center"/>
    </w:pPr>
    <w:rPr>
      <w:rFonts w:ascii="ITC Franklin Gothic Demi Italic" w:eastAsiaTheme="minorEastAsia" w:hAnsi="ITC Franklin Gothic Demi Italic" w:cs="ITC Franklin Gothic Demi Italic"/>
      <w:i/>
      <w:iCs/>
      <w:color w:val="000000"/>
      <w:sz w:val="28"/>
      <w:szCs w:val="28"/>
      <w:lang w:val="en-US"/>
    </w:rPr>
  </w:style>
  <w:style w:type="paragraph" w:customStyle="1" w:styleId="TableNoteABCGeneralStyles">
    <w:name w:val="Table Note ABC (General Styles)"/>
    <w:basedOn w:val="NoParagraphStyle"/>
    <w:uiPriority w:val="99"/>
    <w:rsid w:val="005A3418"/>
    <w:pPr>
      <w:tabs>
        <w:tab w:val="left" w:pos="283"/>
        <w:tab w:val="left" w:pos="360"/>
      </w:tabs>
      <w:suppressAutoHyphens/>
      <w:spacing w:after="20" w:line="200" w:lineRule="atLeast"/>
      <w:ind w:left="283" w:hanging="283"/>
    </w:pPr>
    <w:rPr>
      <w:rFonts w:ascii="Gill Sans Std Light" w:eastAsiaTheme="minorEastAsia" w:hAnsi="Gill Sans Std Light" w:cs="Gill Sans Std Light"/>
      <w:sz w:val="16"/>
      <w:szCs w:val="16"/>
      <w:lang w:val="en-US"/>
    </w:rPr>
  </w:style>
  <w:style w:type="character" w:customStyle="1" w:styleId="DemiBlack">
    <w:name w:val="Demi Black"/>
    <w:uiPriority w:val="99"/>
    <w:rsid w:val="005A3418"/>
    <w:rPr>
      <w:rFonts w:ascii="ITC Franklin Gothic Std Book" w:hAnsi="ITC Franklin Gothic Std Book" w:cs="ITC Franklin Gothic Std Book"/>
      <w:color w:val="000000"/>
    </w:rPr>
  </w:style>
  <w:style w:type="character" w:customStyle="1" w:styleId="DemiWhite">
    <w:name w:val="Demi White"/>
    <w:uiPriority w:val="99"/>
    <w:rsid w:val="005A3418"/>
    <w:rPr>
      <w:rFonts w:ascii="ITC Franklin Gothic Std Book" w:hAnsi="ITC Franklin Gothic Std Book" w:cs="ITC Franklin Gothic Std Book"/>
      <w:outline/>
    </w:rPr>
  </w:style>
  <w:style w:type="character" w:customStyle="1" w:styleId="FigureNumber">
    <w:name w:val="Figure Number"/>
    <w:uiPriority w:val="99"/>
    <w:rsid w:val="005A3418"/>
    <w:rPr>
      <w:color w:val="3E608F"/>
    </w:rPr>
  </w:style>
  <w:style w:type="paragraph" w:customStyle="1" w:styleId="PageNumberReferenceLHPPageNumber">
    <w:name w:val="Page Number Reference LHP (Page Number)"/>
    <w:basedOn w:val="Normal"/>
    <w:uiPriority w:val="99"/>
    <w:rsid w:val="004C4F65"/>
    <w:pPr>
      <w:widowControl w:val="0"/>
      <w:autoSpaceDE w:val="0"/>
      <w:autoSpaceDN w:val="0"/>
      <w:adjustRightInd w:val="0"/>
      <w:spacing w:before="0" w:after="0" w:line="250" w:lineRule="atLeast"/>
      <w:textAlignment w:val="center"/>
    </w:pPr>
    <w:rPr>
      <w:rFonts w:ascii="ITC Franklin Gothic Std Book" w:eastAsiaTheme="minorEastAsia" w:hAnsi="ITC Franklin Gothic Std Book" w:cs="ITC Franklin Gothic Std Book"/>
      <w:color w:val="55565A"/>
      <w:sz w:val="19"/>
      <w:szCs w:val="19"/>
      <w:lang w:val="en-US"/>
    </w:rPr>
  </w:style>
  <w:style w:type="character" w:customStyle="1" w:styleId="ProjectColour">
    <w:name w:val="Project Colour"/>
    <w:uiPriority w:val="99"/>
    <w:rsid w:val="00B85A6F"/>
    <w:rPr>
      <w:color w:val="3E608F"/>
    </w:rPr>
  </w:style>
  <w:style w:type="paragraph" w:styleId="Subtitle">
    <w:name w:val="Subtitle"/>
    <w:basedOn w:val="Normal"/>
    <w:next w:val="Normal"/>
    <w:link w:val="SubtitleChar"/>
    <w:uiPriority w:val="99"/>
    <w:qFormat/>
    <w:rsid w:val="0007454B"/>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07454B"/>
    <w:rPr>
      <w:rFonts w:asciiTheme="minorHAnsi" w:eastAsiaTheme="minorEastAsia" w:hAnsiTheme="minorHAnsi" w:cstheme="minorBidi"/>
      <w:color w:val="5A5A5A" w:themeColor="text1" w:themeTint="A5"/>
      <w:spacing w:val="15"/>
      <w:sz w:val="22"/>
      <w:szCs w:val="22"/>
    </w:rPr>
  </w:style>
  <w:style w:type="paragraph" w:customStyle="1" w:styleId="NumberedLastGeneralStyles">
    <w:name w:val="Numbered Last (General Styles)"/>
    <w:basedOn w:val="ABCGeneralStyles"/>
    <w:uiPriority w:val="99"/>
    <w:rsid w:val="004250D9"/>
    <w:pPr>
      <w:tabs>
        <w:tab w:val="left" w:pos="640"/>
      </w:tabs>
      <w:spacing w:after="135" w:line="360" w:lineRule="atLeast"/>
      <w:ind w:left="720"/>
    </w:pPr>
    <w:rPr>
      <w:sz w:val="24"/>
      <w:szCs w:val="24"/>
    </w:rPr>
  </w:style>
  <w:style w:type="paragraph" w:customStyle="1" w:styleId="Quote1GeneralStyles">
    <w:name w:val="Quote 1 (General Styles)"/>
    <w:basedOn w:val="QuotebulletGeneralStyles"/>
    <w:uiPriority w:val="99"/>
    <w:rsid w:val="004250D9"/>
    <w:pPr>
      <w:spacing w:line="360" w:lineRule="atLeast"/>
      <w:ind w:left="1020" w:hanging="255"/>
      <w:jc w:val="left"/>
    </w:pPr>
    <w:rPr>
      <w:sz w:val="21"/>
      <w:szCs w:val="21"/>
    </w:rPr>
  </w:style>
  <w:style w:type="paragraph" w:customStyle="1" w:styleId="Quote234GeneralStyles">
    <w:name w:val="Quote 234 (General Styles)"/>
    <w:basedOn w:val="QuotebulletGeneralStyles"/>
    <w:uiPriority w:val="99"/>
    <w:rsid w:val="004250D9"/>
    <w:pPr>
      <w:spacing w:line="360" w:lineRule="atLeast"/>
      <w:ind w:left="1020" w:hanging="255"/>
      <w:jc w:val="left"/>
    </w:pPr>
    <w:rPr>
      <w:sz w:val="21"/>
      <w:szCs w:val="21"/>
    </w:rPr>
  </w:style>
  <w:style w:type="paragraph" w:customStyle="1" w:styleId="BodyFranklinGothicQuoteLeftLastFranklinGothicSection">
    <w:name w:val="Body Franklin Gothic Quote Left Last (Franklin Gothic Section)"/>
    <w:basedOn w:val="BodyGeneralStyles"/>
    <w:uiPriority w:val="99"/>
    <w:rsid w:val="004250D9"/>
    <w:pPr>
      <w:spacing w:after="120" w:line="360" w:lineRule="atLeast"/>
    </w:pPr>
    <w:rPr>
      <w:rFonts w:ascii="ITC Franklin Gothic Std Book" w:eastAsiaTheme="minorEastAsia" w:hAnsi="ITC Franklin Gothic Std Book" w:cs="ITC Franklin Gothic Std Book"/>
      <w:sz w:val="26"/>
      <w:szCs w:val="26"/>
    </w:rPr>
  </w:style>
  <w:style w:type="paragraph" w:customStyle="1" w:styleId="BodyFranklinGothicQuoteRightSourceFranklinGothicSection">
    <w:name w:val="Body Franklin Gothic Quote Right Source (Franklin Gothic Section)"/>
    <w:basedOn w:val="BodyGeneralStyles"/>
    <w:uiPriority w:val="99"/>
    <w:rsid w:val="004250D9"/>
    <w:pPr>
      <w:spacing w:after="280" w:line="360" w:lineRule="atLeast"/>
      <w:ind w:left="1200"/>
      <w:jc w:val="right"/>
    </w:pPr>
    <w:rPr>
      <w:rFonts w:ascii="ITC Franklin Gothic Std Book" w:eastAsiaTheme="minorEastAsia" w:hAnsi="ITC Franklin Gothic Std Book" w:cs="ITC Franklin Gothic Std Book"/>
      <w:sz w:val="22"/>
      <w:szCs w:val="22"/>
    </w:rPr>
  </w:style>
  <w:style w:type="paragraph" w:customStyle="1" w:styleId="BodyFranklinGothicQuoteLeftFirstandLastFranklinGothicSection">
    <w:name w:val="Body Franklin Gothic Quote Left First and Last (Franklin Gothic Section)"/>
    <w:basedOn w:val="BodyGeneralStyles"/>
    <w:uiPriority w:val="99"/>
    <w:rsid w:val="004250D9"/>
    <w:pPr>
      <w:spacing w:before="240" w:after="120" w:line="360" w:lineRule="atLeast"/>
    </w:pPr>
    <w:rPr>
      <w:rFonts w:ascii="ITC Franklin Gothic Std Book" w:eastAsiaTheme="minorEastAsia" w:hAnsi="ITC Franklin Gothic Std Book" w:cs="ITC Franklin Gothic Std Book"/>
      <w:sz w:val="26"/>
      <w:szCs w:val="26"/>
    </w:rPr>
  </w:style>
  <w:style w:type="paragraph" w:customStyle="1" w:styleId="BodyFranklinGothicQuoteLeftFranklinGothicSection">
    <w:name w:val="Body Franklin Gothic Quote Left (Franklin Gothic Section)"/>
    <w:basedOn w:val="BodyGeneralStyles"/>
    <w:uiPriority w:val="99"/>
    <w:rsid w:val="004250D9"/>
    <w:pPr>
      <w:spacing w:after="180" w:line="360" w:lineRule="atLeast"/>
    </w:pPr>
    <w:rPr>
      <w:rFonts w:ascii="ITC Franklin Gothic Std Book" w:eastAsiaTheme="minorEastAsia" w:hAnsi="ITC Franklin Gothic Std Book" w:cs="ITC Franklin Gothic Std Book"/>
      <w:sz w:val="26"/>
      <w:szCs w:val="26"/>
    </w:rPr>
  </w:style>
  <w:style w:type="paragraph" w:customStyle="1" w:styleId="BodyFranklinGothicQuoteLeftFirstFranklinGothicSection">
    <w:name w:val="Body Franklin Gothic Quote Left First (Franklin Gothic Section)"/>
    <w:basedOn w:val="BodyGeneralStyles"/>
    <w:uiPriority w:val="99"/>
    <w:rsid w:val="004250D9"/>
    <w:pPr>
      <w:spacing w:before="240" w:after="180" w:line="360" w:lineRule="atLeast"/>
    </w:pPr>
    <w:rPr>
      <w:rFonts w:ascii="ITC Franklin Gothic Std Book" w:eastAsiaTheme="minorEastAsia" w:hAnsi="ITC Franklin Gothic Std Book" w:cs="ITC Franklin Gothic Std Book"/>
      <w:sz w:val="26"/>
      <w:szCs w:val="26"/>
    </w:rPr>
  </w:style>
  <w:style w:type="paragraph" w:customStyle="1" w:styleId="BlackCalloutFranklinGothicSection">
    <w:name w:val="Black Callout (Franklin Gothic Section)"/>
    <w:basedOn w:val="BodyGeneralStyles"/>
    <w:uiPriority w:val="99"/>
    <w:rsid w:val="004250D9"/>
    <w:pPr>
      <w:spacing w:after="180" w:line="360" w:lineRule="atLeast"/>
    </w:pPr>
    <w:rPr>
      <w:rFonts w:ascii="Franklin Gothic Medium" w:eastAsiaTheme="minorEastAsia" w:hAnsi="Franklin Gothic Medium" w:cs="Franklin Gothic Medium"/>
      <w:sz w:val="26"/>
      <w:szCs w:val="26"/>
    </w:rPr>
  </w:style>
  <w:style w:type="paragraph" w:customStyle="1" w:styleId="BodyNoSpaceGeneralStyles">
    <w:name w:val="Body No Space (General Styles)"/>
    <w:basedOn w:val="NoParagraphStyle"/>
    <w:uiPriority w:val="99"/>
    <w:rsid w:val="004250D9"/>
    <w:pPr>
      <w:suppressAutoHyphens/>
      <w:spacing w:after="60" w:line="360" w:lineRule="atLeast"/>
    </w:pPr>
    <w:rPr>
      <w:rFonts w:ascii="Gill Sans Std Light" w:eastAsiaTheme="minorEastAsia" w:hAnsi="Gill Sans Std Light" w:cs="Gill Sans Std Light"/>
      <w:lang w:val="en-US"/>
    </w:rPr>
  </w:style>
  <w:style w:type="paragraph" w:customStyle="1" w:styleId="Footnote1-9Footnote">
    <w:name w:val="Footnote 1-9 (Footnote)"/>
    <w:basedOn w:val="NoParagraphStyle"/>
    <w:uiPriority w:val="99"/>
    <w:rsid w:val="004250D9"/>
    <w:pPr>
      <w:tabs>
        <w:tab w:val="left" w:pos="369"/>
      </w:tabs>
      <w:suppressAutoHyphens/>
      <w:spacing w:after="113" w:line="280" w:lineRule="atLeast"/>
      <w:ind w:left="369" w:hanging="369"/>
    </w:pPr>
    <w:rPr>
      <w:rFonts w:ascii="Gill Sans Std Light" w:eastAsiaTheme="minorEastAsia" w:hAnsi="Gill Sans Std Light" w:cs="Gill Sans Std Light"/>
      <w:sz w:val="20"/>
      <w:szCs w:val="20"/>
      <w:lang w:val="en-US"/>
    </w:rPr>
  </w:style>
  <w:style w:type="paragraph" w:customStyle="1" w:styleId="Footnote10-99Footnote">
    <w:name w:val="Footnote 10-99 (Footnote)"/>
    <w:basedOn w:val="NoParagraphStyle"/>
    <w:uiPriority w:val="99"/>
    <w:rsid w:val="004250D9"/>
    <w:pPr>
      <w:tabs>
        <w:tab w:val="left" w:pos="369"/>
      </w:tabs>
      <w:suppressAutoHyphens/>
      <w:spacing w:after="113" w:line="280" w:lineRule="atLeast"/>
      <w:ind w:left="369" w:hanging="369"/>
    </w:pPr>
    <w:rPr>
      <w:rFonts w:ascii="Gill Sans Std Light" w:eastAsiaTheme="minorEastAsia" w:hAnsi="Gill Sans Std Light" w:cs="Gill Sans Std Light"/>
      <w:sz w:val="20"/>
      <w:szCs w:val="20"/>
      <w:lang w:val="en-US"/>
    </w:rPr>
  </w:style>
  <w:style w:type="character" w:customStyle="1" w:styleId="RegularItalic">
    <w:name w:val="Regular Italic"/>
    <w:uiPriority w:val="99"/>
    <w:rsid w:val="004250D9"/>
    <w:rPr>
      <w:i/>
      <w:iCs/>
      <w:lang w:val="en-AU"/>
    </w:rPr>
  </w:style>
  <w:style w:type="character" w:customStyle="1" w:styleId="DemiGrey">
    <w:name w:val="Demi Grey"/>
    <w:uiPriority w:val="99"/>
    <w:rsid w:val="004250D9"/>
    <w:rPr>
      <w:rFonts w:ascii="ITC Franklin Gothic Std Book" w:hAnsi="ITC Franklin Gothic Std Book" w:cs="ITC Franklin Gothic Std Book"/>
      <w:color w:val="55565A"/>
    </w:rPr>
  </w:style>
  <w:style w:type="paragraph" w:customStyle="1" w:styleId="BlueCalloutFranklinGothicSection">
    <w:name w:val="Blue Callout (Franklin Gothic Section)"/>
    <w:basedOn w:val="BodyGeneralStyles"/>
    <w:uiPriority w:val="99"/>
    <w:rsid w:val="00964354"/>
    <w:pPr>
      <w:spacing w:after="180" w:line="360" w:lineRule="atLeast"/>
    </w:pPr>
    <w:rPr>
      <w:rFonts w:ascii="Franklin Gothic Medium" w:eastAsiaTheme="minorEastAsia" w:hAnsi="Franklin Gothic Medium" w:cs="Franklin Gothic Medium"/>
      <w:sz w:val="26"/>
      <w:szCs w:val="26"/>
    </w:rPr>
  </w:style>
  <w:style w:type="paragraph" w:customStyle="1" w:styleId="IntroWhite">
    <w:name w:val="Intro White"/>
    <w:basedOn w:val="NoParagraphStyle"/>
    <w:uiPriority w:val="99"/>
    <w:rsid w:val="00225FA5"/>
    <w:pPr>
      <w:pBdr>
        <w:top w:val="single" w:sz="8" w:space="17" w:color="FFFFFF"/>
        <w:bottom w:val="single" w:sz="8" w:space="11" w:color="FFFFFF"/>
      </w:pBdr>
      <w:suppressAutoHyphens/>
      <w:spacing w:after="113" w:line="400" w:lineRule="atLeast"/>
    </w:pPr>
    <w:rPr>
      <w:rFonts w:ascii="Poppins-Regular" w:eastAsiaTheme="minorEastAsia" w:hAnsi="Poppins-Regular" w:cs="Poppins-Regular"/>
      <w:color w:val="FFFFFF"/>
      <w:sz w:val="26"/>
      <w:szCs w:val="26"/>
      <w:lang w:val="en-US"/>
      <w14:ligatures w14:val="standardContextual"/>
    </w:rPr>
  </w:style>
  <w:style w:type="paragraph" w:customStyle="1" w:styleId="Body">
    <w:name w:val="Body"/>
    <w:basedOn w:val="NoParagraphStyle"/>
    <w:uiPriority w:val="99"/>
    <w:rsid w:val="00225FA5"/>
    <w:pPr>
      <w:suppressAutoHyphens/>
      <w:spacing w:after="113" w:line="360" w:lineRule="atLeast"/>
    </w:pPr>
    <w:rPr>
      <w:rFonts w:ascii="Poppins-Regular" w:eastAsiaTheme="minorEastAsia" w:hAnsi="Poppins-Regular" w:cs="Poppins-Regular"/>
      <w:sz w:val="22"/>
      <w:szCs w:val="22"/>
      <w:lang w:val="en-US"/>
      <w14:ligatures w14:val="standardContextual"/>
    </w:rPr>
  </w:style>
  <w:style w:type="paragraph" w:customStyle="1" w:styleId="Anchor">
    <w:name w:val="Anchor"/>
    <w:basedOn w:val="NoParagraphStyle"/>
    <w:uiPriority w:val="99"/>
    <w:rsid w:val="00225FA5"/>
    <w:pPr>
      <w:suppressAutoHyphens/>
      <w:spacing w:line="120" w:lineRule="atLeast"/>
    </w:pPr>
    <w:rPr>
      <w:rFonts w:ascii="Poppins-Regular" w:eastAsiaTheme="minorEastAsia" w:hAnsi="Poppins-Regular" w:cs="Poppins-Regular"/>
      <w:sz w:val="12"/>
      <w:szCs w:val="12"/>
      <w:lang w:val="en-US"/>
      <w14:ligatures w14:val="standardContextual"/>
    </w:rPr>
  </w:style>
  <w:style w:type="paragraph" w:customStyle="1" w:styleId="Bullet">
    <w:name w:val="Bullet"/>
    <w:basedOn w:val="Body"/>
    <w:uiPriority w:val="99"/>
    <w:rsid w:val="00225FA5"/>
    <w:pPr>
      <w:tabs>
        <w:tab w:val="left" w:pos="907"/>
      </w:tabs>
      <w:spacing w:after="57"/>
      <w:ind w:left="510" w:hanging="170"/>
    </w:pPr>
  </w:style>
  <w:style w:type="paragraph" w:customStyle="1" w:styleId="Bulletlast">
    <w:name w:val="Bullet last"/>
    <w:basedOn w:val="Bullet"/>
    <w:uiPriority w:val="99"/>
    <w:rsid w:val="00225FA5"/>
    <w:pPr>
      <w:spacing w:after="113"/>
    </w:pPr>
  </w:style>
  <w:style w:type="character" w:customStyle="1" w:styleId="Green">
    <w:name w:val="Green"/>
    <w:uiPriority w:val="99"/>
    <w:rsid w:val="00225FA5"/>
    <w:rPr>
      <w:b/>
      <w:bCs/>
      <w:color w:val="002C2E"/>
    </w:rPr>
  </w:style>
  <w:style w:type="character" w:customStyle="1" w:styleId="LightItalic0">
    <w:name w:val="LightItalic"/>
    <w:uiPriority w:val="99"/>
    <w:rsid w:val="00225FA5"/>
    <w:rPr>
      <w:i/>
      <w:iCs/>
    </w:rPr>
  </w:style>
  <w:style w:type="paragraph" w:customStyle="1" w:styleId="Imprint">
    <w:name w:val="Imprint"/>
    <w:basedOn w:val="NoParagraphStyle"/>
    <w:uiPriority w:val="99"/>
    <w:rsid w:val="00C11D78"/>
    <w:pPr>
      <w:suppressAutoHyphens/>
      <w:spacing w:after="60" w:line="240" w:lineRule="atLeast"/>
    </w:pPr>
    <w:rPr>
      <w:rFonts w:ascii="ITC Franklin Gothic Std Book" w:eastAsiaTheme="minorEastAsia" w:hAnsi="ITC Franklin Gothic Std Book" w:cs="ITC Franklin Gothic Std Book"/>
      <w:sz w:val="18"/>
      <w:szCs w:val="18"/>
      <w:lang w:val="en-US"/>
      <w14:ligatures w14:val="standardContextual"/>
    </w:rPr>
  </w:style>
  <w:style w:type="paragraph" w:customStyle="1" w:styleId="Heading1Gray">
    <w:name w:val="Heading 1 Gray"/>
    <w:basedOn w:val="Heading1"/>
    <w:uiPriority w:val="99"/>
    <w:rsid w:val="0012507A"/>
    <w:pPr>
      <w:keepNext w:val="0"/>
      <w:widowControl w:val="0"/>
      <w:autoSpaceDE w:val="0"/>
      <w:autoSpaceDN w:val="0"/>
      <w:adjustRightInd w:val="0"/>
      <w:spacing w:before="0" w:after="57" w:line="480" w:lineRule="atLeast"/>
      <w:textAlignment w:val="center"/>
      <w:outlineLvl w:val="9"/>
    </w:pPr>
    <w:rPr>
      <w:rFonts w:ascii="Poppins-Bold" w:eastAsiaTheme="minorEastAsia" w:hAnsi="Poppins-Bold" w:cs="Poppins-Bold"/>
      <w:color w:val="55565A"/>
      <w:kern w:val="0"/>
      <w:position w:val="12"/>
      <w:sz w:val="48"/>
      <w:szCs w:val="48"/>
      <w:lang w:val="en-GB"/>
      <w14:ligatures w14:val="standardContextual"/>
    </w:rPr>
  </w:style>
  <w:style w:type="paragraph" w:customStyle="1" w:styleId="HeadingWhite">
    <w:name w:val="Heading White"/>
    <w:basedOn w:val="NoParagraphStyle"/>
    <w:uiPriority w:val="99"/>
    <w:rsid w:val="00B76C60"/>
    <w:pPr>
      <w:suppressAutoHyphens/>
      <w:spacing w:before="283" w:after="170" w:line="360" w:lineRule="atLeast"/>
    </w:pPr>
    <w:rPr>
      <w:rFonts w:ascii="Poppins-Bold" w:eastAsiaTheme="minorEastAsia" w:hAnsi="Poppins-Bold" w:cs="Poppins-Bold"/>
      <w:b/>
      <w:bCs/>
      <w:color w:val="FFFFFF"/>
      <w:sz w:val="36"/>
      <w:szCs w:val="36"/>
      <w14:ligatures w14:val="standardContextual"/>
    </w:rPr>
  </w:style>
  <w:style w:type="paragraph" w:customStyle="1" w:styleId="TOC">
    <w:name w:val="TOC"/>
    <w:basedOn w:val="NoParagraphStyle"/>
    <w:uiPriority w:val="99"/>
    <w:rsid w:val="00B76C60"/>
    <w:pPr>
      <w:suppressAutoHyphens/>
      <w:spacing w:after="113" w:line="360" w:lineRule="atLeast"/>
    </w:pPr>
    <w:rPr>
      <w:rFonts w:ascii="Poppins-Regular" w:eastAsiaTheme="minorEastAsia" w:hAnsi="Poppins-Regular" w:cs="Poppins-Regular"/>
      <w:color w:val="FFFFFF"/>
      <w:sz w:val="22"/>
      <w:szCs w:val="22"/>
      <w:lang w:val="en-US"/>
      <w14:ligatures w14:val="standardContextual"/>
    </w:rPr>
  </w:style>
  <w:style w:type="paragraph" w:customStyle="1" w:styleId="CalloutWhite">
    <w:name w:val="Callout White"/>
    <w:basedOn w:val="NoParagraphStyle"/>
    <w:uiPriority w:val="99"/>
    <w:rsid w:val="0090462C"/>
    <w:pPr>
      <w:suppressAutoHyphens/>
      <w:spacing w:before="283" w:after="170" w:line="360" w:lineRule="atLeast"/>
    </w:pPr>
    <w:rPr>
      <w:rFonts w:ascii="Poppins-Bold" w:eastAsiaTheme="minorEastAsia" w:hAnsi="Poppins-Bold" w:cs="Poppins-Bold"/>
      <w:b/>
      <w:bCs/>
      <w:color w:val="FFFFFF"/>
      <w:sz w:val="28"/>
      <w:szCs w:val="28"/>
      <w14:ligatures w14:val="standardContextual"/>
    </w:rPr>
  </w:style>
  <w:style w:type="paragraph" w:styleId="IntenseQuote">
    <w:name w:val="Intense Quote"/>
    <w:basedOn w:val="Normal"/>
    <w:next w:val="Normal"/>
    <w:link w:val="IntenseQuoteChar"/>
    <w:uiPriority w:val="30"/>
    <w:qFormat/>
    <w:rsid w:val="0048437A"/>
    <w:pPr>
      <w:pBdr>
        <w:top w:val="single" w:sz="4" w:space="10" w:color="808080" w:themeColor="background1" w:themeShade="80"/>
        <w:bottom w:val="single" w:sz="4" w:space="10" w:color="808080" w:themeColor="background1" w:themeShade="80"/>
      </w:pBdr>
      <w:spacing w:before="360" w:after="360"/>
      <w:ind w:left="864" w:right="864"/>
      <w:jc w:val="center"/>
    </w:pPr>
    <w:rPr>
      <w:b/>
      <w:iCs/>
      <w:color w:val="000000" w:themeColor="text1"/>
    </w:rPr>
  </w:style>
  <w:style w:type="character" w:customStyle="1" w:styleId="IntenseQuoteChar">
    <w:name w:val="Intense Quote Char"/>
    <w:basedOn w:val="DefaultParagraphFont"/>
    <w:link w:val="IntenseQuote"/>
    <w:uiPriority w:val="30"/>
    <w:rsid w:val="0048437A"/>
    <w:rPr>
      <w:b/>
      <w:iCs/>
      <w:color w:val="000000" w:themeColor="text1"/>
    </w:rPr>
  </w:style>
  <w:style w:type="paragraph" w:customStyle="1" w:styleId="BodyNoSpace">
    <w:name w:val="Body No Space"/>
    <w:basedOn w:val="NoParagraphStyle"/>
    <w:uiPriority w:val="99"/>
    <w:rsid w:val="000C4075"/>
    <w:pPr>
      <w:suppressAutoHyphens/>
      <w:spacing w:line="360" w:lineRule="atLeast"/>
    </w:pPr>
    <w:rPr>
      <w:rFonts w:ascii="Poppins-Regular" w:eastAsiaTheme="minorEastAsia" w:hAnsi="Poppins-Regular" w:cs="Poppins-Regular"/>
      <w:sz w:val="22"/>
      <w:szCs w:val="22"/>
      <w:lang w:val="en-US"/>
      <w14:ligatures w14:val="standardContextual"/>
    </w:rPr>
  </w:style>
  <w:style w:type="paragraph" w:customStyle="1" w:styleId="BodyWhitewithRule">
    <w:name w:val="Body White with Rule"/>
    <w:basedOn w:val="NoParagraphStyle"/>
    <w:uiPriority w:val="99"/>
    <w:rsid w:val="000C4075"/>
    <w:pPr>
      <w:pBdr>
        <w:top w:val="single" w:sz="8" w:space="22" w:color="auto"/>
      </w:pBdr>
      <w:suppressAutoHyphens/>
      <w:spacing w:after="57" w:line="360" w:lineRule="atLeast"/>
    </w:pPr>
    <w:rPr>
      <w:rFonts w:ascii="Poppins-Medium" w:eastAsiaTheme="minorEastAsia" w:hAnsi="Poppins-Medium" w:cs="Poppins-Medium"/>
      <w:color w:val="FFFFFF"/>
      <w:sz w:val="22"/>
      <w:szCs w:val="22"/>
      <w:lang w:val="en-US"/>
      <w14:ligatures w14:val="standardContextual"/>
    </w:rPr>
  </w:style>
  <w:style w:type="paragraph" w:customStyle="1" w:styleId="QuoteWhite">
    <w:name w:val="Quote White"/>
    <w:basedOn w:val="NoParagraphStyle"/>
    <w:uiPriority w:val="99"/>
    <w:rsid w:val="000C4075"/>
    <w:pPr>
      <w:pBdr>
        <w:bottom w:val="single" w:sz="8" w:space="14" w:color="auto"/>
      </w:pBdr>
      <w:suppressAutoHyphens/>
      <w:spacing w:after="113" w:line="360" w:lineRule="atLeast"/>
      <w:ind w:left="240"/>
    </w:pPr>
    <w:rPr>
      <w:rFonts w:ascii="Poppins-Medium" w:eastAsiaTheme="minorEastAsia" w:hAnsi="Poppins-Medium" w:cs="Poppins-Medium"/>
      <w:color w:val="FFFFFF"/>
      <w:sz w:val="20"/>
      <w:szCs w:val="20"/>
      <w:lang w:val="en-US"/>
      <w14:ligatures w14:val="standardContextual"/>
    </w:rPr>
  </w:style>
  <w:style w:type="character" w:customStyle="1" w:styleId="MediumItalic">
    <w:name w:val="Medium Italic"/>
    <w:uiPriority w:val="99"/>
    <w:rsid w:val="000C4075"/>
    <w:rPr>
      <w:i/>
      <w:iCs/>
    </w:rPr>
  </w:style>
  <w:style w:type="paragraph" w:customStyle="1" w:styleId="IntroWhiteText">
    <w:name w:val="Intro White Text"/>
    <w:basedOn w:val="NoParagraphStyle"/>
    <w:uiPriority w:val="99"/>
    <w:rsid w:val="000C4075"/>
    <w:pPr>
      <w:suppressAutoHyphens/>
      <w:spacing w:after="113" w:line="480" w:lineRule="atLeast"/>
    </w:pPr>
    <w:rPr>
      <w:rFonts w:ascii="Poppins-Medium" w:eastAsiaTheme="minorEastAsia" w:hAnsi="Poppins-Medium" w:cs="Poppins-Medium"/>
      <w:color w:val="FFFFFF"/>
      <w:sz w:val="28"/>
      <w:szCs w:val="28"/>
      <w:lang w:val="en-US"/>
      <w14:ligatures w14:val="standardContextual"/>
    </w:rPr>
  </w:style>
  <w:style w:type="paragraph" w:customStyle="1" w:styleId="HeaderRight">
    <w:name w:val="Header Right"/>
    <w:basedOn w:val="NoParagraphStyle"/>
    <w:uiPriority w:val="99"/>
    <w:rsid w:val="00C2025E"/>
    <w:pPr>
      <w:suppressAutoHyphens/>
      <w:spacing w:line="240" w:lineRule="atLeast"/>
      <w:jc w:val="right"/>
    </w:pPr>
    <w:rPr>
      <w:rFonts w:ascii="ITC Franklin Gothic Std Book" w:eastAsiaTheme="minorEastAsia" w:hAnsi="ITC Franklin Gothic Std Book" w:cs="ITC Franklin Gothic Std Book"/>
      <w:color w:val="55565A"/>
      <w:sz w:val="20"/>
      <w:szCs w:val="20"/>
      <w:lang w:val="en-US"/>
      <w14:ligatures w14:val="standardContextual"/>
    </w:rPr>
  </w:style>
  <w:style w:type="paragraph" w:styleId="Bibliography">
    <w:name w:val="Bibliography"/>
    <w:basedOn w:val="Normal"/>
    <w:next w:val="Normal"/>
    <w:uiPriority w:val="37"/>
    <w:semiHidden/>
    <w:unhideWhenUsed/>
    <w:rsid w:val="001B4B37"/>
  </w:style>
  <w:style w:type="paragraph" w:customStyle="1" w:styleId="BodyPrebullet">
    <w:name w:val="Body Prebullet"/>
    <w:basedOn w:val="Body"/>
    <w:uiPriority w:val="99"/>
    <w:rsid w:val="001B4B37"/>
    <w:pPr>
      <w:spacing w:after="0"/>
    </w:pPr>
    <w:rPr>
      <w:rFonts w:ascii="Open Sans Light" w:hAnsi="Open Sans Light" w:cs="Open Sans Light"/>
      <w:w w:val="102"/>
    </w:rPr>
  </w:style>
  <w:style w:type="paragraph" w:customStyle="1" w:styleId="Subbullet">
    <w:name w:val="Subbullet"/>
    <w:basedOn w:val="Body"/>
    <w:uiPriority w:val="99"/>
    <w:rsid w:val="001B4B37"/>
    <w:pPr>
      <w:tabs>
        <w:tab w:val="left" w:pos="482"/>
      </w:tabs>
      <w:spacing w:after="0"/>
      <w:ind w:left="687" w:hanging="200"/>
    </w:pPr>
    <w:rPr>
      <w:rFonts w:ascii="Open Sans Light" w:hAnsi="Open Sans Light" w:cs="Open Sans Light"/>
      <w:w w:val="102"/>
    </w:rPr>
  </w:style>
  <w:style w:type="paragraph" w:customStyle="1" w:styleId="CaseStudyHeading">
    <w:name w:val="Case Study Heading"/>
    <w:basedOn w:val="Normal"/>
    <w:uiPriority w:val="99"/>
    <w:rsid w:val="001B4B37"/>
    <w:pPr>
      <w:widowControl w:val="0"/>
      <w:autoSpaceDE w:val="0"/>
      <w:autoSpaceDN w:val="0"/>
      <w:adjustRightInd w:val="0"/>
      <w:spacing w:before="120" w:after="0" w:line="360" w:lineRule="atLeast"/>
      <w:textAlignment w:val="center"/>
    </w:pPr>
    <w:rPr>
      <w:rFonts w:ascii="ITC Franklin Gothic Std Book" w:eastAsiaTheme="minorEastAsia" w:hAnsi="ITC Franklin Gothic Std Book" w:cs="ITC Franklin Gothic Std Book"/>
      <w:color w:val="000000"/>
      <w:sz w:val="28"/>
      <w:szCs w:val="28"/>
      <w:lang w:val="en-US"/>
      <w14:ligatures w14:val="standardContextual"/>
    </w:rPr>
  </w:style>
  <w:style w:type="paragraph" w:customStyle="1" w:styleId="CastStudyBody">
    <w:name w:val="Cast Study Body"/>
    <w:basedOn w:val="NoParagraphStyle"/>
    <w:uiPriority w:val="99"/>
    <w:rsid w:val="001B4B37"/>
    <w:pPr>
      <w:suppressAutoHyphens/>
      <w:spacing w:after="120" w:line="360" w:lineRule="atLeast"/>
    </w:pPr>
    <w:rPr>
      <w:rFonts w:ascii="ITC Franklin Gothic Std Book" w:eastAsiaTheme="minorEastAsia" w:hAnsi="ITC Franklin Gothic Std Book" w:cs="ITC Franklin Gothic Std Book"/>
      <w:w w:val="102"/>
      <w:sz w:val="22"/>
      <w:szCs w:val="22"/>
      <w:lang w:val="en-US"/>
      <w14:ligatures w14:val="standardContextual"/>
    </w:rPr>
  </w:style>
  <w:style w:type="paragraph" w:customStyle="1" w:styleId="CaseStudyRef">
    <w:name w:val="Case Study Ref"/>
    <w:basedOn w:val="NoParagraphStyle"/>
    <w:uiPriority w:val="99"/>
    <w:rsid w:val="001B4B37"/>
    <w:pPr>
      <w:suppressAutoHyphens/>
      <w:spacing w:line="360" w:lineRule="atLeast"/>
      <w:jc w:val="right"/>
    </w:pPr>
    <w:rPr>
      <w:rFonts w:ascii="ITC Franklin Gothic Std Book" w:eastAsiaTheme="minorEastAsia" w:hAnsi="ITC Franklin Gothic Std Book" w:cs="ITC Franklin Gothic Std Book"/>
      <w:w w:val="102"/>
      <w:sz w:val="22"/>
      <w:szCs w:val="22"/>
      <w:lang w:val="en-US"/>
      <w14:ligatures w14:val="standardContextual"/>
    </w:rPr>
  </w:style>
  <w:style w:type="paragraph" w:customStyle="1" w:styleId="BulletLast0">
    <w:name w:val="Bullet Last"/>
    <w:basedOn w:val="Bullet"/>
    <w:uiPriority w:val="99"/>
    <w:rsid w:val="001B4B37"/>
    <w:pPr>
      <w:tabs>
        <w:tab w:val="clear" w:pos="907"/>
        <w:tab w:val="left" w:pos="283"/>
      </w:tabs>
      <w:spacing w:after="180"/>
      <w:ind w:left="460" w:hanging="283"/>
    </w:pPr>
    <w:rPr>
      <w:rFonts w:ascii="Open Sans Light" w:hAnsi="Open Sans Light" w:cs="Open Sans Light"/>
      <w:w w:val="102"/>
    </w:rPr>
  </w:style>
  <w:style w:type="paragraph" w:customStyle="1" w:styleId="Cases">
    <w:name w:val="Cases"/>
    <w:basedOn w:val="NoParagraphStyle"/>
    <w:uiPriority w:val="99"/>
    <w:rsid w:val="001B4B37"/>
    <w:pPr>
      <w:suppressAutoHyphens/>
      <w:spacing w:line="360" w:lineRule="atLeast"/>
    </w:pPr>
    <w:rPr>
      <w:rFonts w:ascii="Open Sans Light" w:eastAsiaTheme="minorEastAsia" w:hAnsi="Open Sans Light" w:cs="Open Sans Light"/>
      <w:sz w:val="22"/>
      <w:szCs w:val="22"/>
      <w:lang w:val="en-US"/>
      <w14:ligatures w14:val="standardContextual"/>
    </w:rPr>
  </w:style>
  <w:style w:type="paragraph" w:customStyle="1" w:styleId="TableHeading1">
    <w:name w:val="Table Heading 1"/>
    <w:basedOn w:val="NoParagraphStyle"/>
    <w:uiPriority w:val="99"/>
    <w:rsid w:val="001B4B37"/>
    <w:pPr>
      <w:suppressAutoHyphens/>
      <w:spacing w:line="240" w:lineRule="atLeast"/>
    </w:pPr>
    <w:rPr>
      <w:rFonts w:ascii="ITC Franklin Gothic Std Book" w:eastAsiaTheme="minorEastAsia" w:hAnsi="ITC Franklin Gothic Std Book" w:cs="ITC Franklin Gothic Std Book"/>
      <w:color w:val="3D5866"/>
      <w:sz w:val="20"/>
      <w:szCs w:val="20"/>
      <w:lang w:val="en-US"/>
      <w14:ligatures w14:val="standardContextual"/>
    </w:rPr>
  </w:style>
  <w:style w:type="paragraph" w:customStyle="1" w:styleId="TableHeadingRight">
    <w:name w:val="Table Heading Right"/>
    <w:basedOn w:val="NoParagraphStyle"/>
    <w:uiPriority w:val="99"/>
    <w:rsid w:val="001B4B37"/>
    <w:pPr>
      <w:suppressAutoHyphens/>
      <w:spacing w:line="240" w:lineRule="atLeast"/>
      <w:jc w:val="right"/>
    </w:pPr>
    <w:rPr>
      <w:rFonts w:ascii="ITC Franklin Gothic Std Book" w:eastAsiaTheme="minorEastAsia" w:hAnsi="ITC Franklin Gothic Std Book" w:cs="ITC Franklin Gothic Std Book"/>
      <w:color w:val="3D5866"/>
      <w:sz w:val="20"/>
      <w:szCs w:val="20"/>
      <w:lang w:val="en-US"/>
      <w14:ligatures w14:val="standardContextual"/>
    </w:rPr>
  </w:style>
  <w:style w:type="paragraph" w:customStyle="1" w:styleId="TableBodyRight">
    <w:name w:val="Table Body Right"/>
    <w:basedOn w:val="NoParagraphStyle"/>
    <w:uiPriority w:val="99"/>
    <w:rsid w:val="001B4B37"/>
    <w:pPr>
      <w:suppressAutoHyphens/>
      <w:spacing w:line="240" w:lineRule="atLeast"/>
      <w:jc w:val="right"/>
    </w:pPr>
    <w:rPr>
      <w:rFonts w:ascii="ITC Franklin Gothic Std Book" w:eastAsiaTheme="minorEastAsia" w:hAnsi="ITC Franklin Gothic Std Book" w:cs="ITC Franklin Gothic Std Book"/>
      <w:sz w:val="20"/>
      <w:szCs w:val="20"/>
      <w:lang w:val="en-US"/>
      <w14:ligatures w14:val="standardContextual"/>
    </w:rPr>
  </w:style>
  <w:style w:type="character" w:customStyle="1" w:styleId="Figurenumber0">
    <w:name w:val="Figure number"/>
    <w:uiPriority w:val="99"/>
    <w:rsid w:val="001B4B37"/>
    <w:rPr>
      <w:rFonts w:ascii="ITC Franklin Gothic Std Book" w:hAnsi="ITC Franklin Gothic Std Book" w:cs="ITC Franklin Gothic Std Book"/>
      <w:color w:val="3D5866"/>
    </w:rPr>
  </w:style>
  <w:style w:type="character" w:customStyle="1" w:styleId="FranklinItalic">
    <w:name w:val="Franklin Italic"/>
    <w:uiPriority w:val="99"/>
    <w:rsid w:val="001B4B37"/>
    <w:rPr>
      <w:rFonts w:ascii="ITC Franklin Gothic Std Book" w:hAnsi="ITC Franklin Gothic Std Book" w:cs="ITC Franklin Gothic Std Book"/>
      <w:i/>
      <w:iCs/>
    </w:rPr>
  </w:style>
  <w:style w:type="paragraph" w:customStyle="1" w:styleId="PrelimsHeading">
    <w:name w:val="Prelims Heading"/>
    <w:basedOn w:val="NoParagraphStyle"/>
    <w:uiPriority w:val="99"/>
    <w:rsid w:val="001B4B37"/>
    <w:pPr>
      <w:keepNext/>
      <w:suppressAutoHyphens/>
      <w:spacing w:before="120" w:line="360" w:lineRule="atLeast"/>
    </w:pPr>
    <w:rPr>
      <w:rFonts w:ascii="ITC Franklin Gothic Std Book" w:eastAsiaTheme="minorEastAsia" w:hAnsi="ITC Franklin Gothic Std Book" w:cs="ITC Franklin Gothic Std Book"/>
      <w:color w:val="55565A"/>
      <w:sz w:val="28"/>
      <w:szCs w:val="28"/>
      <w:lang w:val="en-US"/>
      <w14:ligatures w14:val="standardContextual"/>
    </w:rPr>
  </w:style>
  <w:style w:type="character" w:customStyle="1" w:styleId="Heading">
    <w:name w:val="Heading"/>
    <w:uiPriority w:val="99"/>
    <w:rsid w:val="001B4B37"/>
    <w:rPr>
      <w:rFonts w:ascii="ITC Franklin Gothic Std Book" w:hAnsi="ITC Franklin Gothic Std Book" w:cs="ITC Franklin Gothic Std Book"/>
      <w:color w:val="E56717"/>
      <w:sz w:val="36"/>
      <w:szCs w:val="36"/>
    </w:rPr>
  </w:style>
  <w:style w:type="paragraph" w:customStyle="1" w:styleId="CalloutText">
    <w:name w:val="Callout Text"/>
    <w:basedOn w:val="Title"/>
    <w:uiPriority w:val="99"/>
    <w:rsid w:val="004F582A"/>
    <w:pPr>
      <w:widowControl w:val="0"/>
      <w:autoSpaceDE w:val="0"/>
      <w:autoSpaceDN w:val="0"/>
      <w:adjustRightInd w:val="0"/>
      <w:spacing w:before="0" w:after="120" w:line="360" w:lineRule="atLeast"/>
      <w:textAlignment w:val="center"/>
      <w:outlineLvl w:val="9"/>
    </w:pPr>
    <w:rPr>
      <w:rFonts w:ascii="ITC Franklin Gothic Std Book" w:eastAsiaTheme="minorEastAsia" w:hAnsi="ITC Franklin Gothic Std Book" w:cs="ITC Franklin Gothic Std Book"/>
      <w:b w:val="0"/>
      <w:bCs w:val="0"/>
      <w:color w:val="FFFFFF"/>
      <w:kern w:val="0"/>
      <w:sz w:val="28"/>
      <w:szCs w:val="28"/>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8886">
      <w:bodyDiv w:val="1"/>
      <w:marLeft w:val="0"/>
      <w:marRight w:val="0"/>
      <w:marTop w:val="0"/>
      <w:marBottom w:val="0"/>
      <w:divBdr>
        <w:top w:val="none" w:sz="0" w:space="0" w:color="auto"/>
        <w:left w:val="none" w:sz="0" w:space="0" w:color="auto"/>
        <w:bottom w:val="none" w:sz="0" w:space="0" w:color="auto"/>
        <w:right w:val="none" w:sz="0" w:space="0" w:color="auto"/>
      </w:divBdr>
    </w:div>
    <w:div w:id="68233506">
      <w:bodyDiv w:val="1"/>
      <w:marLeft w:val="0"/>
      <w:marRight w:val="0"/>
      <w:marTop w:val="0"/>
      <w:marBottom w:val="0"/>
      <w:divBdr>
        <w:top w:val="none" w:sz="0" w:space="0" w:color="auto"/>
        <w:left w:val="none" w:sz="0" w:space="0" w:color="auto"/>
        <w:bottom w:val="none" w:sz="0" w:space="0" w:color="auto"/>
        <w:right w:val="none" w:sz="0" w:space="0" w:color="auto"/>
      </w:divBdr>
    </w:div>
    <w:div w:id="80953335">
      <w:bodyDiv w:val="1"/>
      <w:marLeft w:val="0"/>
      <w:marRight w:val="0"/>
      <w:marTop w:val="0"/>
      <w:marBottom w:val="0"/>
      <w:divBdr>
        <w:top w:val="none" w:sz="0" w:space="0" w:color="auto"/>
        <w:left w:val="none" w:sz="0" w:space="0" w:color="auto"/>
        <w:bottom w:val="none" w:sz="0" w:space="0" w:color="auto"/>
        <w:right w:val="none" w:sz="0" w:space="0" w:color="auto"/>
      </w:divBdr>
    </w:div>
    <w:div w:id="117914533">
      <w:bodyDiv w:val="1"/>
      <w:marLeft w:val="0"/>
      <w:marRight w:val="0"/>
      <w:marTop w:val="0"/>
      <w:marBottom w:val="0"/>
      <w:divBdr>
        <w:top w:val="none" w:sz="0" w:space="0" w:color="auto"/>
        <w:left w:val="none" w:sz="0" w:space="0" w:color="auto"/>
        <w:bottom w:val="none" w:sz="0" w:space="0" w:color="auto"/>
        <w:right w:val="none" w:sz="0" w:space="0" w:color="auto"/>
      </w:divBdr>
    </w:div>
    <w:div w:id="126243955">
      <w:bodyDiv w:val="1"/>
      <w:marLeft w:val="0"/>
      <w:marRight w:val="0"/>
      <w:marTop w:val="0"/>
      <w:marBottom w:val="0"/>
      <w:divBdr>
        <w:top w:val="none" w:sz="0" w:space="0" w:color="auto"/>
        <w:left w:val="none" w:sz="0" w:space="0" w:color="auto"/>
        <w:bottom w:val="none" w:sz="0" w:space="0" w:color="auto"/>
        <w:right w:val="none" w:sz="0" w:space="0" w:color="auto"/>
      </w:divBdr>
    </w:div>
    <w:div w:id="159777461">
      <w:bodyDiv w:val="1"/>
      <w:marLeft w:val="0"/>
      <w:marRight w:val="0"/>
      <w:marTop w:val="0"/>
      <w:marBottom w:val="0"/>
      <w:divBdr>
        <w:top w:val="none" w:sz="0" w:space="0" w:color="auto"/>
        <w:left w:val="none" w:sz="0" w:space="0" w:color="auto"/>
        <w:bottom w:val="none" w:sz="0" w:space="0" w:color="auto"/>
        <w:right w:val="none" w:sz="0" w:space="0" w:color="auto"/>
      </w:divBdr>
    </w:div>
    <w:div w:id="177546379">
      <w:bodyDiv w:val="1"/>
      <w:marLeft w:val="0"/>
      <w:marRight w:val="0"/>
      <w:marTop w:val="0"/>
      <w:marBottom w:val="0"/>
      <w:divBdr>
        <w:top w:val="none" w:sz="0" w:space="0" w:color="auto"/>
        <w:left w:val="none" w:sz="0" w:space="0" w:color="auto"/>
        <w:bottom w:val="none" w:sz="0" w:space="0" w:color="auto"/>
        <w:right w:val="none" w:sz="0" w:space="0" w:color="auto"/>
      </w:divBdr>
    </w:div>
    <w:div w:id="289167735">
      <w:bodyDiv w:val="1"/>
      <w:marLeft w:val="0"/>
      <w:marRight w:val="0"/>
      <w:marTop w:val="0"/>
      <w:marBottom w:val="0"/>
      <w:divBdr>
        <w:top w:val="none" w:sz="0" w:space="0" w:color="auto"/>
        <w:left w:val="none" w:sz="0" w:space="0" w:color="auto"/>
        <w:bottom w:val="none" w:sz="0" w:space="0" w:color="auto"/>
        <w:right w:val="none" w:sz="0" w:space="0" w:color="auto"/>
      </w:divBdr>
    </w:div>
    <w:div w:id="291373497">
      <w:bodyDiv w:val="1"/>
      <w:marLeft w:val="0"/>
      <w:marRight w:val="0"/>
      <w:marTop w:val="0"/>
      <w:marBottom w:val="0"/>
      <w:divBdr>
        <w:top w:val="none" w:sz="0" w:space="0" w:color="auto"/>
        <w:left w:val="none" w:sz="0" w:space="0" w:color="auto"/>
        <w:bottom w:val="none" w:sz="0" w:space="0" w:color="auto"/>
        <w:right w:val="none" w:sz="0" w:space="0" w:color="auto"/>
      </w:divBdr>
    </w:div>
    <w:div w:id="300234194">
      <w:bodyDiv w:val="1"/>
      <w:marLeft w:val="0"/>
      <w:marRight w:val="0"/>
      <w:marTop w:val="0"/>
      <w:marBottom w:val="0"/>
      <w:divBdr>
        <w:top w:val="none" w:sz="0" w:space="0" w:color="auto"/>
        <w:left w:val="none" w:sz="0" w:space="0" w:color="auto"/>
        <w:bottom w:val="none" w:sz="0" w:space="0" w:color="auto"/>
        <w:right w:val="none" w:sz="0" w:space="0" w:color="auto"/>
      </w:divBdr>
    </w:div>
    <w:div w:id="309870076">
      <w:bodyDiv w:val="1"/>
      <w:marLeft w:val="0"/>
      <w:marRight w:val="0"/>
      <w:marTop w:val="0"/>
      <w:marBottom w:val="0"/>
      <w:divBdr>
        <w:top w:val="none" w:sz="0" w:space="0" w:color="auto"/>
        <w:left w:val="none" w:sz="0" w:space="0" w:color="auto"/>
        <w:bottom w:val="none" w:sz="0" w:space="0" w:color="auto"/>
        <w:right w:val="none" w:sz="0" w:space="0" w:color="auto"/>
      </w:divBdr>
    </w:div>
    <w:div w:id="310913766">
      <w:bodyDiv w:val="1"/>
      <w:marLeft w:val="0"/>
      <w:marRight w:val="0"/>
      <w:marTop w:val="0"/>
      <w:marBottom w:val="0"/>
      <w:divBdr>
        <w:top w:val="none" w:sz="0" w:space="0" w:color="auto"/>
        <w:left w:val="none" w:sz="0" w:space="0" w:color="auto"/>
        <w:bottom w:val="none" w:sz="0" w:space="0" w:color="auto"/>
        <w:right w:val="none" w:sz="0" w:space="0" w:color="auto"/>
      </w:divBdr>
    </w:div>
    <w:div w:id="316997878">
      <w:bodyDiv w:val="1"/>
      <w:marLeft w:val="0"/>
      <w:marRight w:val="0"/>
      <w:marTop w:val="0"/>
      <w:marBottom w:val="0"/>
      <w:divBdr>
        <w:top w:val="none" w:sz="0" w:space="0" w:color="auto"/>
        <w:left w:val="none" w:sz="0" w:space="0" w:color="auto"/>
        <w:bottom w:val="none" w:sz="0" w:space="0" w:color="auto"/>
        <w:right w:val="none" w:sz="0" w:space="0" w:color="auto"/>
      </w:divBdr>
    </w:div>
    <w:div w:id="322851807">
      <w:bodyDiv w:val="1"/>
      <w:marLeft w:val="0"/>
      <w:marRight w:val="0"/>
      <w:marTop w:val="0"/>
      <w:marBottom w:val="0"/>
      <w:divBdr>
        <w:top w:val="none" w:sz="0" w:space="0" w:color="auto"/>
        <w:left w:val="none" w:sz="0" w:space="0" w:color="auto"/>
        <w:bottom w:val="none" w:sz="0" w:space="0" w:color="auto"/>
        <w:right w:val="none" w:sz="0" w:space="0" w:color="auto"/>
      </w:divBdr>
    </w:div>
    <w:div w:id="339891757">
      <w:bodyDiv w:val="1"/>
      <w:marLeft w:val="0"/>
      <w:marRight w:val="0"/>
      <w:marTop w:val="0"/>
      <w:marBottom w:val="0"/>
      <w:divBdr>
        <w:top w:val="none" w:sz="0" w:space="0" w:color="auto"/>
        <w:left w:val="none" w:sz="0" w:space="0" w:color="auto"/>
        <w:bottom w:val="none" w:sz="0" w:space="0" w:color="auto"/>
        <w:right w:val="none" w:sz="0" w:space="0" w:color="auto"/>
      </w:divBdr>
    </w:div>
    <w:div w:id="383869941">
      <w:bodyDiv w:val="1"/>
      <w:marLeft w:val="0"/>
      <w:marRight w:val="0"/>
      <w:marTop w:val="0"/>
      <w:marBottom w:val="0"/>
      <w:divBdr>
        <w:top w:val="none" w:sz="0" w:space="0" w:color="auto"/>
        <w:left w:val="none" w:sz="0" w:space="0" w:color="auto"/>
        <w:bottom w:val="none" w:sz="0" w:space="0" w:color="auto"/>
        <w:right w:val="none" w:sz="0" w:space="0" w:color="auto"/>
      </w:divBdr>
    </w:div>
    <w:div w:id="383909937">
      <w:bodyDiv w:val="1"/>
      <w:marLeft w:val="0"/>
      <w:marRight w:val="0"/>
      <w:marTop w:val="0"/>
      <w:marBottom w:val="0"/>
      <w:divBdr>
        <w:top w:val="none" w:sz="0" w:space="0" w:color="auto"/>
        <w:left w:val="none" w:sz="0" w:space="0" w:color="auto"/>
        <w:bottom w:val="none" w:sz="0" w:space="0" w:color="auto"/>
        <w:right w:val="none" w:sz="0" w:space="0" w:color="auto"/>
      </w:divBdr>
    </w:div>
    <w:div w:id="425228017">
      <w:bodyDiv w:val="1"/>
      <w:marLeft w:val="0"/>
      <w:marRight w:val="0"/>
      <w:marTop w:val="0"/>
      <w:marBottom w:val="0"/>
      <w:divBdr>
        <w:top w:val="none" w:sz="0" w:space="0" w:color="auto"/>
        <w:left w:val="none" w:sz="0" w:space="0" w:color="auto"/>
        <w:bottom w:val="none" w:sz="0" w:space="0" w:color="auto"/>
        <w:right w:val="none" w:sz="0" w:space="0" w:color="auto"/>
      </w:divBdr>
    </w:div>
    <w:div w:id="447159759">
      <w:bodyDiv w:val="1"/>
      <w:marLeft w:val="0"/>
      <w:marRight w:val="0"/>
      <w:marTop w:val="0"/>
      <w:marBottom w:val="0"/>
      <w:divBdr>
        <w:top w:val="none" w:sz="0" w:space="0" w:color="auto"/>
        <w:left w:val="none" w:sz="0" w:space="0" w:color="auto"/>
        <w:bottom w:val="none" w:sz="0" w:space="0" w:color="auto"/>
        <w:right w:val="none" w:sz="0" w:space="0" w:color="auto"/>
      </w:divBdr>
    </w:div>
    <w:div w:id="454910518">
      <w:bodyDiv w:val="1"/>
      <w:marLeft w:val="0"/>
      <w:marRight w:val="0"/>
      <w:marTop w:val="0"/>
      <w:marBottom w:val="0"/>
      <w:divBdr>
        <w:top w:val="none" w:sz="0" w:space="0" w:color="auto"/>
        <w:left w:val="none" w:sz="0" w:space="0" w:color="auto"/>
        <w:bottom w:val="none" w:sz="0" w:space="0" w:color="auto"/>
        <w:right w:val="none" w:sz="0" w:space="0" w:color="auto"/>
      </w:divBdr>
    </w:div>
    <w:div w:id="471097515">
      <w:bodyDiv w:val="1"/>
      <w:marLeft w:val="0"/>
      <w:marRight w:val="0"/>
      <w:marTop w:val="0"/>
      <w:marBottom w:val="0"/>
      <w:divBdr>
        <w:top w:val="none" w:sz="0" w:space="0" w:color="auto"/>
        <w:left w:val="none" w:sz="0" w:space="0" w:color="auto"/>
        <w:bottom w:val="none" w:sz="0" w:space="0" w:color="auto"/>
        <w:right w:val="none" w:sz="0" w:space="0" w:color="auto"/>
      </w:divBdr>
    </w:div>
    <w:div w:id="579632705">
      <w:bodyDiv w:val="1"/>
      <w:marLeft w:val="0"/>
      <w:marRight w:val="0"/>
      <w:marTop w:val="0"/>
      <w:marBottom w:val="0"/>
      <w:divBdr>
        <w:top w:val="none" w:sz="0" w:space="0" w:color="auto"/>
        <w:left w:val="none" w:sz="0" w:space="0" w:color="auto"/>
        <w:bottom w:val="none" w:sz="0" w:space="0" w:color="auto"/>
        <w:right w:val="none" w:sz="0" w:space="0" w:color="auto"/>
      </w:divBdr>
    </w:div>
    <w:div w:id="616722735">
      <w:bodyDiv w:val="1"/>
      <w:marLeft w:val="0"/>
      <w:marRight w:val="0"/>
      <w:marTop w:val="0"/>
      <w:marBottom w:val="0"/>
      <w:divBdr>
        <w:top w:val="none" w:sz="0" w:space="0" w:color="auto"/>
        <w:left w:val="none" w:sz="0" w:space="0" w:color="auto"/>
        <w:bottom w:val="none" w:sz="0" w:space="0" w:color="auto"/>
        <w:right w:val="none" w:sz="0" w:space="0" w:color="auto"/>
      </w:divBdr>
    </w:div>
    <w:div w:id="659776344">
      <w:bodyDiv w:val="1"/>
      <w:marLeft w:val="0"/>
      <w:marRight w:val="0"/>
      <w:marTop w:val="0"/>
      <w:marBottom w:val="0"/>
      <w:divBdr>
        <w:top w:val="none" w:sz="0" w:space="0" w:color="auto"/>
        <w:left w:val="none" w:sz="0" w:space="0" w:color="auto"/>
        <w:bottom w:val="none" w:sz="0" w:space="0" w:color="auto"/>
        <w:right w:val="none" w:sz="0" w:space="0" w:color="auto"/>
      </w:divBdr>
    </w:div>
    <w:div w:id="680933441">
      <w:bodyDiv w:val="1"/>
      <w:marLeft w:val="0"/>
      <w:marRight w:val="0"/>
      <w:marTop w:val="0"/>
      <w:marBottom w:val="0"/>
      <w:divBdr>
        <w:top w:val="none" w:sz="0" w:space="0" w:color="auto"/>
        <w:left w:val="none" w:sz="0" w:space="0" w:color="auto"/>
        <w:bottom w:val="none" w:sz="0" w:space="0" w:color="auto"/>
        <w:right w:val="none" w:sz="0" w:space="0" w:color="auto"/>
      </w:divBdr>
    </w:div>
    <w:div w:id="709570870">
      <w:bodyDiv w:val="1"/>
      <w:marLeft w:val="0"/>
      <w:marRight w:val="0"/>
      <w:marTop w:val="0"/>
      <w:marBottom w:val="0"/>
      <w:divBdr>
        <w:top w:val="none" w:sz="0" w:space="0" w:color="auto"/>
        <w:left w:val="none" w:sz="0" w:space="0" w:color="auto"/>
        <w:bottom w:val="none" w:sz="0" w:space="0" w:color="auto"/>
        <w:right w:val="none" w:sz="0" w:space="0" w:color="auto"/>
      </w:divBdr>
    </w:div>
    <w:div w:id="793328173">
      <w:bodyDiv w:val="1"/>
      <w:marLeft w:val="0"/>
      <w:marRight w:val="0"/>
      <w:marTop w:val="0"/>
      <w:marBottom w:val="0"/>
      <w:divBdr>
        <w:top w:val="none" w:sz="0" w:space="0" w:color="auto"/>
        <w:left w:val="none" w:sz="0" w:space="0" w:color="auto"/>
        <w:bottom w:val="none" w:sz="0" w:space="0" w:color="auto"/>
        <w:right w:val="none" w:sz="0" w:space="0" w:color="auto"/>
      </w:divBdr>
    </w:div>
    <w:div w:id="801844922">
      <w:bodyDiv w:val="1"/>
      <w:marLeft w:val="0"/>
      <w:marRight w:val="0"/>
      <w:marTop w:val="0"/>
      <w:marBottom w:val="0"/>
      <w:divBdr>
        <w:top w:val="none" w:sz="0" w:space="0" w:color="auto"/>
        <w:left w:val="none" w:sz="0" w:space="0" w:color="auto"/>
        <w:bottom w:val="none" w:sz="0" w:space="0" w:color="auto"/>
        <w:right w:val="none" w:sz="0" w:space="0" w:color="auto"/>
      </w:divBdr>
    </w:div>
    <w:div w:id="830678666">
      <w:bodyDiv w:val="1"/>
      <w:marLeft w:val="0"/>
      <w:marRight w:val="0"/>
      <w:marTop w:val="0"/>
      <w:marBottom w:val="0"/>
      <w:divBdr>
        <w:top w:val="none" w:sz="0" w:space="0" w:color="auto"/>
        <w:left w:val="none" w:sz="0" w:space="0" w:color="auto"/>
        <w:bottom w:val="none" w:sz="0" w:space="0" w:color="auto"/>
        <w:right w:val="none" w:sz="0" w:space="0" w:color="auto"/>
      </w:divBdr>
    </w:div>
    <w:div w:id="850602420">
      <w:bodyDiv w:val="1"/>
      <w:marLeft w:val="0"/>
      <w:marRight w:val="0"/>
      <w:marTop w:val="0"/>
      <w:marBottom w:val="0"/>
      <w:divBdr>
        <w:top w:val="none" w:sz="0" w:space="0" w:color="auto"/>
        <w:left w:val="none" w:sz="0" w:space="0" w:color="auto"/>
        <w:bottom w:val="none" w:sz="0" w:space="0" w:color="auto"/>
        <w:right w:val="none" w:sz="0" w:space="0" w:color="auto"/>
      </w:divBdr>
    </w:div>
    <w:div w:id="853037540">
      <w:bodyDiv w:val="1"/>
      <w:marLeft w:val="0"/>
      <w:marRight w:val="0"/>
      <w:marTop w:val="0"/>
      <w:marBottom w:val="0"/>
      <w:divBdr>
        <w:top w:val="none" w:sz="0" w:space="0" w:color="auto"/>
        <w:left w:val="none" w:sz="0" w:space="0" w:color="auto"/>
        <w:bottom w:val="none" w:sz="0" w:space="0" w:color="auto"/>
        <w:right w:val="none" w:sz="0" w:space="0" w:color="auto"/>
      </w:divBdr>
    </w:div>
    <w:div w:id="894395367">
      <w:bodyDiv w:val="1"/>
      <w:marLeft w:val="0"/>
      <w:marRight w:val="0"/>
      <w:marTop w:val="0"/>
      <w:marBottom w:val="0"/>
      <w:divBdr>
        <w:top w:val="none" w:sz="0" w:space="0" w:color="auto"/>
        <w:left w:val="none" w:sz="0" w:space="0" w:color="auto"/>
        <w:bottom w:val="none" w:sz="0" w:space="0" w:color="auto"/>
        <w:right w:val="none" w:sz="0" w:space="0" w:color="auto"/>
      </w:divBdr>
    </w:div>
    <w:div w:id="902182954">
      <w:bodyDiv w:val="1"/>
      <w:marLeft w:val="0"/>
      <w:marRight w:val="0"/>
      <w:marTop w:val="0"/>
      <w:marBottom w:val="0"/>
      <w:divBdr>
        <w:top w:val="none" w:sz="0" w:space="0" w:color="auto"/>
        <w:left w:val="none" w:sz="0" w:space="0" w:color="auto"/>
        <w:bottom w:val="none" w:sz="0" w:space="0" w:color="auto"/>
        <w:right w:val="none" w:sz="0" w:space="0" w:color="auto"/>
      </w:divBdr>
    </w:div>
    <w:div w:id="914054751">
      <w:bodyDiv w:val="1"/>
      <w:marLeft w:val="0"/>
      <w:marRight w:val="0"/>
      <w:marTop w:val="0"/>
      <w:marBottom w:val="0"/>
      <w:divBdr>
        <w:top w:val="none" w:sz="0" w:space="0" w:color="auto"/>
        <w:left w:val="none" w:sz="0" w:space="0" w:color="auto"/>
        <w:bottom w:val="none" w:sz="0" w:space="0" w:color="auto"/>
        <w:right w:val="none" w:sz="0" w:space="0" w:color="auto"/>
      </w:divBdr>
    </w:div>
    <w:div w:id="981276058">
      <w:bodyDiv w:val="1"/>
      <w:marLeft w:val="0"/>
      <w:marRight w:val="0"/>
      <w:marTop w:val="0"/>
      <w:marBottom w:val="0"/>
      <w:divBdr>
        <w:top w:val="none" w:sz="0" w:space="0" w:color="auto"/>
        <w:left w:val="none" w:sz="0" w:space="0" w:color="auto"/>
        <w:bottom w:val="none" w:sz="0" w:space="0" w:color="auto"/>
        <w:right w:val="none" w:sz="0" w:space="0" w:color="auto"/>
      </w:divBdr>
    </w:div>
    <w:div w:id="1045762154">
      <w:bodyDiv w:val="1"/>
      <w:marLeft w:val="0"/>
      <w:marRight w:val="0"/>
      <w:marTop w:val="0"/>
      <w:marBottom w:val="0"/>
      <w:divBdr>
        <w:top w:val="none" w:sz="0" w:space="0" w:color="auto"/>
        <w:left w:val="none" w:sz="0" w:space="0" w:color="auto"/>
        <w:bottom w:val="none" w:sz="0" w:space="0" w:color="auto"/>
        <w:right w:val="none" w:sz="0" w:space="0" w:color="auto"/>
      </w:divBdr>
    </w:div>
    <w:div w:id="1055815836">
      <w:bodyDiv w:val="1"/>
      <w:marLeft w:val="0"/>
      <w:marRight w:val="0"/>
      <w:marTop w:val="0"/>
      <w:marBottom w:val="0"/>
      <w:divBdr>
        <w:top w:val="none" w:sz="0" w:space="0" w:color="auto"/>
        <w:left w:val="none" w:sz="0" w:space="0" w:color="auto"/>
        <w:bottom w:val="none" w:sz="0" w:space="0" w:color="auto"/>
        <w:right w:val="none" w:sz="0" w:space="0" w:color="auto"/>
      </w:divBdr>
    </w:div>
    <w:div w:id="1065176364">
      <w:bodyDiv w:val="1"/>
      <w:marLeft w:val="0"/>
      <w:marRight w:val="0"/>
      <w:marTop w:val="0"/>
      <w:marBottom w:val="0"/>
      <w:divBdr>
        <w:top w:val="none" w:sz="0" w:space="0" w:color="auto"/>
        <w:left w:val="none" w:sz="0" w:space="0" w:color="auto"/>
        <w:bottom w:val="none" w:sz="0" w:space="0" w:color="auto"/>
        <w:right w:val="none" w:sz="0" w:space="0" w:color="auto"/>
      </w:divBdr>
    </w:div>
    <w:div w:id="1098914772">
      <w:bodyDiv w:val="1"/>
      <w:marLeft w:val="0"/>
      <w:marRight w:val="0"/>
      <w:marTop w:val="0"/>
      <w:marBottom w:val="0"/>
      <w:divBdr>
        <w:top w:val="none" w:sz="0" w:space="0" w:color="auto"/>
        <w:left w:val="none" w:sz="0" w:space="0" w:color="auto"/>
        <w:bottom w:val="none" w:sz="0" w:space="0" w:color="auto"/>
        <w:right w:val="none" w:sz="0" w:space="0" w:color="auto"/>
      </w:divBdr>
    </w:div>
    <w:div w:id="1108891827">
      <w:bodyDiv w:val="1"/>
      <w:marLeft w:val="0"/>
      <w:marRight w:val="0"/>
      <w:marTop w:val="0"/>
      <w:marBottom w:val="0"/>
      <w:divBdr>
        <w:top w:val="none" w:sz="0" w:space="0" w:color="auto"/>
        <w:left w:val="none" w:sz="0" w:space="0" w:color="auto"/>
        <w:bottom w:val="none" w:sz="0" w:space="0" w:color="auto"/>
        <w:right w:val="none" w:sz="0" w:space="0" w:color="auto"/>
      </w:divBdr>
    </w:div>
    <w:div w:id="1198010112">
      <w:bodyDiv w:val="1"/>
      <w:marLeft w:val="0"/>
      <w:marRight w:val="0"/>
      <w:marTop w:val="0"/>
      <w:marBottom w:val="0"/>
      <w:divBdr>
        <w:top w:val="none" w:sz="0" w:space="0" w:color="auto"/>
        <w:left w:val="none" w:sz="0" w:space="0" w:color="auto"/>
        <w:bottom w:val="none" w:sz="0" w:space="0" w:color="auto"/>
        <w:right w:val="none" w:sz="0" w:space="0" w:color="auto"/>
      </w:divBdr>
    </w:div>
    <w:div w:id="1207140317">
      <w:bodyDiv w:val="1"/>
      <w:marLeft w:val="0"/>
      <w:marRight w:val="0"/>
      <w:marTop w:val="0"/>
      <w:marBottom w:val="0"/>
      <w:divBdr>
        <w:top w:val="none" w:sz="0" w:space="0" w:color="auto"/>
        <w:left w:val="none" w:sz="0" w:space="0" w:color="auto"/>
        <w:bottom w:val="none" w:sz="0" w:space="0" w:color="auto"/>
        <w:right w:val="none" w:sz="0" w:space="0" w:color="auto"/>
      </w:divBdr>
    </w:div>
    <w:div w:id="1211839285">
      <w:bodyDiv w:val="1"/>
      <w:marLeft w:val="0"/>
      <w:marRight w:val="0"/>
      <w:marTop w:val="0"/>
      <w:marBottom w:val="0"/>
      <w:divBdr>
        <w:top w:val="none" w:sz="0" w:space="0" w:color="auto"/>
        <w:left w:val="none" w:sz="0" w:space="0" w:color="auto"/>
        <w:bottom w:val="none" w:sz="0" w:space="0" w:color="auto"/>
        <w:right w:val="none" w:sz="0" w:space="0" w:color="auto"/>
      </w:divBdr>
    </w:div>
    <w:div w:id="1226337790">
      <w:bodyDiv w:val="1"/>
      <w:marLeft w:val="0"/>
      <w:marRight w:val="0"/>
      <w:marTop w:val="0"/>
      <w:marBottom w:val="0"/>
      <w:divBdr>
        <w:top w:val="none" w:sz="0" w:space="0" w:color="auto"/>
        <w:left w:val="none" w:sz="0" w:space="0" w:color="auto"/>
        <w:bottom w:val="none" w:sz="0" w:space="0" w:color="auto"/>
        <w:right w:val="none" w:sz="0" w:space="0" w:color="auto"/>
      </w:divBdr>
    </w:div>
    <w:div w:id="1249194459">
      <w:bodyDiv w:val="1"/>
      <w:marLeft w:val="0"/>
      <w:marRight w:val="0"/>
      <w:marTop w:val="0"/>
      <w:marBottom w:val="0"/>
      <w:divBdr>
        <w:top w:val="none" w:sz="0" w:space="0" w:color="auto"/>
        <w:left w:val="none" w:sz="0" w:space="0" w:color="auto"/>
        <w:bottom w:val="none" w:sz="0" w:space="0" w:color="auto"/>
        <w:right w:val="none" w:sz="0" w:space="0" w:color="auto"/>
      </w:divBdr>
    </w:div>
    <w:div w:id="1253928055">
      <w:bodyDiv w:val="1"/>
      <w:marLeft w:val="0"/>
      <w:marRight w:val="0"/>
      <w:marTop w:val="0"/>
      <w:marBottom w:val="0"/>
      <w:divBdr>
        <w:top w:val="none" w:sz="0" w:space="0" w:color="auto"/>
        <w:left w:val="none" w:sz="0" w:space="0" w:color="auto"/>
        <w:bottom w:val="none" w:sz="0" w:space="0" w:color="auto"/>
        <w:right w:val="none" w:sz="0" w:space="0" w:color="auto"/>
      </w:divBdr>
    </w:div>
    <w:div w:id="1282491292">
      <w:bodyDiv w:val="1"/>
      <w:marLeft w:val="0"/>
      <w:marRight w:val="0"/>
      <w:marTop w:val="0"/>
      <w:marBottom w:val="0"/>
      <w:divBdr>
        <w:top w:val="none" w:sz="0" w:space="0" w:color="auto"/>
        <w:left w:val="none" w:sz="0" w:space="0" w:color="auto"/>
        <w:bottom w:val="none" w:sz="0" w:space="0" w:color="auto"/>
        <w:right w:val="none" w:sz="0" w:space="0" w:color="auto"/>
      </w:divBdr>
    </w:div>
    <w:div w:id="1292634655">
      <w:bodyDiv w:val="1"/>
      <w:marLeft w:val="0"/>
      <w:marRight w:val="0"/>
      <w:marTop w:val="0"/>
      <w:marBottom w:val="0"/>
      <w:divBdr>
        <w:top w:val="none" w:sz="0" w:space="0" w:color="auto"/>
        <w:left w:val="none" w:sz="0" w:space="0" w:color="auto"/>
        <w:bottom w:val="none" w:sz="0" w:space="0" w:color="auto"/>
        <w:right w:val="none" w:sz="0" w:space="0" w:color="auto"/>
      </w:divBdr>
    </w:div>
    <w:div w:id="1301421078">
      <w:bodyDiv w:val="1"/>
      <w:marLeft w:val="0"/>
      <w:marRight w:val="0"/>
      <w:marTop w:val="0"/>
      <w:marBottom w:val="0"/>
      <w:divBdr>
        <w:top w:val="none" w:sz="0" w:space="0" w:color="auto"/>
        <w:left w:val="none" w:sz="0" w:space="0" w:color="auto"/>
        <w:bottom w:val="none" w:sz="0" w:space="0" w:color="auto"/>
        <w:right w:val="none" w:sz="0" w:space="0" w:color="auto"/>
      </w:divBdr>
    </w:div>
    <w:div w:id="1302928550">
      <w:bodyDiv w:val="1"/>
      <w:marLeft w:val="0"/>
      <w:marRight w:val="0"/>
      <w:marTop w:val="0"/>
      <w:marBottom w:val="0"/>
      <w:divBdr>
        <w:top w:val="none" w:sz="0" w:space="0" w:color="auto"/>
        <w:left w:val="none" w:sz="0" w:space="0" w:color="auto"/>
        <w:bottom w:val="none" w:sz="0" w:space="0" w:color="auto"/>
        <w:right w:val="none" w:sz="0" w:space="0" w:color="auto"/>
      </w:divBdr>
    </w:div>
    <w:div w:id="1321806955">
      <w:bodyDiv w:val="1"/>
      <w:marLeft w:val="0"/>
      <w:marRight w:val="0"/>
      <w:marTop w:val="0"/>
      <w:marBottom w:val="0"/>
      <w:divBdr>
        <w:top w:val="none" w:sz="0" w:space="0" w:color="auto"/>
        <w:left w:val="none" w:sz="0" w:space="0" w:color="auto"/>
        <w:bottom w:val="none" w:sz="0" w:space="0" w:color="auto"/>
        <w:right w:val="none" w:sz="0" w:space="0" w:color="auto"/>
      </w:divBdr>
    </w:div>
    <w:div w:id="1384716848">
      <w:bodyDiv w:val="1"/>
      <w:marLeft w:val="0"/>
      <w:marRight w:val="0"/>
      <w:marTop w:val="0"/>
      <w:marBottom w:val="0"/>
      <w:divBdr>
        <w:top w:val="none" w:sz="0" w:space="0" w:color="auto"/>
        <w:left w:val="none" w:sz="0" w:space="0" w:color="auto"/>
        <w:bottom w:val="none" w:sz="0" w:space="0" w:color="auto"/>
        <w:right w:val="none" w:sz="0" w:space="0" w:color="auto"/>
      </w:divBdr>
    </w:div>
    <w:div w:id="1403410402">
      <w:bodyDiv w:val="1"/>
      <w:marLeft w:val="0"/>
      <w:marRight w:val="0"/>
      <w:marTop w:val="0"/>
      <w:marBottom w:val="0"/>
      <w:divBdr>
        <w:top w:val="none" w:sz="0" w:space="0" w:color="auto"/>
        <w:left w:val="none" w:sz="0" w:space="0" w:color="auto"/>
        <w:bottom w:val="none" w:sz="0" w:space="0" w:color="auto"/>
        <w:right w:val="none" w:sz="0" w:space="0" w:color="auto"/>
      </w:divBdr>
    </w:div>
    <w:div w:id="1416249006">
      <w:bodyDiv w:val="1"/>
      <w:marLeft w:val="0"/>
      <w:marRight w:val="0"/>
      <w:marTop w:val="0"/>
      <w:marBottom w:val="0"/>
      <w:divBdr>
        <w:top w:val="none" w:sz="0" w:space="0" w:color="auto"/>
        <w:left w:val="none" w:sz="0" w:space="0" w:color="auto"/>
        <w:bottom w:val="none" w:sz="0" w:space="0" w:color="auto"/>
        <w:right w:val="none" w:sz="0" w:space="0" w:color="auto"/>
      </w:divBdr>
    </w:div>
    <w:div w:id="1425498555">
      <w:bodyDiv w:val="1"/>
      <w:marLeft w:val="0"/>
      <w:marRight w:val="0"/>
      <w:marTop w:val="0"/>
      <w:marBottom w:val="0"/>
      <w:divBdr>
        <w:top w:val="none" w:sz="0" w:space="0" w:color="auto"/>
        <w:left w:val="none" w:sz="0" w:space="0" w:color="auto"/>
        <w:bottom w:val="none" w:sz="0" w:space="0" w:color="auto"/>
        <w:right w:val="none" w:sz="0" w:space="0" w:color="auto"/>
      </w:divBdr>
    </w:div>
    <w:div w:id="1459378181">
      <w:bodyDiv w:val="1"/>
      <w:marLeft w:val="0"/>
      <w:marRight w:val="0"/>
      <w:marTop w:val="0"/>
      <w:marBottom w:val="0"/>
      <w:divBdr>
        <w:top w:val="none" w:sz="0" w:space="0" w:color="auto"/>
        <w:left w:val="none" w:sz="0" w:space="0" w:color="auto"/>
        <w:bottom w:val="none" w:sz="0" w:space="0" w:color="auto"/>
        <w:right w:val="none" w:sz="0" w:space="0" w:color="auto"/>
      </w:divBdr>
    </w:div>
    <w:div w:id="1476989409">
      <w:bodyDiv w:val="1"/>
      <w:marLeft w:val="0"/>
      <w:marRight w:val="0"/>
      <w:marTop w:val="0"/>
      <w:marBottom w:val="0"/>
      <w:divBdr>
        <w:top w:val="none" w:sz="0" w:space="0" w:color="auto"/>
        <w:left w:val="none" w:sz="0" w:space="0" w:color="auto"/>
        <w:bottom w:val="none" w:sz="0" w:space="0" w:color="auto"/>
        <w:right w:val="none" w:sz="0" w:space="0" w:color="auto"/>
      </w:divBdr>
    </w:div>
    <w:div w:id="1566378242">
      <w:bodyDiv w:val="1"/>
      <w:marLeft w:val="0"/>
      <w:marRight w:val="0"/>
      <w:marTop w:val="0"/>
      <w:marBottom w:val="0"/>
      <w:divBdr>
        <w:top w:val="none" w:sz="0" w:space="0" w:color="auto"/>
        <w:left w:val="none" w:sz="0" w:space="0" w:color="auto"/>
        <w:bottom w:val="none" w:sz="0" w:space="0" w:color="auto"/>
        <w:right w:val="none" w:sz="0" w:space="0" w:color="auto"/>
      </w:divBdr>
    </w:div>
    <w:div w:id="1571498080">
      <w:bodyDiv w:val="1"/>
      <w:marLeft w:val="0"/>
      <w:marRight w:val="0"/>
      <w:marTop w:val="0"/>
      <w:marBottom w:val="0"/>
      <w:divBdr>
        <w:top w:val="none" w:sz="0" w:space="0" w:color="auto"/>
        <w:left w:val="none" w:sz="0" w:space="0" w:color="auto"/>
        <w:bottom w:val="none" w:sz="0" w:space="0" w:color="auto"/>
        <w:right w:val="none" w:sz="0" w:space="0" w:color="auto"/>
      </w:divBdr>
    </w:div>
    <w:div w:id="1653097632">
      <w:bodyDiv w:val="1"/>
      <w:marLeft w:val="0"/>
      <w:marRight w:val="0"/>
      <w:marTop w:val="0"/>
      <w:marBottom w:val="0"/>
      <w:divBdr>
        <w:top w:val="none" w:sz="0" w:space="0" w:color="auto"/>
        <w:left w:val="none" w:sz="0" w:space="0" w:color="auto"/>
        <w:bottom w:val="none" w:sz="0" w:space="0" w:color="auto"/>
        <w:right w:val="none" w:sz="0" w:space="0" w:color="auto"/>
      </w:divBdr>
    </w:div>
    <w:div w:id="1654260672">
      <w:bodyDiv w:val="1"/>
      <w:marLeft w:val="0"/>
      <w:marRight w:val="0"/>
      <w:marTop w:val="0"/>
      <w:marBottom w:val="0"/>
      <w:divBdr>
        <w:top w:val="none" w:sz="0" w:space="0" w:color="auto"/>
        <w:left w:val="none" w:sz="0" w:space="0" w:color="auto"/>
        <w:bottom w:val="none" w:sz="0" w:space="0" w:color="auto"/>
        <w:right w:val="none" w:sz="0" w:space="0" w:color="auto"/>
      </w:divBdr>
    </w:div>
    <w:div w:id="1673801804">
      <w:bodyDiv w:val="1"/>
      <w:marLeft w:val="0"/>
      <w:marRight w:val="0"/>
      <w:marTop w:val="0"/>
      <w:marBottom w:val="0"/>
      <w:divBdr>
        <w:top w:val="none" w:sz="0" w:space="0" w:color="auto"/>
        <w:left w:val="none" w:sz="0" w:space="0" w:color="auto"/>
        <w:bottom w:val="none" w:sz="0" w:space="0" w:color="auto"/>
        <w:right w:val="none" w:sz="0" w:space="0" w:color="auto"/>
      </w:divBdr>
    </w:div>
    <w:div w:id="1708095922">
      <w:bodyDiv w:val="1"/>
      <w:marLeft w:val="0"/>
      <w:marRight w:val="0"/>
      <w:marTop w:val="0"/>
      <w:marBottom w:val="0"/>
      <w:divBdr>
        <w:top w:val="none" w:sz="0" w:space="0" w:color="auto"/>
        <w:left w:val="none" w:sz="0" w:space="0" w:color="auto"/>
        <w:bottom w:val="none" w:sz="0" w:space="0" w:color="auto"/>
        <w:right w:val="none" w:sz="0" w:space="0" w:color="auto"/>
      </w:divBdr>
    </w:div>
    <w:div w:id="1712803588">
      <w:bodyDiv w:val="1"/>
      <w:marLeft w:val="0"/>
      <w:marRight w:val="0"/>
      <w:marTop w:val="0"/>
      <w:marBottom w:val="0"/>
      <w:divBdr>
        <w:top w:val="none" w:sz="0" w:space="0" w:color="auto"/>
        <w:left w:val="none" w:sz="0" w:space="0" w:color="auto"/>
        <w:bottom w:val="none" w:sz="0" w:space="0" w:color="auto"/>
        <w:right w:val="none" w:sz="0" w:space="0" w:color="auto"/>
      </w:divBdr>
    </w:div>
    <w:div w:id="1713265562">
      <w:bodyDiv w:val="1"/>
      <w:marLeft w:val="0"/>
      <w:marRight w:val="0"/>
      <w:marTop w:val="0"/>
      <w:marBottom w:val="0"/>
      <w:divBdr>
        <w:top w:val="none" w:sz="0" w:space="0" w:color="auto"/>
        <w:left w:val="none" w:sz="0" w:space="0" w:color="auto"/>
        <w:bottom w:val="none" w:sz="0" w:space="0" w:color="auto"/>
        <w:right w:val="none" w:sz="0" w:space="0" w:color="auto"/>
      </w:divBdr>
    </w:div>
    <w:div w:id="1746874891">
      <w:bodyDiv w:val="1"/>
      <w:marLeft w:val="0"/>
      <w:marRight w:val="0"/>
      <w:marTop w:val="0"/>
      <w:marBottom w:val="0"/>
      <w:divBdr>
        <w:top w:val="none" w:sz="0" w:space="0" w:color="auto"/>
        <w:left w:val="none" w:sz="0" w:space="0" w:color="auto"/>
        <w:bottom w:val="none" w:sz="0" w:space="0" w:color="auto"/>
        <w:right w:val="none" w:sz="0" w:space="0" w:color="auto"/>
      </w:divBdr>
    </w:div>
    <w:div w:id="1777670894">
      <w:bodyDiv w:val="1"/>
      <w:marLeft w:val="0"/>
      <w:marRight w:val="0"/>
      <w:marTop w:val="0"/>
      <w:marBottom w:val="0"/>
      <w:divBdr>
        <w:top w:val="none" w:sz="0" w:space="0" w:color="auto"/>
        <w:left w:val="none" w:sz="0" w:space="0" w:color="auto"/>
        <w:bottom w:val="none" w:sz="0" w:space="0" w:color="auto"/>
        <w:right w:val="none" w:sz="0" w:space="0" w:color="auto"/>
      </w:divBdr>
    </w:div>
    <w:div w:id="1810973581">
      <w:bodyDiv w:val="1"/>
      <w:marLeft w:val="0"/>
      <w:marRight w:val="0"/>
      <w:marTop w:val="0"/>
      <w:marBottom w:val="0"/>
      <w:divBdr>
        <w:top w:val="none" w:sz="0" w:space="0" w:color="auto"/>
        <w:left w:val="none" w:sz="0" w:space="0" w:color="auto"/>
        <w:bottom w:val="none" w:sz="0" w:space="0" w:color="auto"/>
        <w:right w:val="none" w:sz="0" w:space="0" w:color="auto"/>
      </w:divBdr>
    </w:div>
    <w:div w:id="1813449230">
      <w:bodyDiv w:val="1"/>
      <w:marLeft w:val="0"/>
      <w:marRight w:val="0"/>
      <w:marTop w:val="0"/>
      <w:marBottom w:val="0"/>
      <w:divBdr>
        <w:top w:val="none" w:sz="0" w:space="0" w:color="auto"/>
        <w:left w:val="none" w:sz="0" w:space="0" w:color="auto"/>
        <w:bottom w:val="none" w:sz="0" w:space="0" w:color="auto"/>
        <w:right w:val="none" w:sz="0" w:space="0" w:color="auto"/>
      </w:divBdr>
    </w:div>
    <w:div w:id="1835608701">
      <w:bodyDiv w:val="1"/>
      <w:marLeft w:val="0"/>
      <w:marRight w:val="0"/>
      <w:marTop w:val="0"/>
      <w:marBottom w:val="0"/>
      <w:divBdr>
        <w:top w:val="none" w:sz="0" w:space="0" w:color="auto"/>
        <w:left w:val="none" w:sz="0" w:space="0" w:color="auto"/>
        <w:bottom w:val="none" w:sz="0" w:space="0" w:color="auto"/>
        <w:right w:val="none" w:sz="0" w:space="0" w:color="auto"/>
      </w:divBdr>
    </w:div>
    <w:div w:id="1840538355">
      <w:bodyDiv w:val="1"/>
      <w:marLeft w:val="0"/>
      <w:marRight w:val="0"/>
      <w:marTop w:val="0"/>
      <w:marBottom w:val="0"/>
      <w:divBdr>
        <w:top w:val="none" w:sz="0" w:space="0" w:color="auto"/>
        <w:left w:val="none" w:sz="0" w:space="0" w:color="auto"/>
        <w:bottom w:val="none" w:sz="0" w:space="0" w:color="auto"/>
        <w:right w:val="none" w:sz="0" w:space="0" w:color="auto"/>
      </w:divBdr>
    </w:div>
    <w:div w:id="1859930354">
      <w:bodyDiv w:val="1"/>
      <w:marLeft w:val="0"/>
      <w:marRight w:val="0"/>
      <w:marTop w:val="0"/>
      <w:marBottom w:val="0"/>
      <w:divBdr>
        <w:top w:val="none" w:sz="0" w:space="0" w:color="auto"/>
        <w:left w:val="none" w:sz="0" w:space="0" w:color="auto"/>
        <w:bottom w:val="none" w:sz="0" w:space="0" w:color="auto"/>
        <w:right w:val="none" w:sz="0" w:space="0" w:color="auto"/>
      </w:divBdr>
    </w:div>
    <w:div w:id="1874885063">
      <w:bodyDiv w:val="1"/>
      <w:marLeft w:val="0"/>
      <w:marRight w:val="0"/>
      <w:marTop w:val="0"/>
      <w:marBottom w:val="0"/>
      <w:divBdr>
        <w:top w:val="none" w:sz="0" w:space="0" w:color="auto"/>
        <w:left w:val="none" w:sz="0" w:space="0" w:color="auto"/>
        <w:bottom w:val="none" w:sz="0" w:space="0" w:color="auto"/>
        <w:right w:val="none" w:sz="0" w:space="0" w:color="auto"/>
      </w:divBdr>
    </w:div>
    <w:div w:id="1881087845">
      <w:bodyDiv w:val="1"/>
      <w:marLeft w:val="0"/>
      <w:marRight w:val="0"/>
      <w:marTop w:val="0"/>
      <w:marBottom w:val="0"/>
      <w:divBdr>
        <w:top w:val="none" w:sz="0" w:space="0" w:color="auto"/>
        <w:left w:val="none" w:sz="0" w:space="0" w:color="auto"/>
        <w:bottom w:val="none" w:sz="0" w:space="0" w:color="auto"/>
        <w:right w:val="none" w:sz="0" w:space="0" w:color="auto"/>
      </w:divBdr>
    </w:div>
    <w:div w:id="1883667520">
      <w:bodyDiv w:val="1"/>
      <w:marLeft w:val="0"/>
      <w:marRight w:val="0"/>
      <w:marTop w:val="0"/>
      <w:marBottom w:val="0"/>
      <w:divBdr>
        <w:top w:val="none" w:sz="0" w:space="0" w:color="auto"/>
        <w:left w:val="none" w:sz="0" w:space="0" w:color="auto"/>
        <w:bottom w:val="none" w:sz="0" w:space="0" w:color="auto"/>
        <w:right w:val="none" w:sz="0" w:space="0" w:color="auto"/>
      </w:divBdr>
    </w:div>
    <w:div w:id="1888494714">
      <w:bodyDiv w:val="1"/>
      <w:marLeft w:val="0"/>
      <w:marRight w:val="0"/>
      <w:marTop w:val="0"/>
      <w:marBottom w:val="0"/>
      <w:divBdr>
        <w:top w:val="none" w:sz="0" w:space="0" w:color="auto"/>
        <w:left w:val="none" w:sz="0" w:space="0" w:color="auto"/>
        <w:bottom w:val="none" w:sz="0" w:space="0" w:color="auto"/>
        <w:right w:val="none" w:sz="0" w:space="0" w:color="auto"/>
      </w:divBdr>
    </w:div>
    <w:div w:id="1923879240">
      <w:bodyDiv w:val="1"/>
      <w:marLeft w:val="0"/>
      <w:marRight w:val="0"/>
      <w:marTop w:val="0"/>
      <w:marBottom w:val="0"/>
      <w:divBdr>
        <w:top w:val="none" w:sz="0" w:space="0" w:color="auto"/>
        <w:left w:val="none" w:sz="0" w:space="0" w:color="auto"/>
        <w:bottom w:val="none" w:sz="0" w:space="0" w:color="auto"/>
        <w:right w:val="none" w:sz="0" w:space="0" w:color="auto"/>
      </w:divBdr>
    </w:div>
    <w:div w:id="1938055205">
      <w:bodyDiv w:val="1"/>
      <w:marLeft w:val="0"/>
      <w:marRight w:val="0"/>
      <w:marTop w:val="0"/>
      <w:marBottom w:val="0"/>
      <w:divBdr>
        <w:top w:val="none" w:sz="0" w:space="0" w:color="auto"/>
        <w:left w:val="none" w:sz="0" w:space="0" w:color="auto"/>
        <w:bottom w:val="none" w:sz="0" w:space="0" w:color="auto"/>
        <w:right w:val="none" w:sz="0" w:space="0" w:color="auto"/>
      </w:divBdr>
    </w:div>
    <w:div w:id="1938639780">
      <w:bodyDiv w:val="1"/>
      <w:marLeft w:val="0"/>
      <w:marRight w:val="0"/>
      <w:marTop w:val="0"/>
      <w:marBottom w:val="0"/>
      <w:divBdr>
        <w:top w:val="none" w:sz="0" w:space="0" w:color="auto"/>
        <w:left w:val="none" w:sz="0" w:space="0" w:color="auto"/>
        <w:bottom w:val="none" w:sz="0" w:space="0" w:color="auto"/>
        <w:right w:val="none" w:sz="0" w:space="0" w:color="auto"/>
      </w:divBdr>
    </w:div>
    <w:div w:id="2029401262">
      <w:bodyDiv w:val="1"/>
      <w:marLeft w:val="0"/>
      <w:marRight w:val="0"/>
      <w:marTop w:val="0"/>
      <w:marBottom w:val="0"/>
      <w:divBdr>
        <w:top w:val="none" w:sz="0" w:space="0" w:color="auto"/>
        <w:left w:val="none" w:sz="0" w:space="0" w:color="auto"/>
        <w:bottom w:val="none" w:sz="0" w:space="0" w:color="auto"/>
        <w:right w:val="none" w:sz="0" w:space="0" w:color="auto"/>
      </w:divBdr>
    </w:div>
    <w:div w:id="2041466869">
      <w:bodyDiv w:val="1"/>
      <w:marLeft w:val="0"/>
      <w:marRight w:val="0"/>
      <w:marTop w:val="0"/>
      <w:marBottom w:val="0"/>
      <w:divBdr>
        <w:top w:val="none" w:sz="0" w:space="0" w:color="auto"/>
        <w:left w:val="none" w:sz="0" w:space="0" w:color="auto"/>
        <w:bottom w:val="none" w:sz="0" w:space="0" w:color="auto"/>
        <w:right w:val="none" w:sz="0" w:space="0" w:color="auto"/>
      </w:divBdr>
    </w:div>
    <w:div w:id="2052803215">
      <w:bodyDiv w:val="1"/>
      <w:marLeft w:val="0"/>
      <w:marRight w:val="0"/>
      <w:marTop w:val="0"/>
      <w:marBottom w:val="0"/>
      <w:divBdr>
        <w:top w:val="none" w:sz="0" w:space="0" w:color="auto"/>
        <w:left w:val="none" w:sz="0" w:space="0" w:color="auto"/>
        <w:bottom w:val="none" w:sz="0" w:space="0" w:color="auto"/>
        <w:right w:val="none" w:sz="0" w:space="0" w:color="auto"/>
      </w:divBdr>
    </w:div>
    <w:div w:id="209617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E2F97-784C-4568-988D-93C20D27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36</Pages>
  <Words>7942</Words>
  <Characters>45271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Category A and B Serious Youth Offences Committed by Children and Young People</vt:lpstr>
    </vt:vector>
  </TitlesOfParts>
  <Company>Sentencing Advisory Council</Company>
  <LinksUpToDate>false</LinksUpToDate>
  <CharactersWithSpaces>53107</CharactersWithSpaces>
  <SharedDoc>false</SharedDoc>
  <HLinks>
    <vt:vector size="48" baseType="variant">
      <vt:variant>
        <vt:i4>1572912</vt:i4>
      </vt:variant>
      <vt:variant>
        <vt:i4>44</vt:i4>
      </vt:variant>
      <vt:variant>
        <vt:i4>0</vt:i4>
      </vt:variant>
      <vt:variant>
        <vt:i4>5</vt:i4>
      </vt:variant>
      <vt:variant>
        <vt:lpwstr/>
      </vt:variant>
      <vt:variant>
        <vt:lpwstr>_Toc415058465</vt:lpwstr>
      </vt:variant>
      <vt:variant>
        <vt:i4>1572912</vt:i4>
      </vt:variant>
      <vt:variant>
        <vt:i4>38</vt:i4>
      </vt:variant>
      <vt:variant>
        <vt:i4>0</vt:i4>
      </vt:variant>
      <vt:variant>
        <vt:i4>5</vt:i4>
      </vt:variant>
      <vt:variant>
        <vt:lpwstr/>
      </vt:variant>
      <vt:variant>
        <vt:lpwstr>_Toc415058464</vt:lpwstr>
      </vt:variant>
      <vt:variant>
        <vt:i4>1572912</vt:i4>
      </vt:variant>
      <vt:variant>
        <vt:i4>32</vt:i4>
      </vt:variant>
      <vt:variant>
        <vt:i4>0</vt:i4>
      </vt:variant>
      <vt:variant>
        <vt:i4>5</vt:i4>
      </vt:variant>
      <vt:variant>
        <vt:lpwstr/>
      </vt:variant>
      <vt:variant>
        <vt:lpwstr>_Toc415058463</vt:lpwstr>
      </vt:variant>
      <vt:variant>
        <vt:i4>1572912</vt:i4>
      </vt:variant>
      <vt:variant>
        <vt:i4>26</vt:i4>
      </vt:variant>
      <vt:variant>
        <vt:i4>0</vt:i4>
      </vt:variant>
      <vt:variant>
        <vt:i4>5</vt:i4>
      </vt:variant>
      <vt:variant>
        <vt:lpwstr/>
      </vt:variant>
      <vt:variant>
        <vt:lpwstr>_Toc415058462</vt:lpwstr>
      </vt:variant>
      <vt:variant>
        <vt:i4>1572912</vt:i4>
      </vt:variant>
      <vt:variant>
        <vt:i4>20</vt:i4>
      </vt:variant>
      <vt:variant>
        <vt:i4>0</vt:i4>
      </vt:variant>
      <vt:variant>
        <vt:i4>5</vt:i4>
      </vt:variant>
      <vt:variant>
        <vt:lpwstr/>
      </vt:variant>
      <vt:variant>
        <vt:lpwstr>_Toc415058461</vt:lpwstr>
      </vt:variant>
      <vt:variant>
        <vt:i4>1572912</vt:i4>
      </vt:variant>
      <vt:variant>
        <vt:i4>14</vt:i4>
      </vt:variant>
      <vt:variant>
        <vt:i4>0</vt:i4>
      </vt:variant>
      <vt:variant>
        <vt:i4>5</vt:i4>
      </vt:variant>
      <vt:variant>
        <vt:lpwstr/>
      </vt:variant>
      <vt:variant>
        <vt:lpwstr>_Toc415058460</vt:lpwstr>
      </vt:variant>
      <vt:variant>
        <vt:i4>1769520</vt:i4>
      </vt:variant>
      <vt:variant>
        <vt:i4>8</vt:i4>
      </vt:variant>
      <vt:variant>
        <vt:i4>0</vt:i4>
      </vt:variant>
      <vt:variant>
        <vt:i4>5</vt:i4>
      </vt:variant>
      <vt:variant>
        <vt:lpwstr/>
      </vt:variant>
      <vt:variant>
        <vt:lpwstr>_Toc415058459</vt:lpwstr>
      </vt:variant>
      <vt:variant>
        <vt:i4>1769520</vt:i4>
      </vt:variant>
      <vt:variant>
        <vt:i4>2</vt:i4>
      </vt:variant>
      <vt:variant>
        <vt:i4>0</vt:i4>
      </vt:variant>
      <vt:variant>
        <vt:i4>5</vt:i4>
      </vt:variant>
      <vt:variant>
        <vt:lpwstr/>
      </vt:variant>
      <vt:variant>
        <vt:lpwstr>_Toc415058458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A and B Serious Youth Offences Committed by Children and Young People</dc:title>
  <dc:subject/>
  <dc:creator>Sentencing Advisory Council</dc:creator>
  <cp:keywords/>
  <dc:description/>
  <cp:lastModifiedBy>SAC</cp:lastModifiedBy>
  <cp:revision>178</cp:revision>
  <dcterms:created xsi:type="dcterms:W3CDTF">2026-06-22T02:05:00Z</dcterms:created>
  <dcterms:modified xsi:type="dcterms:W3CDTF">2026-06-29T02:07:00Z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-344614904</vt:i4>
  </property>
</Properties>
</file>